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Caso Benjamin y otros Vs. Trinidad y Tobago</w:t>
        <w:br/>
        <w:br/>
        <w:br/>
        <w:t xml:space="preserve">                    Sentencia de 1 de septiembre de 2001</w:t>
        <w:br/>
        <w:t xml:space="preserve">                         (Excepciones Preliminares)</w:t>
        <w:br/>
        <w:br/>
        <w:br/>
        <w:t>En el caso Benjamín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Oliver Jackman, Juez;</w:t>
        <w:br/>
        <w:t xml:space="preserve">      Alirio Abreu Burelli, Juez;</w:t>
        <w:br/>
        <w:br/>
        <w:t xml:space="preserve">      Sergio García Ramírez, Juez, y</w:t>
        <w:br/>
        <w:br/>
        <w:t xml:space="preserve">      Carlos Vicente de Roux Rengifo, Juez;</w:t>
        <w:br/>
        <w:br/>
        <w:br/>
        <w:t>presentes, además,</w:t>
        <w:br/>
        <w:br/>
        <w:br/>
        <w:t xml:space="preserve">      Manuel E. Ventura Robles, Secretario, y</w:t>
        <w:br/>
        <w:br/>
        <w:t xml:space="preserve">      Pablo Saavedra Alessandri, Secretario adjunto;</w:t>
        <w:br/>
        <w:br/>
        <w:t>de acuerdo  con  el  artículo  36  de  su  Reglamento[1]  (en  adelante  “el</w:t>
        <w:br/>
        <w:t>Reglamento”), dicta la siguiente Sentencia  sobre  la  excepción  preliminar</w:t>
        <w:br/>
        <w:t>interpuesta por el Estado de Trinidad y Tobago (en adelante  “el  Estado”  o</w:t>
        <w:br/>
        <w:t>“Trinidad y Tobago”).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 El  presente  caso  fue  sometido  a  la  Corte   por   la   Comisión</w:t>
        <w:br/>
        <w:t>Interamericana   de   Derechos   Humanos   (en   adelante    “la    Comisión</w:t>
        <w:br/>
        <w:t>Interamericana” o “la Comisión”) el 5 de octubre de 2000.  La demanda de  la</w:t>
        <w:br/>
        <w:t>Comisión tiene su origen en las denuncias números 12.148  (Peter  Benjamin),</w:t>
        <w:br/>
        <w:t>12.149 (Krishendath  Seepersad),  12.151  (Allan  Phillip),  12.152  (Narine</w:t>
        <w:br/>
        <w:t>Sooklal), 12.153 (Amir Mowlah), 12.156 (Mervyn  Parris)  y  12.157  (Francis</w:t>
        <w:br/>
        <w:t>Mansingh), recibidas en la Secretaría de ésta entre enero y mayo de 1999.</w:t>
        <w:br/>
        <w:br/>
        <w:t xml:space="preserve">                                     II</w:t>
        <w:br/>
        <w:br/>
        <w:t xml:space="preserve">                       HECHOS EXPUESTOS EN LA DEMANDA</w:t>
        <w:br/>
        <w:br/>
        <w:br/>
        <w:br/>
        <w:t>2.    La Comisión Interamericana expuso en su demanda los hechos en  que  se</w:t>
        <w:br/>
        <w:t>fundamenta.  En los siguientes párrafos, la Corte resume los  hechos  y  las</w:t>
        <w:br/>
        <w:t>pretensiones de la demanda que son relevantes para la  consideración  de  la</w:t>
        <w:br/>
        <w:t>excepción preliminar:</w:t>
        <w:br/>
        <w:br/>
        <w:t>El Estado de Trinidad y  Tobago  es  responsable  de  la  violación  de  los</w:t>
        <w:br/>
        <w:t>siguientes artículos de la Convención Americana sobre Derechos  Humanos  (en</w:t>
        <w:br/>
        <w:t>adelante “la Convención Americana” o “la Convención”) (infra 14):</w:t>
        <w:br/>
        <w:br/>
        <w:t>4.1,  5.1,  5.2,  y  8.1,  por  sentenciar  a  Peter  Benjamin,  Krishendath</w:t>
        <w:br/>
        <w:t>Seepersad, Allan Phillip, Narine  Sooklal,  Amir  Mowlah,  Mervyn  Parris  y</w:t>
        <w:br/>
        <w:t>Francis Mansingh (en adelante “las  supuestas  víctimas”)  a  una  “pena  de</w:t>
        <w:br/>
        <w:t>muerte obligatoria”;</w:t>
        <w:br/>
        <w:br/>
        <w:t>4.6, por no proporcionarles  a  las  siete  supuestas  víctimas  un  derecho</w:t>
        <w:br/>
        <w:t>efectivo a solicitar la amnistía, el indulto o la conmutación de la pena;</w:t>
        <w:br/>
        <w:br/>
        <w:t>7.5 y 8.1, en razón de la  demora  en  el  proceso  penal  de  seis  de  las</w:t>
        <w:br/>
        <w:t>supuestas víctimas;</w:t>
        <w:br/>
        <w:br/>
        <w:t>25 y 2,  por  no  adoptar  las  medidas  legislativas  y  de  otro  carácter</w:t>
        <w:br/>
        <w:t>necesarias para hacer efectivo el derecho de seis de las supuestas  víctimas</w:t>
        <w:br/>
        <w:t>a ser juzgados dentro de un plazo razonable, de acuerdo  con  los  artículos</w:t>
        <w:br/>
        <w:t>7.5 y 8.1 de la Convención;</w:t>
        <w:br/>
        <w:br/>
        <w:t>5.1 y 5.2, en razón  de  las  condiciones  de  detención  de  cinco  de  las</w:t>
        <w:br/>
        <w:t>supuestas víctimas;</w:t>
        <w:br/>
        <w:br/>
        <w:t>5.4, por no ser separado de los convictos, sin que  mediaran  circunstancias</w:t>
        <w:br/>
        <w:t>especiales, en el caso de una de las supuestas víctimas;</w:t>
        <w:br/>
        <w:br/>
        <w:t>5.6, que establece la reforma y readaptación social como  objetivo  esencial</w:t>
        <w:br/>
        <w:t>del castigo consistente en la privación de libertad, en perjuicio de una  de</w:t>
        <w:br/>
        <w:t>las supuestas víctimas;</w:t>
        <w:br/>
        <w:br/>
        <w:t>8.1, por no otorgarle un mecanismo de reevaluación de  su  condena  teniendo</w:t>
        <w:br/>
        <w:t>en cuenta posibles pruebas exculpatorias en el caso de una de las  supuestas</w:t>
        <w:br/>
        <w:t>víctimas;</w:t>
        <w:br/>
        <w:br/>
        <w:t>8.2.d, en razón de  la  demora  en  permitirle  que  contactara  un  abogado</w:t>
        <w:br/>
        <w:t>después de su arresto en el caso de una de las supuestas víctimas;</w:t>
        <w:br/>
        <w:br/>
        <w:t>8 y 25, por no poner a su disposición una asistencia letrada  efectiva  para</w:t>
        <w:br/>
        <w:t>iniciar acciones constitucionales ante los tribunales internos  en  relación</w:t>
        <w:br/>
        <w:t>con el procedimiento penal de dos de las supuestas víctimas;</w:t>
        <w:br/>
        <w:br/>
        <w:t>todos en relación con el artículo 1.1 de la Convención.</w:t>
        <w:br/>
        <w:br/>
        <w:t>La Comisión Interamericana fundamenta  sus  alegatos,  inter  alia,  en  los</w:t>
        <w:br/>
        <w:t>siguientes hechos:</w:t>
        <w:br/>
        <w:br/>
        <w:t xml:space="preserve">        1. El 27 de octubre de 1997 el señor Peter Benjamin  (Caso  12.148)</w:t>
        <w:br/>
        <w:t xml:space="preserve">           fue condenado y sentenciado a una “pena de  muerte  obligatoria”</w:t>
        <w:br/>
        <w:t xml:space="preserve">           en la horca, por el homicidio de Kanhai Deodath;</w:t>
        <w:br/>
        <w:br/>
        <w:br/>
        <w:t xml:space="preserve">      b.    El 29 de mayo de  1998  el  señor  Krishendath  Seepersad  (Caso</w:t>
        <w:br/>
        <w:t xml:space="preserve">           12.149) fue condenado  y  sentenciado  a  una  “pena  de  muerte</w:t>
        <w:br/>
        <w:t xml:space="preserve">           obligatoria” en la horca, por el homicidio de Shazard Ghany;</w:t>
        <w:br/>
        <w:br/>
        <w:br/>
        <w:t xml:space="preserve">      c.    El 17 de noviembre de 1995 el señor Allan Phillip (Caso  12.151)</w:t>
        <w:br/>
        <w:t xml:space="preserve">           fue condenado y sentenciado a una “pena de  muerte  obligatoria”</w:t>
        <w:br/>
        <w:t xml:space="preserve">           en la horca, por el homicidio de Brian Barrow;</w:t>
        <w:br/>
        <w:br/>
        <w:br/>
        <w:t xml:space="preserve">      d.    El 24 de mayo de 1996 el señor Narine Sooklal (Caso 12.152)  fue</w:t>
        <w:br/>
        <w:t xml:space="preserve">           condenado y sentenciado a una “pena de muerte obligatoria” en la</w:t>
        <w:br/>
        <w:t xml:space="preserve">           horca, por el homicidio de Mobina Ali;</w:t>
        <w:br/>
        <w:br/>
        <w:br/>
        <w:t xml:space="preserve">      e.    El 27 de octubre de 1997 el señor Amir Mowlah (Caso 12.153)  fue</w:t>
        <w:br/>
        <w:t xml:space="preserve">           condenado y sentenciado a una “pena de muerte obligatoria” en la</w:t>
        <w:br/>
        <w:t xml:space="preserve">           horca, por el homicidio de Shaffina Mowlah;</w:t>
        <w:br/>
        <w:br/>
        <w:br/>
        <w:t xml:space="preserve">      f.    El 17 de febrero de 1995 el señor Mervyn  Parris  (Caso  12.156)</w:t>
        <w:br/>
        <w:t xml:space="preserve">           fue condenado y sentenciado a una “pena de  muerte  obligatoria”</w:t>
        <w:br/>
        <w:t xml:space="preserve">           en la horca, por el homicidio de Anthony Gittens;</w:t>
        <w:br/>
        <w:br/>
        <w:br/>
        <w:t xml:space="preserve">      g.    El 24 de mayo de 1996 el señor Francis  Mansingh  (Caso  12.157)</w:t>
        <w:br/>
        <w:t xml:space="preserve">           fue condenado y sentenciado a una “pena de  muerte  obligatoria”</w:t>
        <w:br/>
        <w:t xml:space="preserve">           en la horca, por el homicidio de Mobina Ali;</w:t>
        <w:br/>
        <w:br/>
        <w:br/>
        <w:t xml:space="preserve">      h.    En los siete casos anteriores,  las  supuestas  víctimas  fueron</w:t>
        <w:br/>
        <w:t xml:space="preserve">           juzgadas por Trinidad y  Tobago  por  el  delito  de  homicidio,</w:t>
        <w:br/>
        <w:t xml:space="preserve">           condenadas y sentenciadas a muerte en la horca en virtud  de  la</w:t>
        <w:br/>
        <w:t xml:space="preserve">           Ley de Delitos Contra la Persona. Una vez que el delincuente  es</w:t>
        <w:br/>
        <w:t xml:space="preserve">           encontrado culpable de homicidio, la sección 4 de la  mencionada</w:t>
        <w:br/>
        <w:t xml:space="preserve">           Ley “impone obligatoriamente la pena de  muerte”,  estableciendo</w:t>
        <w:br/>
        <w:t xml:space="preserve">           que “toda persona condenada por homicidio sufrirá la muerte”;</w:t>
        <w:br/>
        <w:br/>
        <w:br/>
        <w:t xml:space="preserve">      i.    La Ley de Delitos Contra la Persona  provee  una  definición  de</w:t>
        <w:br/>
        <w:t xml:space="preserve">           “homicidio”,   permite   que   un   jurado   considere   ciertas</w:t>
        <w:br/>
        <w:t xml:space="preserve">           circunstancias del asesinato determinantes para establecer si el</w:t>
        <w:br/>
        <w:t xml:space="preserve">           acusado debe ser encontrado culpable del delito de  homicidio  o</w:t>
        <w:br/>
        <w:t xml:space="preserve">           de un delito menor, impone la pena de muerte en caso de  que  el</w:t>
        <w:br/>
        <w:t xml:space="preserve">           acusado sea encontrado culpable de asesinato, pero no permite al</w:t>
        <w:br/>
        <w:t xml:space="preserve">           juez o al jurado considerar las  circunstancias  personales  del</w:t>
        <w:br/>
        <w:t xml:space="preserve">           acusado o del delito;</w:t>
        <w:br/>
        <w:br/>
        <w:br/>
        <w:t xml:space="preserve">      j.    Los procedimientos de revisión judicial internos respecto de las</w:t>
        <w:br/>
        <w:t xml:space="preserve">           condenas penales pueden adoptar dos formas:  una apelación penal</w:t>
        <w:br/>
        <w:t xml:space="preserve">           contra la condena o una acción de inconstitucionalidad al amparo</w:t>
        <w:br/>
        <w:t xml:space="preserve">           de la sección 14 de  la  Constitución.   El  artículo  6  de  la</w:t>
        <w:br/>
        <w:t xml:space="preserve">           Constitución de Trinidad y Tobago protege contra la impugnación,</w:t>
        <w:br/>
        <w:t xml:space="preserve">           en virtud  de  las  secciones  4  y  5  de  la  misma,  de  toda</w:t>
        <w:br/>
        <w:t xml:space="preserve">           reivindicación contra una ley o una acción adoptada al amparo de</w:t>
        <w:br/>
        <w:t xml:space="preserve">           ley vigente  en  1976,  fecha  de  entrada  en  vigencia  de  la</w:t>
        <w:br/>
        <w:t xml:space="preserve">           Constitución, que viole derechos  fundamentales  consagrados  en</w:t>
        <w:br/>
        <w:t xml:space="preserve">           las secciones 4 y 5  de  la  Constitución.   Ello  incluye  todo</w:t>
        <w:br/>
        <w:t xml:space="preserve">           argumento de que el acto ejecutivo de la materialización de  una</w:t>
        <w:br/>
        <w:t xml:space="preserve">           sentencia de muerte pronunciada por un tribunal al amparo de una</w:t>
        <w:br/>
        <w:t xml:space="preserve">           ley vigente en 1976  abroga,  restringe  o  infringe  de  alguna</w:t>
        <w:br/>
        <w:t xml:space="preserve">           manera  los  derechos  o  libertades  constitucionales   de   un</w:t>
        <w:br/>
        <w:t xml:space="preserve">           condenado;</w:t>
        <w:br/>
        <w:br/>
        <w:br/>
        <w:t xml:space="preserve">      k.    Además, la sección 4 de la Constitución  de  Trinidad  y  Tobago</w:t>
        <w:br/>
        <w:t xml:space="preserve">           sólo garantiza el derecho a un juicio justo y  no  a  un  juicio</w:t>
        <w:br/>
        <w:t xml:space="preserve">           rápido, dentro de un  plazo  razonable.   Consecuentemente,  una</w:t>
        <w:br/>
        <w:t xml:space="preserve">           prolongada demora previa al juicio en una causa penal  no  puede</w:t>
        <w:br/>
        <w:t xml:space="preserve">           de por sí plantear un problema en virtud de la  Constitución  de</w:t>
        <w:br/>
        <w:t xml:space="preserve">           Trinidad y Tobago, sino que es simplemente un factor a tener  en</w:t>
        <w:br/>
        <w:t xml:space="preserve">           cuenta por el Juez de la  Primera  Instancia  cuando  evalúa  la</w:t>
        <w:br/>
        <w:t xml:space="preserve">           cuestión general de la justicia;</w:t>
        <w:br/>
        <w:br/>
        <w:br/>
        <w:t xml:space="preserve">      l.    La  Constitución  de  Trinidad  y  Tobago  establece  un  Comité</w:t>
        <w:br/>
        <w:t xml:space="preserve">           Consultivo de Indulto, que tiene a su  cargo  estudiar  y  hacer</w:t>
        <w:br/>
        <w:t xml:space="preserve">           recomendaciones al Ministro de Seguridad Nacional  sobre  si  un</w:t>
        <w:br/>
        <w:t xml:space="preserve">           delincuente  sentenciado  a  muerte  debe  beneficiarse  de   la</w:t>
        <w:br/>
        <w:t xml:space="preserve">           discreción presidencial del indulto en virtud de la Constitución</w:t>
        <w:br/>
        <w:t xml:space="preserve">           mencionada.  La ley no establece criterio  alguno  para  ejercer</w:t>
        <w:br/>
        <w:t xml:space="preserve">           las funciones del Comité o  la  discreción  presidencial,  y  el</w:t>
        <w:br/>
        <w:t xml:space="preserve">           delincuente  no  tiene   derecho   legal   alguno   a   formular</w:t>
        <w:br/>
        <w:t xml:space="preserve">           exposiciones ante el Comité para presentar, recibir  o  impugnar</w:t>
        <w:br/>
        <w:t xml:space="preserve">           las pruebas que el Comité considere pertinente tomar en  cuenta.</w:t>
        <w:br/>
        <w:t xml:space="preserve">           La facultad de indulto es un acto de clemencia que no es materia</w:t>
        <w:br/>
        <w:t xml:space="preserve">           de derecho alguno y por tanto, de revisión judicial.</w:t>
        <w:br/>
        <w:br/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t>3.    Entre enero y mayo de 1999 la Comisión  recibió  siete  peticiones  de</w:t>
        <w:br/>
        <w:t>varias firmas británicas de abogados (en adelante “los  peticionarios”),  en</w:t>
        <w:br/>
        <w:t>nombre de siete supuestas víctimas cuyos derechos habrían sido violados  por</w:t>
        <w:br/>
        <w:t>el Estado.  La Comisión inició el conocimiento de los hechos materia  de  la</w:t>
        <w:br/>
        <w:t>presente demanda en diversas fechas entre mayo y  junio  de  1999,  tras  lo</w:t>
        <w:br/>
        <w:t>cual abrió los casos  12.148,  12.149,  12.151,  12.152,  12.153,  12.156  y</w:t>
        <w:br/>
        <w:t>12.157 y remitió al  Estado  las  partes  pertinentes  de  las  denuncias  y</w:t>
        <w:br/>
        <w:t>solicitó una respuesta.</w:t>
        <w:br/>
        <w:br/>
        <w:t>4.    La Comisión recibió las respuestas del  Estado  en  los  casos  12.149</w:t>
        <w:br/>
        <w:t>(Krishendath Seepersad) y 12.151 (Allan Phillip) el 6 y el 18 de  agosto  de</w:t>
        <w:br/>
        <w:t>1999, respectivamente; y en los otros cinco (12.148, 12.152, 12.153,  12.156</w:t>
        <w:br/>
        <w:t>y 12.157) el Estado no brindó a la Comisión observación alguna  en  relación</w:t>
        <w:br/>
        <w:t>con las peticiones.  En los dos  casos  en  los  que  el  Estado  envió  una</w:t>
        <w:br/>
        <w:t>respuesta,  la  Comisión  decidió  remitir  las  partes  pertinentes  a  los</w:t>
        <w:br/>
        <w:t>peticionarios, de acuerdo con el  artículo  34.7  de  su  Reglamento  y  les</w:t>
        <w:br/>
        <w:t>solicitó sus observaciones.</w:t>
        <w:br/>
        <w:br/>
        <w:t>5.    En el caso 12.149 (Krishendath Seepersad), los peticionarios  enviaron</w:t>
        <w:br/>
        <w:t>observaciones a la respuesta del Estado.  Además, en el caso  12.151  (Allan</w:t>
        <w:br/>
        <w:t>Phillip),  la  Comisión  recibió   documentación   complementaria   de   los</w:t>
        <w:br/>
        <w:t>peticionarios.  La Comisión le remitió dichas comunicaciones al Estado y  le</w:t>
        <w:br/>
        <w:t>solicitó  una  respuesta.   El  Estado  no  respondió  al  envío   de   esta</w:t>
        <w:br/>
        <w:t>documentación complementaria.</w:t>
        <w:br/>
        <w:br/>
        <w:t>6.    El 13 de junio de 2000 la Comisión aprobó el  Informe  No.  53/00,  de</w:t>
        <w:br/>
        <w:t>conformidad con el artículo 50 de la Convención y lo  transmitió  al  Estado</w:t>
        <w:br/>
        <w:t>el 5 de julio del mismo año. En dicho informe, la  Comisión  concluyó  sobre</w:t>
        <w:br/>
        <w:t>la admisibilidad y el fondo de las peticiones de los siete  casos  y  en  la</w:t>
        <w:br/>
        <w:t>parte dispositiva del informe la Comisión recomendó al Estado que[2]:</w:t>
        <w:br/>
        <w:br/>
        <w:t xml:space="preserve">   1.  Otorgue  a  las  víctimas  en  los  casos  Nos.  12.149  (Krishendath</w:t>
        <w:br/>
        <w:t xml:space="preserve">      Seepersad), 12.151 (Allan Phillip), 12.152  (Narine  Sooklal),  12.153</w:t>
        <w:br/>
        <w:t xml:space="preserve">      (Amir Mowlah), 12.156 (Mervyn Parris) y 12.157 (Francis Mansingh)  una</w:t>
        <w:br/>
        <w:t xml:space="preserve">      reparación efectiva que incluya  la  conmutación  de  la  pena  y  una</w:t>
        <w:br/>
        <w:t xml:space="preserve">      indemnización;</w:t>
        <w:br/>
        <w:br/>
        <w:br/>
        <w:t xml:space="preserve">   2. Otorgue a la víctima en  el  caso  No.  12.148  (Peter  Benjamin)  una</w:t>
        <w:br/>
        <w:t xml:space="preserve">      reparación efectiva que incluya un nuevo juicio de conformidad con las</w:t>
        <w:br/>
        <w:t xml:space="preserve">      garantías del debido proceso establecidas  en  el  artículo  8  de  la</w:t>
        <w:br/>
        <w:t xml:space="preserve">      Convención o, de no ser posible un nuevo juicio que cumpla  con  estas</w:t>
        <w:br/>
        <w:t xml:space="preserve">      protecciones, la liberación de la víctima;</w:t>
        <w:br/>
        <w:br/>
        <w:br/>
        <w:t xml:space="preserve">   3. Adopte las medidas legislativas y de otra índole que  sean  necesarias</w:t>
        <w:br/>
        <w:t xml:space="preserve">      para garantizar que la pena de muerte se impone en cumplimiento de los</w:t>
        <w:br/>
        <w:t xml:space="preserve">      derechos y libertades garantizados en  la  Convención,  incluyendo  en</w:t>
        <w:br/>
        <w:t xml:space="preserve">      particular los artículos 4, 5 y 8;</w:t>
        <w:br/>
        <w:br/>
        <w:br/>
        <w:t xml:space="preserve">   4. Adopte las medidas legislativas y de otra índole que  sean  necesarias</w:t>
        <w:br/>
        <w:t xml:space="preserve">      para garantizar que tenga efecto  en  Trinidad  y  Tobago  el  derecho</w:t>
        <w:br/>
        <w:t xml:space="preserve">      consagrado en el  artículo  4(6)  de  la  Convención  a  solicitar  la</w:t>
        <w:br/>
        <w:t xml:space="preserve">      amnistía, el indulto o la conmutación de la pena;</w:t>
        <w:br/>
        <w:br/>
        <w:br/>
        <w:t xml:space="preserve">   5. Adopte las medidas legislativas y de otra índole que  sean  necesarias</w:t>
        <w:br/>
        <w:t xml:space="preserve">      para garantizar que las condiciones de detención de  las  víctimas  en</w:t>
        <w:br/>
        <w:t xml:space="preserve">      estos casos cumplan con las normas de un trato humano dispuestas en el</w:t>
        <w:br/>
        <w:t xml:space="preserve">      artículo 5 de la Convención;</w:t>
        <w:br/>
        <w:br/>
        <w:br/>
        <w:t xml:space="preserve">   6. Adopte las medidas legislativas  y  de  otra  índole  necesarias  para</w:t>
        <w:br/>
        <w:t xml:space="preserve">      garantizar que tenga efecto en Trinidad  y  Tobago  el  derecho  a  un</w:t>
        <w:br/>
        <w:t xml:space="preserve">      juicio dentro de un plazo razonable y a un juicio justo, consagrado en</w:t>
        <w:br/>
        <w:t xml:space="preserve">      los artículos 7(5)  y  8(1)  de  la  Convención,  incluyendo  recursos</w:t>
        <w:br/>
        <w:t xml:space="preserve">      efectivos ante una corte o tribunal competente para obtener protección</w:t>
        <w:br/>
        <w:t xml:space="preserve">      contra actos que violen esos derechos;</w:t>
        <w:br/>
        <w:br/>
        <w:br/>
        <w:t xml:space="preserve">   7. Adopte las medidas legislativas  y  de  otra  índole  necesarias  para</w:t>
        <w:br/>
        <w:t xml:space="preserve">      garantizar la efectividad en Trinidad y Tobago del derecho a ser oído,</w:t>
        <w:br/>
        <w:t xml:space="preserve">      consagrado en el artículo 8(1) de la Convención  y  el  derecho  a  la</w:t>
        <w:br/>
        <w:t xml:space="preserve">      protección judicial consagrado en el  artículo  25  de  la  misma,  en</w:t>
        <w:br/>
        <w:t xml:space="preserve">      relación con el recurso a acciones constitucionales.</w:t>
        <w:br/>
        <w:br/>
        <w:t>7.    El Estado no envió a la Comisión respuesta  alguna  ni  le  suministró</w:t>
        <w:br/>
        <w:t>información en relación con las medidas adoptadas para  dar  cumplimiento  a</w:t>
        <w:br/>
        <w:t>las recomendaciones de ésta.</w:t>
        <w:br/>
        <w:br/>
        <w:br/>
        <w:t>8.    El 4 de octubre de 2000 la  Comisión  Interamericana,  de  conformidad</w:t>
        <w:br/>
        <w:t>con el artículo 51 de la Convención Americana,  decidió  presentar  el  caso</w:t>
        <w:br/>
        <w:t>ante la Corte.</w:t>
        <w:br/>
        <w:br/>
        <w:br/>
        <w:br/>
        <w:br/>
        <w:br/>
        <w:br/>
        <w:br/>
        <w:br/>
        <w:br/>
        <w:br/>
        <w:t xml:space="preserve">                                     IV</w:t>
        <w:br/>
        <w:br/>
        <w:t xml:space="preserve">                          MEDIDAS PROVISIONALES [3]</w:t>
        <w:br/>
        <w:br/>
        <w:t>9.    EL 25 DE MAYO DE 1999,  CON  ANTERIORIDAD  A  LA  PRESENTACIÓN  DE  LA</w:t>
        <w:br/>
        <w:t>DEMANDA, LA COMISIÓN SOLICITÓ A  LA  CORTE  LA  AMPLIACIÓN  DE  LAS  MEDIDAS</w:t>
        <w:br/>
        <w:t>PROVISIONALES EN EL ASUNTO JAMES Y OTROS, A EFECTOS  DE  INCLUIR  DENTRO  DE</w:t>
        <w:br/>
        <w:t>DICHAS MEDIDAS PROVISIONALES  A  LOS  SEÑORES  PETER  BENJAMIN,  KRISHENDATH</w:t>
        <w:br/>
        <w:t>SEEPERSAD, ALLAN PHILLIP, NARINE SOOKLAL Y AMIR MOWLAH, ENTRE  OTROS[4].  LA</w:t>
        <w:br/>
        <w:t>COMISIÓN CONSIDERÓ QUE LAS  CIRCUNSTANCIAS  ERAN  SIMILARES  A  LAS  DE  LOS</w:t>
        <w:br/>
        <w:t>RECLUSOS PARA LOS CUALES REGÍAN LAS  MEDIDAS  PROVISIONALES  EN  TRINIDAD  Y</w:t>
        <w:br/>
        <w:t>TOBAGO Y QUE LAS EJECUCIONES DE DICHAS PERSONAS ERAN INMINENTES  Y  POR   LO</w:t>
        <w:br/>
        <w:t>TANTO, SE VEÍAN EXPUESTOS A UN DAÑO IRREPARABLE.</w:t>
        <w:br/>
        <w:br/>
        <w:t>10.   El 27 de mayo de 1999 la Corte  ordenó  al  Estado,  inter  alia,  que</w:t>
        <w:br/>
        <w:t>tomara todas  las  medidas  necesarias  para  preservar  la  vida  de  Peter</w:t>
        <w:br/>
        <w:t>Benjamin, Krishendath  Seepersad,  Allan  Phillip,  Narine  Sooklal  y  Amir</w:t>
        <w:br/>
        <w:t>Mowlah, a fin de no obstaculizar el trámite de sus  casos  ante  el  Sistema</w:t>
        <w:br/>
        <w:t>Interamericano.</w:t>
        <w:br/>
        <w:br/>
        <w:t>11.   El 18 de junio de 1999 la Comisión remitió a la  Corte  una  solicitud</w:t>
        <w:br/>
        <w:t>para una nueva ampliación de las  medidas  provisionales  ordenadas  por  la</w:t>
        <w:br/>
        <w:t>Corte en el asunto James y otros, a fin de  incluir  a  los  señores  Mervyn</w:t>
        <w:br/>
        <w:t>Parris y Francis Mansingh. Al igual que en los casos anteriores  (supra  9),</w:t>
        <w:br/>
        <w:t>la Comisión consideró que las circunstancias eran similares  a  las  de  los</w:t>
        <w:br/>
        <w:t>reclusos para los cuales regían las  medidas  provisionales  en  Trinidad  y</w:t>
        <w:br/>
        <w:t>Tobago y que las ejecuciones de dichas personas eran inminentes  y  por   lo</w:t>
        <w:br/>
        <w:t>tanto, se veían expuestos a un daño irreparable.</w:t>
        <w:br/>
        <w:br/>
        <w:t>12.   El 19 de junio de 1999 el Presidente de  la  Corte  (en  adelante  “el</w:t>
        <w:br/>
        <w:t>Presidente”) decidió ampliar las medidas provisionales en el asunto James  y</w:t>
        <w:br/>
        <w:t>otros a fin de incluir a Mervyn Parris y Francis Mansingh; además,  solicitó</w:t>
        <w:br/>
        <w:t>que Trinidad y Tobago adoptase todas las medidas necesarias  para  preservar</w:t>
        <w:br/>
        <w:t>la vida de dichas personas, a fin  de  que  la  Corte  pudiera  examinar  la</w:t>
        <w:br/>
        <w:t>pertinencia del pedido de la Comisión. El  25  de  septiembre  de  1999,  la</w:t>
        <w:br/>
        <w:t>Corte ratificó la Resolución del Presidente  de  19  de  junio  de  1999  en</w:t>
        <w:br/>
        <w:t>relación con los señores Mervyn Parris y Francis Mansingh.</w:t>
        <w:br/>
        <w:br/>
        <w:t>13.   Desde esa fecha, el  Estado  ha  presentado  los  informes  relevantes</w:t>
        <w:br/>
        <w:t>acerca de la situación de las personas protegidas y la Comisión  ha  enviado</w:t>
        <w:br/>
        <w:t>sus observaciones a dichos informes del Estado.</w:t>
        <w:br/>
        <w:br/>
        <w:br/>
        <w:br/>
        <w:t xml:space="preserve">                                      V</w:t>
        <w:br/>
        <w:br/>
        <w:br/>
        <w:t xml:space="preserve">                         PROCEDIMIENTO ANTE LA CORTE</w:t>
        <w:br/>
        <w:br/>
        <w:br/>
        <w:t>14.   El 5 de octubre  de  2000  la  Comisión  Interamericana  interpuso  su</w:t>
        <w:br/>
        <w:t>demanda en los siguientes términos:</w:t>
        <w:br/>
        <w:br/>
        <w:t xml:space="preserve">      [L]a   Comisión   Interamericana   de   Derechos   Humanos    solicita</w:t>
        <w:br/>
        <w:t xml:space="preserve">      respetuosamente  a  la  Honorable  Corte  Interamericana  de  Derechos</w:t>
        <w:br/>
        <w:t xml:space="preserve">      Humanos que declare las violaciones de la Convención  por  el  Estado,</w:t>
        <w:br/>
        <w:t xml:space="preserve">      establezca reparaciones por esas violaciones y determine las costas  y</w:t>
        <w:br/>
        <w:t xml:space="preserve">      gastos que deberán abonarse a los representantes de las víctimas.</w:t>
        <w:br/>
        <w:br/>
        <w:br/>
        <w:br/>
        <w:t xml:space="preserve">      A.    Declaraciones de las violaciones</w:t>
        <w:br/>
        <w:br/>
        <w:br/>
        <w:br/>
        <w:t xml:space="preserve">            La Comisión Interamericana de Derechos  Humanos  respetuosamente</w:t>
        <w:br/>
        <w:t xml:space="preserve">      solicita a la Honorable Corte Interamericana de Derechos Humanos que:</w:t>
        <w:br/>
        <w:br/>
        <w:br/>
        <w:t xml:space="preserve">      Dictamine que la República de Trinidad y Tobago es responsable de:</w:t>
        <w:br/>
        <w:br/>
        <w:br/>
        <w:t xml:space="preserve">   1. La violación los derechos de las víctimas en  los  Casos  Nos.  12.148</w:t>
        <w:br/>
        <w:t xml:space="preserve">      (Peter  Benjamin),  12.149  (Krishendath  Seepersad),  12.151   (Allan</w:t>
        <w:br/>
        <w:t xml:space="preserve">      Phillip),  12.152  (Narine  Sooklal),  12.153  (Amir  Mowlah),  12.156</w:t>
        <w:br/>
        <w:t xml:space="preserve">      (Mervyn Parris)  y  12.157  (Francis  Mansingh),  consagrados  en  los</w:t>
        <w:br/>
        <w:t xml:space="preserve">      artículos 4(1), 5(1), 5(2) y 8(1)  de  la  Convención  Americana,  por</w:t>
        <w:br/>
        <w:t xml:space="preserve">      sentenciar a estas víctimas a pena de muerte obligatoria.</w:t>
        <w:br/>
        <w:br/>
        <w:br/>
        <w:t xml:space="preserve">   2. La violación de los derechos de las víctimas en los Casos Nos.  12.148</w:t>
        <w:br/>
        <w:t xml:space="preserve">      (Peter  Benjamín),  12.149  (Krishendath  Seepersad),  12.151   (Allan</w:t>
        <w:br/>
        <w:t xml:space="preserve">      Phillip),  12.152  (Narine  Sooklal),  12.153  (Amir  Mowlah),  12.156</w:t>
        <w:br/>
        <w:t xml:space="preserve">      (Mervyn  Parris)  y  12.157  (Francis  Mansingh),  consagrados  en  el</w:t>
        <w:br/>
        <w:t xml:space="preserve">      artículo 4(6) de la Convención, conjuntamente  con  la  violación  del</w:t>
        <w:br/>
        <w:t xml:space="preserve">      artículo 1(1) de la misma, por  no  proporcionar  a  las  víctimas  un</w:t>
        <w:br/>
        <w:t xml:space="preserve">      derecho efectivo a solicitar la amnistía, el indulto o la  conmutación</w:t>
        <w:br/>
        <w:t xml:space="preserve">      de la pena.</w:t>
        <w:br/>
        <w:br/>
        <w:br/>
        <w:t xml:space="preserve">   3. La violación de los derechos de las víctimas en los Casos Nos.  12.149</w:t>
        <w:br/>
        <w:t xml:space="preserve">      (Krishendath  Seepersad),  12.151  (Allan  Phillip),  12.152   (Narine</w:t>
        <w:br/>
        <w:t xml:space="preserve">      Sooklal), 12.153  (Amir  Mowlah),  12.156  (Mervyn  Parris)  y  12.157</w:t>
        <w:br/>
        <w:t xml:space="preserve">      (Francis Mansingh) a ser juzgados dentro de un plazo razonable y a  un</w:t>
        <w:br/>
        <w:t xml:space="preserve">      juicio imparcial consagrados en  los  artículos  7(5)  y  8(1)  de  la</w:t>
        <w:br/>
        <w:t xml:space="preserve">      Convención, en conjunción con la violación del  artículo  1(1)  de  la</w:t>
        <w:br/>
        <w:t xml:space="preserve">      misma, en razón de la demora en el proceso penal de las víctimas.</w:t>
        <w:br/>
        <w:br/>
        <w:br/>
        <w:t xml:space="preserve">   4. La violación de los derechos de las víctimas en los Casos Nos.  12.149</w:t>
        <w:br/>
        <w:t xml:space="preserve">      (Krishendath  Seepersad),  12.151  (Allan  Phillip),  12.152   (Narine</w:t>
        <w:br/>
        <w:t xml:space="preserve">      Sooklal), 12.153  (Amir  Mowlah),  12.156  (Mervyn  Parris)  y  12.157</w:t>
        <w:br/>
        <w:t xml:space="preserve">      (Francis Mansingh), consagrados en el artículo 25  de  la  Convención,</w:t>
        <w:br/>
        <w:t xml:space="preserve">      conjuntamente con el incumplimiento de  las  obligaciones  del  Estado</w:t>
        <w:br/>
        <w:t xml:space="preserve">      dispuestas en el artículo 2 de la Convención, todo ello, conjuntamente</w:t>
        <w:br/>
        <w:t xml:space="preserve">      con la violación del artículo 1(1) de la misma,  por  no  adoptar  las</w:t>
        <w:br/>
        <w:t xml:space="preserve">      medidas legislativas y de otro carácter necesarias para hacer efectivo</w:t>
        <w:br/>
        <w:t xml:space="preserve">      el derecho a ser juzgados dentro de un plazo razonable, de acuerdo con</w:t>
        <w:br/>
        <w:t xml:space="preserve">      los artículos 7(5) y 8(1) de la Convención.</w:t>
        <w:br/>
        <w:br/>
        <w:br/>
        <w:t xml:space="preserve">   5. La violación de los derechos de las víctimas en los Casos Nos.  12.149</w:t>
        <w:br/>
        <w:t xml:space="preserve">      (Krishendath  Seepersad),  12.152  (Narine  Sooklal),   12.153   (Amir</w:t>
        <w:br/>
        <w:t xml:space="preserve">      Mowlah),  12.156  (Mervyn  Parris)  y   12.157   (Francis   Mansingh),</w:t>
        <w:br/>
        <w:t xml:space="preserve">      consagrados  en  los  artículos  5(1)  y  5(2)   de   la   Convención,</w:t>
        <w:br/>
        <w:t xml:space="preserve">      conjuntamente con la violación del artículo 1(1) de la Convención,  en</w:t>
        <w:br/>
        <w:t xml:space="preserve">      razón de las condiciones de detención de las víctimas.</w:t>
        <w:br/>
        <w:br/>
        <w:br/>
        <w:t xml:space="preserve">   6. La violación del derecho de la víctima en el Caso No. 12.157  (Francis</w:t>
        <w:br/>
        <w:t xml:space="preserve">      Mansingh),  consagrado  en  el  artículo  5(4)   de   la   Convención,</w:t>
        <w:br/>
        <w:t xml:space="preserve">      conjuntamente con la violación del artículo 1(1) de la  misma,  a  ser</w:t>
        <w:br/>
        <w:t xml:space="preserve">      separado de los condenados, salvo en circunstancias excepcionales.</w:t>
        <w:br/>
        <w:t xml:space="preserve">   7. La violación  del  derecho  de  la  víctima  en  el  Caso  No.  12.149</w:t>
        <w:br/>
        <w:t xml:space="preserve">      (Krishendath  Seepersad)  consagrado  en  el  artículo  5(6)   de   la</w:t>
        <w:br/>
        <w:t xml:space="preserve">      Convención, conjuntamente con la violación del  artículo  1(1)  de  la</w:t>
        <w:br/>
        <w:t xml:space="preserve">      misma, a que la finalidad esencial de la privación de su libertad  sea</w:t>
        <w:br/>
        <w:t xml:space="preserve">      la reforma y la readaptación social.</w:t>
        <w:br/>
        <w:br/>
        <w:br/>
        <w:t xml:space="preserve">   8. La violación del derecho de la víctima en el Caso  No.  12.148  (Peter</w:t>
        <w:br/>
        <w:t xml:space="preserve">      Benjamin)  consagrado  en  el  artículo   8(1)   de   la   Convención,</w:t>
        <w:br/>
        <w:t xml:space="preserve">      conjuntamente con la violación del artículo 1(1) de la misma,  por  no</w:t>
        <w:br/>
        <w:t xml:space="preserve">      otorgarle un mecanismo para la revaluación de su condena  teniendo  en</w:t>
        <w:br/>
        <w:t xml:space="preserve">      cuenta posibles pruebas exculpatorias.</w:t>
        <w:br/>
        <w:br/>
        <w:br/>
        <w:t xml:space="preserve">   9. La violación de los derechos de la  víctima  en  el  Caso  No.  12.152</w:t>
        <w:br/>
        <w:t xml:space="preserve">      (Narine Sooklal) consagrados en el artículo 8(2)(d) de la  Convención,</w:t>
        <w:br/>
        <w:t xml:space="preserve">      conjuntamente con la violación del artículo 1(1) de la misma, en razón</w:t>
        <w:br/>
        <w:t xml:space="preserve">      de la demora en permitirle que tomara contacto con un abogado  después</w:t>
        <w:br/>
        <w:t xml:space="preserve">      de su arresto.</w:t>
        <w:br/>
        <w:br/>
        <w:br/>
        <w:t xml:space="preserve">  10. La violación de los derechos de las víctimas en los Casos Nos.  12.153</w:t>
        <w:br/>
        <w:t xml:space="preserve">      (Amir Mowlah) y 12.156 (Mervyn Parris) consagrados en los artículos  8</w:t>
        <w:br/>
        <w:t xml:space="preserve">      y 25 de la Convención, conjuntamente con  la  violación  del  artículo</w:t>
        <w:br/>
        <w:t xml:space="preserve">      1(1) de la misma, por no poner a su disposición una asistencia letrada</w:t>
        <w:br/>
        <w:t xml:space="preserve">      efectiva para iniciar acciones constitucionales  ante  los  tribunales</w:t>
        <w:br/>
        <w:t xml:space="preserve">      internos en relación con su procesamiento penal.</w:t>
        <w:br/>
        <w:br/>
        <w:br/>
        <w:br/>
        <w:t xml:space="preserve">      B.    Reparaciones</w:t>
        <w:br/>
        <w:br/>
        <w:br/>
        <w:br/>
        <w:t xml:space="preserve">             La  Comisión  Interamericana  de  Derechos   Humanos   solicita</w:t>
        <w:br/>
        <w:t xml:space="preserve">      respetuosamente que la  Honorable  Corte  Interamericana  de  Derechos</w:t>
        <w:br/>
        <w:t xml:space="preserve">      Humanos:</w:t>
        <w:br/>
        <w:br/>
        <w:br/>
        <w:t xml:space="preserve">      Ordene que la República de Trinidad y Tobago otorgue a las víctimas en</w:t>
        <w:br/>
        <w:t xml:space="preserve">      los Casos Nos. 12.149 (Krishendath Seepersad), 12.151 (Allan Phillip),</w:t>
        <w:br/>
        <w:t xml:space="preserve">      12.152 (Narine Sooklal), 12.153 (Amir Mowlah), 12.156 (Mervyn  Parris)</w:t>
        <w:br/>
        <w:t xml:space="preserve">      y 12.157 (Francis Mansingh) una reparación  efectiva  que  incluya  la</w:t>
        <w:br/>
        <w:t xml:space="preserve">      conmutación de la pena y una indemnización;</w:t>
        <w:br/>
        <w:br/>
        <w:br/>
        <w:t xml:space="preserve">      Ordene que la República de Trinidad y Tobago otorgue a la  víctima  en</w:t>
        <w:br/>
        <w:t xml:space="preserve">      el Caso No.  12.148  (Peter  Benjamin)  una  reparación  efectiva  que</w:t>
        <w:br/>
        <w:t xml:space="preserve">      incluya un nuevo juicio de acuerdo con  las  protecciones  del  debido</w:t>
        <w:br/>
        <w:t xml:space="preserve">      proceso prescritas en el artículo 8 de la  Convención  o,  de  no  ser</w:t>
        <w:br/>
        <w:t xml:space="preserve">      posible  un  nuevo  juicio  que  cumpla  con  estas  protecciones,  la</w:t>
        <w:br/>
        <w:t xml:space="preserve">      liberación de la víctima;</w:t>
        <w:br/>
        <w:br/>
        <w:br/>
        <w:t xml:space="preserve">      Ordene que la República  de  Trinidad  y  Tobago  adopte  las  medidas</w:t>
        <w:br/>
        <w:t xml:space="preserve">      legislativas y de otra índole que sean necesarias para garantizar  que</w:t>
        <w:br/>
        <w:t xml:space="preserve">      la pena de  muerte  se  impone  en  cumplimiento  de  los  derechos  y</w:t>
        <w:br/>
        <w:t xml:space="preserve">      libertades garantizados en la Convención, incluyendo y  en  particular</w:t>
        <w:br/>
        <w:t xml:space="preserve">      los artículos 4, 5 y 8;</w:t>
        <w:br/>
        <w:br/>
        <w:br/>
        <w:t xml:space="preserve">      Ordene que la República  de  Trinidad  y  Tobago  adopte  las  medidas</w:t>
        <w:br/>
        <w:t xml:space="preserve">      legislativas y de otra índole que sean necesarias para garantizar  que</w:t>
        <w:br/>
        <w:t xml:space="preserve">      tenga efecto en Trinidad y Tobago el derecho consagrado en el artículo</w:t>
        <w:br/>
        <w:t xml:space="preserve">      4(6) de la Convención  a  solicitar  la  amnistía,  el  indulto  o  la</w:t>
        <w:br/>
        <w:t xml:space="preserve">      conmutación de la sentencia;</w:t>
        <w:br/>
        <w:br/>
        <w:br/>
        <w:t xml:space="preserve">      Ordene que la República  de  Trinidad  y  Tobago  adopte  las  medidas</w:t>
        <w:br/>
        <w:t xml:space="preserve">      legislativas y de otra índole que sean necesarias para garantizar  que</w:t>
        <w:br/>
        <w:t xml:space="preserve">      las condiciones de detención de las víctimas en  estos  casos  cumplan</w:t>
        <w:br/>
        <w:t xml:space="preserve">      con las normas de un trato humano dispuestas en el artículo  5  de  la</w:t>
        <w:br/>
        <w:t xml:space="preserve">      Convención;</w:t>
        <w:br/>
        <w:br/>
        <w:br/>
        <w:t xml:space="preserve">      Ordene que la República  de  Trinidad  y  Tobago  adopte  las  medidas</w:t>
        <w:br/>
        <w:t xml:space="preserve">      legislativas y de otra índole necesarias  para  garantizar  que  tenga</w:t>
        <w:br/>
        <w:t xml:space="preserve">      efecto en Trinidad y Tobago el derecho a un juicio dentro de un  plazo</w:t>
        <w:br/>
        <w:t xml:space="preserve">      razonable y a un juicio justo, consagrado en los artículos 7(5) y 8(1)</w:t>
        <w:br/>
        <w:t xml:space="preserve">      de la Convención, incluyendo  recursos  efectivos  ante  una  corte  o</w:t>
        <w:br/>
        <w:t xml:space="preserve">      tribunal competente para obtener protección contra  actos  que  violen</w:t>
        <w:br/>
        <w:t xml:space="preserve">      esos derechos;</w:t>
        <w:br/>
        <w:br/>
        <w:br/>
        <w:t xml:space="preserve">      Ordene que la República  de  Trinidad  y  Tobago  adopte  las  medidas</w:t>
        <w:br/>
        <w:t xml:space="preserve">      legislativas  y  de  otra  índole  necesarias   para   garantizar   la</w:t>
        <w:br/>
        <w:t xml:space="preserve">      efectividad en Trinidad y Tobago del derecho a una audiencia imparcial</w:t>
        <w:br/>
        <w:t xml:space="preserve">      consagrado en el artículo 8(1) de la Convención  y  el  derecho  a  la</w:t>
        <w:br/>
        <w:t xml:space="preserve">      protección judicial consagrado en el  artículo  25  de  la  misma,  en</w:t>
        <w:br/>
        <w:t xml:space="preserve">      relación con el recurso a acciones constitucionales.</w:t>
        <w:br/>
        <w:br/>
        <w:br/>
        <w:br/>
        <w:t xml:space="preserve">      C.    Indemnización</w:t>
        <w:br/>
        <w:br/>
        <w:br/>
        <w:br/>
        <w:t xml:space="preserve">            La Comisión ha solicitado que la Honorable Corte  exija  que  el</w:t>
        <w:br/>
        <w:t xml:space="preserve">      Estado  de  Trinidad  y  Tobago  repare  las  consecuencias   de   las</w:t>
        <w:br/>
        <w:t xml:space="preserve">      violaciones que son materia de la presente demanda.</w:t>
        <w:br/>
        <w:br/>
        <w:br/>
        <w:t xml:space="preserve">           El artículo 63(1) de la Convención Americana dispone:</w:t>
        <w:br/>
        <w:br/>
        <w:br/>
        <w:t xml:space="preserve">           Cuando decida que  hubo  violación  de  un  derecho  o  libertad</w:t>
        <w:br/>
        <w:t xml:space="preserve">           protegidos  en  esta  Convención,  la  Corte  dispondrá  que  se</w:t>
        <w:br/>
        <w:t xml:space="preserve">           garantice al lesionado en el  goce  de  su  derecho  o  libertad</w:t>
        <w:br/>
        <w:t xml:space="preserve">           conculcados. Dispondrá asimismo, si ello fuera  procedente,  que</w:t>
        <w:br/>
        <w:t xml:space="preserve">           se reparen las consecuencias de la medida  o  situación  que  ha</w:t>
        <w:br/>
        <w:t xml:space="preserve">           configurado la vulneración de esos derechos y  el  pago  de  una</w:t>
        <w:br/>
        <w:t xml:space="preserve">           justa indemnización a la parte lesionada.</w:t>
        <w:br/>
        <w:br/>
        <w:br/>
        <w:t xml:space="preserve">           Es[a] Honorable Corte ha declarado que el artículo 63(1)  de  la</w:t>
        <w:br/>
        <w:t xml:space="preserve">           Convención codifica una  norma  del  derecho  consuetudinario  y</w:t>
        <w:br/>
        <w:t xml:space="preserve">           constituye uno de los principios fundamentales de  éste.   (Caso</w:t>
        <w:br/>
        <w:t xml:space="preserve">           Aloboetoe, Sentencia del 10 de setiembre de 1993, párr. 43).  La</w:t>
        <w:br/>
        <w:t xml:space="preserve">           obligación de otorgar una reparación por una violación puede dar</w:t>
        <w:br/>
        <w:t xml:space="preserve">           lugar a una serie de medidas para reparar las consecuencias.  El</w:t>
        <w:br/>
        <w:t xml:space="preserve">           Estado debe, en la medida de lo posible,  restablecer  el  statu</w:t>
        <w:br/>
        <w:t xml:space="preserve">           quo ante, que en el caso presente  puede  lograrse  mediante  la</w:t>
        <w:br/>
        <w:t xml:space="preserve">           conmutación de la sentencia de muerte del peticionario y ajustar</w:t>
        <w:br/>
        <w:t xml:space="preserve">           la legislación interna de Trinidad y Tobago en consecuencia.  Si</w:t>
        <w:br/>
        <w:t xml:space="preserve">           ya  no  es  posible  restablecer  el   statu   quo   ante,   las</w:t>
        <w:br/>
        <w:t xml:space="preserve">           consecuencias deben ser reparadas mediante otros medios.  Por lo</w:t>
        <w:br/>
        <w:t xml:space="preserve">           tanto, la Comisión procura obtener  una  decisión  de  la  Corte</w:t>
        <w:br/>
        <w:t xml:space="preserve">           sobre una compensación a la víctima a raíz de la  violación  por</w:t>
        <w:br/>
        <w:t xml:space="preserve">           el Estado de los derechos que le otorga la Convención.</w:t>
        <w:br/>
        <w:br/>
        <w:br/>
        <w:br/>
        <w:t xml:space="preserve">      D.    Costas y gastos</w:t>
        <w:br/>
        <w:br/>
        <w:br/>
        <w:br/>
        <w:t xml:space="preserve">      La Comisión procura un dictamen de la Corte respecto de los  costas  y</w:t>
        <w:br/>
        <w:t xml:space="preserve">      gastos incurridas por  los  representantes  de  las  víctimas  durante</w:t>
        <w:br/>
        <w:t xml:space="preserve">      tramitación del caso ante los tribunales internos y  los  órganos  del</w:t>
        <w:br/>
        <w:t xml:space="preserve">      sistema interamericano.</w:t>
        <w:br/>
        <w:br/>
        <w:br/>
        <w:t>15.   La Comisión designó como delegados a los señores Robert K.  Goldman  y</w:t>
        <w:br/>
        <w:t>Nicholas Blake, y como asesores jurídicos a los señores David J.  Padilla  y</w:t>
        <w:br/>
        <w:t>Brian D. Tittemore. Asimismo, la Comisión acreditó en calidad de  asistentes</w:t>
        <w:br/>
        <w:t>a los señores Julian Knowles, Ivan Krolick, Keir Starmer,  Saul  Lehrfreund,</w:t>
        <w:br/>
        <w:t>Belinda Moffat, Yasmin Waljee y James Oury.</w:t>
        <w:br/>
        <w:br/>
        <w:t>16.   El 19 de octubre de 2000 la Secretaría de la Corte  (en  adelante  “la</w:t>
        <w:br/>
        <w:t>Secretaría”), previo examen  preliminar  de  la  demanda  realizado  por  el</w:t>
        <w:br/>
        <w:t>Presidente de la Corte, la notificó, junto con sus anexos,  al  Estado.   El</w:t>
        <w:br/>
        <w:t>mismo día la Secretaría, siguiendo instrucciones  del  Presidente,  comunicó</w:t>
        <w:br/>
        <w:t>al Estado el derecho a designar juez ad hoc, en virtud de los  artículos  18</w:t>
        <w:br/>
        <w:t>del Reglamento y 10.3 del Estatuto de la Corte (en adelante “el  Estatuto”).</w:t>
        <w:br/>
        <w:br/>
        <w:br/>
        <w:t>17.   EL 9 DE DICIEMBRE DE 2000 TRINIDAD Y TOBAGO  INTERPUSO  UNA  EXCEPCIÓN</w:t>
        <w:br/>
        <w:t>PRELIMINAR A LA COMPETENCIA CONTENCIOSA DE LA CORTE EN ESTE CASO.</w:t>
        <w:br/>
        <w:br/>
        <w:t>18.   EL  11  DE  DICIEMBRE  DE  2000  LA  SECRETARÍA  ACUSÓ  RECIBO  DE  LA</w:t>
        <w:br/>
        <w:t>COMUNICACIÓN DEL ESTADO DE 9 DE DICIEMBRE DEL MISMO  AÑO,  TRANSMITIÓ  A  LA</w:t>
        <w:br/>
        <w:t>COMISIÓN DICHA COMUNICACIÓN Y LE INFORMÓ A LAS PARTES QUE EL  PRESIDENTE  DE</w:t>
        <w:br/>
        <w:t>LA CORTE, DE CONFORMIDAD CON LO ACTUADO EN EL CASO CONSTANTINE  Y  OTROS[5],</w:t>
        <w:br/>
        <w:t>HABÍA DISPUESTO NO CONVOCAR A  UNA  AUDIENCIA  PÚBLICA  SOBRE  LA  EXCEPCIÓN</w:t>
        <w:br/>
        <w:t>PRELIMINAR EN EL PRESENTE CASO.</w:t>
        <w:br/>
        <w:br/>
        <w:t>19.   EL 11 DE ENERO DE 2001 LA  COMISIÓN  RESPONDIÓ  AL  ESCRITO  SOBRE  LA</w:t>
        <w:br/>
        <w:t>INTERPOSICIÓN DE LA EXCEPCIÓN PRELIMINAR POR PARTE DEL ESTADO,  COMUNICACIÓN</w:t>
        <w:br/>
        <w:t>QUE FUE TRANSMITIDA A TRINIDAD Y TOBAGO EL DÍA 15 DE ENERO DEL MISMO AÑO.</w:t>
        <w:br/>
        <w:br/>
        <w:t>20.   EL 7 DE MAYO DE 2001 LA SECRETARÍA RECIBIÓ DE LA  COMISIÓN  COPIAS  DE</w:t>
        <w:br/>
        <w:t>DOS DECISIONES RELATIVAS A CASOS SOBRE LA IMPOSICIÓN DE LA “PENA  DE  MUERTE</w:t>
        <w:br/>
        <w:t>OBLIGATORIA”, EMITIDAS POR EL COMITÉ DE DERECHOS HUMANOS DE NACIONES  UNIDAS</w:t>
        <w:br/>
        <w:t>Y LA CORTE DE APELACIONES DEL  CARIBE  ORIENTAL.   ESTAS  DECISIONES  FUERON</w:t>
        <w:br/>
        <w:t>TRANSMITIDAS AL ESTADO EL 15 DE MAYO DE 2001.</w:t>
        <w:br/>
        <w:br/>
        <w:br/>
        <w:t xml:space="preserve">                                     VI</w:t>
        <w:br/>
        <w:t xml:space="preserve">                                 COMPETENCIA</w:t>
        <w:br/>
        <w:br/>
        <w:t>21.   TRINIDAD Y  TOBAGO  DEPOSITÓ  SU  INSTRUMENTO  DE  RATIFICACIÓN  A  LA</w:t>
        <w:br/>
        <w:t>CONVENCIÓN AMERICANA EL 28 DE MAYO  DE  1991.   ESE  MISMO  DÍA,  EL  ESTADO</w:t>
        <w:br/>
        <w:t>RECONOCIÓ LA COMPETENCIA CONTENCIOSA DE LA CORTE.</w:t>
        <w:br/>
        <w:br/>
        <w:t>22.   EL 26 DE MAYO DE 1998 TRINIDAD Y TOBAGO DENUNCIÓ LA  CONVENCIÓN  Y  DE</w:t>
        <w:br/>
        <w:t>ACUERDO CON EL ARTÍCULO 78 DE LA MISMA, ESTA DENUNCIA  TUVO  EFECTO  UN  AÑO</w:t>
        <w:br/>
        <w:t>MÁS TARDE, EL 26 DE MAYO DE 1999.  LOS  HECHOS  A  LOS  QUE  SE  REFIERE  EL</w:t>
        <w:br/>
        <w:t>PRESENTE CASO OCURRIERON CON ANTERIORIDAD  A  LA  ENTRADA  EN  VIGOR  DE  LA</w:t>
        <w:br/>
        <w:t>DENUNCIA HECHA POR EL ESTADO. POR LO TANTO, ESTA  CORTE  ES  COMPETENTE,  EN</w:t>
        <w:br/>
        <w:t>LOS TÉRMINOS DE LOS ARTÍCULOS 78.2 Y 62.3 DE LA CONVENCIÓN, PARA CONOCER  EL</w:t>
        <w:br/>
        <w:t>PRESENTE CASO Y DICTAR SENTENCIA SOBRE LA  EXCEPCIÓN  PRELIMINAR  PRESENTADA</w:t>
        <w:br/>
        <w:t>POR EL ESTADO.</w:t>
        <w:br/>
        <w:br/>
        <w:br/>
        <w:t xml:space="preserve">                                     VII</w:t>
        <w:br/>
        <w:br/>
        <w:t xml:space="preserve">                            EXCEPCIÓN PRELIMINAR:</w:t>
        <w:br/>
        <w:br/>
        <w:br/>
        <w:t xml:space="preserve"> EXTEMPORANEIDAD DE LA PRESENTACIÓN DE LA DEMANDA Y DE LA “ACEPTACIÓN DE LA</w:t>
        <w:br/>
        <w:t xml:space="preserve">            COMPETENCIA” DE LA CORTE E INCOMPETENCIA DE LA CORTE</w:t>
        <w:br/>
        <w:br/>
        <w:br/>
        <w:t>23.   En su excepción preliminar, Trinidad y Tobago  sostuvo  que  la  Corte</w:t>
        <w:br/>
        <w:t>Interamericana no es competente para conocer del  caso  en  virtud  de  tres</w:t>
        <w:br/>
        <w:t>argumentos principales:</w:t>
        <w:br/>
        <w:br/>
        <w:t xml:space="preserve">      I.    LA COMISIÓN NO SOMETIÓ EL CASO A LA CORTE Y LA CORTE  NO  ACEPTÓ</w:t>
        <w:br/>
        <w:t xml:space="preserve">      SU COMPETENCIA RESPECTO DEL ASUNTO DENTRO  DEL  PLAZO  DE  TRES  MESES</w:t>
        <w:br/>
        <w:t xml:space="preserve">      ESTIPULADO EN  EL  ARTÍCULO  51  DE  LA   CONVENCIÓN  AMERICANA  SOBRE</w:t>
        <w:br/>
        <w:t xml:space="preserve">      DERECHOS HUMANOS.</w:t>
        <w:br/>
        <w:br/>
        <w:br/>
        <w:t xml:space="preserve">      II.   LA SEGUNDA RESERVA DEL ESTADO EXCLUYE  [LA]  COMPETENCIA  DE  LA</w:t>
        <w:br/>
        <w:t xml:space="preserve">      CORTE EN ESTE CASO.</w:t>
        <w:br/>
        <w:br/>
        <w:br/>
        <w:t xml:space="preserve">      III.  Alternativamente, el Estado nunca ha reconocido  la  competencia</w:t>
        <w:br/>
        <w:t xml:space="preserve">      de la Corte.</w:t>
        <w:br/>
        <w:br/>
        <w:t>24.   La Corte pasa a considerar los argumentos presentados  por  el  Estado</w:t>
        <w:br/>
        <w:t>en el caso sub judice.</w:t>
        <w:br/>
        <w:br/>
        <w:br/>
        <w:br/>
        <w:br/>
        <w:t xml:space="preserve"> A.    EXTEMPORANEIDAD DE LA PRESENTACIÓN DE LA DEMANDA Y DE LA “ACEPTACIÓN</w:t>
        <w:br/>
        <w:t xml:space="preserve">                             DE LA COMPETENCIA”</w:t>
        <w:br/>
        <w:t xml:space="preserve">                                 DE LA CORTE</w:t>
        <w:br/>
        <w:br/>
        <w:t>ALEGATOS DEL ESTADO</w:t>
        <w:br/>
        <w:br/>
        <w:t>25.   EL ESTADO ALEGÓ QUE EL ARTÍCULO 51.1 DE LA  CONVENCIÓN  ESTABLECE  QUE</w:t>
        <w:br/>
        <w:t>PARA QUE LA CORTE SEA COMPETENTE, EL INFORME DE LA COMISIÓN NO  SÓLO  HA  DE</w:t>
        <w:br/>
        <w:t>SER SOMETIDO ANTE ÉSTA DENTRO DEL PLAZO DE TRES MESES DESPUÉS  DE  LA  FECHA</w:t>
        <w:br/>
        <w:t>DE LA TRANSMISIÓN DEL MENCIONADO INFORME AL  ESTADO  INVOLUCRADO,  SINO  QUE</w:t>
        <w:br/>
        <w:t>TAMBIÉN LA CORTE HAYA ACEPTADO SU COMPETENCIA  SOBRE  EL  ASUNTO  DENTRO  DE</w:t>
        <w:br/>
        <w:t>DICHO PLAZO DE TRES MESES.</w:t>
        <w:br/>
        <w:br/>
        <w:t>26.    AL  RESPECTO,  EL  ESTADO  ARGUMENTÓ  QUE  EL  ARTÍCULO  51.1  DE  LA</w:t>
        <w:br/>
        <w:t>CONVENCIÓN AMERICANA ESTABLECE QUE</w:t>
        <w:br/>
        <w:br/>
        <w:t xml:space="preserve">      [S]I EN EL PLAZO DE TRES MESES, A PARTIR DE LA REMISIÓN A LOS  ESTADOS</w:t>
        <w:br/>
        <w:t xml:space="preserve">      INTERESADOS  DEL  INFORME  DE  LA  COMISIÓN,  EL  ASUNTO 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 CONSIDERACIÓN.  (ÉNFASIS</w:t>
        <w:br/>
        <w:t xml:space="preserve">      AÑADIDO)</w:t>
        <w:br/>
        <w:br/>
        <w:t>27.   TRINIDAD Y TOBAGO  AFIRMÓ  QUE  EL  INFORME  CONFIDENCIAL  NO.  53/00,</w:t>
        <w:br/>
        <w:t>CONFORME AL ARTÍCULO 50 DE LA CONVENCIÓN, FUE REMITIDO AL  ESTADO  EL  5  DE</w:t>
        <w:br/>
        <w:t>JULIO DE 2000, EN CONSECUENCIA, EL PERÍODO DE TRES MESES  ESTIPULADO  EN  EL</w:t>
        <w:br/>
        <w:t>ARTÍCULO 51.1 EXPIRÓ EL 4 DE OCTUBRE DE 2000, POR LO TANTO, LA  CORTE  DEBIÓ</w:t>
        <w:br/>
        <w:t>HABER ACEPTADO SU COMPETENCIA EN RELACIÓN CON EL  CASO  CON  ANTERIORIDAD  A</w:t>
        <w:br/>
        <w:t>ESA FECHA.  SIN EMBARGO, LA COMISIÓN REMITIÓ EL CASO A  LA  CORTE  EL  5  DE</w:t>
        <w:br/>
        <w:t>OCTUBRE DE 2000 Y ÉSTA “RECONOCIÓ SU  COMPETENCIA”  EL  19  DE  OCTUBRE  DEL</w:t>
        <w:br/>
        <w:t>MISMO AÑO.</w:t>
        <w:br/>
        <w:br/>
        <w:br/>
        <w:t>ALEGATOS DE LA COMISIÓN</w:t>
        <w:br/>
        <w:br/>
        <w:t>28.    LA  COMISIÓN  SOSTUVO  QUE  ESTÁ  ESTABLECIDO  EN   LA   PRÁCTICA   Y</w:t>
        <w:br/>
        <w:t>JURISPRUDENCIA DE LA CORTE QUE EL PLAZO DE TRES MESES DEL ARTÍCULO  51.1  DE</w:t>
        <w:br/>
        <w:t>LA CONVENCIÓN DEBERÍA SER CALCULADO  CON  BASE  EN  EL  MES  DEL  CALENDARIO</w:t>
        <w:br/>
        <w:t>GREGORIANO; ES DECIR, DE LA FECHA DE TRANSMISIÓN AL ESTADO  DEL  INFORME  DE</w:t>
        <w:br/>
        <w:t>LA COMISIÓN DEL ARTÍCULO 50, HASTA LA MEDIANOCHE  DE  LA  MISMA  FECHA  TRES</w:t>
        <w:br/>
        <w:t>MESES DESPUÉS; Y NO, COMO SOSTIENE EL ESTADO, SEGÚN 90 DÍAS CALENDARIO.</w:t>
        <w:br/>
        <w:br/>
        <w:t>29.   INDICÓ QUE EL ESTADO HA  RECONOCIDO  QUE  LA  COMISIÓN  TRANSMITIÓ  SU</w:t>
        <w:br/>
        <w:t>INFORME NO. 53/00, DE CONFORMIDAD CON EL ARTÍCULO 50 DE LA CONVENCIÓN, EL  5</w:t>
        <w:br/>
        <w:t>DE JULIO DE 2000 Y POSTERIORMENTE, PRESENTÓ LA DEMANDA A LA CORTE  EL  5  DE</w:t>
        <w:br/>
        <w:t>OCTUBRE DEL MISMO AÑO.  BASADO EN ESTOS HECHOS NO OBJETADOS POR  EL  ESTADO,</w:t>
        <w:br/>
        <w:t>LA COMISIÓN SOSTUVO QUE CUMPLIÓ ADECUADAMENTE CON EL  PLAZO  DE  TRES  MESES</w:t>
        <w:br/>
        <w:t>ESTIPULADO EN EL ARTÍCULO 51.1 DE LA CONVENCIÓN, SEGÚN LA INTERPRETACIÓN  DE</w:t>
        <w:br/>
        <w:t>LA CORTE, AL MOMENTO DE LA PRESENTACIÓN  DEL  CASO  BENJAMIN  Y  OTROS  ANTE</w:t>
        <w:br/>
        <w:t>ELLA.</w:t>
        <w:br/>
        <w:br/>
        <w:t>30.   ASIMISMO, LA COMISIÓN SEÑALÓ QUE LA FRASE “ACEPTANDO  SU  COMPETENCIA”</w:t>
        <w:br/>
        <w:t>DEL ARTÍCULO 51.1 DE LA CONVENCIÓN NO PUEDE SER INTERPRETADA EN  EL  SENTIDO</w:t>
        <w:br/>
        <w:t>DE QUE EXIJA QUE LA CORTE REALICE  UN  ACTO  EXPRESO  DE  ACEPTACIÓN  DE  SU</w:t>
        <w:br/>
        <w:t>COMPETENCIA EN RELACIÓN CON CADA DEMANDA, Y MENOS AÚN, QUE DICHO  ACTO  DEBA</w:t>
        <w:br/>
        <w:t>EFECTUARSE DENTRO DEL PLAZO DE TRES MESES MENCIONADO EN ESE MISMO  ARTÍCULO.</w:t>
        <w:br/>
        <w:br/>
        <w:br/>
        <w:t>31.   LA COMISIÓN SOSTUVO QUE LA INTERPRETACIÓN  DEL  ARTÍCULO  51.1  DE  LA</w:t>
        <w:br/>
        <w:t>CONVENCIÓN  PRESENTADA  POR  EL  ESTADO  NO  ESTARÍA  DE  ACUERDO   CON   EL</w:t>
        <w:br/>
        <w:t>SIGNIFICADO ORDINARIO DE LOS TÉRMINOS DE LA DISPOSICIÓN EN SU  CONTEXTO,  NI</w:t>
        <w:br/>
        <w:t>CON EL OBJETO  Y  FIN  DE  LA  CONVENCIÓN.   SERÍA  INCOMPATIBLE  CON  OTRAS</w:t>
        <w:br/>
        <w:t>DISPOSICIONES DE LA CONVENCIÓN, EL ESTATUTO DE LA CORTE, LOS  PROCEDIMIENTOS</w:t>
        <w:br/>
        <w:t>Y LA JURISPRUDENCIA DE LA CORTE.</w:t>
        <w:br/>
        <w:br/>
        <w:t>32.   AGREGÓ QUE LA INTERPRETACIÓN  DEL  ESTADO  DEL  ARTÍCULO  51.1  DE  LA</w:t>
        <w:br/>
        <w:t>CONVENCIÓN NECESARIAMENTE OBLIGARÍA  A  LA  CORTE  A  HACER  DETERMINACIONES</w:t>
        <w:br/>
        <w:t>SOBRE SU COMPETENCIA PARA CONSIDERAR UN CASO,  DENTRO  DEL  MISMO  PLAZO  DE</w:t>
        <w:br/>
        <w:t>TRES MESES QUE TIENE LA COMISIÓN O UN ESTADO PARA PRESENTAR EL ASUNTO  A  LA</w:t>
        <w:br/>
        <w:t>CORTE. UNA INTERPRETACIÓN ASÍ NO ES VIABLE PORQUE INEVITABLEMENTE  NO  DARÍA</w:t>
        <w:br/>
        <w:t>EL TIEMPO ADECUADO PARA PRESENTAR  EXCEPCIONES  PRELIMINARES,  EFECTUAR  UNA</w:t>
        <w:br/>
        <w:t>AUDIENCIA  SOBRE  ASUNTOS  PRELIMINARES  Y  PARA  QUE  LA  CORTE  HAGA   UNA</w:t>
        <w:br/>
        <w:t>DETERMINACIÓN CON RESPETO A SU  COMPETENCIA  EN  UN  CASO.  LA  CONSECUENCIA</w:t>
        <w:br/>
        <w:t>SERÍA QUE LA CORTE PERDERÍA SU COMPETENCIA EN LA MAYORÍA, SI  NO  TODOS  LOS</w:t>
        <w:br/>
        <w:t>CASOS, PRESENTADOS ANTE ELLA.  UNA  INTERPRETACIÓN  ASÍ  DEL  ARTÍCULO  51.1</w:t>
        <w:br/>
        <w:t>SERÍA IRRACIONAL EN  EL  CONTEXTO  DE  LA  CONVENCIÓN  COMO  UN  TODO  Y  ES</w:t>
        <w:br/>
        <w:t>CLARAMENTE INCOMPATIBLE CON EL OBJETO Y FIN DE LA CONVENCIÓN.</w:t>
        <w:br/>
        <w:br/>
        <w:t>33.   POR OTRO LADO, LA INTERPRETACIÓN DEL ARTÍCULO 51.1 EN REFERENCIA A  LA</w:t>
        <w:br/>
        <w:t>ACEPTACIÓN POR PARTE DEL ESTADO DE LA COMPETENCIA OBLIGATORIA DE  LA  CORTE,</w:t>
        <w:br/>
        <w:t>BAJO EL ARTÍCULO 62 DE LA CONVENCIÓN, ES COMPATIBLE CON EL OBJETO Y  FIN  DE</w:t>
        <w:br/>
        <w:t>LA CONVENCIÓN, Y ES REFORZADO  POR  ÉSTA,  EL  ESTATUTO  DE  LA  CORTE,  LOS</w:t>
        <w:br/>
        <w:t>PROCEDIMIENTOS Y LA JURISPRUDENCIA CONSTANTE DE LA CORTE.   EL  ARTÍCULO  61</w:t>
        <w:br/>
        <w:t>DE LA CONVENCIÓN, POR  EJEMPLO,  EXPRESAMENTE  CONTIENE  INSTRUCCIONES  PARA</w:t>
        <w:br/>
        <w:t>CUMPLIR CON LO ESTABLECIDO EN  LOS  ARTÍCULOS  48  A  50,  PERO  NO  CON  LO</w:t>
        <w:br/>
        <w:t>DISPUESTO EN EL ARTÍCULO 51, COMO CONDICIONES QUE DEBEN SER CUMPLIDAS  ANTES</w:t>
        <w:br/>
        <w:t>DE QUE LA CORTE PUEDA CONSIDERAR UN CASO. DEL MISMO MODO, EL ARTÍCULO 2  DEL</w:t>
        <w:br/>
        <w:t>ESTATUTO DEFINE LA  ADJUDICACIÓN  DE  LA  COMPETENCIA  EN  TÉRMINOS  DE  LOS</w:t>
        <w:br/>
        <w:t>ARTÍCULOS 61, 62 Y 63, PERO NO DEL ARTÍCULO 51 DE LA CONVENCIÓN.</w:t>
        <w:br/>
        <w:br/>
        <w:t>34.   ADEMÁS, SEÑALÓ QUE EL ARTÍCULO 36 DEL REGLAMENTO DE  LA  CORTE  PROVEE</w:t>
        <w:br/>
        <w:t>UN PLAZO DE DOS MESES DESDE DE LA FECHA DE NOTIFICACIÓN DE UNA DEMANDA  PARA</w:t>
        <w:br/>
        <w:t>QUE LAS PARTES PUEDAN PRESENTAR EXCEPCIONES  PRELIMINARES  Y  OTROS  TREINTA</w:t>
        <w:br/>
        <w:t>DÍAS  PARA  LA  PRESENTACIÓN  DE  ESCRITOS  ADICIONALES  SOBRE   EXCEPCIONES</w:t>
        <w:br/>
        <w:t>PRELIMINARES.  EL  CRONOMETRAJE  DE   ESTE   PROCEDIMIENTO   ES   CLARAMENTE</w:t>
        <w:br/>
        <w:t>INCOMPATIBLE CON UNA INTERPRETACIÓN DEL ARTÍCULO 51.1  QUE  SEÑALE  QUE  LAS</w:t>
        <w:br/>
        <w:t>EXCEPCIONES PRELIMINARES DEBEN SER INTERPUESTAS DENTRO  DE  LOS  TRES  MESES</w:t>
        <w:br/>
        <w:t>DESDE LA FECHA DE TRANSMISIÓN DEL INFORME DEL ARTÍCULO 50 POR  PARTE  DE  LA</w:t>
        <w:br/>
        <w:t>COMISIÓN.  ASIMISMO, LA CORTE HA DETERMINADO EN  SU  JURISPRUDENCIA  QUE  EL</w:t>
        <w:br/>
        <w:t>ARTÍCULO 51 DE LA CONVENCIÓN REQUIERE QUE UN ASUNTO SEA PRESENTADO  ANTE  LA</w:t>
        <w:br/>
        <w:t>CORTE DENTRO DEL PERÍODO DE TRES MESES CONFORME AL ARTÍCULO 51,  PERO  NUNCA</w:t>
        <w:br/>
        <w:t>HA INTERPRETADO DICHO ARTÍCULO DE FORMA QUE REQUIERA QUE LA CORTE  DETERMINE</w:t>
        <w:br/>
        <w:t>SU COMPETENCIA SOBRE UN CASO DENTRO DEL MISMO PERÍODO DE TRES MESES.</w:t>
        <w:br/>
        <w:br/>
        <w:t>35.    INCLUSO  ACERCA  DEL  REQUISITO  CONFORME  AL  ARTÍCULO  51   DE   LA</w:t>
        <w:br/>
        <w:t>CONVENCIÓN, EL CUAL SEÑALA QUE UNA  DEMANDA  DEBE  SER  PRESENTADA  ANTE  LA</w:t>
        <w:br/>
        <w:t>CORTE DENTRO DEL TÉRMINO DE TRES  MESES  PRESCRITO  EN  DICHO  ARTÍCULO,  LA</w:t>
        <w:br/>
        <w:t>CORTE HA SOSTENIDO EN SU OPINIÓN CONSULTIVA SOBRE  CIERTAS  ATRIBUCIONES  DE</w:t>
        <w:br/>
        <w:t>LA COMISIÓN INTERAMERICANA DE DERECHOS HUMANOS (OC-13/93)[6] QUE  EL  LÍMITE</w:t>
        <w:br/>
        <w:t>DE TIEMPO, AÚN SIENDO DE CARÁCTER PRECLUSIVO, NO ES FATAL EN RELACIÓN  A  LA</w:t>
        <w:br/>
        <w:t>PRESENTACIÓN DE UN CASO A LA CORTE DONDE EXISTEN CIRCUNSTANCIAS  ESPECIALES.</w:t>
        <w:br/>
        <w:t xml:space="preserve"> PARTICULARMENTE, LA CORTE HA ESTABLECIDO EN  LA  SENTENCIA  DE  EXCEPCIONES</w:t>
        <w:br/>
        <w:t>PRELIMINARES DEL CASO  CAYARA[7]  QUE  UNA  DEMANDA   QUE  CONTENGA  “CARGOS</w:t>
        <w:br/>
        <w:t>GRAVES” (SERIOUS CHARGES) NO PUEDE SER CONSIDERADA CONFORME AL  ARTÍCULO  51</w:t>
        <w:br/>
        <w:t>DE LA CONVENCIÓN Y GENERALMENTE, QUE  EL  PROCEDIMIENTO  DE  LA  CORTE  COMO</w:t>
        <w:br/>
        <w:t>MEDIO  DE  REALIZAR  LA  JUSTICIA  NO  PODRÁ  SER  SACRIFICADO  POR  SIMPLES</w:t>
        <w:br/>
        <w:t>FORMALIDADES.</w:t>
        <w:br/>
        <w:br/>
        <w:t>36.   DADA LA URGENCIA DE LOS ASUNTOS PRESENTADOS EN ESTA  DEMANDA  ANTE  LA</w:t>
        <w:br/>
        <w:t>CORTE,  PRINCIPALMENTE  EN  CUANTO  A  LA  LEGITIMIDAD  DE  LAS  EJECUCIONES</w:t>
        <w:br/>
        <w:t>PENDIENTES, LA COMISIÓN SOLICITÓ QUE NO SE LE PERMITIERA AL ESTADO  RECHAZAR</w:t>
        <w:br/>
        <w:t>LA COMPETENCIA DE LA CORTE SOBRE EL CASO, BASÁNDOSE  EN  UNA  INTERPRETACIÓN</w:t>
        <w:br/>
        <w:t>ERRÓNEA DEL LAPSO PROCESAL ESTABLECIDO EN EL ARTÍCULO 51 DE LA CONVENCIÓN.</w:t>
        <w:br/>
        <w:br/>
        <w:t>CONSIDERACIONES DE LA CORTE</w:t>
        <w:br/>
        <w:br/>
        <w:t>37.   LA CORTE CONSIDERA QUE EN CUANTO AL PRIMER  ALEGATO  DE  LA  EXCEPCIÓN</w:t>
        <w:br/>
        <w:t>PRELIMINAR INTERPUESTA POR EL ESTADO,  DEBEN  RESOLVERSE  VARIAS  CUESTIONES</w:t>
        <w:br/>
        <w:t>IMPLÍCITAS: LA PRIMERA CONSISTE EN QUE EL ESTADO OBJETA LA  PRESENTACIÓN  DE</w:t>
        <w:br/>
        <w:t>LA DEMANDA POR PARTE DE LA  COMISIÓN,  LA  CUAL  CONSIDERA  EXTEMPORÁNEA  EN</w:t>
        <w:br/>
        <w:t>VIRTUD DEL PLAZO DE TRES  MESES  ESTABLECIDO  EN  EL  ARTÍCULO  51.1  DE  LA</w:t>
        <w:br/>
        <w:t>CONVENCIÓN; Y LA SEGUNDA CONSISTE  EN  QUE  TRINIDAD  Y  TOBAGO  ARGUYE  UNA</w:t>
        <w:br/>
        <w:t>SUPUESTA “FALTA DE ACEPTACIÓN DE LA COMPETENCIA  DE  LA  CORTE”  DURANTE  EL</w:t>
        <w:br/>
        <w:t>PLAZO MENCIONADO.</w:t>
        <w:br/>
        <w:br/>
        <w:t>38.   LA CORTE NO ENTRA A ANALIZAR SI LA DEMANDA FUE INTERPUESTA  DENTRO  DE</w:t>
        <w:br/>
        <w:t>LOS NOVENTA DÍAS SIGUIENTES AL 5 DE JULIO DE 2000, YA  QUE  ESTIMA  QUE,  DE</w:t>
        <w:br/>
        <w:t>CONFORMIDAD CON EL ARTÍCULO 51.1 DE LA CONVENCIÓN  AMERICANA,  EL  PLAZO  DE</w:t>
        <w:br/>
        <w:t>TRES MESES DEBE CONSIDERARSE MES CALENDARIO GREGORIANO, ES DECIR,  DE  FECHA</w:t>
        <w:br/>
        <w:t>A FECHA.</w:t>
        <w:br/>
        <w:br/>
        <w:t>39.   Tal y como lo estableció esta Corte en  el  Caso  Paniagua  Morales  y</w:t>
        <w:br/>
        <w:t>otros</w:t>
        <w:br/>
        <w:br/>
        <w:t xml:space="preserve">      ha sido práctica constante de la Corte computar  los  plazos  de  tres</w:t>
        <w:br/>
        <w:t xml:space="preserve">      meses a que se refiere el artículo 51.1 de la Convención  de  fecha  a</w:t>
        <w:br/>
        <w:t xml:space="preserve">      fecha […].</w:t>
        <w:br/>
        <w:br/>
        <w:br/>
        <w:t xml:space="preserve">      En el caso Caballero Delgado y  Santana,  (Caso  Caballero  Delgado  y</w:t>
        <w:br/>
        <w:t xml:space="preserve">      Santana, Excepciones Preliminares, Sentencia de 21 de enero  de  1994.</w:t>
        <w:br/>
        <w:t xml:space="preserve">      Serie C No. 17), la Corte inadvertidamente al referirse a un argumento</w:t>
        <w:br/>
        <w:t xml:space="preserve">      de la Comisión, utilizó la expresión  “90  días”  como  equivalente  a</w:t>
        <w:br/>
        <w:t xml:space="preserve">      “tres meses” (párrafo 39) y aplicó las dos expresiones como  sinónimos</w:t>
        <w:br/>
        <w:t xml:space="preserve">      (párrafo 43).  Sin embargo, en este mismo caso,  la  Corte  aplicó  el</w:t>
        <w:br/>
        <w:t xml:space="preserve">      criterio de los tres meses  calendario,  tal  como  se  desprende  del</w:t>
        <w:br/>
        <w:t xml:space="preserve">      párrafo 39 de aquella sentencia, que aplicó un plazo de tres meses del</w:t>
        <w:br/>
        <w:t xml:space="preserve">      17 de octubre de 1991 al 17 de enero de 1992 (de haberse computado por</w:t>
        <w:br/>
        <w:t xml:space="preserve">      días y no por calendario gregoriano, habrían  transcurrido  noventa  y</w:t>
        <w:br/>
        <w:t xml:space="preserve">      tres días).  También en el caso Neira Alegría  y  otros,  (Caso  Neira</w:t>
        <w:br/>
        <w:t xml:space="preserve">      Alegría  y  otros,  Excepciones  Preliminares,  Sentencia  de  11   de</w:t>
        <w:br/>
        <w:t xml:space="preserve">      diciembre de 1991.  Serie C No. 13, párrs. 32-34), la Corte aplicó  el</w:t>
        <w:br/>
        <w:t xml:space="preserve">      plazo de tres meses del 11 de junio de 1990 al  11  de  septiembre  de</w:t>
        <w:br/>
        <w:t xml:space="preserve">      1990 (tres meses calendario formados por noventa y tres días).</w:t>
        <w:br/>
        <w:br/>
        <w:br/>
        <w:t xml:space="preserve">      La Corte considera que, conforme lo establece el artículo 51.1  de  la</w:t>
        <w:br/>
        <w:t xml:space="preserve">      Convención Americana, la Comisión Interamericana  tiene  un  plazo  de</w:t>
        <w:br/>
        <w:t xml:space="preserve">      tres meses a partir de la remisión del Informe a  que  se  refiere  el</w:t>
        <w:br/>
        <w:t xml:space="preserve">      artículo 50.1 de la Convención, para someter un caso a la  Corte.   La</w:t>
        <w:br/>
        <w:t xml:space="preserve">      expresión “plazo de tres meses” debe entenderse en su  sentido  usual.</w:t>
        <w:br/>
        <w:t xml:space="preserve">      De acuerdo con el  Diccionario  de  la  Real  Academia  de  la  Lengua</w:t>
        <w:br/>
        <w:t xml:space="preserve">      Española, “plazo” “[es el] término o tiempo señalado para una cosa”, y</w:t>
        <w:br/>
        <w:t xml:space="preserve">      “mes [es el] número de días consecutivos desde uno señalado hasta otro</w:t>
        <w:br/>
        <w:t xml:space="preserve">      de igual fecha en el mes siguiente”.  Asimismo, la Convención de Viena</w:t>
        <w:br/>
        <w:t xml:space="preserve">      sobre el Derecho de los Tratados (artículo  31.1)  enumera  entre  los</w:t>
        <w:br/>
        <w:t xml:space="preserve">      elementos de interpretación, el sentido  corriente  de  las  palabras,</w:t>
        <w:br/>
        <w:t xml:space="preserve">      además del contexto, objeto y fin del tratado[8].</w:t>
        <w:br/>
        <w:br/>
        <w:t>40.   La Corte estima conveniente aclarar, en  vista  de  los  alegatos  del</w:t>
        <w:br/>
        <w:t>Estado, que lo que se practicó el 19 de octubre de 2000 fue la  notificación</w:t>
        <w:br/>
        <w:t>de la demanda (supra 16).   Consecuentemente,  no  debe  entenderse  que  el</w:t>
        <w:br/>
        <w:t>plazo de tres meses establecido en el artículo 51.1 de  la  Convención  rige</w:t>
        <w:br/>
        <w:t>para actuaciones de la Corte en el ejercicio de su propia competencia,  pues</w:t>
        <w:br/>
        <w:t>ésta emana de la propia Convención  Americana.   Lo  que  el  artículo  51.1</w:t>
        <w:br/>
        <w:t>determina es un plazo para la presentación de la demanda ante la Corte y  no</w:t>
        <w:br/>
        <w:t>tiene relación directa con actos de la Corte relativos  a  la  determinación</w:t>
        <w:br/>
        <w:t>de su competencia.  Cuando en el texto del artículo 51.1 se dice  “aceptando</w:t>
        <w:br/>
        <w:t>su competencia”, éste se refiere a la aceptación de  la  competencia  de  la</w:t>
        <w:br/>
        <w:t>Corte por parte de un Estado y no a las actuaciones por parte  de  la  Corte</w:t>
        <w:br/>
        <w:t>en ejercicio de su competencia.</w:t>
        <w:br/>
        <w:br/>
        <w:t>41.   POR LO TANTO,  LA  CORTE  CONSIDERA  QUE  DEBE  DESESTIMAR  EL  PRIMER</w:t>
        <w:br/>
        <w:t>ARGUMENTO DE LA EXCEPCIÓN PRELIMINAR INTERPUESTA POR EL ESTADO EN LO QUE  SE</w:t>
        <w:br/>
        <w:t>REFIERE A LA TEMPORALIDAD DE LA DEMANDA Y A LA “ACEPTACIÓN  DE  COMPETENCIA”</w:t>
        <w:br/>
        <w:t>POR PARTE DE LA CORTE.</w:t>
        <w:br/>
        <w:br/>
        <w:br/>
        <w:t xml:space="preserve">                       B.    INCOMPETENCIA DE LA CORTE</w:t>
        <w:br/>
        <w:br/>
        <w:t>ALEGATOS DEL ESTADO</w:t>
        <w:br/>
        <w:br/>
        <w:t>42.   Según lo señalado por Trinidad y Tobago, el  instrumento  de  adhesión</w:t>
        <w:br/>
        <w:t>de la Convención de fecha 3 abril de 1991, depositado por el  Estado  el  28</w:t>
        <w:br/>
        <w:t>de mayo de 1991, reconoce  la  competencia  contenciosa  de  la  Corte  pero</w:t>
        <w:br/>
        <w:t>sujetando ese reconocimiento a  una  “reserva”.   La  “reserva”  del  Estado</w:t>
        <w:br/>
        <w:t>enuncia que</w:t>
        <w:br/>
        <w:br/>
        <w:t xml:space="preserve">      [c]on respecto al [a]rtículo 62 de la Convención, el  Gobierno  de  la</w:t>
        <w:br/>
        <w:t xml:space="preserve">      República de Trinidad y Tobago, reconoce la  jurisdicción  obligatoria</w:t>
        <w:br/>
        <w:t xml:space="preserve">      de la Corte Interamericana de Derechos  Humanos  que  se  estipula  en</w:t>
        <w:br/>
        <w:t xml:space="preserve">      dicho artículo sólo  en  la  medida  en  que  tal  reconocimiento  sea</w:t>
        <w:br/>
        <w:t xml:space="preserve">      compatible con las secciones pertinentes  de  la  Constitución  de  la</w:t>
        <w:br/>
        <w:t xml:space="preserve">      República de Trinidad y Tobago, y siempre  que  una  sentencia  de  la</w:t>
        <w:br/>
        <w:t xml:space="preserve">      Corte no contravenga, establezca o anule derechos o deberes existentes</w:t>
        <w:br/>
        <w:t xml:space="preserve">      de ciudadanos particulares.</w:t>
        <w:br/>
        <w:br/>
        <w:t>43.   El Estado señaló que el artículo 75 de la Convención establece que  la</w:t>
        <w:br/>
        <w:t>misma sólo puede ser objeto de reservas conforme a las disposiciones  de  la</w:t>
        <w:br/>
        <w:t>Convención de Viena sobre el Derecho de los  Tratados,  suscrita  el  23  de</w:t>
        <w:br/>
        <w:t>mayo de 1969 (en adelante  “la  Convención  de  Viena”).   Al  respecto,  el</w:t>
        <w:br/>
        <w:t>artículo 19 de la misma señala que</w:t>
        <w:br/>
        <w:br/>
        <w:t xml:space="preserve">      [u]n Estado podrá formular  una  reserva  en  el  momento  de  firmar,</w:t>
        <w:br/>
        <w:t xml:space="preserve">      ratificar, aceptar o aprobar un tratado o adherirse al mismo, a menos:</w:t>
        <w:br/>
        <w:br/>
        <w:br/>
        <w:t xml:space="preserve">     1. que la reserva esté prohibida por el tratado;</w:t>
        <w:br/>
        <w:br/>
        <w:br/>
        <w:t xml:space="preserve">   2. que el tratado disponga que  únicamente  pueden  hacerse  determinadas</w:t>
        <w:br/>
        <w:t xml:space="preserve">      reservas, entre las cuales no figure la reserva de que se trate; o</w:t>
        <w:br/>
        <w:br/>
        <w:t xml:space="preserve">   3. que, en los casos no previstos en los apartados a) y  b),  la  reserva</w:t>
        <w:br/>
        <w:t xml:space="preserve">      sea incompatible con el objeto y fin del tratado.</w:t>
        <w:br/>
        <w:br/>
        <w:t>44.   Asimismo, el Estado mencionó que según lo señalado por la Corte en  la</w:t>
        <w:br/>
        <w:t>Opinión Consultiva sobre El Efecto de  las  Reservas  Sobre  la  Entrada  en</w:t>
        <w:br/>
        <w:t>Vigencia de la Convención Americana sobre  Derechos  Humanos  (OC-2/82),  la</w:t>
        <w:br/>
        <w:t>reseña al artículo 75 de la Convención Americana tenía la intención  de  ser</w:t>
        <w:br/>
        <w:t>una referencia al párrafo c) del artículo 19 de la  Convención  de  Viena  y</w:t>
        <w:br/>
        <w:t>que “sólo tiene sentido si se entiende como autorización  expresa  destinada</w:t>
        <w:br/>
        <w:t>a permitir a los Estados cualesquiera reservas  que  consideren  apropiadas,</w:t>
        <w:br/>
        <w:t>siempre y cuando éstas no  sean  incompatibles  con  el  objeto  y  fin  del</w:t>
        <w:br/>
        <w:t>tratado.  Como tales, se puede decir que ellas  se  rigen  por  el  artículo</w:t>
        <w:br/>
        <w:t>20.1 de la Convención de Viena y, consecuentemente, no están  sujetas  a  la</w:t>
        <w:br/>
        <w:t>aceptación de ningún otro Estado parte” [9].</w:t>
        <w:br/>
        <w:br/>
        <w:t>45.   El Estado indicó que  la  “reserva”  fue  hecha  en  relación  con  la</w:t>
        <w:br/>
        <w:t>aceptación de la competencia de la Corte y se limita al artículo  62  de  la</w:t>
        <w:br/>
        <w:t>Convención Americana.  Según  Trinidad  y  Tobago,  el  artículo  62  de  la</w:t>
        <w:br/>
        <w:t>Convención es una cláusula facultativa que  los  Estados  pueden  libremente</w:t>
        <w:br/>
        <w:t>“aceptar o rechazar”.  Aquellos Estados que la aceptan  y  así  lo  declaran</w:t>
        <w:br/>
        <w:t>están expresamente autorizados a hacerlo sujetos a  condiciones.   La  misma</w:t>
        <w:br/>
        <w:t>Convención autoriza  a  que  se  establezcan  restricciones  al  momento  de</w:t>
        <w:br/>
        <w:t>aceptar la competencia de la Corte  conforme  al  artículo  62,  lo  que  no</w:t>
        <w:br/>
        <w:t>afecta el disfrute o ejercicio de los derechos y libertades  reconocidos  en</w:t>
        <w:br/>
        <w:t>la Convención.  Por tanto, dado que la “reserva” no niega  el  ejercicio  de</w:t>
        <w:br/>
        <w:t>alguno de  los  derechos  consagrados  en  la  Convención,  la  misma  puede</w:t>
        <w:br/>
        <w:t>considerarse compatible con el objeto y fin de ésta.</w:t>
        <w:br/>
        <w:br/>
        <w:t>46.   Trinidad y Tobago manifestó  que  de  conformidad  con  principios  de</w:t>
        <w:br/>
        <w:t>Derecho  Internacional  universalmente  reconocidos,  el  ejercicio  de   la</w:t>
        <w:br/>
        <w:t>competencia de una Corte internacional con respecto a un Estado,  no  es  un</w:t>
        <w:br/>
        <w:t>derecho, sino un privilegio  que  sólo  se  puede  ejercer  con  el  expreso</w:t>
        <w:br/>
        <w:t>consentimiento del Estado y el artículo 62 de  la  Convención  refleja  esta</w:t>
        <w:br/>
        <w:t>posición.</w:t>
        <w:br/>
        <w:br/>
        <w:t>47.   Agregó el Estado que la Constitución de Trinidad y Tobago  es  y  fue,</w:t>
        <w:br/>
        <w:t>al momento  de  ratificar  la  Convención,  compatible  con  la  misma.   La</w:t>
        <w:br/>
        <w:t>“reserva” del Estado no puede ser interpretada como contraria  al  objeto  y</w:t>
        <w:br/>
        <w:t>fin de la Convención; ésta se  relaciona  únicamente  con  el  procedimiento</w:t>
        <w:br/>
        <w:t>facultativo contenido en el artículo 62 de la Convención, lo que  en  ningún</w:t>
        <w:br/>
        <w:t>modo afecta los derechos sustantivos consagrados  en  ella.   La  “reserva”,</w:t>
        <w:br/>
        <w:t>tal y como  está  planteada,  de  ninguna  manera  limita  las  obligaciones</w:t>
        <w:br/>
        <w:t>asumidas por el Estado de conformidad con la Convención en relación con  los</w:t>
        <w:br/>
        <w:t>individuos sujetos a su jurisdicción.</w:t>
        <w:br/>
        <w:br/>
        <w:t>48.   Asimismo, Trinidad y Tobago sostuvo que  en  el  supuesto  de  que  la</w:t>
        <w:br/>
        <w:t>Corte declare que la “reserva” del Estado es incompatible con  el  objeto  y</w:t>
        <w:br/>
        <w:t>fin de la Convención Americana,  en  relación  con  el  artículo  62  de  la</w:t>
        <w:br/>
        <w:t>Convención, el efecto de tal determinación sería el anular  e  invalidar  ab</w:t>
        <w:br/>
        <w:t>initio la declaración del Estado por medio de la cual aceptó la  competencia</w:t>
        <w:br/>
        <w:t>contenciosa de la Corte.</w:t>
        <w:br/>
        <w:br/>
        <w:t>49.   El Estado agregó que en su Opinión Consultiva sobre las Reservas a  la</w:t>
        <w:br/>
        <w:t>Convención para Prevenir y Sancionar  el  Delito  de  Genocidio  (1951),  la</w:t>
        <w:br/>
        <w:t>Corte Internacional de Justicia señaló que</w:t>
        <w:br/>
        <w:br/>
        <w:t xml:space="preserve">      […] si un Estado  parte  en  la  Convención  objeta  una  reserva  por</w:t>
        <w:br/>
        <w:t xml:space="preserve">      considerarla incompatible con el objeto y fin de la Convención,  puede</w:t>
        <w:br/>
        <w:t xml:space="preserve">      de hecho considerar que el Estado autor de la reserva no es  parte  en</w:t>
        <w:br/>
        <w:t xml:space="preserve">      la Convención […]</w:t>
        <w:br/>
        <w:br/>
        <w:t>50.   El Estado señaló que bajo  el  ordenamiento  jurídico  de  Trinidad  y</w:t>
        <w:br/>
        <w:t>Tobago, es el Poder Legislativo quien dicta  las  leyes.   El  Ejecutivo  no</w:t>
        <w:br/>
        <w:t>puede, al  momento  de  ratificar  un  tratado,  alterar  las  leyes  de  la</w:t>
        <w:br/>
        <w:t>República o incurrir en incumplimiento constitucional.  Por esta  razón,  el</w:t>
        <w:br/>
        <w:t>Ejecutivo, a la hora de acceder a la Convención  y  aceptar  la  competencia</w:t>
        <w:br/>
        <w:t>contenciosa de la Corte, conforme al artículo 62, estableció  la  “reserva”.</w:t>
        <w:br/>
        <w:t>En ese mismo sentido, el Estado denunció la Convención en mayo de  1998,  en</w:t>
        <w:br/>
        <w:t>virtud de la necesidad de acatar los enunciados de  la  Constitución  de  la</w:t>
        <w:br/>
        <w:t>República de Trinidad y Tobago.</w:t>
        <w:br/>
        <w:br/>
        <w:t>51.   Si la “reserva”  del  Estado  fuere,  por  algún  motivo,  considerada</w:t>
        <w:br/>
        <w:t>inválida, no significaría que el Estado hubiese  declarado,  ilimitadamente,</w:t>
        <w:br/>
        <w:t>su aceptación de la competencia contenciosa de la Corte.  Por el  contrario,</w:t>
        <w:br/>
        <w:t xml:space="preserve"> queda claro que el Estado  nunca  tuvo  la  intención  de  aceptar,  en  su</w:t>
        <w:br/>
        <w:t>totalidad, la competencia de la Corte.  Si  la  “reserva”  es  inválida,  la</w:t>
        <w:br/>
        <w:t>declaración fue inválida y el Estado no presentó nunca su declaración.</w:t>
        <w:br/>
        <w:br/>
        <w:br/>
        <w:t>Alegatos de la Comisión</w:t>
        <w:br/>
        <w:br/>
        <w:t>52.   La Comisión sostuvo que  la  frase  impugnada  en  la  declaración  de</w:t>
        <w:br/>
        <w:t>aceptación del Estado a  la  competencia  de  la  Corte,  debe  considerarse</w:t>
        <w:br/>
        <w:t>inválida en virtud  de  que  no  es  posible  determinar  con  exactitud  su</w:t>
        <w:br/>
        <w:t>naturaleza y alcance.  Es excesivamente vaga  y  no  debe  interpretarse  de</w:t>
        <w:br/>
        <w:t>manera que afecte la competencia de la Corte para juzgar sobre casos  contra</w:t>
        <w:br/>
        <w:t>el Estado.  Indicó que si  se  le  debe  atribuir  un  sentido,  deberá  ser</w:t>
        <w:br/>
        <w:t>interpretada de manera de regular el efecto legal de las  sentencias  de  la</w:t>
        <w:br/>
        <w:t>Corte, y no la competencia de la Corte para juzgar  sobre  casos  contra  el</w:t>
        <w:br/>
        <w:t>Estado.</w:t>
        <w:br/>
        <w:br/>
        <w:t>53.   La Comisión señaló que el  Comité  de  Derechos  Humanos  de  Naciones</w:t>
        <w:br/>
        <w:t>Unidas ha indicado que  las  reservas  a  tratados  sobre  derechos  humanos</w:t>
        <w:br/>
        <w:t>tienen que ser específicas y transparentes  para  que  de  esta  manera  los</w:t>
        <w:br/>
        <w:t>tribunales, individuos bajo la jurisdicción del Estado que hace  la  reserva</w:t>
        <w:br/>
        <w:t>y los otros Estados partes puedan  saber  cuáles  obligaciones  de  derechos</w:t>
        <w:br/>
        <w:t>humanos han o no sido asumidas.  De esta forma, la  frase  contenida  en  la</w:t>
        <w:br/>
        <w:t>“reserva” del Estado parece tener la intención  de  modificar  el  grado  de</w:t>
        <w:br/>
        <w:t>aceptación del Estado a la competencia contenciosa de la Corte, pues  de  la</w:t>
        <w:br/>
        <w:t>lectura de la frase  resulta  difícil  entender  las  restricciones  que  el</w:t>
        <w:br/>
        <w:t>Estado ha pretendido establecer a las obligaciones asumidas  en  virtud  del</w:t>
        <w:br/>
        <w:t>artículo 62 de la Convención.</w:t>
        <w:br/>
        <w:br/>
        <w:t>54.   Además, la frase puede ser interpretada  en  diversos  sentidos.   Por</w:t>
        <w:br/>
        <w:t>ejemplo, puede entenderse que la Corte está impedida para conocer  y  dictar</w:t>
        <w:br/>
        <w:t>sentencia en relación con alegatos de violación  de  un  derecho  consagrado</w:t>
        <w:br/>
        <w:t>por  la  Convención,  si  el  mismo  no  se  encuentra  protegido   por   la</w:t>
        <w:br/>
        <w:t>Constitución del Estado. Alternativamente, se puede interpretar  que  aunque</w:t>
        <w:br/>
        <w:t>la Corte tiene competencia para conocer y decidir un asunto, las  sentencias</w:t>
        <w:br/>
        <w:t>de la Corte deben ser compatibles con ciertas secciones  no  estipuladas  de</w:t>
        <w:br/>
        <w:t>la Constitución de Trinidad y Tobago.</w:t>
        <w:br/>
        <w:br/>
        <w:t>55.   La Comisión señaló que el Estado se  basa  únicamente  en  la  primera</w:t>
        <w:br/>
        <w:t>parte de su declaración para concluir que la  Corte  no  tiene  competencia.</w:t>
        <w:br/>
        <w:t>Destacó que el Estado no hace referencia a la parte de  la  declaración  que</w:t>
        <w:br/>
        <w:t>dice “y siempre que una sentencia de la Corte no contravenga,  establezca  o</w:t>
        <w:br/>
        <w:t>anule  derechos  o  deberes  existentes  de  ciudadanos   particulares”,   y</w:t>
        <w:br/>
        <w:t>consideró que es evidente que el Estado  reconoce  específicamente  en  esta</w:t>
        <w:br/>
        <w:t>segunda parte de la declaración que la Corte tiene competencia  para  emitir</w:t>
        <w:br/>
        <w:t>sentencias en casos contra Trinidad  y  Tobago.   Puede  ser  entonces  que,</w:t>
        <w:br/>
        <w:t>tomando la primera y segunda partes de  la  declaración  juntas,  el  Estado</w:t>
        <w:br/>
        <w:t>estuviera preocupado de que el darle efecto a las sentencias de la Corte  en</w:t>
        <w:br/>
        <w:t>Trinidad  y  Tobago  no  tuviera  un  efecto  adverso  sobre  los   derechos</w:t>
        <w:br/>
        <w:t>existentes de los ciudadanos, privarlos de derechos  que  ya  disfrutaban  o</w:t>
        <w:br/>
        <w:t>imponerles deberes a los que no estaban sujetos.</w:t>
        <w:br/>
        <w:br/>
        <w:t>56.   El término podría interpretarse en el sentido de que dado  que  en  la</w:t>
        <w:br/>
        <w:t>Constitución no hay disposición alguna que expresamente  prohíba  al  Estado</w:t>
        <w:br/>
        <w:t>aceptar la competencia de la Corte, el reconocimiento de  dicha  competencia</w:t>
        <w:br/>
        <w:t>es completo y eficaz. En  este  sentido,  el  Estado  no  sugiere  que  haya</w:t>
        <w:br/>
        <w:t>disposiciones de la Constitución  de  Trinidad  y  Tobago  que  prohíban  al</w:t>
        <w:br/>
        <w:t>Estado aceptar la competencia de la Corte.</w:t>
        <w:br/>
        <w:br/>
        <w:t>57.   En virtud de las diversas interpretaciones posibles de la frase,  ésta</w:t>
        <w:br/>
        <w:t>resulta tan ambigua que su significado  y  alcance  van  a  depender  de  la</w:t>
        <w:br/>
        <w:t>decisión subjetiva  del  Estado  respecto  de  cuáles  disposiciones  de  la</w:t>
        <w:br/>
        <w:t>Constitución  son  “relevantes”  y  en  qué  sentido  la  aceptación  de  la</w:t>
        <w:br/>
        <w:t>competencia de la Corte debe ser “compatible” con dichas disposiciones.   La</w:t>
        <w:br/>
        <w:t>frase, por lo tanto, privaría  la  exclusiva  autoridad  de  la  Corte  para</w:t>
        <w:br/>
        <w:t>determinar  su  propia  competencia,  razón  por  la  cual  dicha  frase  es</w:t>
        <w:br/>
        <w:t>inválida.</w:t>
        <w:br/>
        <w:br/>
        <w:t>58.   La Comisión, además, señaló que la frase contenida en  la  declaración</w:t>
        <w:br/>
        <w:t>de aceptación del Estado no está autorizada por los artículos 62  ni  75  de</w:t>
        <w:br/>
        <w:t>la Convención y es incompatible con el objeto y fin de ésta.</w:t>
        <w:br/>
        <w:br/>
        <w:t>59.   De conformidad con el artículo 62.2 de la Convención, la  “declaración</w:t>
        <w:br/>
        <w:t>puede ser hecha incondicionalmente o bajo condición de reciprocidad, por  un</w:t>
        <w:br/>
        <w:t>plazo determinado o para casos específicos”.  La  “reserva”  del  Estado  no</w:t>
        <w:br/>
        <w:t>estipula requerimiento de reciprocidad, limitaciones temporales,  ni  define</w:t>
        <w:br/>
        <w:t>los  casos  específicos  respecto  de  los  cuales  la  Corte  aplicará   su</w:t>
        <w:br/>
        <w:t>competencia.</w:t>
        <w:br/>
        <w:br/>
        <w:t>60.   En un segundo lugar, y  de  conformidad  con  el  artículo  75  de  la</w:t>
        <w:br/>
        <w:t>Convención y, específicamente el artículo 19 de la Convención de  Viena,  la</w:t>
        <w:br/>
        <w:t>“reserva” del Estado no está  permitida,  en  virtud  de  que  la  misma  es</w:t>
        <w:br/>
        <w:t>contraria al objeto y fin de la Convención.  Asimismo, la “reserva”  resulta</w:t>
        <w:br/>
        <w:t>contraria a los principios generales del Derecho Internacional.</w:t>
        <w:br/>
        <w:br/>
        <w:t>61.   Finalmente, la frase,  tal  y  como  la  ha  interpretado  el  Estado,</w:t>
        <w:br/>
        <w:t>limitaría las facultades de la Corte  para  interpretar  y  aplicar  ciertas</w:t>
        <w:br/>
        <w:t>disposiciones de la Convención en todos  los  casos  ante  la  Corte  contra</w:t>
        <w:br/>
        <w:t>Trinidad y Tobago,  al  permitir  al  Tribunal  interpretar  y  aplicar  los</w:t>
        <w:br/>
        <w:t>derechos consagrados en la Convención  sólo  en  la  medida  en  que  dichos</w:t>
        <w:br/>
        <w:t>derechos se encuentren protegidos en la Constitución del Estado.</w:t>
        <w:br/>
        <w:br/>
        <w:t>62.   La Comisión consideró que la posición del Estado ignora  el  hecho  de</w:t>
        <w:br/>
        <w:t>que es responsabilidad de la Corte,  y  no  del  Estado,  determinar  si  el</w:t>
        <w:br/>
        <w:t>derecho interno del Estado, incluyendo la Constitución,  es  compatible  con</w:t>
        <w:br/>
        <w:t>los  derechos  protegidos  por  la   Convención.   Indicó   que   la   Corte</w:t>
        <w:br/>
        <w:t>Interamericana ha enfatizado que el tema de la competencia para un  caso  en</w:t>
        <w:br/>
        <w:t>particular es materia que decide la Corte solamente, no los Estados  partes.</w:t>
        <w:br/>
        <w:t xml:space="preserve"> Esto se extiende claramente a la interpretación de  las  frases  contenidas</w:t>
        <w:br/>
        <w:t>en las declaraciones de aceptación, de conformidad con el artículo 62 de  la</w:t>
        <w:br/>
        <w:t>Convención, de varios Estados partes.</w:t>
        <w:br/>
        <w:br/>
        <w:t>63.   En las circunstancias mencionadas, interpretar el artículo  62  de  la</w:t>
        <w:br/>
        <w:t>Convención Americana autorizando  los  términos  de  aceptación  del  Estado</w:t>
        <w:br/>
        <w:t>contravendría  el   artículo   29.a   de   la   Convención,   al   permitir,</w:t>
        <w:br/>
        <w:t>efectivamente, al Estado violar la  Convención  respecto  de  las  supuestas</w:t>
        <w:br/>
        <w:t>víctimas en este caso.  El Estado ha interpretado su declaración  de  manera</w:t>
        <w:br/>
        <w:t>de impedir a la Corte considerar los aspectos específicos  de  la  “pena  de</w:t>
        <w:br/>
        <w:t>muerte obligatoria”.</w:t>
        <w:br/>
        <w:br/>
        <w:t>64.   Asimismo, la Comisión sostuvo que se puede separar la frase  impugnada</w:t>
        <w:br/>
        <w:t>del instrumento de aceptación, por  parte  del  Estado,  de  la  competencia</w:t>
        <w:br/>
        <w:t>contenciosa de la Corte, conservando  la  validez  y  efectividad  de  dicho</w:t>
        <w:br/>
        <w:t>instrumento.</w:t>
        <w:br/>
        <w:br/>
        <w:t>65.   La Convención protege los derechos humanos de los  individuos  sujetos</w:t>
        <w:br/>
        <w:t>a la jurisdicción de los Estados partes, por lo que la “reserva” del  Estado</w:t>
        <w:br/>
        <w:t>debe ser interpretada  de  manera  que  fortalezca,  no  que  debilite  este</w:t>
        <w:br/>
        <w:t>régimen y, por lo tanto,  aumente  y  no  disminuya  la  protección  de  los</w:t>
        <w:br/>
        <w:t>derechos humanos en todo el hemisferio.</w:t>
        <w:br/>
        <w:br/>
        <w:t>66.   Separar la  frase  impugnada  de  la  declaración  de  aceptación  del</w:t>
        <w:br/>
        <w:t>Estado, en lugar de anular la declaración in toto, sirve para  asegurar  los</w:t>
        <w:br/>
        <w:t>derechos  humanos  fundamentales  de  las  supuestas  víctimas  y   de   los</w:t>
        <w:br/>
        <w:t>individuos en situaciones similares  quienes  de  otra  manera  no  tendrían</w:t>
        <w:br/>
        <w:t>recursos internos efectivos de protección.</w:t>
        <w:br/>
        <w:br/>
        <w:t>67.   Trinidad y  Tobago  fue  el  único  Estado  parte  al  momento  de  su</w:t>
        <w:br/>
        <w:t>aceptación,  que  estableció  condiciones  de  esta   naturaleza   para   la</w:t>
        <w:br/>
        <w:t>aceptación de la competencia de la Corte.  Por el contrario, la  mayoría  ha</w:t>
        <w:br/>
        <w:t>aceptado la competencia de la Corte  incondicionalmente.   Es  un  principio</w:t>
        <w:br/>
        <w:t>de Derecho  Internacional  y  un  “precepto  fundamental  subyacente  en  la</w:t>
        <w:br/>
        <w:t>Convención Americana”, que los Estados no pueden invocar su derecho  interno</w:t>
        <w:br/>
        <w:t>como justificación de no cumplir un tratado.  Sin embargo, esto  es  lo  que</w:t>
        <w:br/>
        <w:t>el Estado pretende a través de su interpretación de la frase impugnada.</w:t>
        <w:br/>
        <w:br/>
        <w:t>68.   La Comisión Interamericana argumentó que  la  Corte  puede  seguir  el</w:t>
        <w:br/>
        <w:t>razonamiento de la Corte Europea de Derechos Humanos (en adelante “la  Corte</w:t>
        <w:br/>
        <w:t>Europea”), en el  caso  Loizidou  vs.  Turquía,  el  cual  declaró  que  las</w:t>
        <w:br/>
        <w:t>restricciones ratione loci pueden ser  separadas  de  las  declaraciones  de</w:t>
        <w:br/>
        <w:t>aceptación, dejando intacta la aceptación de cláusulas facultativas.</w:t>
        <w:br/>
        <w:br/>
        <w:t>Consideraciones de la Corte</w:t>
        <w:br/>
        <w:br/>
        <w:t>69.   La cuestión de la pretendida “reserva” con que el Estado  de  Trinidad</w:t>
        <w:br/>
        <w:t>y Tobago acompañó su aceptación de la competencia contenciosa  de  la  Corte</w:t>
        <w:br/>
        <w:t>Interamericana, debe ser resuelta por este Tribunal.  La  Corte,  como  todo</w:t>
        <w:br/>
        <w:t>órgano  con  funciones  jurisdiccionales,  tiene  el  poder   inherente   de</w:t>
        <w:br/>
        <w:t>determinar  el  alcance  de  su  propia  competencia   (compétence   de   la</w:t>
        <w:br/>
        <w:t>compétence/Kompetenz-Kompetenz).</w:t>
        <w:br/>
        <w:br/>
        <w:t>70.   Incumbe a la Corte darle a la declaración del Estado,  como  un  todo,</w:t>
        <w:br/>
        <w:t>una interpretación de acuerdo con los cánones  y  la  práctica  del  Derecho</w:t>
        <w:br/>
        <w:t>Internacional en general,  y  del  Derecho  Internacional  de  los  Derechos</w:t>
        <w:br/>
        <w:t>Humanos en particular, y que proporcione el mayor grado de protección a  los</w:t>
        <w:br/>
        <w:t>seres humanos bajo su tutela.</w:t>
        <w:br/>
        <w:br/>
        <w:t>71.   La Corte no puede abdicar de  esta  prerrogativa,  que  además  es  un</w:t>
        <w:br/>
        <w:t>deber que le impone la Convención  Americana,  para  ejercer  sus  funciones</w:t>
        <w:br/>
        <w:t>según el artículo 62.3 de la misma.  Dicha disposición establece  que  “[l]a</w:t>
        <w:br/>
        <w:t>Corte tiene competencia  para  conocer  de  cualquier  caso 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especial”.</w:t>
        <w:br/>
        <w:br/>
        <w:t>72.   Como este mismo Tribunal lo ha  mencionado  en  las  sentencias  sobre</w:t>
        <w:br/>
        <w:t>competencia en los Casos del Tribunal Constitucional e Ivcher Bronstein:</w:t>
        <w:br/>
        <w:br/>
        <w:t xml:space="preserve">      La competencia de la Corte no  puede  estar  condicionada  por  hechos</w:t>
        <w:br/>
        <w:t xml:space="preserve">      distintos a sus propias actuaciones.  Los instrumentos  de  aceptación</w:t>
        <w:br/>
        <w:t xml:space="preserve">      de la cláusula facultativa de la  jurisdicción  obligatoria  (artículo</w:t>
        <w:br/>
        <w:t xml:space="preserve">      62.1 de la Convención) presuponen la admisión, por los Estados que  la</w:t>
        <w:br/>
        <w:t xml:space="preserve">      presentan, del derecho de la Corte a resolver  cualquier  controversia</w:t>
        <w:br/>
        <w:t xml:space="preserve">      relativa a su  jurisdicción.   Una  objeción  o  cualquier  otro  acto</w:t>
        <w:br/>
        <w:t xml:space="preserve">      interpuesto por el Estado con el propósito de afectar  la  competencia</w:t>
        <w:br/>
        <w:t xml:space="preserve">      de la Corte es inocuo, pues en cualesquiera  circunstancias  la  Corte</w:t>
        <w:br/>
        <w:t xml:space="preserve">      retiene la  compétence  de  la  compétence,  por  ser  maestra  de  su</w:t>
        <w:br/>
        <w:t xml:space="preserve">      jurisdicción[10].</w:t>
        <w:br/>
        <w:br/>
        <w:t>73.   Al interpretar la Convención conforme a su  objeto  y  fin,  la  Corte</w:t>
        <w:br/>
        <w:t>debe actuar de tal manera  que  se  preserve  la  integridad  del  mecanismo</w:t>
        <w:br/>
        <w:t>previsto  en  el  artículo  62.1  de  la  Convención.    Sería   inadmisible</w:t>
        <w:br/>
        <w:t>subordinar tal mecanismo a restricciones que  hagan  inoperante  el  sistema</w:t>
        <w:br/>
        <w:t>tutelar de los derechos humanos, previsto en la Convención y, por lo  tanto,</w:t>
        <w:br/>
        <w:t>la función jurisdiccional de la Corte.</w:t>
        <w:br/>
        <w:br/>
        <w:t>74.   Como esta Corte ha señalado en los Casos del  Tribunal  Constitucional</w:t>
        <w:br/>
        <w:t>e Ivcher Bronstein</w:t>
        <w:br/>
        <w:br/>
        <w:t xml:space="preserve">      [l]os Estados partes en la Convención deben garantizar el cumplimiento</w:t>
        <w:br/>
        <w:t xml:space="preserve">      de las disposiciones  convencionales  y  sus  efectos  propios  (effet</w:t>
        <w:br/>
        <w:t xml:space="preserve">      utile) en  el  plano  de  sus  respectivos  derechos  internos.   Este</w:t>
        <w:br/>
        <w:t xml:space="preserve">      principio se aplica no sólo en relación con las normas sustantivas  de</w:t>
        <w:br/>
        <w:t xml:space="preserve">      los  tratados  de  derechos  humanos  (es  decir,  las  que  contienen</w:t>
        <w:br/>
        <w:t xml:space="preserve">      disposiciones sobre los derechos protegidos), sino también en relación</w:t>
        <w:br/>
        <w:t xml:space="preserve">      con las normas procesales, tal como la  referente  a  la  cláusula  de</w:t>
        <w:br/>
        <w:t xml:space="preserve">      aceptación de la competencia contenciosa del Tribunal.  Tal  cláusula,</w:t>
        <w:br/>
        <w:t xml:space="preserve">      esencial a la eficacia del mecanismo de protección internacional, debe</w:t>
        <w:br/>
        <w:t xml:space="preserve">      ser interpretada y aplicada de modo que la garantía que establece  sea</w:t>
        <w:br/>
        <w:t xml:space="preserve">      verdaderamente práctica  y  eficaz,  teniendo  presentes  el  carácter</w:t>
        <w:br/>
        <w:t xml:space="preserve">      especial de los tratados de derechos humanos […] y  su  implementación</w:t>
        <w:br/>
        <w:t xml:space="preserve">      colectiva[11].</w:t>
        <w:br/>
        <w:br/>
        <w:t>75.   Según el artículo 31.1 de la Convención de Viena de 1969</w:t>
        <w:br/>
        <w:br/>
        <w:t xml:space="preserve">      [u]n tratado deberá interpretarse de  buena  fe  conforme  al  sentido</w:t>
        <w:br/>
        <w:t xml:space="preserve">      corriente que haya de atribuirse a los  términos  del  tratado  en  el</w:t>
        <w:br/>
        <w:t xml:space="preserve">      contexto de éstos y teniendo en cuenta su objeto y fin.</w:t>
        <w:br/>
        <w:br/>
        <w:t>76.   LA TAREA DE LA CORTE EN ESTA ETAPA ES  DECIDIR  POR  LO  QUE  HACE  AL</w:t>
        <w:br/>
        <w:t>PRESENTE CASO, SI LA “RESERVA” PLANTEADA POR  TRINIDAD  Y  TOBAGO  TIENE  EL</w:t>
        <w:br/>
        <w:t>EFECTO DE EXCLUIR LA COMPETENCIA DE LA CORTE EN  LA  FORMA  ALEGADA  POR  EL</w:t>
        <w:br/>
        <w:t>ESTADO.</w:t>
        <w:br/>
        <w:br/>
        <w:t>77.   Como se ha  visto,  la  pretendida  “reserva”  tiene  dos  partes.  La</w:t>
        <w:br/>
        <w:t>primera  se  orienta  a  limitar  el  reconocimiento   de   la   competencia</w:t>
        <w:br/>
        <w:t>contenciosa de la Corte, en el sentido  de  que  dicho  reconocimiento  sólo</w:t>
        <w:br/>
        <w:t>valdrá como tal en la medida  en  que  “sea  compatible  con  las  secciones</w:t>
        <w:br/>
        <w:t>pertinentes” de la Constitución de  Trinidad  y  Tobago.  Estas  expresiones</w:t>
        <w:br/>
        <w:t>admiten muchas interpretaciones. Sin embargo, para la Corte es claro que  no</w:t>
        <w:br/>
        <w:t>puede dárseles un alcance de acuerdo con el cual constituyan un  impedimento</w:t>
        <w:br/>
        <w:t>para que este Tribunal juzgue si el Estado violó o no alguna disposición  de</w:t>
        <w:br/>
        <w:t>la Convención.  La segunda parte de la pretendida restricción condiciona  el</w:t>
        <w:br/>
        <w:t>“reconocimiento” del Estado de la competencia contenciosa de la Corte a  que</w:t>
        <w:br/>
        <w:t>las  sentencias  de  ésta  “no  contravenga[n],  establezca[n]  o   anule[n]</w:t>
        <w:br/>
        <w:t>derechos  o  deberes   existentes   de   ciudadanos   particulares”   (sic).</w:t>
        <w:br/>
        <w:t>Nuevamente, además de que el significado preciso de  esta  condición  no  es</w:t>
        <w:br/>
        <w:t>claro, es indudable que no puede ser utilizado con el propósito de  suprimir</w:t>
        <w:br/>
        <w:t>la competencia de la Corte para conocer y decidir una  demanda  en  relación</w:t>
        <w:br/>
        <w:t>con una supuesta violación de las obligaciones convencionales del Estado.</w:t>
        <w:br/>
        <w:br/>
        <w:t>78.   Al respecto, el artículo 62 incisos 1 y 2 de la  Convención  Americana</w:t>
        <w:br/>
        <w:t>dispone:</w:t>
        <w:br/>
        <w:br/>
        <w:t xml:space="preserve">   1. Todo Estado parte puede, en el momento del depósito de su  instrumento</w:t>
        <w:br/>
        <w:t xml:space="preserve">      de ratificación o adhesión de esta Convención, o en cualquier  momento</w:t>
        <w:br/>
        <w:t xml:space="preserve">      posterior, declarar que reconoce como obligatoria de pleno  derecho  y</w:t>
        <w:br/>
        <w:t xml:space="preserve">      sin convención especial, la competencia de la Corte  sobre  todos  los</w:t>
        <w:br/>
        <w:t xml:space="preserve">      casos relativos a la interpretación o aplicación de esta Convención.</w:t>
        <w:br/>
        <w:br/>
        <w:br/>
        <w:t xml:space="preserve">     2.    La  declaración  puede  ser  hecha  incondicionalmente,  o  bajo</w:t>
        <w:br/>
        <w:t xml:space="preserve">     condición de reciprocidad, por  un  plazo  determinado  o  para  casos</w:t>
        <w:br/>
        <w:t xml:space="preserve">     específicos.  Deberá  ser  presentada  al  Secretario  General  de  la</w:t>
        <w:br/>
        <w:t xml:space="preserve">     Organización, quien transmitirá copias de la misma a los otros Estados</w:t>
        <w:br/>
        <w:t xml:space="preserve">     miembros de la Organización y al Secretario de la Corte.</w:t>
        <w:br/>
        <w:br/>
        <w:t>79.   Esta Corte observa que el instrumento  de  aceptación,  por  parte  de</w:t>
        <w:br/>
        <w:t>Trinidad y Tobago, de la competencia contenciosa del Tribunal,  no  encuadra</w:t>
        <w:br/>
        <w:t>en las hipótesis previstas en el artículo 62.2 de la  Convención  Americana.</w:t>
        <w:br/>
        <w:t>Tiene un alcance general, que termina por subordinar  la  aplicación  de  la</w:t>
        <w:br/>
        <w:t>Convención al derecho interno de Trinidad y Tobago en forma  total  y  según</w:t>
        <w:br/>
        <w:t>lo  dispongan  sus  tribunales  nacionales.   Todo  esto  implica  que  este</w:t>
        <w:br/>
        <w:t>instrumento de aceptación es manifiestamente incompatible con  el  objeto  y</w:t>
        <w:br/>
        <w:t>fin de la Convención.  Por  lo  tanto,  no  existe  en  el  citado  artículo</w:t>
        <w:br/>
        <w:t>disposición alguna  que  faculte  a  Trinidad  y  Tobago  para  formular  la</w:t>
        <w:br/>
        <w:t>restricción que hizo.</w:t>
        <w:br/>
        <w:br/>
        <w:t>80.   Una interpretación de la Convención Americana “de  buena  fe  conforme</w:t>
        <w:br/>
        <w:t>al sentido corriente que haya de atribuirse a los términos  del  tratado  en</w:t>
        <w:br/>
        <w:t>el contexto de éstos y teniendo en cuenta su objeto y  fin”,  lleva  a  esta</w:t>
        <w:br/>
        <w:t>Corte a  considerar  que  un  Estado  parte  en  la  Convención  sólo  puede</w:t>
        <w:br/>
        <w:t>desvincularse   de   sus   obligaciones   convencionales   observando    las</w:t>
        <w:br/>
        <w:t>disposiciones del propio tratado[12].</w:t>
        <w:br/>
        <w:br/>
        <w:t>81.   El artículo 29.a de la  Convención  Americana  establece  que  ninguna</w:t>
        <w:br/>
        <w:t>disposición de la misma puede ser interpretada en el sentido de “permitir  a</w:t>
        <w:br/>
        <w:t>alguno de los Estados partes, grupo o persona, suprimir el goce y  ejercicio</w:t>
        <w:br/>
        <w:t>de los derechos y libertades reconocidos en la Convención  o  limitarlos  en</w:t>
        <w:br/>
        <w:t>mayor medida que la prevista en ella”.  De esta manera, no  tendría  sentido</w:t>
        <w:br/>
        <w:t>suponer que un Estado que decidió libremente su aceptación a la  competencia</w:t>
        <w:br/>
        <w:t>contenciosa de la Corte, haya pretendido en ese  mismo  momento  evitar  que</w:t>
        <w:br/>
        <w:t>ésta ejerza sus funciones según  lo  previsto  en  la  Convención.   Por  el</w:t>
        <w:br/>
        <w:t>contrario, la sola aceptación del Estado conlleva la  presunción  inequívoca</w:t>
        <w:br/>
        <w:t>de que se somete a la competencia contenciosa de la Corte.</w:t>
        <w:br/>
        <w:br/>
        <w:t>82.    El  efecto  del  tercer  alegato  del   Estado   sería   limitar   su</w:t>
        <w:br/>
        <w:t>reconocimiento de la competencia contenciosa de la  Corte  en  forma  total,</w:t>
        <w:br/>
        <w:t>con consecuencias negativas para el ejercicio  de  los  derechos  protegidos</w:t>
        <w:br/>
        <w:t>por la Convención.</w:t>
        <w:br/>
        <w:br/>
        <w:t>83.    La  declaración  efectuada  por  el  Estado  de  Trinidad  y  Tobago,</w:t>
        <w:br/>
        <w:t>facultaría a éste para decidir en  cada  caso  concreto  el  alcance  de  su</w:t>
        <w:br/>
        <w:t>propia aceptación de la competencia contenciosa de la  Corte  en  detrimento</w:t>
        <w:br/>
        <w:t>del ejercicio de la función contenciosa del  Tribunal.   Además,  concedería</w:t>
        <w:br/>
        <w:t>al Estado la potestad discrecional para decidir qué  asuntos  puede  conocer</w:t>
        <w:br/>
        <w:t>la Corte, lo que privaría el ejercicio de  la  competencia  contenciosa  del</w:t>
        <w:br/>
        <w:t>Tribunal de toda eficacia.</w:t>
        <w:br/>
        <w:br/>
        <w:t>84.   Asimismo, aceptar la declaración a la que se hace referencia,  en  los</w:t>
        <w:br/>
        <w:t>términos propuestos por el Estado, conduciría a  una  situación  en  que  la</w:t>
        <w:br/>
        <w:t>Corte tendría como  primer  parámetro  de  referencia  la  Constitución  del</w:t>
        <w:br/>
        <w:t>Estado y  sólo  subsidiariamente  la  Convención  Americana,  situación  que</w:t>
        <w:br/>
        <w:t>acarrearía una fragmentación del orden jurídico internacional de  protección</w:t>
        <w:br/>
        <w:t>de los derechos humanos y haría ilusorios el objeto y fin de la Convención.</w:t>
        <w:br/>
        <w:br/>
        <w:t>85.   La Convención Americana, así  como  los  demás  tratados  de  derechos</w:t>
        <w:br/>
        <w:t>humanos,  se  inspira  en  valores  comunes  superiores  (centrados  en   la</w:t>
        <w:br/>
        <w:t>protección del  ser  humano),  está  dotada  de  mecanismos  específicos  de</w:t>
        <w:br/>
        <w:t>supervisión, se aplica de conformidad con la noción de  garantía  colectiva,</w:t>
        <w:br/>
        <w:t>consagra  obligaciones  de  carácter  esencialmente  objetivo  y  tiene  una</w:t>
        <w:br/>
        <w:t>naturaleza especial, que la diferencia de los  demás  tratados,  los  cuales</w:t>
        <w:br/>
        <w:t>reglamentan intereses recíprocos entre los Estados partes  y  son  aplicados</w:t>
        <w:br/>
        <w:t>por éstos, con todas las consecuencias jurídicas que de ahí derivan  en  los</w:t>
        <w:br/>
        <w:t>ordenamientos jurídicos internacional e interno[13].</w:t>
        <w:br/>
        <w:br/>
        <w:t>86.   Al respecto, esta Corte ha señalado, en su  Opinión  Consultiva  sobre</w:t>
        <w:br/>
        <w:t>El Efecto de las Reservas Sobre la Entrada  en  Vigencia  de  la  Convención</w:t>
        <w:br/>
        <w:t>Americana sobre Derechos Humanos (OC-2/82), que</w:t>
        <w:br/>
        <w:br/>
        <w:t xml:space="preserve">      […] los tratados modernos sobre derechos humanos, en  general,  y,  en</w:t>
        <w:br/>
        <w:t xml:space="preserve">      particular, la Convención Americana, no  son  tratados  multilaterales</w:t>
        <w:br/>
        <w:t xml:space="preserve">      del  tipo  tradicional,  concluidos  en  función  de  un   intercambio</w:t>
        <w:br/>
        <w:t xml:space="preserve">      recíproco  de  derechos,  para  el  beneficio  mutuo  de  los  Estados</w:t>
        <w:br/>
        <w:t xml:space="preserve">      contratantes.  Su objeto y fin  son  la  protección  de  los  derechos</w:t>
        <w:br/>
        <w:t xml:space="preserve">      fundamentales  de  los  seres  humanos,   independientemente   de   su</w:t>
        <w:br/>
        <w:t xml:space="preserve">      nacionalidad, tanto frente a su propio Estado como frente a los  otros</w:t>
        <w:br/>
        <w:t xml:space="preserve">      Estados  contratantes.   Al  aprobar  estos  tratados  sobre  derechos</w:t>
        <w:br/>
        <w:t xml:space="preserve">      humanos, los Estados se someten a  un  orden  legal  dentro  del  cual</w:t>
        <w:br/>
        <w:t xml:space="preserve">      ellos, por el bien común, asumen varias obligaciones, no  en  relación</w:t>
        <w:br/>
        <w:t xml:space="preserve">      con otros Estados, sino hacia los individuos bajo su jurisdicción[14].</w:t>
        <w:br/>
        <w:br/>
        <w:t>87.   Dicho  criterio  coincide  con  la  jurisprudencia  de  otros  órganos</w:t>
        <w:br/>
        <w:t>jurisdiccionales internacionales[15].</w:t>
        <w:br/>
        <w:br/>
        <w:t>88.   Asimismo, como esta Corte ha  advertido  en  los  Casos  del  Tribunal</w:t>
        <w:br/>
        <w:t>Constitucional e Ivcher Bronstein</w:t>
        <w:br/>
        <w:br/>
        <w:t xml:space="preserve">      [h]ay que descartar cualquier analogía entre, por un lado, la práctica</w:t>
        <w:br/>
        <w:t xml:space="preserve">      estatal permisiva desarrollada bajo el artículo 36.2 del  Estatuto  de</w:t>
        <w:br/>
        <w:t xml:space="preserve">      la Corte Internacional de Justicia, y, por otro lado, la aceptación de</w:t>
        <w:br/>
        <w:t xml:space="preserve">      la cláusula facultativa de la competencia obligatoria de  esta  Corte,</w:t>
        <w:br/>
        <w:t xml:space="preserve">      teniendo  presentes  el  carácter  especial,  así  como  el  objeto  y</w:t>
        <w:br/>
        <w:t xml:space="preserve">      propósito  de  la  Convención  Americana.   En  este  sentido  se   ha</w:t>
        <w:br/>
        <w:t xml:space="preserve">      pronunciado igualmente la Corte Europea de  Derechos  Humanos,  en  su</w:t>
        <w:br/>
        <w:t xml:space="preserve">      sentencia sobre excepciones  preliminares  en  el  caso  Loizidou  vs.</w:t>
        <w:br/>
        <w:t xml:space="preserve">      Turquía  (1995),  en  relación  con  la  cláusula  facultativa  de  su</w:t>
        <w:br/>
        <w:t xml:space="preserve">      jurisdicción  obligatoria  (artículo  46  de  la  Convención  Europea,</w:t>
        <w:br/>
        <w:t xml:space="preserve">      anteriormente a la entrada en vigor, el 01.11.1998, del Protocolo XI a</w:t>
        <w:br/>
        <w:t xml:space="preserve">      la Convención Europea), fundamentando su posición en  el  carácter  de</w:t>
        <w:br/>
        <w:t xml:space="preserve">      “tratado normativo” (law-making treaty) de la Convención Europea[16].</w:t>
        <w:br/>
        <w:br/>
        <w:t>89.   En vista de lo anterior, la Corte considera que Trinidad y  Tobago  no</w:t>
        <w:br/>
        <w:t>puede prevalerse  de  las  limitaciones  formuladas  en  su  instrumento  de</w:t>
        <w:br/>
        <w:t>aceptación de la cláusula facultativa de la jurisdicción obligatoria  de  la</w:t>
        <w:br/>
        <w:t>Corte Interamericana de Derechos Humanos, en virtud de lo establecido en  el</w:t>
        <w:br/>
        <w:t>artículo 62 de la Convención  Americana,  por  cuanto  dicha  limitación  es</w:t>
        <w:br/>
        <w:t>incompatible con el objeto y fin de la Convención.  Por lo tanto,  la  Corte</w:t>
        <w:br/>
        <w:t>considera  que  debe  desestimar  el  segundo  y  tercer  argumentos  de  la</w:t>
        <w:br/>
        <w:t>excepción preliminar interpuesta por el Estado en lo que  se  refiere  a  la</w:t>
        <w:br/>
        <w:t>competencia de la Corte.</w:t>
        <w:br/>
        <w:br/>
        <w:t xml:space="preserve">                                    VIII</w:t>
        <w:br/>
        <w:t xml:space="preserve">                             PUNTOS RESOLUTIVOS</w:t>
        <w:br/>
        <w:br/>
        <w:t>90.   Por tanto,</w:t>
        <w:br/>
        <w:br/>
        <w:br/>
        <w:t>LA CORTE</w:t>
        <w:br/>
        <w:br/>
        <w:br/>
        <w:br/>
        <w:t xml:space="preserve">   DECIDE</w:t>
        <w:br/>
        <w:br/>
        <w:br/>
        <w:t>por unanimidad,</w:t>
        <w:br/>
        <w:br/>
        <w:t>1.    Desestimar en su totalidad la excepción preliminar interpuesta por  el</w:t>
        <w:br/>
        <w:t>Estado.</w:t>
        <w:br/>
        <w:br/>
        <w:t>2.    Continuar con el conocimiento  y  la  tramitación  del  presente</w:t>
        <w:br/>
        <w:t>caso.</w:t>
        <w:br/>
        <w:br/>
        <w:t>3.    Comisionar a su Presidente para que, en su  oportunidad,  convoque  al</w:t>
        <w:br/>
        <w:t>Estado y a la Comisión Interamericana  a  una  audiencia  pública  sobre  el</w:t>
        <w:br/>
        <w:t>fondo del caso, por realizarse en la sede  de  la  Corte  Interamericana  de</w:t>
        <w:br/>
        <w:t>Derechos Humanos.</w:t>
        <w:br/>
        <w:br/>
        <w:t>4.    Notificar esta Sentencia al Estado y a la Comisión  Interamericana  de</w:t>
        <w:br/>
        <w:t>Derechos Humanos.</w:t>
        <w:br/>
        <w:br/>
        <w:t>Los Jueces Cançado Trindade, Salgado  Pesantes  y  García  Ramírez  hicieron</w:t>
        <w:br/>
        <w:t>conocer a la Corte sus Votos Razonados,  los  cuales  se  acompañan  a  esta</w:t>
        <w:br/>
        <w:t>Sentencia.</w:t>
        <w:br/>
        <w:br/>
        <w:br/>
        <w:br/>
        <w:t>Redactada en español y en inglés, haciendo fe el texto en  español,  en  San</w:t>
        <w:br/>
        <w:t>José, Costa Rica, el día 1 de septiembre de 2001.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 xml:space="preserve">      Oliver Jackman   Alirio Abreu Burelli</w:t>
        <w:br/>
        <w:br/>
        <w:t>Sergio García Ramírez  Carlos Vicente de Roux Rengifo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VOTO RAZONADO DEL JUEZ A.A. CANÇADO TRINDADE</w:t>
        <w:br/>
        <w:br/>
        <w:br/>
        <w:br/>
        <w:t>1.    Voto a favor de la adopción por la Corte  Interamericana  de  Derechos</w:t>
        <w:br/>
        <w:t>Humanos de la presente Sentencia sobre Excepciones Preliminares en  el  caso</w:t>
        <w:br/>
        <w:t>Benjamín y Otros versus Trinidad y Tobago, que, a mi  juicio  representa  un</w:t>
        <w:br/>
        <w:t>aporte significativo del Derecho Internacional de los Derechos Humanos a  la</w:t>
        <w:br/>
        <w:t>evolución de un aspecto específico del Derecho Internacional  contemporáneo,</w:t>
        <w:br/>
        <w:t>a saber, el atinente a la jurisdicción internacional obligatoria (basada  en</w:t>
        <w:br/>
        <w:t>la aceptación de la cláusula facultativa de la jurisdicción obligatoria)  de</w:t>
        <w:br/>
        <w:t>un tribunal  internacional  de  derechos  humanos.  Dada  la  transcendental</w:t>
        <w:br/>
        <w:t>importancia de esta materia, me veo en  la  obligación  de  presentar,  como</w:t>
        <w:br/>
        <w:t>fundamento jurídico de mi posición  al  respecto,  las  reflexiones  que  me</w:t>
        <w:br/>
        <w:t>permito desarrollar en este Voto Razonado, acerca de los siguientes  puntos:</w:t>
        <w:br/>
        <w:t>primero, la cuestión previa de la compétence  de  la  compétence  (Kompetenz</w:t>
        <w:br/>
        <w:t>Kompetenz) de la Corte Interamericana; segundo, el  orígen  y  la  evolución</w:t>
        <w:br/>
        <w:t>del instituto de la cláusula facultativa de la jurisdicción  obligatoria,  y</w:t>
        <w:br/>
        <w:t>el examen de la práctica internacional al respecto; tercero, una  evaluación</w:t>
        <w:br/>
        <w:t>lex lata de la jurisdicción internacional  obligatoria;  cuarto,  el  efecto</w:t>
        <w:br/>
        <w:t>jurídico de la  formulación  taxativa  de  la  cláusula  facultativa  en  el</w:t>
        <w:br/>
        <w:t>artículo 62 de la  Convención  Americana  sobre  Derechos  Humanos  (numerus</w:t>
        <w:br/>
        <w:t>clausus); y cuarto, mis ponderaciones de lege ferenda sobre la  jurisdicción</w:t>
        <w:br/>
        <w:t>internacional obligatoria en el marco de la Convención Americana.</w:t>
        <w:br/>
        <w:br/>
        <w:br/>
        <w:t xml:space="preserve">      I.    Cuestión Previa: La Compétence de  la  Compétence  de  la  Corte</w:t>
        <w:br/>
        <w:t xml:space="preserve">      Interamericana de Derechos Humanos.</w:t>
        <w:br/>
        <w:br/>
        <w:t>2.    El punto de partida de mi lectura personal del sentido  y  alcance  de</w:t>
        <w:br/>
        <w:t>la presente Sentencia de la Corte  Interamericana  en  el  caso  Benjamin  y</w:t>
        <w:br/>
        <w:t>Otros versus Trinidad y Tobago reside en la cuestión previa de  la  facultad</w:t>
        <w:br/>
        <w:t>inherente de la Corte para determinar el alcance de su  propia  competencia.</w:t>
        <w:br/>
        <w:t>En efecto, los instrumentos de aceptación de la cláusula facultativa  de  la</w:t>
        <w:br/>
        <w:t>jurisdicción obligatoria de los  tribunales  internacionales  presuponen  la</w:t>
        <w:br/>
        <w:t>admisión, por los Estados que los presentan, de la competencia del  tribunal</w:t>
        <w:br/>
        <w:t>internacional en cuestión de resolver cualquier controversia relativa  a  su</w:t>
        <w:br/>
        <w:t>propia jurisdicción, - siendo este un principio básico de  derecho  procesal</w:t>
        <w:br/>
        <w:t>internacional[17]. Trátase de una competencia  inherente  de  todo  tribunal</w:t>
        <w:br/>
        <w:t>internacional, que atiende  a  un  imperativo  de  seguridad  jurídica,  por</w:t>
        <w:br/>
        <w:t>cuanto la determinación del alcance  de  su  propia  jurisdicción  no  puede</w:t>
        <w:br/>
        <w:t>estar en las manos de los Estados Partes[18].</w:t>
        <w:br/>
        <w:br/>
        <w:br/>
        <w:t>3.    Una reserva u objeción  o  cualquier  otro  acto  interpuesto  por  el</w:t>
        <w:br/>
        <w:t>Estado con el propósito de resguardarse la última palabra  en  relación  con</w:t>
        <w:br/>
        <w:t>cualquier aspecto de la competencia  de  la  Corte  es,  además  de  inocuo,</w:t>
        <w:br/>
        <w:t>inválido,  pues  en  cualesquiera  circunstancias  la   Corte   detiene   la</w:t>
        <w:br/>
        <w:t>compétence de la compétence. Es lo que se desprende de las Sentencias  sobre</w:t>
        <w:br/>
        <w:t>Excepciones  Preliminares  que  viene  de  dictar  la  Corte  en  los  casos</w:t>
        <w:br/>
        <w:t>Benjamin, Constantine y Hilaire, relativos a Trinidad y Tobago, así como  de</w:t>
        <w:br/>
        <w:t>las anteriores Sentencias  sobre  Competencia  en  los  casos  del  Tribunal</w:t>
        <w:br/>
        <w:t>Constitucional  e  Ivcher  Bronstein  (1999),  relativos   al   Perú.   Esta</w:t>
        <w:br/>
        <w:t>importante jurisprudencia protectora de la  Corte  Interamericana  ha,  así,</w:t>
        <w:br/>
        <w:t>descartado una analogía con la práctica permisiva de  los  Estados  bajo  la</w:t>
        <w:br/>
        <w:t>cláusula  facultativa  de  la   jurisdicción   obligatoria   de   la   Corte</w:t>
        <w:br/>
        <w:t>Internacional de Justicia (artículo 36.2 del Estatuto de esta última).  Paso</w:t>
        <w:br/>
        <w:t>al examen de este punto específico en perspectiva  histórica,  para  revelar</w:t>
        <w:br/>
        <w:t>el sentido y alcance de lo decidido por la Corte Interamericana.</w:t>
        <w:br/>
        <w:br/>
        <w:t xml:space="preserve">      II.   La Cláusula Facultativa  de  la  Jurisdicción  Obligatoria:  Del</w:t>
        <w:br/>
        <w:t xml:space="preserve">      Ideal Profesado a una Práctica Desvirtuada.</w:t>
        <w:br/>
        <w:br/>
        <w:br/>
        <w:t>4.     Las  cláusulas  facultativas  de  reconocimiento  de  la  competencia</w:t>
        <w:br/>
        <w:t>contenciosa de  las  Cortes  Europea  (antes  del  Protocolo  n.  11)[19]  e</w:t>
        <w:br/>
        <w:t>Interamericana de  Derechos  Humanos  se  inspiraron  en  el  modelo  de  la</w:t>
        <w:br/>
        <w:t>cláusula facultativa de  la  jurisdicción  obligatoria  de  la  CIJ,  -  una</w:t>
        <w:br/>
        <w:t>fórmula originalmente concebida hace más de 80  años.  A  pesar  del  origen</w:t>
        <w:br/>
        <w:t>común,  en  búsqueda  de  la  realización   del   ideal   de   la   justicia</w:t>
        <w:br/>
        <w:t>internacional, el rationale de la aplicación de la cláusula  facultativa  ha</w:t>
        <w:br/>
        <w:t>sido interpretado de modo fundamentalmente  distinto,  por  un  lado  en  el</w:t>
        <w:br/>
        <w:t>contencioso interestatal, y por otro en el de los derechos  humanos.  En  el</w:t>
        <w:br/>
        <w:t>primero, han prevalecido  hasta  la  fecha  consideraciones  del  equilibrio</w:t>
        <w:br/>
        <w:t>contractual entre las Partes, de la reciprocidad, a la luz  de  la  igualdad</w:t>
        <w:br/>
        <w:t>jurídica  de  los   Estados   soberanos;   en   el   segundo,   priman   las</w:t>
        <w:br/>
        <w:t>consideraciones de ordre public, de la garantía colectiva  ejercida  por  el</w:t>
        <w:br/>
        <w:t>conjunto de los Estados Partes, de  la  realización  de  una  meta  común  y</w:t>
        <w:br/>
        <w:t>superior a  los  intereses  individuales  de  cada  Parte  Contratante  (cf.</w:t>
        <w:br/>
        <w:t>infra).</w:t>
        <w:br/>
        <w:br/>
        <w:t>5.    Cabe inicialmente recordar el histórico legislativo de la  disposición</w:t>
        <w:br/>
        <w:t>del artículo 36.2 del Estatuto de la Corte Internacional de Justicia  (CIJ),</w:t>
        <w:br/>
        <w:t>que es  esencialmente  la  misma  que  la  disposición  correspondiente  del</w:t>
        <w:br/>
        <w:t>Estatuto  de  su  predecesora,  la  antigua  Corte  Permanente  de  Justicia</w:t>
        <w:br/>
        <w:t>Internacional (CPJI). El referido artículo 36.2 establece que</w:t>
        <w:br/>
        <w:br/>
        <w:t xml:space="preserve">            "Los Estados Partes en el presente Estatuto podrán  declarar  en</w:t>
        <w:br/>
        <w:t xml:space="preserve">      cualquier momento que reconocen como  obligatoria  ipso  facto  y  sin</w:t>
        <w:br/>
        <w:t xml:space="preserve">      convenio especial, respecto a cualquier  otro  Estado  que  acepte  la</w:t>
        <w:br/>
        <w:t xml:space="preserve">      misma  obligación,  la  jurisdicción  de  la  Corte   en   todas   las</w:t>
        <w:br/>
        <w:t xml:space="preserve">      controversias  de  orden   jurídico   que   versen   sobre:   a)    la</w:t>
        <w:br/>
        <w:t xml:space="preserve">      interpretación de  un  tratado;  b)   cualquier  cuestión  de  derecho</w:t>
        <w:br/>
        <w:t xml:space="preserve">      internacional;  c)   la  existencia  de  todo  hecho  que,  si   fuere</w:t>
        <w:br/>
        <w:t xml:space="preserve">      establecido, constituiría violación de una  obligación  internacional;</w:t>
        <w:br/>
        <w:t xml:space="preserve">      d) la naturaleza o extensión de la reparación que ha de hacerse por el</w:t>
        <w:br/>
        <w:t xml:space="preserve">      quebrantamiento de una obligación internacional".</w:t>
        <w:br/>
        <w:br/>
        <w:t>El artículo 36.3 agrega que "la declaración a que se refiere  este  Artículo</w:t>
        <w:br/>
        <w:t>podrá hacerse incondicionalmente o bajo condición de reciprocidad por  parte</w:t>
        <w:br/>
        <w:t>de varios o determinados Estados, o por determinado tiempo"[20].</w:t>
        <w:br/>
        <w:br/>
        <w:t>6.    El origen de la disposición arriba  transcrita  se  encuentra  en  los</w:t>
        <w:br/>
        <w:t>travaux préparatoires del Estatuto original de la CPJI. Fue  este  redactado</w:t>
        <w:br/>
        <w:t>en 1920 por un Comité Consultivo de  Jurisconsultos  (de  10  miembros)[21],</w:t>
        <w:br/>
        <w:t>designado por el Consejo de la Sociedad de las Naciones, y que se reunió  en</w:t>
        <w:br/>
        <w:t>La Haya, en los meses de junio y julio de 1920. En aquel entonces había  los</w:t>
        <w:br/>
        <w:t>que  favorecían  el  reconocimiento  puro  y  simple  de   la   jurisdicción</w:t>
        <w:br/>
        <w:t>obligatoria de la  futura  CPJI,  a  lo  que  se  oponían  los  Estados  más</w:t>
        <w:br/>
        <w:t>poderosos, alegando que  tenían  que  gradualmente  ganar  confianza  en  el</w:t>
        <w:br/>
        <w:t>tribunal internacional  a  ser  creado,  antes  de  atribuirle  jurisdicción</w:t>
        <w:br/>
        <w:t>obligatoria tout court. Para superar el impasse  en  el  seno  del  referido</w:t>
        <w:br/>
        <w:t>Comité de Jurisconsultos, uno de sus miembros,  el  jurista  brasileño  Raul</w:t>
        <w:br/>
        <w:t>Fernandes, propuso la fórmula ingeniosa que se  transformó  en  el  artículo</w:t>
        <w:br/>
        <w:t>36.2 del Estatuto - la misma del actual Estatuto de la CIJ,  -  que  vino  a</w:t>
        <w:br/>
        <w:t>ser  conocida   como   la   "cláusula   facultativa   de   la   jurisdicción</w:t>
        <w:br/>
        <w:t>obligatoria"[22]. El Estatuto, aprobado en 13.12.1920,  entró  en  vigor  en</w:t>
        <w:br/>
        <w:t>01.09.1921[23].</w:t>
        <w:br/>
        <w:br/>
        <w:t>7.    En aquella época, la decisión tomada constituyó el paso  inicial  que,</w:t>
        <w:br/>
        <w:t>durante el período de 1921-1940, contribuyó a atraer  la  aceptación  de  la</w:t>
        <w:br/>
        <w:t>jurisdicción obligatoria - bajo la cláusula facultativa - de la CPJI  de  un</w:t>
        <w:br/>
        <w:t>total de 45 Estados[24]. Este principio era  firmemente  defendido  por  los</w:t>
        <w:br/>
        <w:t>Estados latinoamericanos,  y,  al  tenerlo  presente,  la  fórmula  de  Raul</w:t>
        <w:br/>
        <w:t>Fernandes[25], trasladada al Estatuto de la  CPJI,  fue  aclamada  como  una</w:t>
        <w:br/>
        <w:t>contribución  latinoamericana  al   establecimiento   de   la   jurisdicción</w:t>
        <w:br/>
        <w:t>internacional[26]. Dicha fórmula sirvió su  propósito  en  las  dos  décadas</w:t>
        <w:br/>
        <w:t>siguientes.</w:t>
        <w:br/>
        <w:br/>
        <w:t>8.     En  la  Conferencia  de  San  Francisco  de  1945,  se  contempló  la</w:t>
        <w:br/>
        <w:t>posibilidad de dar un paso adelante, con una eventual aceptación  automática</w:t>
        <w:br/>
        <w:t>de la jurisdicción obligatoria de la nueva CIJ;  sin  embargo,  las  grandes</w:t>
        <w:br/>
        <w:t>potencias - en particular los Estados Unidos  y  la  Unión  Soviética  -  se</w:t>
        <w:br/>
        <w:t>opusieron a esta evolución, sosteniendo la retención, en el Estatuto  de  la</w:t>
        <w:br/>
        <w:t>nueva  CIJ,  de  la  misma  "cláusula   facultativa   de   la   jurisdicción</w:t>
        <w:br/>
        <w:t>obligatoria" del Estatuto de 1920 de la predecesora CPJI. El relator  de  la</w:t>
        <w:br/>
        <w:t>Comisión de Juristas encargada de estudiar la materia en la  Conferencia  de</w:t>
        <w:br/>
        <w:t>San Francisco de 1945, el jurista francés Jules  Basdevant,  señaló  que,  a</w:t>
        <w:br/>
        <w:t>pesar de que la  mayoría  de  los  miembros  de  la  Comisión  favorecía  la</w:t>
        <w:br/>
        <w:t>aceptación automática de la  jurisdicción  obligatoria,  no  había  voluntad</w:t>
        <w:br/>
        <w:t>política en la Conferencia (y tampoco en las propuestas de  Dumbarton  Oaks)</w:t>
        <w:br/>
        <w:t>para dar este paso adelante[27].</w:t>
        <w:br/>
        <w:br/>
        <w:t>9.    Consecuentemente, se mantuvo en el actual Estatuto de la CIJ la  misma</w:t>
        <w:br/>
        <w:t>formulación de 1920, la cual  correspondía  a  una  concepción  del  derecho</w:t>
        <w:br/>
        <w:t>internacional del inicio del siglo XX. Por la intransigencia de los  Estados</w:t>
        <w:br/>
        <w:t>más poderosos, se perdió una  oportunidad  única  de  superar  la  falta  de</w:t>
        <w:br/>
        <w:t>automatismo  de  la  jurisdicción  internacional  y  de  fomentar  un  mayor</w:t>
        <w:br/>
        <w:t>desarrollo de la jurisdicción obligatoria  del  tribunal  internacional[28].</w:t>
        <w:br/>
        <w:t>Obsérvese que  todo  se  pasó  en  el  plano  de  las  relaciones  puramente</w:t>
        <w:br/>
        <w:t>interestatales. La fórmula de la cláusula  facultativa  de  la  jurisdicción</w:t>
        <w:br/>
        <w:t>obligatoria (de la CIJ) que hoy existe, nada más es que un  esquema  de  los</w:t>
        <w:br/>
        <w:t>años veinte, estratificado  en  el  tiempo[29],  y  que,  a  rigor,  no  más</w:t>
        <w:br/>
        <w:t>corresponde a las necesidades  del  contencioso  internacional  ni  siquiera</w:t>
        <w:br/>
        <w:t>puramente interestatal[30].</w:t>
        <w:br/>
        <w:br/>
        <w:t>10.   Tanto es así que, en 1997, por ejemplo, de los  185  Estados  miembros</w:t>
        <w:br/>
        <w:t>de Naciones Unidas, no más que 60 Estados  se  sometían  a  la  jurisdicción</w:t>
        <w:br/>
        <w:t>obligatoria de  la  CIJ  por  aceptación  de  la  cláusula  facultativa  del</w:t>
        <w:br/>
        <w:t>artículo 36.2 de su Estatuto[31],  -  o  sea,  menos  de  un  tercio  de  la</w:t>
        <w:br/>
        <w:t>comunidad internacional de nuestros días. Y varios de  los  Estados  que  la</w:t>
        <w:br/>
        <w:t>han   utilizado,   han   hecho   un   uso   desvirtuado   de    la    misma,</w:t>
        <w:br/>
        <w:t>desnaturalizándola, al introducir restricciones que militan en contra de  su</w:t>
        <w:br/>
        <w:t>rationale y la privan de toda eficacia. En realidad,  casi  dos  tercios  de</w:t>
        <w:br/>
        <w:t>las declaraciones  de  aceptación  de  la  mencionada  cláusula  han  venido</w:t>
        <w:br/>
        <w:t>acompañadas  de  limitaciones  y   restricciones   que   las   han   tornado</w:t>
        <w:br/>
        <w:t>"prácticamente sin sentido"[32].</w:t>
        <w:br/>
        <w:br/>
        <w:t>11.   Se puede, pues,  cuestionar  seriamente  si  la  cláusula  facultativa</w:t>
        <w:br/>
        <w:t>sigue sirviendo el mismo  propósito  que  la  inspiró  en  la  época  de  la</w:t>
        <w:br/>
        <w:t>CPJI[33].  El  índice  de  su  aceptación  en  la   era   de   la   CIJ   es</w:t>
        <w:br/>
        <w:t>proporcionalmente inferior al de  la  época  de  su  predecesora,  la  CPJI.</w:t>
        <w:br/>
        <w:t>Además, a lo largo de los años,  la  posibilidad  abierta  por  la  cláusula</w:t>
        <w:br/>
        <w:t>facultativa de aceptación de  la  jurisdicción  del  tribunal  internacional</w:t>
        <w:br/>
        <w:t>pasó, en efecto, a ser objeto de excesos por parte de algunos  Estados,  que</w:t>
        <w:br/>
        <w:t>sólo aceptaban  la  jurisdicción  obligatoria  de  la  CIJ  en  sus  propios</w:t>
        <w:br/>
        <w:t>términos, con todo tipo de limitaciones[34]. Así, en nada sorprende que,  ya</w:t>
        <w:br/>
        <w:t>en mediados de los años cincuenta, se pasó  a  hablar  abiertamente  de  una</w:t>
        <w:br/>
        <w:t>decadencia de la cláusula facultativa[35].</w:t>
        <w:br/>
        <w:br/>
        <w:t>12.   Estos excesos ocurrieron precisamente porque, al elaborar el  Estatuto</w:t>
        <w:br/>
        <w:t>de la nueva  CIJ,  se  dejó  de  acompañar  la  evolución  de  la  comunidad</w:t>
        <w:br/>
        <w:t>internacional. Se abandonó la propia base de la jurisdicción obligatoria  de</w:t>
        <w:br/>
        <w:t>la  CIJ  a  una   concepción   voluntarista   del   derecho   internacional,</w:t>
        <w:br/>
        <w:t>prevaleciente  en  el  inicio   del   siglo   pasado,   pero   desautorizada</w:t>
        <w:br/>
        <w:t>posteriormente por sus consecuencias nefastas  para  la  conducción  de  las</w:t>
        <w:br/>
        <w:t>relaciones internacionales, - tal como lo advierte con vehemencia  la  mejor</w:t>
        <w:br/>
        <w:t>doctrina jurídica internacional contemporánea. No puede restar  duda  alguna</w:t>
        <w:br/>
        <w:t>de que  la  práctica  desvirtuada  e  incongruente,  desencadenada  bajo  el</w:t>
        <w:br/>
        <w:t>artículo 36.2 del Estatuto de la CIJ, no sirve, en definitiva, como  ejemplo</w:t>
        <w:br/>
        <w:t>o modelo a ser seguido por los Estados Partes en tratados de  protección  de</w:t>
        <w:br/>
        <w:t>los derechos del ser humano como  la  Convención  Americana  sobre  Derechos</w:t>
        <w:br/>
        <w:t>Humanos, en lo relativo al alcance de la base  jurisdiccional  de  actuación</w:t>
        <w:br/>
        <w:t>de la Corte Interamericana de Derechos Humanos.</w:t>
        <w:br/>
        <w:br/>
        <w:t xml:space="preserve">      III.  La  Jurisdicción  Internacional  Obligatoria:  Reflexiones   Lex</w:t>
        <w:br/>
        <w:t>Lata.</w:t>
        <w:br/>
        <w:br/>
        <w:br/>
        <w:t>13.   El derecho internacional contemporáneo ha  gradualmente  evolucionado,</w:t>
        <w:br/>
        <w:t>poniendo límites a las manifestaciones de un  voluntarismo  estatal  que  se</w:t>
        <w:br/>
        <w:t>revela propio de otra época[36]. La metodología  de  interpretación  de  los</w:t>
        <w:br/>
        <w:t>tratados de derechos humanos[37], desarrollada a partir  de  las  reglas  de</w:t>
        <w:br/>
        <w:t>interpretación consagradas en  el  derecho  internacional  (tales  como  las</w:t>
        <w:br/>
        <w:t>enunciadas en los artículos 31-33 de las dos  Convenciones  de  Viena  sobre</w:t>
        <w:br/>
        <w:t>Derecho de  los  Tratados,  de  1969  y  1986),  alcanza  tanto  las  normas</w:t>
        <w:br/>
        <w:t>sustantivas (sobre los derechos protegidos) como  las  cláusulas  que  rigen</w:t>
        <w:br/>
        <w:t>los mecanismos de protección internacional.</w:t>
        <w:br/>
        <w:br/>
        <w:t>14.   La  Corte  Interamericana  de  Derechos  Humanos  tiene  el  deber  de</w:t>
        <w:br/>
        <w:t>preservar la integridad del sistema regional convencional de  protección  de</w:t>
        <w:br/>
        <w:t>los  derechos  humanos  como  un  todo.  Sería  inadmisible  subordinar   la</w:t>
        <w:br/>
        <w:t>operación del  mecanismo  convencional  de  protección  a  restricciones  no</w:t>
        <w:br/>
        <w:t>expresamente autorizadas por la Convención Americana, interpuestas  por  los</w:t>
        <w:br/>
        <w:t>Estados Partes en sus instrumentos de aceptación de la cláusula  facultativa</w:t>
        <w:br/>
        <w:t>de la jurisdicción obligatoria de la Corte Interamericana  (artículo  62  de</w:t>
        <w:br/>
        <w:t>la Convención Americana). Ésto no sólo afectaría de  inmediato  la  eficacia</w:t>
        <w:br/>
        <w:t>de la operación del mecanismo  convencional  de  protección,  sino,  además,</w:t>
        <w:br/>
        <w:t>fatalmente impediría sus posibilidades de desarrollo futuro.</w:t>
        <w:br/>
        <w:br/>
        <w:t>15.   En  virtud  del  principio  ut  res  magis  valeat  quam  pereat,  que</w:t>
        <w:br/>
        <w:t>corresponde al llamado effet utile  (a  veces  denominado  principio  de  la</w:t>
        <w:br/>
        <w:t>efectividad), ampliamente respaldado  por  la  jurisprudencia,  los  Estados</w:t>
        <w:br/>
        <w:t>Partes  en  los  tratados  de  derechos  humanos  deben   asegurar   a   las</w:t>
        <w:br/>
        <w:t>disposiciones  convencionales  los  efectos  propios  en  el  plano  de  sus</w:t>
        <w:br/>
        <w:t>respectivos derechos internos. Tal principio se aplica no sólo  en  relación</w:t>
        <w:br/>
        <w:t>con las normas sustantivas de los tratados de derechos  humanos  (es  decir,</w:t>
        <w:br/>
        <w:t>las que disponen sobre los derechos protegidos), sino  también  en  relación</w:t>
        <w:br/>
        <w:t>con las normas  procesales,  en  particular  las  relativas  al  derecho  de</w:t>
        <w:br/>
        <w:t>petición individual y a la aceptación  de  la  competencia  contenciosa  del</w:t>
        <w:br/>
        <w:t>órgano   judicial   internacional   de    protección[38].    Tales    normas</w:t>
        <w:br/>
        <w:t>convencionales,  esenciales  a  la  eficacia  del  sistema   de   protección</w:t>
        <w:br/>
        <w:t>internacional, han de ser interpretadas y aplicadas de  modo  a  tornar  sus</w:t>
        <w:br/>
        <w:t>salvaguardias verdaderamente prácticas y  eficaces,  teniendo  presentes  el</w:t>
        <w:br/>
        <w:t>carácter especial de los tratados de derechos humanos  y  su  implementación</w:t>
        <w:br/>
        <w:t>colectiva.</w:t>
        <w:br/>
        <w:br/>
        <w:t>16.   La Corte Europea de Derechos Humanos tuvo ocasión de  pronunciarse  al</w:t>
        <w:br/>
        <w:t>respecto.  Así,  en  su  Sentencia  sobre  Excepciones   Preliminares   (del</w:t>
        <w:br/>
        <w:t>23.03.1995) en el caso Loizidou versus Turquia, advirtió que, a  la  luz  de</w:t>
        <w:br/>
        <w:t>la letra y del espíritu de la Convención Europea  no  se  puede  inferir  la</w:t>
        <w:br/>
        <w:t>posibilidad  de  restricciones  a  la  cláusula  facultativa   relativa   al</w:t>
        <w:br/>
        <w:t>reconocimiento de la competencia contenciosa de la  Corte  Europea[39],  por</w:t>
        <w:br/>
        <w:t>analogía con la práctica estatal permisiva bajo el artículo 36 del  Estatuto</w:t>
        <w:br/>
        <w:t>de la CIJ; bajo la Convención Europea, se había formado una práctica de  los</w:t>
        <w:br/>
        <w:t>Estados Partes precisamente a contrario sensu, aceptando dicha cláusula  sin</w:t>
        <w:br/>
        <w:t>restricciones[40].</w:t>
        <w:br/>
        <w:br/>
        <w:t>17.   En el dominio de la protección internacional de los derechos  humanos,</w:t>
        <w:br/>
        <w:t>no hay limitaciones "implícitas" al ejercicio de los  derechos  consagrados;</w:t>
        <w:br/>
        <w:t>y las limitaciones constantes de los  tratados  de  protección  han  de  ser</w:t>
        <w:br/>
        <w:t>restrictivamente interpretadas. La cláusula facultativa de  la  jurisdicción</w:t>
        <w:br/>
        <w:t>obligatoria de los tribunales internacionales de derechos  humanos  no  hace</w:t>
        <w:br/>
        <w:t>excepción  a  esto:  no  admite  limitaciones  otras  que  las  expresamente</w:t>
        <w:br/>
        <w:t>contenidas en los tratados de derechos  humanos  en  cuestión,  y,  dada  su</w:t>
        <w:br/>
        <w:t>capital importancia, no podría estar a merced de limitaciones  en  ellos  no</w:t>
        <w:br/>
        <w:t>previstas e invocadas por los Estados Partes por razones  o  vicisitudes  de</w:t>
        <w:br/>
        <w:t>orden interno[41].</w:t>
        <w:br/>
        <w:br/>
        <w:t>18.    En  sus  estudios  clásicos  sobre  la  base   de   la   jurisdicción</w:t>
        <w:br/>
        <w:t>internacional, dos distinguidos  scholars,  C.W.  Jenks  y  C.H.M.  Waldock,</w:t>
        <w:br/>
        <w:t>alertaron, ya en las décadas de cincuenta y sesenta, para el grave  problema</w:t>
        <w:br/>
        <w:t>que planteaba la inserción, por los Estados, de todos tipos de  limitaciones</w:t>
        <w:br/>
        <w:t>y  restricciones  en  sus  instrumentos  de  aceptación   de   la   cláusula</w:t>
        <w:br/>
        <w:t>facultativa de la jurisdicción obligatoria (de la CIJ)[42]. A pesar  de  que</w:t>
        <w:br/>
        <w:t>tales limitaciones jamás hayan estado previstas  en  la  formulación  de  la</w:t>
        <w:br/>
        <w:t>cláusula facultativa, los Estados, ante tal vacío  legal,  se  han  sentido,</w:t>
        <w:br/>
        <w:t>sin  embargo,  "libres"  para  insertarlas.   Tales   excesos   han   minado</w:t>
        <w:br/>
        <w:t>contradictoriamente  la  propia  base  del  sistema   de   la   jurisdicción</w:t>
        <w:br/>
        <w:t>internacional obligatoria. Como bien se señaló en un estudio  clásico  sobre</w:t>
        <w:br/>
        <w:t>la materia, los instrumentos de aceptación de la competencia contenciosa  de</w:t>
        <w:br/>
        <w:t>un tribunal internacional deberían efectuarse "en los términos que  aseguren</w:t>
        <w:br/>
        <w:t>una medida razonable de estabilidad en la aceptación de  la  competencia  de</w:t>
        <w:br/>
        <w:t>la Corte"[43], - o sea, en los términos expresamente previstos en el  propio</w:t>
        <w:br/>
        <w:t>tratado internacional (cf. infra).</w:t>
        <w:br/>
        <w:br/>
        <w:br/>
        <w:t>19.   La cláusula relativa a la jurisdicción obligatoria de  los  tribunales</w:t>
        <w:br/>
        <w:t>internacionales de derechos humanos  constituye,  a  mi  modo  de  ver,  una</w:t>
        <w:br/>
        <w:t>cláusula pétrea de la  protección  internacional  del  ser  humano,  que  no</w:t>
        <w:br/>
        <w:t>admite cualesquiera restricciones otras que las previstas  en  los  tratados</w:t>
        <w:br/>
        <w:t>de derechos humanos. Así lo ha establecido la Corte  Interamericana  en  sus</w:t>
        <w:br/>
        <w:t>Sentencias sobre Competencia en los  casos  del  Tribunal  Constitucional  e</w:t>
        <w:br/>
        <w:t>Ivcher Bronstein:</w:t>
        <w:br/>
        <w:br/>
        <w:t xml:space="preserve">            - "La aceptación de la competencia contenciosa      de la  Corte</w:t>
        <w:br/>
        <w:t xml:space="preserve">      constituye una cláusula pétrea que no admite limitaciones que no estén</w:t>
        <w:br/>
        <w:t xml:space="preserve">      expresamente  contenidas  en  el  artículo  62.1  de   la   Convención</w:t>
        <w:br/>
        <w:t xml:space="preserve">      Americana. Dada la fundamental importancia de dicha cláusula  para  la</w:t>
        <w:br/>
        <w:t xml:space="preserve">      operación del sistema de protección de la Convención,  no  puede  ella</w:t>
        <w:br/>
        <w:t xml:space="preserve">      estar a merced de limitaciones no previstas que sean invocadas por los</w:t>
        <w:br/>
        <w:t xml:space="preserve">      Estados Partes por razones de orden interno"[44].</w:t>
        <w:br/>
        <w:br/>
        <w:t>La permisividad de  la  inserción  de  limitaciones,  no  previstas  en  los</w:t>
        <w:br/>
        <w:t>tratados de derechos  humanos,  en  un  instrumento  de  aceptación  de  una</w:t>
        <w:br/>
        <w:t>cláusula facultativa de  la  jurisdicción  obligatoria[45],  representa  una</w:t>
        <w:br/>
        <w:t>lamentable  deformación  histórica  de  la  concepción  original  de   dicha</w:t>
        <w:br/>
        <w:t>cláusula,  en  mi  entender  inaceptable  en  el  campo  de  la   protección</w:t>
        <w:br/>
        <w:t>internacional de los derechos de la persona humana.</w:t>
        <w:br/>
        <w:br/>
        <w:t>20.   Es deber de un tribunal internacional de derechos  humanos  velar  por</w:t>
        <w:br/>
        <w:t>la debida aplicación del tratado de  derechos  humanos  en  cuestión  en  el</w:t>
        <w:br/>
        <w:t>marco del derecho interno de cada  Estado  Parte,  de  modo  a  asegurar  la</w:t>
        <w:br/>
        <w:t>protección eficaz en el ámbito  de  este  último  de  los  derechos  humanos</w:t>
        <w:br/>
        <w:t>consagrados en  dicho  tratado[46].  Cualquier  entendimiento  en  contrario</w:t>
        <w:br/>
        <w:t>sustraería del tribunal internacional de derechos humanos  el  ejercicio  de</w:t>
        <w:br/>
        <w:t>la función y del deber de protección inherentes a su  jurisdicción,  dejando</w:t>
        <w:br/>
        <w:t>de asegurar que el tratado de derechos humanos  tenga  el  efecto  apropiado</w:t>
        <w:br/>
        <w:t>(effet utile) en el derecho interno de cada Estado Parte. Es  por  esto  que</w:t>
        <w:br/>
        <w:t>sostengo que la cláusula facultativa  de  la  jurisdicción  obligatoria  del</w:t>
        <w:br/>
        <w:t>tribunal internacional de derechos humanos constituye  una  cláusula  pétrea</w:t>
        <w:br/>
        <w:t>de la protección internacional del ser humano, que  no  admite  cualesquiera</w:t>
        <w:br/>
        <w:t>restricciones otras que las expresamente previstas en el propio  tratado  de</w:t>
        <w:br/>
        <w:t>derechos humanos en cuestión.</w:t>
        <w:br/>
        <w:br/>
        <w:t xml:space="preserve">      IV.   La Formulación Taxativa de la Cláusula Facultativa del  Artículo</w:t>
        <w:br/>
        <w:t xml:space="preserve">      62  de  la  Convención  Americana  sobre  Derechos  Humanos   (Numerus</w:t>
        <w:br/>
        <w:t xml:space="preserve">      Clausus).</w:t>
        <w:br/>
        <w:br/>
        <w:t>21.   El presente caso Benjamin y Otros versus Trinidad y  Tobago  incita  a</w:t>
        <w:br/>
        <w:t>un examen profundizado de este punto específico. Los  párrafos  1  y  2  del</w:t>
        <w:br/>
        <w:t>artículo 62 de la Convención Americana sobre Derechos Humanos disponen que</w:t>
        <w:br/>
        <w:br/>
        <w:t xml:space="preserve">            "Todo Estado Parte puede, en  el  momento  del  depósito  de  su</w:t>
        <w:br/>
        <w:t xml:space="preserve">      instrumento de ratificación  o  adhesión  de  esta  Convención,  o  en</w:t>
        <w:br/>
        <w:t xml:space="preserve">      cualquier momento posterior, declarar que reconoce como obligatoria de</w:t>
        <w:br/>
        <w:t xml:space="preserve">      pleno derecho y sin convención especial, la competencia  de  la  Corte</w:t>
        <w:br/>
        <w:t xml:space="preserve">      sobre todos los casos relativos a la interpretación  o  aplicación  de</w:t>
        <w:br/>
        <w:t xml:space="preserve">      esta Convención.</w:t>
        <w:br/>
        <w:t xml:space="preserve">            LA  DECLARACIÓN  PUEDE  SER  HECHA  INCONDICIONALMENTE,  O  BAJO</w:t>
        <w:br/>
        <w:t xml:space="preserve">      CONDICIÓN DE RECIPROCIDAD, POR  UN  PLAZO  DETERMINADO  O  PARA  CASOS</w:t>
        <w:br/>
        <w:t xml:space="preserve">      ESPECÍFICOS.  DEBERÁ  SER  PRESENTADA  AL  SECRETARIO  GENERAL  DE  LA</w:t>
        <w:br/>
        <w:t xml:space="preserve">      ORGANIZACIÓN, QUIÉN TRANSMITIRÁ COPIAS DE LA MISMA A LOS OTROS ESTADOS</w:t>
        <w:br/>
        <w:t xml:space="preserve">      MIEMBROS DE LA ORGANIZACIÓN Y AL SECRETARIO DE LA CORTE"[47].</w:t>
        <w:br/>
        <w:br/>
        <w:t>22.   En efecto, las modalidades de aceptación, por un Estado  Parte  en  la</w:t>
        <w:br/>
        <w:t>Convención, de  la  competencia  contenciosa  de  la  Corte  Interamericana,</w:t>
        <w:br/>
        <w:t>encuéntranse  expresamente   estipuladas   en   las   disposiciones   arriba</w:t>
        <w:br/>
        <w:t>transcritas; la formulación de la cláusula facultativa  de  la  jurisdicción</w:t>
        <w:br/>
        <w:t>obligatoria de la Corte Interamericana, en el artículo 62 de  la  Convención</w:t>
        <w:br/>
        <w:t>Americana, no es simplemente ilustrativa, sino claramente  taxativa.  Ningún</w:t>
        <w:br/>
        <w:t>Estado está obligado a aceptar una  cláusula  facultativa,  como  el  propio</w:t>
        <w:br/>
        <w:t>nombre de ésta lo indica. Así, una "reserva" a la  cláusula  facultativa  de</w:t>
        <w:br/>
        <w:t>la jurisdicción obligatoria de la Corte Interamericana del  artículo  62  de</w:t>
        <w:br/>
        <w:t>la Convención Americana equivaldría simplemente a la no-aceptación de  dicha</w:t>
        <w:br/>
        <w:t>cláusula, lo que está previsto en la Convención. Pero  si  un  Estado  Parte</w:t>
        <w:br/>
        <w:t>decide aceptarla, debe hacerlo en los términos expresamente  estipulados  en</w:t>
        <w:br/>
        <w:t>dicha cláusula.</w:t>
        <w:br/>
        <w:br/>
        <w:t>23.   Según el artículo 62.2 de la Convención, la aceptación, por un  Estado</w:t>
        <w:br/>
        <w:t>Parte, de la competencia contenciosa de la Corte Interamericana,  puede  ser</w:t>
        <w:br/>
        <w:t>efectuada en cuatro modalidades, a saber:  a)  incondicionalmente;  b)  bajo</w:t>
        <w:br/>
        <w:t>condición de reciprocidad; c) por un plazo  determinado;  y  d)  para  casos</w:t>
        <w:br/>
        <w:t>específicos. Son éstas, y tan sólo éstas, las modalidades de  aceptación  de</w:t>
        <w:br/>
        <w:t>la  competencia  contenciosa  de  la  Corte   Interamericana   previstas   y</w:t>
        <w:br/>
        <w:t>autorizadas por el artículo 62.2 de la Convención, que  no  autoriza  a  los</w:t>
        <w:br/>
        <w:t>Estados Partes interponer cualesquiera  otras  condiciones  o  restricciones</w:t>
        <w:br/>
        <w:t>(numerus clausus).</w:t>
        <w:br/>
        <w:br/>
        <w:t>24.   En mi entendimiento, no se puede sostener, en  esta  materia,  que  lo</w:t>
        <w:br/>
        <w:t>que no está  prohibido,  está  permitido.  Esta  postura  equivaldría  a  la</w:t>
        <w:br/>
        <w:t>actitud tradicional - y superada -  del  laisser-faire,  laisser-passer,  es</w:t>
        <w:br/>
        <w:t>propia  de  un  ordenamiento  jurídico  internacional  fragmentado  por   el</w:t>
        <w:br/>
        <w:t>subjetivismo estatal  voluntarista,  que  en  la  historia  del  Derecho  ha</w:t>
        <w:br/>
        <w:t>favorecido ineluctablemente los más poderosos. Ubi societas, ibi  jus...  En</w:t>
        <w:br/>
        <w:t>este inicio del siglo XXI, en un ordenamiento jurídico internacional en  que</w:t>
        <w:br/>
        <w:t>se busca afirmar valores comunes superiores, en medio a  consideraciones  de</w:t>
        <w:br/>
        <w:t>ordre public internacional, como en el dominio del Derecho Internacional  de</w:t>
        <w:br/>
        <w:t>los Derechos  Humanos,  es  precisamente  la  lógica  inversa  la  que  debe</w:t>
        <w:br/>
        <w:t>imponerse: lo que no está permitido, está prohibido.</w:t>
        <w:br/>
        <w:br/>
        <w:t>25.   Si  estamos  realmente  dispuestos  a  extraer  las  lecciones  de  la</w:t>
        <w:br/>
        <w:t>evolución del Derecho Internacional en el mundo  convulsionado  a  lo  largo</w:t>
        <w:br/>
        <w:t>del  siglo  XX,  si  pretendemos  tener  presentes  los  esfuerzos  de   las</w:t>
        <w:br/>
        <w:t>generaciones pasadas por  construir  un  mundo  más  ecuánime  y  justo,  si</w:t>
        <w:br/>
        <w:t>creemos que las mismas normas, principios  y  criterios  deben  aplicarse  a</w:t>
        <w:br/>
        <w:t>todos los  Estados  (jurídicamente  iguales  a  pesar  de  las  disparidades</w:t>
        <w:br/>
        <w:t>fácticas), y si nos disponemos realmente  a  impulsar  los  ideales  de  los</w:t>
        <w:br/>
        <w:t>verdaderos  jusinternacionalistas  que  nos  precedieron,   -   no   podemos</w:t>
        <w:br/>
        <w:t>convalidar  una  práctica  internacional  que  se   ha   curvado   ante   el</w:t>
        <w:br/>
        <w:t>voluntarismo estatal, que ha traicionado  el  espíritu  y  propósito  de  la</w:t>
        <w:br/>
        <w:t>cláusula  facultativa  de  la  jurisdicción  obligatoria,  -  a   punto   de</w:t>
        <w:br/>
        <w:t>desnaturalizarla por completo, - y que ha conllevado a  la  perpetuación  de</w:t>
        <w:br/>
        <w:t>un mundo fragmentado en unidades estatales que se estiman  árbitros  finales</w:t>
        <w:br/>
        <w:t>del alcance de las obligaciones internacionales contraídas, al mismo  tiempo</w:t>
        <w:br/>
        <w:t>en que no parecen verdaderamente creer en lo que han aceptado:  la  justicia</w:t>
        <w:br/>
        <w:t>internacional.</w:t>
        <w:br/>
        <w:br/>
        <w:t>26.   No toda práctica se consustancia en costumbre de modo a  conformar  el</w:t>
        <w:br/>
        <w:t>derecho internacional general, por cuanto una determinada práctica puede  no</w:t>
        <w:br/>
        <w:t>estar conforme al Derecho (ex injuria jus non oritur). Así,  no  es  función</w:t>
        <w:br/>
        <w:t>del jurista simplemente tomar nota de la práctica de los Estados,  sino  más</w:t>
        <w:br/>
        <w:t>bien decir cual es el Derecho. Desde la obra clásica de  H.  Grotius  en  el</w:t>
        <w:br/>
        <w:t>siglo XVII, hay toda una corriente del pensamiento jusinternacionalista  que</w:t>
        <w:br/>
        <w:t>concibe el derecho internacional como un  ordenamiento  jurídico  dotado  de</w:t>
        <w:br/>
        <w:t>valor propio o intrínseco (y por lo tanto superior a un derecho  simplemente</w:t>
        <w:br/>
        <w:t>"voluntario"), - como bien lo recuerda H. Accioly[48], - por  cuanto  deriva</w:t>
        <w:br/>
        <w:t>su autoridad de ciertos  principios  de  sana  razón  (est  dictatum  rectae</w:t>
        <w:br/>
        <w:t>rationis).</w:t>
        <w:br/>
        <w:br/>
        <w:t>27.   En la presente Sentencia en el caso Benjamin y Otros  versus  Trinidad</w:t>
        <w:br/>
        <w:t>y  Tobago,  la  Corte  ha  ponderado  con  acierto  que,  si  se   aceptasen</w:t>
        <w:br/>
        <w:t>restricciones  interpuestas  en  el  instrumento   de   aceptación   de   su</w:t>
        <w:br/>
        <w:t>competencia contenciosa, en los términos propuestos por el Estado  demandado</w:t>
        <w:br/>
        <w:t>en el cas d'espèce, no expresamente  previstos  en  el  artículo  62  de  la</w:t>
        <w:br/>
        <w:t>Convención Americana, ésto</w:t>
        <w:br/>
        <w:br/>
        <w:t xml:space="preserve">            "conduciría a una situación en que la Corte tendría como  primer</w:t>
        <w:br/>
        <w:t xml:space="preserve">      parámetro  de  referencia  la   Constitución   del   Estado   y   sólo</w:t>
        <w:br/>
        <w:t xml:space="preserve">      subsidiariamente la Convención Americana, situación que acarrearía una</w:t>
        <w:br/>
        <w:t xml:space="preserve">      fragmentación del orden jurídico internacional de  protección  de  los</w:t>
        <w:br/>
        <w:t xml:space="preserve">      derechos humanos y haría ilusorios el objeto y fin  de  la  Convención</w:t>
        <w:br/>
        <w:t xml:space="preserve">      Americana" (párr. 84).</w:t>
        <w:br/>
        <w:br/>
        <w:t>28.   Y la  Corte  ha,  además,  en  la  presente  Sentencia,  correctamente</w:t>
        <w:br/>
        <w:t>observado que</w:t>
        <w:br/>
        <w:br/>
        <w:t xml:space="preserve">            " (...) El instrumento de aceptación por  parte  de  Trinidad  y</w:t>
        <w:br/>
        <w:t xml:space="preserve">      Tobago, de la competencia contenciosa del Tribunal, no se encuadra  en</w:t>
        <w:br/>
        <w:t xml:space="preserve">      las hipótesis previstas en el artículo 62.2 de la Convención. Tiene un</w:t>
        <w:br/>
        <w:t xml:space="preserve">      alcance general, que  termina  por  subordinar  la  aplicación  de  la</w:t>
        <w:br/>
        <w:t xml:space="preserve">      Convención Americana al derecho interno de Trinidad y Tobago en  forma</w:t>
        <w:br/>
        <w:t xml:space="preserve">      total y según lo que dispongan sus tribunales  nacionales.  Todo  esto</w:t>
        <w:br/>
        <w:t xml:space="preserve">      implica  que  este  instrumento  de  aceptación   es   manifiestamente</w:t>
        <w:br/>
        <w:t xml:space="preserve">      incompatible con el objeto y fin de la Convención" (párr. 79).</w:t>
        <w:br/>
        <w:br/>
        <w:t>29.    Esta  conclusión  de  la  Corte  encuentra  claro  respaldo   en   la</w:t>
        <w:br/>
        <w:t>formulación taxativa, y  clarísima,  del  artículo  62.2  de  la  Convención</w:t>
        <w:br/>
        <w:t>Americana. Teniendo presentes los tres elementos  componentes  de  la  regla</w:t>
        <w:br/>
        <w:t>general de la interpretación bona fides  de  los  tratados  -  texto  en  el</w:t>
        <w:br/>
        <w:t>sentido corriente, contexto, y objeto y fin del tratado - consagrada  en  el</w:t>
        <w:br/>
        <w:t>artículo 31.1 de  las  dos  Convenciones  de  Viena  sobre  Derecho  de  los</w:t>
        <w:br/>
        <w:t>Tratados (de 1969 y 1986), se desprende, inicialmente, que el texto,  en  el</w:t>
        <w:br/>
        <w:t>sentido corriente (numerus clausus), del  artículo  62.2  de  la  Convención</w:t>
        <w:br/>
        <w:t>Americana, convalida plenamente la  decisión  tomada  por  la  Corte  en  la</w:t>
        <w:br/>
        <w:t>presente Sentencia.</w:t>
        <w:br/>
        <w:br/>
        <w:t>30.   En la teoría y  práctica  del  derecho  internacional  se  ha  buscado</w:t>
        <w:br/>
        <w:t>distinguir  una  "reserva"  de  una  "declaración  interpretativa"[49],   de</w:t>
        <w:br/>
        <w:t>conformidad con los efectos jurídicos que se pretende atribuir  a  una  u  a</w:t>
        <w:br/>
        <w:t>otra[50]:  así,  si  se  pretende  aclarar  el  sentido  o  alcance  de  una</w:t>
        <w:br/>
        <w:t>determinada   disposición   convencional,   trátase   de   una   declaración</w:t>
        <w:br/>
        <w:t>interpretativa, mientras  que  si  se  pretende  modificar  una  determinada</w:t>
        <w:br/>
        <w:t>disposición convencional o excluir su aplicación, trátase  de  una  reserva.</w:t>
        <w:br/>
        <w:t>En la práctica, no siempre es fácil trazar la línea divisoria  entre  una  y</w:t>
        <w:br/>
        <w:t>otra[51], como lo ilustra la controversia que ha circundado, en las  últimas</w:t>
        <w:br/>
        <w:t>décadas, la cuestión de los efectos jurídicos  de  declaraciones  insertadas</w:t>
        <w:br/>
        <w:t>en  los  instrumentos  de  aceptación  de  la  cláusula  facultativa  de  la</w:t>
        <w:br/>
        <w:t>jurisdicción obligatoria, dado el carácter sui generis de dicha cláusula.</w:t>
        <w:br/>
        <w:br/>
        <w:t>31.   De todos modos, al considerar el sentido y alcance de una  declaración</w:t>
        <w:br/>
        <w:t>de aceptación de una cláusula facultativa de la jurisdicción obligatoria,  -</w:t>
        <w:br/>
        <w:t>como la presentada  por  Trinidad  y  Tobago  bajo  el  artículo  62  de  la</w:t>
        <w:br/>
        <w:t>Convención Americana e interpuesta como excepción preliminar en el  presente</w:t>
        <w:br/>
        <w:t>caso Benjamin, - hay que tener presente la naturaleza  del  tratado  en  que</w:t>
        <w:br/>
        <w:t>figura dicha cláusula.  Ésto  corresponde  al  "contexto",  precisamente  el</w:t>
        <w:br/>
        <w:t>segundo elemento integrante de la regla general  de  interpretación  de  los</w:t>
        <w:br/>
        <w:t>tratados consagrada en el artículo 31  de  las  dos  Convenciones  de  Viena</w:t>
        <w:br/>
        <w:t>sobre Derecho de los Tratados. En la presente  Sentencia,  la  Corte  lo  ha</w:t>
        <w:br/>
        <w:t>hecho debidamente, al destacar el  carácter  especial  de  los  tratados  de</w:t>
        <w:br/>
        <w:t>derechos humanos (párrs. 86-89).</w:t>
        <w:br/>
        <w:br/>
        <w:t>32.   Del mismo modo, la Corte ha tenido constantemente presente  el  tercer</w:t>
        <w:br/>
        <w:t>elemento componente de aquella regla general  de  interpretación,  a  saber,</w:t>
        <w:br/>
        <w:t>"objeto y fin" del  tratado  en  cuestión,  la  Convención  Americana  sobre</w:t>
        <w:br/>
        <w:t>Derechos Humanos (párrs. 73-74 y 79). Así, el entendimiento avanzado  en  el</w:t>
        <w:br/>
        <w:t>cas d'espèce por el Estado demandado del alcance de su propia aceptación  de</w:t>
        <w:br/>
        <w:t>la  cláusula  facultativa  de  la  jurisdicción  obligatoria  de  la   Corte</w:t>
        <w:br/>
        <w:t>Interamericana,  no  resiste  a  la  hermenéutica  del  artículo  62  de  la</w:t>
        <w:br/>
        <w:t>Convención  Americana,  desarrollada  a   la   luz   de   los   cánones   de</w:t>
        <w:br/>
        <w:t>interpretación del derecho de los tratados.</w:t>
        <w:br/>
        <w:br/>
        <w:t>33.   Como me permití señalar en mi Voto Razonado en el  caso  Blake  versus</w:t>
        <w:br/>
        <w:t>Guatemala (Reparaciones, 1999),</w:t>
        <w:br/>
        <w:br/>
        <w:t xml:space="preserve">            "(...) Al contraer obligaciones convencionales de protección, no</w:t>
        <w:br/>
        <w:t xml:space="preserve">      es razonable, de parte del Estado, presuponer una discrecionalidad tan</w:t>
        <w:br/>
        <w:t xml:space="preserve">      indebidamente amplia y condicionadora del  propio  alcance  de  dichas</w:t>
        <w:br/>
        <w:t xml:space="preserve">      obligaciones, que militaría en contra de la integridad del tratado.</w:t>
        <w:br/>
        <w:t xml:space="preserve">            Los principios y métodos de interpretación de  los  tratados  de</w:t>
        <w:br/>
        <w:t xml:space="preserve">      derechos humanos, desarrollados en la jurisprudencia  de  los  órganos</w:t>
        <w:br/>
        <w:t xml:space="preserve">      convencionales de protección, pueden en mucho asistir y fomentar  esta</w:t>
        <w:br/>
        <w:t xml:space="preserve">      tan necesaria evolución.  Así, en  materia  de  tratados  de  derechos</w:t>
        <w:br/>
        <w:t xml:space="preserve">      humanos, cabe tener siempre  presente  el  carácter  objetivo  de  las</w:t>
        <w:br/>
        <w:t xml:space="preserve">      obligaciones que encierran, el sentido autónomo (en  relación  con  el</w:t>
        <w:br/>
        <w:t xml:space="preserve">      derecho interno de los Estados) de los términos de dichos tratados, la</w:t>
        <w:br/>
        <w:t xml:space="preserve">      garantía colectiva subyacente  a  éstos,  el  amplio  alcance  de  las</w:t>
        <w:br/>
        <w:t xml:space="preserve">      obligaciones de protección y  la  interpretación  restrictiva  de  las</w:t>
        <w:br/>
        <w:t xml:space="preserve">      restricciones permisibles.  Estos elementos convergen al  sostener  la</w:t>
        <w:br/>
        <w:t xml:space="preserve">      integridad  de  los  tratados  de  derechos  humanos,  al  buscar   la</w:t>
        <w:br/>
        <w:t xml:space="preserve">      realización  de  su  objeto  y  propósito,  y,  por  consiguiente,  al</w:t>
        <w:br/>
        <w:t xml:space="preserve">      establecer límites al voluntarismo estatal.  De todo esto se desprende</w:t>
        <w:br/>
        <w:t xml:space="preserve">      una nueva visión de las relaciones entre el poder  público  y  el  ser</w:t>
        <w:br/>
        <w:t xml:space="preserve">      humano, que se resume, en última instancia, en  el  reconocimiento  de</w:t>
        <w:br/>
        <w:t xml:space="preserve">      que el Estado existe para el ser  humano,  y  no  viceversa.       Los</w:t>
        <w:br/>
        <w:t xml:space="preserve">      conceptos y categorías jurídicos, por cuanto  encierran  valores,  son</w:t>
        <w:br/>
        <w:t xml:space="preserve">      producto de su tiempo, y,  como  tales,  se  encuentran  en  constante</w:t>
        <w:br/>
        <w:t xml:space="preserve">      evolución.    La   protección   del   ser   humano   en   cualesquiera</w:t>
        <w:br/>
        <w:t xml:space="preserve">      circunstancias, contra todas las manifestaciones del poder arbitrario,</w:t>
        <w:br/>
        <w:t xml:space="preserve">      corresponde al nuevo ethos  de  nuestros  tiempos,  que  debe  hacerse</w:t>
        <w:br/>
        <w:t xml:space="preserve">      reflejar  en  los  postulados  del  Derecho   Internacional   Público.</w:t>
        <w:br/>
        <w:t xml:space="preserve">      (...)"[52].</w:t>
        <w:br/>
        <w:br/>
        <w:t xml:space="preserve">      V.    La Jurisdicción Internacional Obligatoria: Reflexiones  De  Lege</w:t>
        <w:br/>
        <w:t>Ferenda.</w:t>
        <w:br/>
        <w:br/>
        <w:t>34.   No podría concluir este Voto Razonado en el presente caso  Benjamin  y</w:t>
        <w:br/>
        <w:t>Otros versus Trinidad y Tobago sin una última línea de reflexiones, de  lege</w:t>
        <w:br/>
        <w:t>ferenda,  acerca  de  la  jurisdicción  internacional   obligatoria.     Las</w:t>
        <w:br/>
        <w:t>"decisiones  judiciales",  a las que se  refiere  el  elenco  de  fuen-  tes</w:t>
        <w:br/>
        <w:t>formales  y  evidencias  del  Derecho   Internacional,   plasmadas   en   el</w:t>
        <w:br/>
        <w:t>artículo  38.1.d del   Estatuto  de  la   CIJ[53],    ciertamente    no   se</w:t>
        <w:br/>
        <w:t xml:space="preserve"> limitan  a    la    jurisprudencia    de    la    propia  CIJ[54].  Abarcan</w:t>
        <w:br/>
        <w:t>igualmente,  hoy  día,  las  decisiones   judiciales   de   los   tribunales</w:t>
        <w:br/>
        <w:t>internacionales (Cortes Interamericana y Europea) de  derechos  humanos,  de</w:t>
        <w:br/>
        <w:t>los Tribunales Penales Internacionales ad hoc (para la ex-Yugoslavia y  para</w:t>
        <w:br/>
        <w:t>Ruanda),  del  Tribunal  Internacional  del   Mar,   de   otros   tribunales</w:t>
        <w:br/>
        <w:t>internacionales y arbitrales, así como de tribunales nacionales  en  materia</w:t>
        <w:br/>
        <w:t>de derecho internacional[55]. En los últimos  años  el  viejo  ideal  de  la</w:t>
        <w:br/>
        <w:t>justicia internacional se ha revitalizado y ganado cuerpo, con la  expansión</w:t>
        <w:br/>
        <w:t>considerable de la función judicial internacional, reflejada en la  creación</w:t>
        <w:br/>
        <w:t>de nuevos tribunales internacionales; la actuación de  éstos  últimos  viene</w:t>
        <w:br/>
        <w:t>enriqueciendo la jurisprudencia internacional  contemporánea,  contribuyendo</w:t>
        <w:br/>
        <w:t>para afirmar la aptitud del Derecho Internacional  de  reglar  adecuadamente</w:t>
        <w:br/>
        <w:t>las relaciones jurídicas en dominios distintos de la actividad humana.</w:t>
        <w:br/>
        <w:br/>
        <w:t>35.   En este sentido, en mi supracitado Voto  Razonado  en  el  caso  Blake</w:t>
        <w:br/>
        <w:t>versus Guatemala, al advertir para la  necesidad  de  establecer  las  bases</w:t>
        <w:br/>
        <w:t>jurídicas de una  comunidad  internacional  mínimamente  institucionalizada,</w:t>
        <w:br/>
        <w:t>señalé que</w:t>
        <w:br/>
        <w:br/>
        <w:t xml:space="preserve">            "(...)  Con  la  evolución  del  Derecho  Internacional  de  los</w:t>
        <w:br/>
        <w:t xml:space="preserve">      Derechos Humanos, es el propio Derecho Internacional  Público  que  se</w:t>
        <w:br/>
        <w:t xml:space="preserve">      justifica y se legitima, al afirmar principios, conceptos y categorías</w:t>
        <w:br/>
        <w:t xml:space="preserve">      jurídicos propios del presente dominio  de  protección,  asentados  en</w:t>
        <w:br/>
        <w:t xml:space="preserve">      premisas  fundamentalmente  distintas  de  las  que  han  norteado  la</w:t>
        <w:br/>
        <w:t xml:space="preserve">      aplicación de sus postulados en el plano de las  relaciones  puramente</w:t>
        <w:br/>
        <w:t xml:space="preserve">      interestatales.</w:t>
        <w:br/>
        <w:t xml:space="preserve">            (...) Las normas del derecho de los  tratados  (...)  pueden  en</w:t>
        <w:br/>
        <w:t xml:space="preserve">      mucho enriquecerse con el impacto del  Derecho  Internacional  de  los</w:t>
        <w:br/>
        <w:t xml:space="preserve">      Derechos Humanos, y desarrollar su aptidud para  reglar  adecuadamente</w:t>
        <w:br/>
        <w:t xml:space="preserve">      las  relaciones  jurídicas  en  los  planos  tanto  interestatal  como</w:t>
        <w:br/>
        <w:t xml:space="preserve">      intraestatal, bajo los tratados de protección respectivos. (...)"[56].</w:t>
        <w:br/>
        <w:br/>
        <w:t>36.   La Corte Interamericana de Derechos Humanos, mediante  las  Sentencias</w:t>
        <w:br/>
        <w:t>sobre Excepciones Preliminares que viene de adoptar en los  casos  Benjamin,</w:t>
        <w:br/>
        <w:t>Constantine  e  Hilaire,  así  como  en  sus  anteriores  Sentencias   sobre</w:t>
        <w:br/>
        <w:t>Competencia en los casos del Tribunal Constitucional e Ivcher Bronstein,  ha</w:t>
        <w:br/>
        <w:t>salvaguardado la  integridad  de  la  Convención  Americana  sobre  Derechos</w:t>
        <w:br/>
        <w:t>Humanos, ha sido maestra de su propia jurisdicción y actuado a la altura  de</w:t>
        <w:br/>
        <w:t>las responsabilidades que le atribuye la Convención Americana. Lo  mismo  se</w:t>
        <w:br/>
        <w:t>puede decir de la Corte Europea de Derechos Humanos, mediante  su  Sentencia</w:t>
        <w:br/>
        <w:t>sobre Excepciones Preliminares en el caso Loizidou  versus  Turquía,  en  lo</w:t>
        <w:br/>
        <w:t>relativo  a  la  Convención  Europea  de  Derechos  Humanos.  Así,  los  dos</w:t>
        <w:br/>
        <w:t>tribunales internacionales de derechos humanos existentes a la fecha, en  su</w:t>
        <w:br/>
        <w:t>jurisprudencia convergente sobre la cuestión, se  han  recusado  a  ceder  a</w:t>
        <w:br/>
        <w:t>manifestaciones  indebidas  del  voluntarismo  estatal,   han   cumplido   a</w:t>
        <w:br/>
        <w:t>cabalidad las funciones que les atribuyen los tratados de  derechos  humanos</w:t>
        <w:br/>
        <w:t>que los crearon, y han dado una contribución valiosa al  fortalecimiento  de</w:t>
        <w:br/>
        <w:t>la jurisdicción internacional y a la realización del  antiguo  ideal  de  la</w:t>
        <w:br/>
        <w:t>justicia internacional.</w:t>
        <w:br/>
        <w:br/>
        <w:t>37.   Urge que  los  Estados  se  convenzan  que  el  ordenamiento  jurídico</w:t>
        <w:br/>
        <w:t>internacional es, más que voluntario, necesario. En el  ámbito  del  derecho</w:t>
        <w:br/>
        <w:t>internacional general, en mi entender,  ha  llegado  el  tiempo  de  avanzar</w:t>
        <w:br/>
        <w:t>decididamente  en  el  perfeccionamiento  de   la   solución   judicial   de</w:t>
        <w:br/>
        <w:t>controversias internacionales. En los últimos 80 años, los avances  en  este</w:t>
        <w:br/>
        <w:t>campo podrían haber sido mucho mayores si la  práctica  estatal  no  hubiera</w:t>
        <w:br/>
        <w:t>traicionado el propósito que inspiró la creación del mecanismo  la  cláusula</w:t>
        <w:br/>
        <w:t>facultativa de la jurisdicción obligatoria (de la CPJI y la CIJ), cual  sea,</w:t>
        <w:br/>
        <w:t>la sumisión de los intereses políticos al Derecho mediante el desarrollo  en</w:t>
        <w:br/>
        <w:t>la realización de la justicia a nivel internacional.</w:t>
        <w:br/>
        <w:br/>
        <w:t>38.   Ha llegado el tiempo de superar en definitiva la lamentable  falta  de</w:t>
        <w:br/>
        <w:t>automatismo de la jurisdicción internacional. Con  las  distorsiones  de  su</w:t>
        <w:br/>
        <w:t>práctica en la materia, los Estados se ven hoy ante un  dilema  que  debería</w:t>
        <w:br/>
        <w:t>ya estar superado hace mucho: o retornan a la  concepción  voluntarista  del</w:t>
        <w:br/>
        <w:t>derecho  internacional,  abandonando  de  una  vez  la   esperanza   en   la</w:t>
        <w:br/>
        <w:t>preeminencia del Derecho sobre los  intereses  políticos[57],  o  retoman  y</w:t>
        <w:br/>
        <w:t>realizan con  determinación  el  ideal  de  construcción  de  una  comunidad</w:t>
        <w:br/>
        <w:t>internacional más cohesionada e institucionalizada a la luz  del  Derecho  y</w:t>
        <w:br/>
        <w:t>en la búsqueda de la Justicia, moviendo resueltamente del  jus  dispositivum</w:t>
        <w:br/>
        <w:t>al jus cogens[58].</w:t>
        <w:br/>
        <w:br/>
        <w:t>39.   Ha llegado el tiempo  de  considerar,  en  particular,  en  un  futuro</w:t>
        <w:br/>
        <w:t>Protocolo de enmiendas a la parte procesal de la Convención Americana  sobre</w:t>
        <w:br/>
        <w:t>Derechos Humanos, con miras a fortalecer  su  mecanismo  de  protección,  la</w:t>
        <w:br/>
        <w:t>posibilidad de una enmienda al artículo 62 de la Convención Americana,  para</w:t>
        <w:br/>
        <w:t>tornar dicha cláusula también mandatoria, de conformidad con su carácter  de</w:t>
        <w:br/>
        <w:t>cláusula pétrea, estableciendo así el automatismo[59] de la jurisdicción  de</w:t>
        <w:br/>
        <w:t>la Corte Interamericana de Derechos Humanos[60]. Urge que el  antiguo  ideal</w:t>
        <w:br/>
        <w:t>de la  jurisdicción  internacional  obligatoria  permanente[61]  se  realice</w:t>
        <w:br/>
        <w:t>también en el continente americano, en el presente  dominio  de  protección,</w:t>
        <w:br/>
        <w:t>con los necesarios ajustes para hacer frente a su realidad de  los  derechos</w:t>
        <w:br/>
        <w:t>humanos y atender a las necesidades crecientes de protección eficaz del  ser</w:t>
        <w:br/>
        <w:t>humano.</w:t>
        <w:br/>
        <w:br/>
        <w:br/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VOTO RAZONADO CONCURRENTE DEL JUEZ HERNÁN SALGADO PESANTES A LAS SENTENCIAS</w:t>
        <w:br/>
        <w:t xml:space="preserve"> SOBRE EXCEPCIONES PRELIMINARES EN LOS CASOS HILAIRE, CONSTANTINE Y OTROS Y</w:t>
        <w:br/>
        <w:t xml:space="preserve">                              BENJAMÍN Y OTROS</w:t>
        <w:br/>
        <w:br/>
        <w:br/>
        <w:br/>
        <w:br/>
        <w:t>Estando de acuerdo en lo fundamental con la sentencia en el Caso Benjamín  y</w:t>
        <w:br/>
        <w:t>otros vs. Trinidad y Tobago quiero agregar las siguientes consideraciones:</w:t>
        <w:br/>
        <w:br/>
        <w:t>1.    En materia  de  reservas  a  los  tratados,  al  igual  que  en  otras</w:t>
        <w:br/>
        <w:t>cuestiones del Derecho Internacional, ha  habido  una  importante  evolución</w:t>
        <w:br/>
        <w:t>marcada por un  progreso constante.  Bien  podría  situarse  como  punto  de</w:t>
        <w:br/>
        <w:t>partida de esta evolución los  intensos  debates  a  que  dieron  lugar  las</w:t>
        <w:br/>
        <w:t>reservas formuladas por los Estados a la Convención para la Prevención y  la</w:t>
        <w:br/>
        <w:t>Sanción del Delito de  Genocidio  (1948)  y  luego  con  motivo  la  opinión</w:t>
        <w:br/>
        <w:t>consultiva que sobre esta cuestión dictó la Corte Internacional de  Justicia</w:t>
        <w:br/>
        <w:t>(1951).</w:t>
        <w:br/>
        <w:br/>
        <w:t>2.    Dichos debates sentaron las bases para construir de  mejor  manera  el</w:t>
        <w:br/>
        <w:t>sistema de reservas.  Un criterio importante de la opinión consultiva de  la</w:t>
        <w:br/>
        <w:t>CIJ fue el de la compatibilidad  de las reservas con el  objeto  y  fin  del</w:t>
        <w:br/>
        <w:t>tratado, siendo incorporado en 1969 en la  Convención  de  Viena  sobre  los</w:t>
        <w:br/>
        <w:t>Tratados (Art. 19) y, a través de este instrumento, está vigente también  en</w:t>
        <w:br/>
        <w:t>la Convención Americana sobre Derechos Humanos (Art. 75).</w:t>
        <w:br/>
        <w:br/>
        <w:t>3.    Es en las últimas décadas donde el criterio de que  una  reserva  debe</w:t>
        <w:br/>
        <w:t>ser compatible con el objeto y fin del tratado pasa  a  perfilarse  como  el</w:t>
        <w:br/>
        <w:t>requisito esencial y se convierte en una exigencia de  fondo  para  apreciar</w:t>
        <w:br/>
        <w:t>la admisibilidad y la validez de una reserva.  Sin embargo, la evolución  no</w:t>
        <w:br/>
        <w:t>está aún completa mientras no se proscriban las  reservas  de  los  tratados</w:t>
        <w:br/>
        <w:t>sobre derechos humanos en razón de su especial naturaleza.</w:t>
        <w:br/>
        <w:br/>
        <w:t>4.    En el presente caso, el Estado no formula la reserva  con  respecto  a</w:t>
        <w:br/>
        <w:t>las cláusulas sustantivas de la Convención  sino  que  pretende  hacerlo  en</w:t>
        <w:br/>
        <w:t>relación con la cláusula facultativa de  aceptación  de  la  competencia,  o</w:t>
        <w:br/>
        <w:t>mejor dicho, de la jurisdicción contenciosa de la Corte Interamericana.</w:t>
        <w:br/>
        <w:br/>
        <w:t>5.    Para reconocer la jurisdicción de la Corte, en  la  Convención  existe</w:t>
        <w:br/>
        <w:t>una disposición expresa que establece las  modalidades  o  formas  de  dicha</w:t>
        <w:br/>
        <w:t>aceptación: el Art. 62 párrafos 1 y 2;  en  consecuencia,  el  Estado  Parte</w:t>
        <w:br/>
        <w:t>que, en ejercicio de  su  potestad  soberana,  decida  reconocer  al  órgano</w:t>
        <w:br/>
        <w:t>jurisdiccional debe proceder de conformidad con lo que está previsto  en  la</w:t>
        <w:br/>
        <w:t>mencionada norma convencional.</w:t>
        <w:br/>
        <w:br/>
        <w:t>6.    En mi criterio no es posible que un Estado ignore lo dispuesto  en  el</w:t>
        <w:br/>
        <w:t>Art. 62. 2 e imponga condiciones a su reconocimiento de la  jurisdicción  de</w:t>
        <w:br/>
        <w:t>la Corte.  No existe  margen  de  discrecionalidad  alguna  para  el  Estado</w:t>
        <w:br/>
        <w:t>Parte, como  no  sea  la  de  expresar  su  voluntad  de  aceptación  de  la</w:t>
        <w:br/>
        <w:t>jurisdicción u omitir hacerlo.  Interpretar que lo que no está prohibido  en</w:t>
        <w:br/>
        <w:t>la norma convencional está permitido solo cabe  en  el  ámbito  del  derecho</w:t>
        <w:br/>
        <w:t>privado interno.  De lo expresado puedo inferir dos conclusiones.</w:t>
        <w:br/>
        <w:br/>
        <w:t>7.    Primera conclusión: un Estado  no  puede  establecer  condiciones  que</w:t>
        <w:br/>
        <w:t>limiten el funcionamiento del órgano jurisdiccional, encargado de aplicar  e</w:t>
        <w:br/>
        <w:t>interpretar la Convención. Cualquier limitación en este  sentido  terminaría</w:t>
        <w:br/>
        <w:t>afectando gravemente la eficacia del sistema de protección de  los  derechos</w:t>
        <w:br/>
        <w:t>humanos.</w:t>
        <w:br/>
        <w:br/>
        <w:t>8.    Segunda conclusión: cuando las reservas están permitidas, como  es  el</w:t>
        <w:br/>
        <w:t>caso del Art. 75  de  la  Convención  Americana,  éstas  tienen  un  alcance</w:t>
        <w:br/>
        <w:t>limitado por tratarse de un instrumento internacional de  derechos  humanos,</w:t>
        <w:br/>
        <w:t>caso contrario se volverían inciertas las  obligaciones  del  Estado  Parte.</w:t>
        <w:br/>
        <w:t>Por último, las reservas pierden su validez no  solamente  por  la  cuestión</w:t>
        <w:br/>
        <w:t>formal,  cuando  están  concebidas  con  un  carácter  general,   amplio   o</w:t>
        <w:br/>
        <w:t>impreciso, sino sobre todo cuando de alguna manera contradicen el  objeto  y</w:t>
        <w:br/>
        <w:t>el fin de la Convención Americana sobre Derechos Humanos.</w:t>
        <w:br/>
        <w:br/>
        <w:br/>
        <w:br/>
        <w:t xml:space="preserve">                           Hernán Salgado Pesantes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VOTO RAZONADO CONCURRENTE DEL JUEZ SERGIO GARCÍA RAMÍREZ A LAS SENTENCIAS</w:t>
        <w:br/>
        <w:t xml:space="preserve"> SOBRE EXCEPCIONES PRELIMINARES EN LOS CASOS HILAIRE, CONSTANTINE Y OTROS Y</w:t>
        <w:br/>
        <w:t xml:space="preserve">                              BENJAMÍN Y OTROS</w:t>
        <w:br/>
        <w:br/>
        <w:br/>
        <w:br/>
        <w:t>1.    He sumado mi voto al de mis colegas  en  la  Corte  Interamericana  de</w:t>
        <w:br/>
        <w:t>Derechos Humanos en las Sentencias sobre  excepciones  preliminares  en  los</w:t>
        <w:br/>
        <w:t>Casos Hilaire, Contantine y Otros y Benjamín y Otros, del  1  de  septiembre</w:t>
        <w:br/>
        <w:t>de 2001, que se fundan  en  el  mismo  razonamiento  y  llegan  a  idénticas</w:t>
        <w:br/>
        <w:t>decisiones en lo concerniente a la supuesta incompetencia de la  Corte  para</w:t>
        <w:br/>
        <w:t>conocer estos casos.</w:t>
        <w:br/>
        <w:br/>
        <w:t>2.    Considero que la Corte ha  procedido  adecuadamente  al  analizar  los</w:t>
        <w:br/>
        <w:t>argumentos del Estado y exponer sus  propios  razonamientos  con  referencia</w:t>
        <w:br/>
        <w:t>específica a los casos que ha tenido a la vista, sin examinar por  ahora  el</w:t>
        <w:br/>
        <w:t>tema general de las reservas a los  tratados  y  las  declaraciones  de  los</w:t>
        <w:br/>
        <w:t>Estados  acerca  del  alcance  que  éstos  asignan  a  la  admisión  de   la</w:t>
        <w:br/>
        <w:t>jurisdicción contenciosa de la Corte, conforme  a  la  cláusula  facultativa</w:t>
        <w:br/>
        <w:t>prevista en el  artículo  62  de  la  Convención  Americana  sobre  Derechos</w:t>
        <w:br/>
        <w:t>Humanos.</w:t>
        <w:br/>
        <w:br/>
        <w:t>3.    En ese marco, coincido con los Jueces que  integran  la  Corte  en  el</w:t>
        <w:br/>
        <w:t>señalamiento de que la  reserva  o  declaración  formulada  por  Trinidad  y</w:t>
        <w:br/>
        <w:t>Tobago en el instrumento de ratificación de la Convención  (del 3  de  abril</w:t>
        <w:br/>
        <w:t>de 1991, depositado el 28  de  mayo  del  mismo  año),  a  propósito  de  la</w:t>
        <w:br/>
        <w:t>jurisdicción contenciosa de la Corte Interamericana, tendría  el  efecto  de</w:t>
        <w:br/>
        <w:t>excluir al Estado del sistema jurisdiccional que en  ese  mismo  instrumento</w:t>
        <w:br/>
        <w:t>declara aceptar, en cuanto contiene una condición de  carácter  general  que</w:t>
        <w:br/>
        <w:t>subordina el ejercicio de la jurisdicción, en forma prácticamente  absoluta,</w:t>
        <w:br/>
        <w:t>a las disposiciones del  Derecho  interno.   En  efecto,  dicha  declaración</w:t>
        <w:br/>
        <w:t>admite la mencionada jurisdicción contenciosa  --pieza clave en la  efectiva</w:t>
        <w:br/>
        <w:t>vigencia del sistema interamericano  de  derechos  humanos--   “sólo  en  la</w:t>
        <w:br/>
        <w:t>medida en que (su ejercicio) sea compatible con  las  secciones  pertinentes</w:t>
        <w:br/>
        <w:t>de la Constitución de la República de Trinidad y Tobago”.</w:t>
        <w:br/>
        <w:br/>
        <w:t>4.    Como es fácil advertir, la fórmula utilizada por el Estado no  precisa</w:t>
        <w:br/>
        <w:t xml:space="preserve"> --a diferencia de lo que suele ocurrir en otras declaraciones de  la  misma</w:t>
        <w:br/>
        <w:t>naturaleza--   cuáles  son,  específicamente,  los  puntos   sustraídos   al</w:t>
        <w:br/>
        <w:t>conocimiento y a la resolución de la Corte,  que  necesariamente  aplica  la</w:t>
        <w:br/>
        <w:t>Convención Americana,  no  las  disposiciones  del  Derecho  interno  de  un</w:t>
        <w:br/>
        <w:t>Estado. Así las cosas, ese tribunal  internacional  estaría  privado  de  la</w:t>
        <w:br/>
        <w:t>posibilidad de ejercer con independencia las atribuciones que le  asigna  la</w:t>
        <w:br/>
        <w:t>Convención y debería sujetarse a una modalidad de  cotejo  casuístico  entre</w:t>
        <w:br/>
        <w:t>las normas de ésta y las del Derecho interno,  que  a  su  vez  se  hallaría</w:t>
        <w:br/>
        <w:t>sometido a la interpretación de los tribunales nacionales.</w:t>
        <w:br/>
        <w:br/>
        <w:t>5.    Evidentemente, semejante limitación  --establecida, como se ha  dicho,</w:t>
        <w:br/>
        <w:t>en forma general e indeterminada--, no es consecuente con el  objeto  y  fin</w:t>
        <w:br/>
        <w:t>de la Convención Americana sobre  Derechos  Humanos,  ni  corresponde  a  la</w:t>
        <w:br/>
        <w:t>naturaleza  de  la  jurisdicción  interamericana  llamada  a  tutelar   esos</w:t>
        <w:br/>
        <w:t>derechos.</w:t>
        <w:br/>
        <w:br/>
        <w:t>6.    Por otra parte, la fórmula que se analiza incluye  igualmente  algunas</w:t>
        <w:br/>
        <w:t>expresiones de muy difícil  comprensión,  que  resultan  equívocas  para  el</w:t>
        <w:br/>
        <w:t>intérprete    --y   que   podrían   obstruir   íntegramente   el    quehacer</w:t>
        <w:br/>
        <w:t>jurisdiccional de la Corte--,  como  la  que  se  reconoce  la  jurisdicción</w:t>
        <w:br/>
        <w:t>obligatoria del tribunal internacional “siempre que una sentencia de  (éste)</w:t>
        <w:br/>
        <w:t>no  contravenga,  establezca  o  anule  derechos  o  deberes  existentes  de</w:t>
        <w:br/>
        <w:t>ciudadanos particulares”.  Es  posible  citar  algunos  ejemplos  sobre  las</w:t>
        <w:br/>
        <w:t>implicaciones que podría tener esta  expresión  oscura.  Evidentemente,  una</w:t>
        <w:br/>
        <w:t>sentencia de la  Corte  podría  incidir  sobre  supuestos  “deberes  de  los</w:t>
        <w:br/>
        <w:t>individuos”  derivados  de  actos  o  medidas  que  el  tribunal   considere</w:t>
        <w:br/>
        <w:t>violatorios de la Convención. Las resoluciones del  tribunal  interamericano</w:t>
        <w:br/>
        <w:t>también repercutirían sobre “derechos de los particulares”  si  reconocieran</w:t>
        <w:br/>
        <w:t>a  favor  de  éstos  ciertas  consecuencias  jurídicas  con  motivo  de  las</w:t>
        <w:br/>
        <w:t>violaciones cometidas: así, el derecho a reparaciones. Por  otra  parte,  no</w:t>
        <w:br/>
        <w:t>está claro lo que se quiere decir al señalar que las sentencias de la  Corte</w:t>
        <w:br/>
        <w:t>no  podrían  establecer  “derechos  o  deberes  existentes”  de   ciudadanos</w:t>
        <w:br/>
        <w:t>particulares.</w:t>
        <w:br/>
        <w:br/>
        <w:t>7.    En suma,  por todo lo expuesto en los párrafos precedentes   --en  los</w:t>
        <w:br/>
        <w:t>que se proyecta el criterio que funda las sentencias  de  la  Corte  en  los</w:t>
        <w:br/>
        <w:t>casos a los que se refiere este voto-- no es posible  reconocer  eficacia  a</w:t>
        <w:br/>
        <w:t>la declaración formulada por el Estado en  el  instrumento  de  ratificación</w:t>
        <w:br/>
        <w:t>del 28 de mayo de 1991,  y sustentar en ella la excepción preliminar que  se</w:t>
        <w:br/>
        <w:t>invoca.</w:t>
        <w:br/>
        <w:br/>
        <w:t>8.     En  las  sentencias  dictadas  en  estos   tres   casos,   la   Corte</w:t>
        <w:br/>
        <w:t>Interamericana se ha referido única y exclusivamente a la excepción  opuesta</w:t>
        <w:br/>
        <w:t>por Trinidad y Tobago y ha examinado, en consecuencia,  las  características</w:t>
        <w:br/>
        <w:t>de la declaración en la que aquélla pretende sustentarse, analizada  en  las</w:t>
        <w:br/>
        <w:t>condiciones de los casos planteados. Otra cosa es el tema de las reservas  y</w:t>
        <w:br/>
        <w:t>declaraciones limitativas  del  ejercicio  jurisdiccional  de  la  Corte  en</w:t>
        <w:br/>
        <w:t>general, que suelen presentarse en términos diferentes. Esto no  obsta  para</w:t>
        <w:br/>
        <w:t>la conveniencia  --en aras de la  universalidad  de  los  derechos  humanos,</w:t>
        <w:br/>
        <w:t>convicción  común  de   los  Estados  que  han  contribuido  a   erigir   el</w:t>
        <w:br/>
        <w:t>correspondiente   sistema   interamericano--    de   eliminar   reservas   y</w:t>
        <w:br/>
        <w:t>condiciones  que  finalmente  significan  restricciones  de  mayor  o  menor</w:t>
        <w:br/>
        <w:t>alcance a la vigencia plena de esos derechos.</w:t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        -----------------------</w:t>
        <w:br/>
        <w:t>[1]   De conformidad con la Resolución de la Corte de 13 de  marzo  de  2001</w:t>
        <w:br/>
        <w:t>sobre Disposiciones Transitorias al Reglamento  de  la  Corte,  la  presente</w:t>
        <w:br/>
        <w:t>Sentencia sobre excepciones preliminares se dicta  según  los  términos  del</w:t>
        <w:br/>
        <w:t>Reglamento adoptado en la Resolución de la Corte  de  16  de  septiembre  de</w:t>
        <w:br/>
        <w:t>1996.</w:t>
        <w:br/>
        <w:t>[2]   En los cinco casos en los que el Estado no  envío  información  alguna</w:t>
        <w:br/>
        <w:t>(12.148, 12.152, 12.153, 12.156 y 12.157), la Comisión  aplicó  el  artículo</w:t>
        <w:br/>
        <w:t>42 de su Reglamento para determinar la  admisibilidad  y  el  fondo  de  los</w:t>
        <w:br/>
        <w:t>casos presumiendo que los hechos  denunciados  por  los  peticionarios  eran</w:t>
        <w:br/>
        <w:t>verdaderos, “toda vez que en ninguno de ellos  se  presentaron  pruebas  que</w:t>
        <w:br/>
        <w:t>dieran lugar a una conclusión diferente”.</w:t>
        <w:br/>
        <w:t>[3]   El 22 de mayo de 1998 la  Corte  Interamericana  de  Derechos  Humanos</w:t>
        <w:br/>
        <w:t>recibió de la Comisión Interamericana de Derechos Humanos una  solicitud  de</w:t>
        <w:br/>
        <w:t>medidas provisionales en el asunto James y otros, respecto  de  cinco  casos</w:t>
        <w:br/>
        <w:t>en trámite ante la Comisión, relacionados con la condena a  pena  de  muerte</w:t>
        <w:br/>
        <w:t>interpuesta a cinco ciudadanos detenidos en Trinidad  y  Tobago.  El  14  de</w:t>
        <w:br/>
        <w:t>junio de 1998, durante su   XL  Período  Ordinario  de  Sesiones,  la  Corte</w:t>
        <w:br/>
        <w:t>ordenó la adopción de las medidas solicitadas.</w:t>
        <w:br/>
        <w:br/>
        <w:t>[4]   Las demás personas indicadas por la Comisión en  su  solicitud  no  se</w:t>
        <w:br/>
        <w:t>encuentran incluidas en la demanda del presente caso.</w:t>
        <w:br/>
        <w:t>[5]   El caso Constantine y otros fue sometido a la Corte  por  la  Comisión</w:t>
        <w:br/>
        <w:t>Interamericana el 22 de  febrero  de  2000,  y  se  refiere  a  la  supuesta</w:t>
        <w:br/>
        <w:t>violación, por parte de la República de Trinidad y Tobago, de los  artículos</w:t>
        <w:br/>
        <w:t>4 (Derecho a la Vida), 5 (Derecho a la Integridad Personal),  7  (Derecho  a</w:t>
        <w:br/>
        <w:t>la Libertad Personal), 8 (Garantías Judiciales) y 25  (Protección  Judicial)</w:t>
        <w:br/>
        <w:t>de la Convención Americana, en relación con los artículos 1  (Obligación  de</w:t>
        <w:br/>
        <w:t>Respetar los Derechos) y  2  (Deber  de  Adoptar  Disposiciones  de  Derecho</w:t>
        <w:br/>
        <w:t>Interno) de la misma, como resultado de los arrestos, detenciones,  juicios,</w:t>
        <w:br/>
        <w:t>acusaciones y condenas a muerte de 24 supuestas  víctimas,  conforme  a  una</w:t>
        <w:br/>
        <w:t>ley que hace “obligatoria la imposición de la pena  de  muerte”  para  todas</w:t>
        <w:br/>
        <w:t>las personas declaradas culpables de homicidio intencional.</w:t>
        <w:br/>
        <w:br/>
        <w:t>En dicho caso, el 1  de  septiembre  de  2000  la  Comisión  renunció  a  la</w:t>
        <w:br/>
        <w:t>convocatoria de una audiencia sobre la excepción preliminar  presentada  por</w:t>
        <w:br/>
        <w:t>el Estado.  El Estado no presentó  observaciones  al  respecto  y  el  9  de</w:t>
        <w:br/>
        <w:t>octubre de 2000 el Presidente de la Corte emitió una Resolución  en  la  que</w:t>
        <w:br/>
        <w:t>decidió:</w:t>
        <w:br/>
        <w:br/>
        <w:t xml:space="preserve">      1.    Aceptar la solicitud de la Comisión Interamericana  de  Derechos</w:t>
        <w:br/>
        <w:t xml:space="preserve">      Humanos de renunciar a la convocatoria de una audiencia especial sobre</w:t>
        <w:br/>
        <w:t xml:space="preserve">      la excepción preliminar interpuesta por el Estado de Trinidad y Tobago</w:t>
        <w:br/>
        <w:t xml:space="preserve">      en el presente caso.</w:t>
        <w:br/>
        <w:br/>
        <w:br/>
        <w:t xml:space="preserve">      2.    Continuar con la consideración del caso Constantine y  otros  en</w:t>
        <w:br/>
        <w:t xml:space="preserve">      su etapa procesal vigente.</w:t>
        <w:br/>
        <w:t>[6]    Ciertas  Atribuciones  de  la  Comisión  Interamericana  de  Derechos</w:t>
        <w:br/>
        <w:t>Humanos.  (Arts. 41, 42, 44, 46, 47, 50 y  51  de  la  Convención  Americana</w:t>
        <w:br/>
        <w:t>sobre Derechos Humanos).  Opinión Consultiva OC-13/93 del  16  de  julio  de</w:t>
        <w:br/>
        <w:t>1993.  Serie A No. 13, párr. 51.</w:t>
        <w:br/>
        <w:br/>
        <w:t>[7]   Caso Cayara.  Excepciones Preliminares.  Sentencia de 3 de febrero  de</w:t>
        <w:br/>
        <w:t>1993. Serie C No. 14, párrs. 40 y 42.</w:t>
        <w:br/>
        <w:t>[8]   Caso Paniagua Morales y otros.   Excepciones  Preliminares.  Sentencia</w:t>
        <w:br/>
        <w:t>de 25 de enero de 1996. Serie C No. 23, párrs. 27-29.</w:t>
        <w:br/>
        <w:br/>
        <w:t>[9]   El Efecto  de  las  Reservas  Sobre  la  Entrada  en  Vigencia  de  la</w:t>
        <w:br/>
        <w:t>Convención Americana  sobre  Derechos  Humanos  (Arts.  74  y  75),  Opinión</w:t>
        <w:br/>
        <w:t>Consultiva OC-2/82 del 24 de septiembre de 1982.  Serie A No. 2,  párr.  35.</w:t>
        <w:br/>
        <w:t>Al respecto, el artículo 20 de la Convención de  Viena  “Aceptación  de  las</w:t>
        <w:br/>
        <w:t>reservas y objeción a las reservas” establece en su inciso 1) lo  siguiente:</w:t>
        <w:br/>
        <w:br/>
        <w:br/>
        <w:br/>
        <w:t xml:space="preserve">      1-    Una reserva expresamente autorizada por el tratado no exigirá la</w:t>
        <w:br/>
        <w:t xml:space="preserve">      aceptación ulterior de los demás Estados contratantes, a menos que  el</w:t>
        <w:br/>
        <w:t xml:space="preserve">      tratado así lo disponga.</w:t>
        <w:br/>
        <w:t>[10]  Así, en Caso del Tribunal Constitucional.  Competencia.  Sentencia  de</w:t>
        <w:br/>
        <w:t>24 de septiembre de 1999. Serie C No. 55, párr. 33 y Caso Ivcher  Bronstein.</w:t>
        <w:br/>
        <w:t xml:space="preserve"> Competencia. Sentencia de 24 de septiembre de 1999. Serie C No.  54,  párr.</w:t>
        <w:br/>
        <w:t>34.</w:t>
        <w:br/>
        <w:br/>
        <w:t>[11]  Cfr. Caso del Tribunal Constitucional.  Competencia.  Supra  nota  10,</w:t>
        <w:br/>
        <w:t>párr. 36 y Caso Ivcher Bronstein.  Competencia. Supra nota 10, párr. 37.</w:t>
        <w:br/>
        <w:t>[12]  Cfr. Caso del Tribunal Constitucional.  Competencia.  Supra  nota  10,</w:t>
        <w:br/>
        <w:t>párr. 39 y Caso Ivcher Bronstein.  Competencia. Supra nota 10, párr. 40.</w:t>
        <w:br/>
        <w:t>[13]  Cfr. Caso del Tribunal Constitucional.  Competencia.  Supra  nota  10,</w:t>
        <w:br/>
        <w:t>párr. 41 y Caso Ivcher Bronstein.  Competencia. Supra nota 10, párr. 42.</w:t>
        <w:br/>
        <w:br/>
        <w:t>[14]  El Efecto  de  las  Reservas  Sobre  la  Entrada  en  Vigencia  de  la</w:t>
        <w:br/>
        <w:t>Convención Americana sobre Derechos  Humanos.  Opinión  Consultiva  OC-2/82.</w:t>
        <w:br/>
        <w:t>Supra nota 9, párr. 29.</w:t>
        <w:br/>
        <w:br/>
        <w:t>[15]  Ver: Corte Internacional de Justicia, Opinión  Consultiva  Reservas  a</w:t>
        <w:br/>
        <w:t>la Convención para Prevenir y  Sancionar  el  Delito  de  Genocidio  (1951);</w:t>
        <w:br/>
        <w:t>European Commission of Human Rights, Decision as  to  the  Admissibility  of</w:t>
        <w:br/>
        <w:t>Application No. 788/60, Austria vs. Italy case,  Yearbook  of  the  European</w:t>
        <w:br/>
        <w:t>Convention on Human Rights, The Hague, M.  Nijhoff,  1961;  Eur.  Court  HR,</w:t>
        <w:br/>
        <w:t>Ireland vs. United Kingdom case, Judgment of 18 January 1978, Series  A  No.</w:t>
        <w:br/>
        <w:t>25; Eur. Court H.R., Soering Case, decision of 26  January  1989,  Series  A</w:t>
        <w:br/>
        <w:t>No. 161; Eur. Court of  H.R.,  Case  of  Loizidou  vs.  Turkey  (Preliminary</w:t>
        <w:br/>
        <w:t>Objections), judgment of 23 March 1995, Series A No. 310.</w:t>
        <w:br/>
        <w:t>[16]  Cfr. Caso del Tribunal Constitucional.  Competencia.  Supra  nota  10,</w:t>
        <w:br/>
        <w:t>párr. 46 y Caso Ivcher Bronstein.  Competencia. Supra nota 10, párr. 47.</w:t>
        <w:br/>
        <w:t>[17].       Corte  Interamericana  de  Derechos  Humanos  (CtIADH),  Opinión</w:t>
        <w:br/>
        <w:t>Consultiva  n.  15,  de  14.11.1997,  sobre  los  Informes  de  la  Comisión</w:t>
        <w:br/>
        <w:t>Interamericana de Derechos Humanos (1997), Serie A, n. 15, Voto  Concurrente</w:t>
        <w:br/>
        <w:t>del Juez A.A. Cançado Trindade, pp. 39 y 49-50, párrs. 7 y 37.</w:t>
        <w:br/>
        <w:br/>
        <w:t>[18].        Es  como  guardián  y  maestra  de   su   propia   jurisdicción</w:t>
        <w:br/>
        <w:t>(jurisdictio, jus dicere, la potestad de declarar  el  Derecho)  que,  a  la</w:t>
        <w:br/>
        <w:t>Corte Interamericana, como órgano judicial de supervisión de  la  Convención</w:t>
        <w:br/>
        <w:t>Americana, está reservado el rol de establecer las bases jurídicas  para  la</w:t>
        <w:br/>
        <w:t>construcción de un ordre public internacional de observancia y  salvaguardia</w:t>
        <w:br/>
        <w:t>de los derechos humanos, en  el  ámbito  de  aplicación  de  la  Convención.</w:t>
        <w:br/>
        <w:t>CtIADH,  Resolución  sobre   Medidas   Provisionales   de   Protección   (de</w:t>
        <w:br/>
        <w:t>25.05.1999), caso James et alii versus Trinidad y Tobago,  Voto  Concurrente</w:t>
        <w:br/>
        <w:t>del Juez A.A. Cançado Trindade, párrs. 7-8.</w:t>
        <w:br/>
        <w:br/>
        <w:t>[19].       El Protocolo n. 11 a la Convención Europea de  Derechos  Humanos</w:t>
        <w:br/>
        <w:t>entró en vigor el 01.11.1998. Sobre la cláusula  facultativa  (artículo  46)</w:t>
        <w:br/>
        <w:t>original  de  la  Convención  Europea,  cf.  Council  of  Europe/Conseil  de</w:t>
        <w:br/>
        <w:t>l'Europe, Collected Edition of the `Travaux Préparatoires' of  the  European</w:t>
        <w:br/>
        <w:t>Convention  on  Human  Rights/Recueil  des  Travaux  Préparatoires   de   la</w:t>
        <w:br/>
        <w:t>Convention Européenne des Droits de l'Homme, vol. IV,  The  Hague,  Nijhoff,</w:t>
        <w:br/>
        <w:t>1977, pp. 200-201 y 266-267; y vol. V, The Hague, Nijhoff, 1979, pp.  58-59.</w:t>
        <w:br/>
        <w:br/>
        <w:br/>
        <w:t>[20].       Y el artículo 36.6 determina que "en caso de disputa  en  cuanto</w:t>
        <w:br/>
        <w:t>a si la Corte tiene o no jurisdicción, la Corte decidirá".</w:t>
        <w:br/>
        <w:br/>
        <w:t>[21].       A saber:  Srs.  Adatci  (Japón),  Altamira  (España),  Fernandes</w:t>
        <w:br/>
        <w:t>(Brasil), Barón  Descamps  (Bélgica),  Hagerup  (Noruega),  De  La  Pradelle</w:t>
        <w:br/>
        <w:t>(Francia), Loder (Holanda), Lord Phillimore (Gran  Bretaña),  Ricci  Busatti</w:t>
        <w:br/>
        <w:t>(Italia) y Elihu Root (Estados Unidos).</w:t>
        <w:br/>
        <w:br/>
        <w:t>[22].       Cf. R.P. Anand, Compulsory  Jurisdiction  of  the  International</w:t>
        <w:br/>
        <w:t>Court of Justice, New Delhi/Bombay, Asia Publ. House, 1961, pp. 19 y  34-36.</w:t>
        <w:br/>
        <w:br/>
        <w:br/>
        <w:t>[23].       Para un relato, cf., inter alia, J.C. Witenberg,  L'organisation</w:t>
        <w:br/>
        <w:t>judiciaire, la procédure et la sentence internationales -  Traité  pratique,</w:t>
        <w:br/>
        <w:t>Paris, Pédone, 1937, pp. 22-23; L.  Gross,  "Compulsory  Jurisdiction  under</w:t>
        <w:br/>
        <w:t>the Optional Clause: History  and  Practice",  The  International  Court  of</w:t>
        <w:br/>
        <w:t>Justice  at  a   Crossroads   (ed.   L.F.   Damrosch),   Dobbs   Ferry/N.Y.,</w:t>
        <w:br/>
        <w:t>ASIL/Transnational Publs., 1987, pp. 20-21.</w:t>
        <w:br/>
        <w:br/>
        <w:t>[24].       Cf. el relato de un  Juez  de  la  antigua  CPJI,  M.O.  Hudson,</w:t>
        <w:br/>
        <w:t>International Tribunals - Past and Future,  Washington,  Carnegie  Endowment</w:t>
        <w:br/>
        <w:t>for International Peace/Brookings Institution,  1944,  pp.  76-78.  -  Aquel</w:t>
        <w:br/>
        <w:t>total de 45 Estados representaba, en realidad, una proporción  alta,  en  la</w:t>
        <w:br/>
        <w:t>época, considerándose que, al final de los años  treinta,  52  Estados  eran</w:t>
        <w:br/>
        <w:t>miembros de la Sociedad de las Naciones (de la  cual  no  formaba  parte  la</w:t>
        <w:br/>
        <w:t>antigua CPJI, distintamente de la CIJ, que es el órgano  judicial  principal</w:t>
        <w:br/>
        <w:t>de Naciones Unidas, y cuyo Estatuto forma un todo  orgánico  con  la  propia</w:t>
        <w:br/>
        <w:t>Carta de Naciones Unidas).</w:t>
        <w:br/>
        <w:br/>
        <w:t>[25].       En su libro  de  memorias  publicado  en  1967,  Raul  Fernandes</w:t>
        <w:br/>
        <w:t>reveló que el Comité de Jurisconsultos de 1920 se vio  ante  el  desafío  de</w:t>
        <w:br/>
        <w:t>establecer  la  base  de  la  jurisdicción  de  la  CPJI   (a   partir   del</w:t>
        <w:br/>
        <w:t>consentimiento mutuo entre los Estados) y, al  mismo  tiempo,  resguardar  y</w:t>
        <w:br/>
        <w:t>reafirmar el principio de la  igualdad  jurídica  de  los  Estados;  cf.  R.</w:t>
        <w:br/>
        <w:t>Fernandes, Nonagésimo Aniversário - Conferências e Trabalhos Esparsos,  vol.</w:t>
        <w:br/>
        <w:t>I, Rio de Janeiro, M.R.E., 1967, pp. 174-175.</w:t>
        <w:br/>
        <w:br/>
        <w:t>[26].        J.-M.  Yepes,  "La  contribution  de   l'Amérique   Latine   au</w:t>
        <w:br/>
        <w:t>développement du Droit international public et privé", 32 Recueil des  Cours</w:t>
        <w:br/>
        <w:t>de l'Académie de Droit  International  de  La  Haye  (1930)  p.  712;  F.-J.</w:t>
        <w:br/>
        <w:t>Urrutia, "La Codification du Droit International en  Amérique",  22  Recueil</w:t>
        <w:br/>
        <w:t>des Cours de l'Académie de Droit International de La Haye  (1928)  pp.  148-</w:t>
        <w:br/>
        <w:t>149; y cf. M. Bourquin, "Règles générales du droit de la paix",  35  Recueil</w:t>
        <w:br/>
        <w:t>des Cours de l'Académie de Droit International de La Haye  (1931)  pp.  195-</w:t>
        <w:br/>
        <w:t>196.</w:t>
        <w:br/>
        <w:br/>
        <w:t>[27].       Cf. el relato de R.P. Anand, op. cit. supra n. (6),  pp.  38-46;</w:t>
        <w:br/>
        <w:t>y cf. también, al  respecto,  S.  Rosenne,  The  Law  and  Practice  of  the</w:t>
        <w:br/>
        <w:t>International  Court,  vol.  I,  Leyden,  Sijthoff,  1965,  pp.  32-36;  Ian</w:t>
        <w:br/>
        <w:t>Brownlie,  Principles  of  Public  International  Law,  4a.   ed.,   Oxford,</w:t>
        <w:br/>
        <w:t>Clarendon  Press,  1995  (reprint),  pp.  715-716;   O.J.   Lissitzyn,   The</w:t>
        <w:br/>
        <w:t>International Court of Justice, N.Y., Carnegie Endowment  for  International</w:t>
        <w:br/>
        <w:t>Peace, 1951, pp. 61-64.</w:t>
        <w:br/>
        <w:br/>
        <w:t>[28].       Como la insensatez humana parece no tener límites,  el  capítulo</w:t>
        <w:br/>
        <w:t>del  derecho  internacional  atinente  a  la  solución   pacífica   de   las</w:t>
        <w:br/>
        <w:t>controversias internacionales continuó padeciendo de la  vieja  ambivalencia</w:t>
        <w:br/>
        <w:t>- verdadera vexata quaestio -  que  siempre  lo  caracterizó,  inclusive  en</w:t>
        <w:br/>
        <w:t>nuestros días, a saber, la tensión ineluctable entre  el  deber  general  de</w:t>
        <w:br/>
        <w:t>solución pacífica y la libre elección por los  Estados  de  los  métodos  de</w:t>
        <w:br/>
        <w:t>solución de la controversia.</w:t>
        <w:br/>
        <w:br/>
        <w:t>[29].       Para expresiones de pesimismo en cuanto a  la  práctica  de  los</w:t>
        <w:br/>
        <w:t>Estados bajo  aquella  cláusula  facultativa,  al  final  de  la  década  de</w:t>
        <w:br/>
        <w:t>setenta, cf. J.G. Merrills, "The Optional Clause  Today",  50  British  Year</w:t>
        <w:br/>
        <w:t>Book of International Law (1979) pp. 90-91, 108, 113 y 116.</w:t>
        <w:br/>
        <w:br/>
        <w:t>[30].       En un artículo reciente, un ex-Presidente de la CIJ, después  de</w:t>
        <w:br/>
        <w:t>señalar que "hoy día una parte bien considerable del  derecho  internacional</w:t>
        <w:br/>
        <w:t>afecta directamente los individuos, corporaciones y entidades legales  otras</w:t>
        <w:br/>
        <w:t>que los Estados", y de recordar que, sin embargo,  el  Estatuto  de  la  CIJ</w:t>
        <w:br/>
        <w:t>todavía sostiene - según una concepción del derecho internacional propia  de</w:t>
        <w:br/>
        <w:t>los años veinte - que sólo los Estados pueden ser partes en  casos  ante  la</w:t>
        <w:br/>
        <w:t>Corte  (artículo  34.1),  admitió  y  lamentó  que   este   descompás   haya</w:t>
        <w:br/>
        <w:t>marginalizado la Corte de La Haya del gran corpus del derecho  internacional</w:t>
        <w:br/>
        <w:t>contemporáneo. R.Y. Jennings, "The  International  Court  of  Justice  after</w:t>
        <w:br/>
        <w:t>Fifty Years", 89 American Journal of International Law (1995) p. 504.</w:t>
        <w:br/>
        <w:br/>
        <w:t>[31].       International Court of Justice,  Yearbook  1996-1997,  vol.  51,</w:t>
        <w:br/>
        <w:t>The Hague, ICJ, 1997, p. 84, y cf. pp. 84-125.</w:t>
        <w:br/>
        <w:br/>
        <w:t>[32].       G. Weissberg, "The Role of the International  Court  of  Justice</w:t>
        <w:br/>
        <w:t>in the United Nations System: The First Quarter Century", The Future of  the</w:t>
        <w:br/>
        <w:t>International Court of Justice (ed. L. Gross), vol.  I,  Dobbs  Ferry  N.Y.,</w:t>
        <w:br/>
        <w:t>Oceana Publs.,  1976,  p.  163;  y,  sobre  el  sentimiento  de  frustración</w:t>
        <w:br/>
        <w:t>generado por ésto, cf.  ibid.,  pp.  186-190.  Cf.  también  Report  on  the</w:t>
        <w:br/>
        <w:t>Connally Amendment - Views of  Law  School  Deans,  Law  School  Professors,</w:t>
        <w:br/>
        <w:t>International Law Professors (compiled under the auspices of  the  Committee</w:t>
        <w:br/>
        <w:t>for Effective Use of the International Court by Repealing  the  Self-Judging</w:t>
        <w:br/>
        <w:t>Reservation), New York, [1961], pp. 1-154.</w:t>
        <w:br/>
        <w:br/>
        <w:t>[33].       Cf. datos estadísticos in G. Weissberg, op. cit. supra n.  (16),</w:t>
        <w:br/>
        <w:t>pp. 160-161; hay, sin embargo,  que  recordar  las  clauses  compromissoires</w:t>
        <w:br/>
        <w:t>atinentes a la competencia contenciosa de la CIJ, las  cuales,  en  mediados</w:t>
        <w:br/>
        <w:t>de los años setenta, figuraban en cerca de 180 tratados y convenciones  (más</w:t>
        <w:br/>
        <w:t>de dos tercios de los cuales de carácter bilateral, y envolviendo más de  50</w:t>
        <w:br/>
        <w:t>Estados - ibid., p. 164).</w:t>
        <w:br/>
        <w:br/>
        <w:t>[34].        Algunos  daban  la  impresión  que  suscribían  así  la  citada</w:t>
        <w:br/>
        <w:t>cláusula  facultativa  para  poder  accionar  otros  Estados  ante  la  CIJ,</w:t>
        <w:br/>
        <w:t>intentando, sin embargo, evitar que fuesen  ellos  propios   accionados  por</w:t>
        <w:br/>
        <w:t>otros Estados; J. Soubeyrol, "Validité  dans  le  temps  de  la  déclaration</w:t>
        <w:br/>
        <w:t>d'acceptation de la juridiction obligatoire", 5 Annuaire français  de  Droit</w:t>
        <w:br/>
        <w:t>international (1959) pp. 232-257, esp. p. 233.</w:t>
        <w:br/>
        <w:br/>
        <w:t>[35].       C.H.M. Waldock, "Decline of the  Optional  Clause",  32  British</w:t>
        <w:br/>
        <w:t>Year Book of  International  Law  (1955-1956)  pp.  244-287.  Y,  sobre  los</w:t>
        <w:br/>
        <w:t>orígenes de esta decadencia, cf. el Voto Disidente del Juez Guerrero  en  el</w:t>
        <w:br/>
        <w:t>caso de los Préstamos  Noruegos  (Sentencia  del  06.07.1957),  ICJ  Reports</w:t>
        <w:br/>
        <w:t>(1957) pp. 69-70.</w:t>
        <w:br/>
        <w:br/>
        <w:t>[36].       Cuando todavía prevalecía hasta cierto punto esta visión, en  un</w:t>
        <w:br/>
        <w:t>libro clásico publicado en 1934, Georges  Scelle,  cuestionándola,  señalaba</w:t>
        <w:br/>
        <w:t>que la auto-atribución de competencia discrecional a los gubernantes,  y  el</w:t>
        <w:br/>
        <w:t>ejercicio de funciones según los criterios de  los  propios  detentores  del</w:t>
        <w:br/>
        <w:t>poder,   eran   características   de   una   sociedad   internacional   poco</w:t>
        <w:br/>
        <w:t>evolucionada, imperfecta, y todavía casi anárquica;  G.  Scelle,  Précis  de</w:t>
        <w:br/>
        <w:t>droit des gens - Principes et systématique, parte  II,  Paris,  Rec.  Sirey,</w:t>
        <w:br/>
        <w:t>1934 (reed. 1984), pp. 547-548. Y cf., anteriormente, en el  mismo  sentido,</w:t>
        <w:br/>
        <w:t>L. Duguit, L'État, le Droit objectif et la loi positive, vol. I,  Paris,  A.</w:t>
        <w:br/>
        <w:t>Fontemoing Ed., 1901, pp. 122-131 y 614.</w:t>
        <w:br/>
        <w:br/>
        <w:t>[37].       Tal como se desprende de la amplia jurisprudencia  internacional</w:t>
        <w:br/>
        <w:t>al respecto, analizada detalladamente in: A.A. Cançado Trindade, El  Derecho</w:t>
        <w:br/>
        <w:t>Internacional   de   los    Derechos    Humanos    en    el    Siglo    XXI,</w:t>
        <w:br/>
        <w:t>Santiago/México/Buenos Aires/Barcelona, Editorial Jurídica de  Chile,  2001,</w:t>
        <w:br/>
        <w:t>pp. 15-58.</w:t>
        <w:br/>
        <w:br/>
        <w:t>[38].       Cf., en  este  sentido,  la  decisión  de  la  antigua  Comisión</w:t>
        <w:br/>
        <w:t>Europea de Derechos Humanos (ComEDH) en el caso Chrysostomos et alii  versus</w:t>
        <w:br/>
        <w:t>Turquía (1991), in ComEDH,  Decisions  and  Reports,  vol.  68,  Strasbourg,</w:t>
        <w:br/>
        <w:t>C.E., [1991], pp. 216-253; y cf., anteriormente,  los  obiter  dicta  de  la</w:t>
        <w:br/>
        <w:t>Comisión, en el mismo sentido, en sus decisiones en los  Casos  Lingüísticos</w:t>
        <w:br/>
        <w:t>Belgas (1966-1967) y en los casos Kjeldsen, Busk Madsen  y  Pedersen  versus</w:t>
        <w:br/>
        <w:t>Dinamarca (1976).</w:t>
        <w:br/>
        <w:br/>
        <w:t>[39].       Artículo  46  de  la  Convención  Europea,  anteriormente  a  la</w:t>
        <w:br/>
        <w:t>entrada en vigor, el  01.11.1998,  del  Protocolo  n.  11  a  la  Convención</w:t>
        <w:br/>
        <w:t>Europea.</w:t>
        <w:br/>
        <w:br/>
        <w:t>[40].       A lo que agregó, además, el contexto  fundamentalmente  distinto</w:t>
        <w:br/>
        <w:t>en que operan los dos tribunales internacionales, siendo  la  CIJ  "a  free-</w:t>
        <w:br/>
        <w:t>standing international tribunal which has no  links  to  a  standard-setting</w:t>
        <w:br/>
        <w:t>treaty such as the Convention"; cf. European Court of Human Rights  (ECtHR),</w:t>
        <w:br/>
        <w:t>Case of Loizidou versus Turkey (Preliminary Objections),  Strasbourg,  C.E.,</w:t>
        <w:br/>
        <w:t>Sentencia del 23.03.1995, p. 25, párr. 82, y cf. p. 22, párr. 68.  Sobre  la</w:t>
        <w:br/>
        <w:t>prevalencia de las obligaciones convencionales de los  Estados  Partes,  cf.</w:t>
        <w:br/>
        <w:t>también los obiter dicta de la Corte en su decisión  anterior,  en  el  caso</w:t>
        <w:br/>
        <w:t>Belilos versus Suiza (1988). - La  Corte  de  La  Haya,  a  su  vez,  en  su</w:t>
        <w:br/>
        <w:t>Sentencia del 04.12.1998  en  el  caso  de  la  Jurisdicción  de  Pesquerías</w:t>
        <w:br/>
        <w:t>(España versus Canadá), cedió  ante  el  subjetivismo  voluntarista  de  los</w:t>
        <w:br/>
        <w:t>Estados litigantes (cf. ICJ Reports (1998) pp. 438-468),  antitético  de  la</w:t>
        <w:br/>
        <w:t>propia noción de jurisdicción internacional obligatoria, - provocando  Votos</w:t>
        <w:br/>
        <w:t>Disidentes de cinco de sus Jueces, para quienes la CIJ  puso  en  riesgo  el</w:t>
        <w:br/>
        <w:t>propio futuro del mecanismo de la  cláusula  facultativa  bajo  el  artículo</w:t>
        <w:br/>
        <w:t>36.2 de su Estatuto, abriendo la puerta a una eventual deserción  del  mismo</w:t>
        <w:br/>
        <w:t>(cf.  ibid.,   pp.   496-515,   516-552,   553-569,   570-581   y   582-738,</w:t>
        <w:br/>
        <w:t>respectivamente). - En  más  de  una  ocasión  el  énfasis  indebido  en  el</w:t>
        <w:br/>
        <w:t>consentimiento estatal llevó la CIJ  a  decisiones  incongruentes,  como  su</w:t>
        <w:br/>
        <w:t>Sentencia de 1995 en el caso del Timor Oriental; cf. críticas in,  v.g.,  J.</w:t>
        <w:br/>
        <w:t>Dugard, "1966 and All That: the South West  African  Judgment  Revisited  in</w:t>
        <w:br/>
        <w:t>the East Timor Case", 8 African Journal  of  International  and  Comparative</w:t>
        <w:br/>
        <w:t>Law (1996) pp. 549-563;  A.A.  Cançado  Trindade,  "O  Caso  do  Timor-Leste</w:t>
        <w:br/>
        <w:t>(1999): O Direito de Autodeterminação  do  Povo  Timorense",  1  Revista  de</w:t>
        <w:br/>
        <w:t>Derecho de la Universidad Católica del Uruguay (2000) pp. 68-75.  Como  bien</w:t>
        <w:br/>
        <w:t>ha señalado Shabtai Rosenne, el procedimiento judicial internacional  de  la</w:t>
        <w:br/>
        <w:t>Corte de La Haya desafortunadamente continúa siguiendo  hoy  día  el  modelo</w:t>
        <w:br/>
        <w:t>del bilateralismo en el contencioso internacional, propio del siglo XIX;  S.</w:t>
        <w:br/>
        <w:t>Rosenne, "Decolonisation in the International Court of Justice",  8  African</w:t>
        <w:br/>
        <w:t>Journal of International and Comparative Law (1996) p. 576.</w:t>
        <w:br/>
        <w:br/>
        <w:t>[41].       Cf. Corte Interamericana  de  Derechos  Humanos,  caso  Castillo</w:t>
        <w:br/>
        <w:t>Petruzzi y  Otros  versus  Perú  (Excepciones  Preliminares),  Sentencia  de</w:t>
        <w:br/>
        <w:t>04.09.1998,  Serie  C,  n.  41,  Voto  Concurrente  del  Juez  A.A.  Cançado</w:t>
        <w:br/>
        <w:t>Trindade, párrs. 36 y 38.</w:t>
        <w:br/>
        <w:br/>
        <w:t>[42].       Han constituido ejemplos de  tales  excesos  las  objeciones  de</w:t>
        <w:br/>
        <w:t>dominio reservado (domestic jurisdiction/compétence nationale exclusive)  de</w:t>
        <w:br/>
        <w:t>los Estados (criticadas en mi ensayo "The Domestic  Jurisdiction  of  States</w:t>
        <w:br/>
        <w:t>in the Practice of  the  United  Nations  and  Regional  Organisations",  25</w:t>
        <w:br/>
        <w:t>International  and  Comparative  Law  Quarterly  (1976)  pp.  744-751),   la</w:t>
        <w:br/>
        <w:t>previsión de retiro a cualquier momento de  la  aceptación  de  la  cláusula</w:t>
        <w:br/>
        <w:t>facultativa, la previsión de  modificación  posterior  de  los  términos  de</w:t>
        <w:br/>
        <w:t>aceptación de la cláusula, y la previsión de inserción  de  nuevas  reservas</w:t>
        <w:br/>
        <w:t>en el futuro; cf. C.W. Jenks, The Prospects of  International  Adjudication,</w:t>
        <w:br/>
        <w:t>London, Stevens, 1964, p.  108,  y  cf.  pp.  113,  118  y  760-761;  C.H.M.</w:t>
        <w:br/>
        <w:t>Waldock, "Decline of the Optional Clause", op. cit. supra n. (19), p. 270.</w:t>
        <w:br/>
        <w:br/>
        <w:t>[43].       C.W. Jenks, op. cit. supra n. (26), pp. 760-761.</w:t>
        <w:br/>
        <w:br/>
        <w:t>[44].        CtIADH,  caso  del   Tribunal   Constitucional   (Competencia),</w:t>
        <w:br/>
        <w:t>Sentencia del 24.09.1999, Serie C, n. 55, p.  18,  párr.  35;  CtIADH,  caso</w:t>
        <w:br/>
        <w:t>Ivcher Bronstein (Competencia), Sentencia del 24.09.1999, Serie  C,  n.  54,</w:t>
        <w:br/>
        <w:t>p. 16, párr. 36.</w:t>
        <w:br/>
        <w:br/>
        <w:t>[45].       Ejemplificada por la práctica estatal bajo el artículo 36.2  del</w:t>
        <w:br/>
        <w:t>Estatuto de la CIJ (supra).</w:t>
        <w:br/>
        <w:br/>
        <w:t>[46].       Si no fuera así, no habría cualquier seguridad  jurídica  en  el</w:t>
        <w:br/>
        <w:t>contencioso internacional, con  consecuencias  nefastas  sobre  todo  en  el</w:t>
        <w:br/>
        <w:t>dominio  de  la  protección  internacional  de  los  derechos  humanos.   La</w:t>
        <w:br/>
        <w:t>pretensión de analogía  entre  el  contencioso  interestatal  clásico  y  el</w:t>
        <w:br/>
        <w:t>contencioso   internacional   de   los   derechos   humanos   -     dominios</w:t>
        <w:br/>
        <w:t>fundamentalmente distintos - es manifiestamente inadecuada,  por  cuanto  en</w:t>
        <w:br/>
        <w:t>este  último  las  consideraciones   de   orden   superior   (ordre   public</w:t>
        <w:br/>
        <w:t>internacional) priman sobre el voluntarismo de los  Estados.  Éstos  últimos</w:t>
        <w:br/>
        <w:t>no pueden pretender contar con la misma latitud de discrecionalidad  que  se</w:t>
        <w:br/>
        <w:t>han  reservado  en  el  contexto  tradicional  del   contencioso   puramente</w:t>
        <w:br/>
        <w:t>interestatal.</w:t>
        <w:br/>
        <w:br/>
        <w:t>[47].       El párrafo 3 del artículo 62 de la Convención agrega  que:  -"La</w:t>
        <w:br/>
        <w:t>Corte tiene competencia  para  conocer  de  cualquier  caso 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especial".</w:t>
        <w:br/>
        <w:br/>
        <w:t>[48].       H. Accioly, Tratado de Derecho Internacional  Público,  tomo  I,</w:t>
        <w:br/>
        <w:t>Rio de Janeiro, Imprensa Nacional, 1945, p. 5.</w:t>
        <w:br/>
        <w:br/>
        <w:t>[49].       Cf. U.N./International  Law  Commission,  "Draft  Guidelines  on</w:t>
        <w:br/>
        <w:t>Reservations to  Treaties",  in:  U.N.,  Report  of  the  International  Law</w:t>
        <w:br/>
        <w:t>Commission on the Work of Its  51st  Session  (May/July  1999),  G.A.O.R.  -</w:t>
        <w:br/>
        <w:t>Suppl. n. 10 (A/54/10/Corr.1-2), 1999, pp. 18-24, item 1.3; e in: Report  of</w:t>
        <w:br/>
        <w:t>the International Law Commission on the Work of Its 52nd  Session  (May/June</w:t>
        <w:br/>
        <w:t>and July/August 2000), G.A.O.R. - Suppl. n. 10  (A/55/10),  2000,  pp.  229-</w:t>
        <w:br/>
        <w:t>272, item  1.7;  y  cf.  también,  más  recientemente,  A.  Pellet  (special</w:t>
        <w:br/>
        <w:t>rapporteur),  Sixth  Report  on   Reservations   to   Treaties   (Addendum),</w:t>
        <w:br/>
        <w:t>U.N./I.L.C. doc. A/CN.4/518/Add.1, de 21.05.2001, pp. 3-31,  párrs.  38-133.</w:t>
        <w:br/>
        <w:br/>
        <w:br/>
        <w:t>[50].       Para un examen de la cuestión, cf., e.g., F. Horn,  Reservations</w:t>
        <w:br/>
        <w:t>and   Interpretative   Declarations   to    Multilateral    Treaties,    The</w:t>
        <w:br/>
        <w:t>Hague/Uppsala, T.M.C. Asser  Instituut/Swedish  Institute  of  International</w:t>
        <w:br/>
        <w:t>Law, 1988, pp. 98-110 y 229-337, y cf. pp. 184-222; D.M. McRae,  "The  Legal</w:t>
        <w:br/>
        <w:t>Effect  of  Interpretative  Declarations",   49   British   Year   Book   of</w:t>
        <w:br/>
        <w:t>International Law (1978) pp. 155-173.</w:t>
        <w:br/>
        <w:br/>
        <w:t>[51].       Recuérdese que en el célebre caso Belilos versus  Suiza  (1988),</w:t>
        <w:br/>
        <w:t>la  Corte  Europea  de  Derechos  Humanos  consideró  que  una   declaración</w:t>
        <w:br/>
        <w:t>interpuesta por Suiza equivaldría a una reserva - de carácter  general  -  a</w:t>
        <w:br/>
        <w:t>la Convención Europea de Derechos Humanos, incompatible con el objeto y  fin</w:t>
        <w:br/>
        <w:t>de esta última. Corte Europea  de  Derechos  Humanos,  caso  Belilos  versus</w:t>
        <w:br/>
        <w:t>Suiza, Sentencia del 29.04.1988, Serie A, n. 132, pp. 20-28, párrs. 38-60.</w:t>
        <w:br/>
        <w:br/>
        <w:t>[52].       CtIADH, caso Blake versus  Guatemala  (Reparaciones),  Sentencia</w:t>
        <w:br/>
        <w:t>del 22.01.1999, Serie  C,  n.  48,  Voto  Razonado  del  Juez  A.A.  Cançado</w:t>
        <w:br/>
        <w:t>Trindade, pp. 52-53, párrs. 32-34.</w:t>
        <w:br/>
        <w:br/>
        <w:t>[53].       Como "medio auxiliar para la  determinación  de  las  reglas  de</w:t>
        <w:br/>
        <w:t>derecho".</w:t>
        <w:br/>
        <w:br/>
        <w:t>[54].       Como esta misma lo  ha  admitido,  v.g.,  en  su  Sentencia  del</w:t>
        <w:br/>
        <w:t>18.11.1960 en el caso de la Sentencia Arbitral del Rey  de  España  de  1906</w:t>
        <w:br/>
        <w:t>(Honduras versus Nicarágua), ICJ Reports (1960) pp. 204-217.</w:t>
        <w:br/>
        <w:br/>
        <w:t>[55].       I. Brownlie, Principles of Public International  Law,  4a.  ed.,</w:t>
        <w:br/>
        <w:t>Oxford, Clarendon Press, 1990, pp. 19-24; A.A. Cançado Trindade,  Princípios</w:t>
        <w:br/>
        <w:t>do Direito Internacional Contemporâneo, Brasília,  Editora  Universidade  de</w:t>
        <w:br/>
        <w:t>Brasília, 1981, pp. 19-20; R.A. Falk, The Role of  Domestic  Courts  in  the</w:t>
        <w:br/>
        <w:t>International Legal Order, Syracuse University  Press,  1964,  pp.  21-52  y</w:t>
        <w:br/>
        <w:t>170; J.A. Barberis, "Les arrêts des tribunaux nationaux et la  formation  du</w:t>
        <w:br/>
        <w:t>droit international coutumier", 46 Revue de droit international de  sciences</w:t>
        <w:br/>
        <w:t>diplomatiques et politiques (1968) pp. 247-253;  F.  Morgenstern,  "Judicial</w:t>
        <w:br/>
        <w:t>Practice and the Supremacy of International Law", 27 British  Year  Book  of</w:t>
        <w:br/>
        <w:t>International Law (1950) p. 90.</w:t>
        <w:br/>
        <w:br/>
        <w:t>[56].       CtIADH, caso Blake versus  Guatemala  (Reparaciones),  Sentencia</w:t>
        <w:br/>
        <w:t>del 22.01.1999, Serie  C,  n.  48,  Voto  Razonado  del  Juez  A.A.  Cançado</w:t>
        <w:br/>
        <w:t>Trindade, pp. 48 y 50, párrs. 23 y 27-28.</w:t>
        <w:br/>
        <w:br/>
        <w:t>[57].       En realidad, no se ha avanzado más en la  solución  judicial  de</w:t>
        <w:br/>
        <w:t>controversias  internacionales  precisamente  porque  los  Estados  se   han</w:t>
        <w:br/>
        <w:t>mostrado refractarios a ella, dispensando  mayor  atención  a  los  factores</w:t>
        <w:br/>
        <w:t>políticos; Ch. de Visscher, Aspects récents du droit procédural de  la  Cour</w:t>
        <w:br/>
        <w:t>Internationale de Justice, Paris, Pédone, 1966, p. 204;  y  cf.  también  L.</w:t>
        <w:br/>
        <w:t>Delbez, Les principes généraux du contentieux  international,  Paris,  LGDJ,</w:t>
        <w:br/>
        <w:t>1962, pp. 68, 74 y 76-77. - Más recientemente, un ex-Presidente  de  la  CIJ</w:t>
        <w:br/>
        <w:t>criticó como insatisfactorio el mal uso hecho por los Estados del  mecanismo</w:t>
        <w:br/>
        <w:t>de la cláusula facultativa (de la jurisdicción obligatoria de  la  CIJ)  del</w:t>
        <w:br/>
        <w:t>Estatuto de la Corte; en sus palabras, los  Estados  pueden  considerar  que</w:t>
        <w:br/>
        <w:t>"hay alguna ventaja política en permanecer fuera de un sistema  que  permite</w:t>
        <w:br/>
        <w:t>a los Estados adherir más o menos en sus  propios  términos  en  un  momento</w:t>
        <w:br/>
        <w:t>oportuno". R.Y. Jennings, "The International Court of  Justice  after  Fifty</w:t>
        <w:br/>
        <w:t>Years", op. cit. supra n. (14), p. 495. Cf. también las críticas de otro ex-</w:t>
        <w:br/>
        <w:t>Presidente de la CIJ: E. Jiménez de  Aréchaga,  "International  Law  in  the</w:t>
        <w:br/>
        <w:t>Past Third of a Century", 159 Recueil  des  Cours  de  l'Académie  de  Droit</w:t>
        <w:br/>
        <w:t>International de La Haye (1978) pp. 154-155; y cf. también las críticas  in:</w:t>
        <w:br/>
        <w:t>H.W. Briggs, "Reservations to the Acceptance of Compulsory  Jurisdiction  of</w:t>
        <w:br/>
        <w:t>the International Court of Justice", 93 Recueil des Cours de  l'Académie  de</w:t>
        <w:br/>
        <w:t>Droit International de La Haye (1958) p. 273. Y cf. también: P.  Guggenheim,</w:t>
        <w:br/>
        <w:t>Traité de Droit international public, vol. I, Genève, Georg, 1967,  p.  279;</w:t>
        <w:br/>
        <w:t>y, en  general,  J.  Sicault,  "Du  caractère  obligatoire  des  engagements</w:t>
        <w:br/>
        <w:t>unilatéraux en Droit international  public",  83  Revue  générale  de  Droit</w:t>
        <w:br/>
        <w:t>international  public  (1979)  pp.  633-688.   -   Esta   práctica   estatal</w:t>
        <w:br/>
        <w:t>desvirtuada no puede, en definitiva, servir de modelo a la operación de  los</w:t>
        <w:br/>
        <w:t>órganos judiciales creados por tratados de derechos humanos.</w:t>
        <w:br/>
        <w:br/>
        <w:t>[58].       Y teniendo siempre presente que la protección  de  los  derechos</w:t>
        <w:br/>
        <w:t>fundamentales nos sitúa precisamente  en  el  dominio  del  jus  cogens.  Al</w:t>
        <w:br/>
        <w:t>respecto,  en  una  intervención  en  los  debates  del  12.03.1986  de   la</w:t>
        <w:br/>
        <w:t>Conferencia  de  Viena  sobre  Derecho  de  los  Tratados  entre  Estados  y</w:t>
        <w:br/>
        <w:t>Organizaciones Internacionales o entre  Organizaciones  Internacionales,  me</w:t>
        <w:br/>
        <w:t>permití advertir para la manifiesta incompatibilidad con el concepto de  jus</w:t>
        <w:br/>
        <w:t>cogens de la concepción voluntarista del derecho internacional, la  cual  no</w:t>
        <w:br/>
        <w:t>es  capaz  siquiera  de  explicar  la  formación  de  reglas   del   derecho</w:t>
        <w:br/>
        <w:t>internacional general; cf. U.N., United Nations Conference  on  the  Law  of</w:t>
        <w:br/>
        <w:t>Treaties  between  States  and  International   Organizations   or   between</w:t>
        <w:br/>
        <w:t>International Organizations (Vienna, 1986) -  Official  Records,  volume  I,</w:t>
        <w:br/>
        <w:t>N.Y., U.N., 1995, pp. 187-188 (intervención de A.A. Cançado Trindade).</w:t>
        <w:br/>
        <w:br/>
        <w:t>[59].       El cual ya es una realidad, en cuanto  a  la  Corte  Europea  de</w:t>
        <w:br/>
        <w:t>Derechos Humanos, a partir de  la  entrada  en  vigor,  el  01.11.1998,  del</w:t>
        <w:br/>
        <w:t>Protocolo n. 11 a la Convención Europea de Derechos  Humanos.  Otro  ejemplo</w:t>
        <w:br/>
        <w:t>de  jurisdicción  obligatoria  es  el  de  la  Corte  de  Justicia  de   las</w:t>
        <w:br/>
        <w:t>Comunidades Europeas;  cf.  H.  Steiger,  "Plaidoyer  pour  une  juridiction</w:t>
        <w:br/>
        <w:t>internationale obligatoire", Theory of International Law  at  the  Threshold</w:t>
        <w:br/>
        <w:t>of the  21st  Century  -  Essays  in  Honour  of  K.  Skubiszewski  (ed.  J.</w:t>
        <w:br/>
        <w:t>Makarczyk), The Hague, Kluwer, 1996, pp. 821-822 y 832.</w:t>
        <w:br/>
        <w:br/>
        <w:t>[60].       Con la necesaria enmienda, - mediante un Protocolo,  -  en  este</w:t>
        <w:br/>
        <w:t>sentido, del artículo 62 de la Convención  Americana,  poniendo  fin  a  las</w:t>
        <w:br/>
        <w:t>restricciones en él previstas y expresamente descartando la  posibilidad  de</w:t>
        <w:br/>
        <w:t>cualesquiera  otras  restricciones,  y  poniendo   igualmente   fin   a   la</w:t>
        <w:br/>
        <w:t>reciprocidad y al carácter facultativo de la aceptación  de  la  competencia</w:t>
        <w:br/>
        <w:t>contenciosa de la Corte, la cual se  tornaría  obligatoria  para  todos  los</w:t>
        <w:br/>
        <w:t>Estados Partes.</w:t>
        <w:br/>
        <w:br/>
        <w:t>[61].       En monografía publicada en  1924,  cuatro  años  después  de  la</w:t>
        <w:br/>
        <w:t>adopción del Estatuto de la antigua CPJI, Nicolas Politis,  al  recordar  la</w:t>
        <w:br/>
        <w:t>evolución histórica de la justicia privada a  la  justicia  pública,  advogó</w:t>
        <w:br/>
        <w:t>igualmente por la evolución, en  el  plano  internacional,  de  la  justicia</w:t>
        <w:br/>
        <w:t>facultativa  a  la  justicia  obligatoria;  cf.  N.  Politis,   La   justice</w:t>
        <w:br/>
        <w:t>internationale, Paris, Libr. Hachette, 1924, pp. 7-255, esp. pp.  193-194  y</w:t>
        <w:br/>
        <w:t>249-250.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