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 xml:space="preserve">                  Corte Interamericana de Derechos Humanos</w:t>
        <w:br/>
        <w:br/>
        <w:br/>
        <w:t xml:space="preserve">               Caso Constantine y otros Vs. Trinidad y Tobago</w:t>
        <w:br/>
        <w:br/>
        <w:br/>
        <w:t xml:space="preserve">                    Sentencia de 1 de septiembre de 2001</w:t>
        <w:br/>
        <w:t xml:space="preserve">                         (Excepciones Preliminares)</w:t>
        <w:br/>
        <w:br/>
        <w:br/>
        <w:t>En el caso Constantine y otros,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jueces:</w:t>
        <w:br/>
        <w:br/>
        <w:t xml:space="preserve">      Antônio A. Cançado Trindade, Presidente;</w:t>
        <w:br/>
        <w:t xml:space="preserve">      Máximo Pacheco Gómez, Vicepresidente;</w:t>
        <w:br/>
        <w:t xml:space="preserve">      Hernán Salgado Pesantes, Juez;</w:t>
        <w:br/>
        <w:t xml:space="preserve">      Oliver Jackman, Juez;</w:t>
        <w:br/>
        <w:t xml:space="preserve">      Alirio Abreu Burelli, Juez;</w:t>
        <w:br/>
        <w:t xml:space="preserve">      Sergio García Ramírez, Juez, y</w:t>
        <w:br/>
        <w:t xml:space="preserve">      Carlos Vicente de Roux Rengifo, Juez;</w:t>
        <w:br/>
        <w:br/>
        <w:t>presentes, además,</w:t>
        <w:br/>
        <w:br/>
        <w:t xml:space="preserve">      Manuel E. Ventura Robles, Secretario, y</w:t>
        <w:br/>
        <w:t xml:space="preserve">      Pablo Saavedra Alessandri, Secretario adjunto;</w:t>
        <w:br/>
        <w:br/>
        <w:t>de acuerdo  con  el  artículo  36  de  su  Reglamento[1]  (en  adelante  “el</w:t>
        <w:br/>
        <w:t>Reglamento”), dicta la siguiente Sentencia  sobre  la  excepción  preliminar</w:t>
        <w:br/>
        <w:t>interpuesta por el Estado de Trinidad y Tobago (en adelante  “el  Estado”  o</w:t>
        <w:br/>
        <w:t>“Trinidad y Tobago”).</w:t>
        <w:br/>
        <w:br/>
        <w:br/>
        <w:br/>
        <w:t xml:space="preserve">                                      I</w:t>
        <w:br/>
        <w:br/>
        <w:br/>
        <w:t xml:space="preserve">                          INTRODUCCIÓN DE LA CAUSA</w:t>
        <w:br/>
        <w:br/>
        <w:br/>
        <w:t>1.     El  presente  caso  fue  sometido  a  la  Corte   por   la   Comisión</w:t>
        <w:br/>
        <w:t>Interamericana   de   Derechos   Humanos   (en   adelante    “la    Comisión</w:t>
        <w:br/>
        <w:t>Interamericana” o “la Comisión”) el 22 de febrero de 2000.   La  demanda  de</w:t>
        <w:br/>
        <w:t>la Comisión  tiene  su  origen  en  las  denuncias  números  11.787  (George</w:t>
        <w:br/>
        <w:t>Constantine), 11.814 (Wenceslaus James),  11.840  (Denny  Baptiste),  11.851</w:t>
        <w:br/>
        <w:t>(Clarence Charles), 11.853 (Keiron Thomas), 11.855 (Anthony Garcia),  12.005</w:t>
        <w:br/>
        <w:t>(Wilson Prince), 12.021  (Darrin  Roger  Thomas),  12.042  (Mervyn  Edmund),</w:t>
        <w:br/>
        <w:t>12.043 (Samuel Winchester), 12.052 (Martin  Reid),  12.072  (Rodney  Davis),</w:t>
        <w:br/>
        <w:t>12.073  (Gangadeen  Tahaloo),  12.075  (Noel   Seepersad),   12.076   (Wayne</w:t>
        <w:br/>
        <w:t>Matthews), 12.082 (Alfred  Frederick),  12.093  (Natasha  De  Leon),  12.111</w:t>
        <w:br/>
        <w:t>(Vijay Mungroo), 12.112 (Phillip Chotalal), 12.129 (Naresh  Boodram  y  Joey</w:t>
        <w:br/>
        <w:t>Ramiah), 12.137 (Nigel Mark), 12.140 (Wilberforce Bernard) y  12.141  (Steve</w:t>
        <w:br/>
        <w:t>Mungroo), recibidas en la Secretaría de ésta entre julio de 1997  y  febrero</w:t>
        <w:br/>
        <w:t>de 1999.</w:t>
        <w:br/>
        <w:br/>
        <w:br/>
        <w:t xml:space="preserve">                                     II</w:t>
        <w:br/>
        <w:t xml:space="preserve">                       HECHOS EXPUESTOS EN LA DEMANDA</w:t>
        <w:br/>
        <w:br/>
        <w:t>2.    La Comisión Interamericana expuso en su demanda los hechos en  que  se</w:t>
        <w:br/>
        <w:t>fundamenta.  En los siguientes párrafos, la Corte resume los  hechos  y  las</w:t>
        <w:br/>
        <w:t>pretensiones de la demanda que son relevantes para la  consideración  de  la</w:t>
        <w:br/>
        <w:t>excepción preliminar:</w:t>
        <w:br/>
        <w:br/>
        <w:t>El Estado de Trinidad y  Tobago  es  responsable  de  la  violación  de  los</w:t>
        <w:br/>
        <w:t>siguientes artículos de la Convención Americana sobre Derechos  Humanos  (en</w:t>
        <w:br/>
        <w:t>adelante “la Convención Americana” o “la Convención”) (infra 18):</w:t>
        <w:br/>
        <w:br/>
        <w:t>4.1, 5.1, 5.2, y  8.1,  por  sentenciar  a  George  Constantine,  Wenceslaus</w:t>
        <w:br/>
        <w:t>James, Denny Baptiste, Clarence  Charles,  Keiron  Thomas,  Anthony  Garcia,</w:t>
        <w:br/>
        <w:t>Wilson Prince,  Darrin  Roger  Thomas,  Mervyn  Edmund,  Samuel  Winchester,</w:t>
        <w:br/>
        <w:t>Martin  Reid,  Rodney  Davis,  Gangadeen  Tahaloo,  Noel  Seepersad,   Wayne</w:t>
        <w:br/>
        <w:t>Matthews,  Alfred  Frederick,  Natasha  De  Leon,  Vijay  Mungroo,   Phillip</w:t>
        <w:br/>
        <w:t>Chotalal, Joey Ramiah y Naresh Boodram, Nigel Mark,  Wilberforce  Bernard  y</w:t>
        <w:br/>
        <w:t>Steve Mungroo (en adelante “las supuestas víctimas”) a una “pena  de  muerte</w:t>
        <w:br/>
        <w:t>obligatoria”;</w:t>
        <w:br/>
        <w:br/>
        <w:t>4.1, 5.1 y 5.2, por aplicación de la pena de muerte a una de  las  supuestas</w:t>
        <w:br/>
        <w:t>víctimas  mientras  su  caso  se  encontraba  pendiente  ante   el   Sistema</w:t>
        <w:br/>
        <w:t>Interamericano de Derechos Humanos;</w:t>
        <w:br/>
        <w:br/>
        <w:t>4.6, por  no  proporcionarles  a  las  veinticuatro  supuestas  víctimas  un</w:t>
        <w:br/>
        <w:t>derecho efectivo a solicitar la amnistía, el indulto o la conmutación de  la</w:t>
        <w:br/>
        <w:t>pena;</w:t>
        <w:br/>
        <w:br/>
        <w:t>7.5 y 8.1, en razón de la demora en el proceso penal de  diecisiete  de  las</w:t>
        <w:br/>
        <w:t>supuestas víctimas;</w:t>
        <w:br/>
        <w:br/>
        <w:t>25 y 2,  por  no  adoptar  las  medidas  legislativas  y  de  otro  carácter</w:t>
        <w:br/>
        <w:t>necesarias para hacer efectivo el derecho a ser juzgados  ante  un  tribunal</w:t>
        <w:br/>
        <w:t>competente dentro de  un  plazo  razonable,  en  perjuicio  de  esas  mismas</w:t>
        <w:br/>
        <w:t>diecisiete supuestas víctimas, de acuerdo con los artículos 7.5 y 8.1 de  la</w:t>
        <w:br/>
        <w:t>Convención;</w:t>
        <w:br/>
        <w:br/>
        <w:t>5.1 y 5.2, en razón de las condiciones de  detención  de  dieciséis  de  las</w:t>
        <w:br/>
        <w:t>supuestas víctimas;</w:t>
        <w:br/>
        <w:t>8.2.c, por no haber dado a conocer a una de las  supuestas  víctimas,  antes</w:t>
        <w:br/>
        <w:t>del juicio, una declaración testimonial  de  alto  valor  probatorio  y  con</w:t>
        <w:br/>
        <w:t>ello, no habérsele concedido los medios adecuados para la preparación de  su</w:t>
        <w:br/>
        <w:t>defensa;</w:t>
        <w:br/>
        <w:br/>
        <w:t>8.2.d y 8.2.e, por haber  denegado  a  una  de  las  supuestas  víctimas  la</w:t>
        <w:br/>
        <w:t>posibilidad de defenderse personalmente o contar con asistencia  letrada  de</w:t>
        <w:br/>
        <w:t>su elección en el curso de su apelación ante  la  Corte  de  Apelaciones  de</w:t>
        <w:br/>
        <w:t>Trinidad y Tobago;</w:t>
        <w:br/>
        <w:br/>
        <w:t>8.1 y 25, por no poner a disposición de nueve de las supuestas víctimas  una</w:t>
        <w:br/>
        <w:t>asistencia letrada efectiva para iniciar acciones constitucionales ante  los</w:t>
        <w:br/>
        <w:t>tribunales internos en relación con su procesamiento penal;</w:t>
        <w:br/>
        <w:br/>
        <w:t>todos en relación con el artículo 1.1 de la Convención.</w:t>
        <w:br/>
        <w:br/>
        <w:t>La Comisión Interamericana fundamenta  sus  alegatos,  inter  alia,  en  los</w:t>
        <w:br/>
        <w:t>siguientes hechos:</w:t>
        <w:br/>
        <w:br/>
        <w:t xml:space="preserve">        1. El 17 de febrero de  1995  el  señor  George  Constantine  (Caso</w:t>
        <w:br/>
        <w:t xml:space="preserve">           11.787) fue condenado  y  sentenciado  a  una  “pena  de  muerte</w:t>
        <w:br/>
        <w:t xml:space="preserve">           obligatoria” en la horca, por el homicidio de Elsa Constantine;</w:t>
        <w:br/>
        <w:br/>
        <w:br/>
        <w:t xml:space="preserve">        2. El 21 junio de 1996 el señor Wenceslaus James (Caso 11.814)  fue</w:t>
        <w:br/>
        <w:t xml:space="preserve">           condenado y sentenciado a una “pena de muerte obligatoria” en la</w:t>
        <w:br/>
        <w:t xml:space="preserve">           horca, por el homicidio de Siewdath Ramkissoon;</w:t>
        <w:br/>
        <w:br/>
        <w:br/>
        <w:t xml:space="preserve">        3. El 29 de mayo de 1995 el señor Denny Baptiste (Caso 11.840)  fue</w:t>
        <w:br/>
        <w:t xml:space="preserve">           condenado y sentenciado a una “pena de muerte obligatoria” en la</w:t>
        <w:br/>
        <w:t xml:space="preserve">           horca, por el homicidio de Alexander Jordan;</w:t>
        <w:br/>
        <w:br/>
        <w:br/>
        <w:t xml:space="preserve">        4. El 16 de marzo de 1989 el señor Clarence Charles  (Caso  11.851)</w:t>
        <w:br/>
        <w:t xml:space="preserve">           fue condenado y sentenciado a una “pena de  muerte  obligatoria”</w:t>
        <w:br/>
        <w:t xml:space="preserve">           en la horca, por el homicidio de Roger Charles;</w:t>
        <w:br/>
        <w:br/>
        <w:br/>
        <w:t xml:space="preserve">        5. El 27 de julio de 1994 el señor Keiron Thomas (Caso 11.853)  fue</w:t>
        <w:br/>
        <w:t xml:space="preserve">           condenado y sentenciado a una “pena de muerte obligatoria” en la</w:t>
        <w:br/>
        <w:t xml:space="preserve">           horca, por el homicidio de Wayne Gerry Williams;</w:t>
        <w:br/>
        <w:br/>
        <w:br/>
        <w:t xml:space="preserve">        6. El 30 de octubre de 1996 el señor Anthony Garcia  (Caso  11.855)</w:t>
        <w:br/>
        <w:t xml:space="preserve">           fue condenado y sentenciado a una “pena de  muerte  obligatoria”</w:t>
        <w:br/>
        <w:t xml:space="preserve">           en la horca, por el homicidio de Cyril Roberts;</w:t>
        <w:br/>
        <w:br/>
        <w:br/>
        <w:t xml:space="preserve">        7. El 26 de noviembre de 1996 el señor Wilson Prince (Caso  12.005)</w:t>
        <w:br/>
        <w:t xml:space="preserve">           fue condenado y sentenciado a una “pena de  muerte  obligatoria”</w:t>
        <w:br/>
        <w:t xml:space="preserve">           en la horca, por el homicidio de Ida Sebastien Richardson;</w:t>
        <w:br/>
        <w:br/>
        <w:br/>
        <w:t xml:space="preserve">        8. El 9 de noviembre de 1995 el señor  Darrin  Roger  Thomas  (Caso</w:t>
        <w:br/>
        <w:t xml:space="preserve">           12.021) fue condenado  y  sentenciado  a  una  “pena  de  muerte</w:t>
        <w:br/>
        <w:t xml:space="preserve">           obligatoria” en  la  horca,  por  el  homicidio  de  Chandranath</w:t>
        <w:br/>
        <w:t xml:space="preserve">           Maharaj;</w:t>
        <w:br/>
        <w:br/>
        <w:br/>
        <w:t xml:space="preserve">        9. El 10 de diciembre de 1990 el señor Mervyn Edmund (Caso  12.042)</w:t>
        <w:br/>
        <w:t xml:space="preserve">           fue condenado y sentenciado a una “pena de  muerte  obligatoria”</w:t>
        <w:br/>
        <w:t xml:space="preserve">           en la horca, por el homicidio de Minerva Sampson;</w:t>
        <w:br/>
        <w:br/>
        <w:br/>
        <w:t xml:space="preserve">       10. El 4 de marzo de 1997 el señor Samuel Winchester  (Caso  12.043)</w:t>
        <w:br/>
        <w:t xml:space="preserve">           fue condenado y sentenciado a una “pena de  muerte  obligatoria”</w:t>
        <w:br/>
        <w:t xml:space="preserve">           en la horca, por el homicidio de Esma Darlington;</w:t>
        <w:br/>
        <w:br/>
        <w:br/>
        <w:t xml:space="preserve">       11. El 15 de noviembre de 1995 el señor Martin  Reid  (Caso  12.052)</w:t>
        <w:br/>
        <w:t xml:space="preserve">           fue condenado y sentenciado a una “pena de  muerte  obligatoria”</w:t>
        <w:br/>
        <w:t xml:space="preserve">           en la horca, por el homicidio de Fabrina Alleyne;</w:t>
        <w:br/>
        <w:br/>
        <w:br/>
        <w:t xml:space="preserve">       12. El 31 de enero de 1997 el señor Rodney Davis (Caso  12.072)  fue</w:t>
        <w:br/>
        <w:t xml:space="preserve">           condenado y sentenciado a una “pena de muerte obligatoria” en la</w:t>
        <w:br/>
        <w:t xml:space="preserve">           horca, por el homicidio de Nicole Bristol;</w:t>
        <w:br/>
        <w:br/>
        <w:br/>
        <w:t xml:space="preserve">       13. El 26 de mayo de 1995 el señor Gangadeen Tahaloo  (Caso  12.073)</w:t>
        <w:br/>
        <w:t xml:space="preserve">           fue condenado y sentenciado a una “pena de  muerte  obligatoria”</w:t>
        <w:br/>
        <w:t xml:space="preserve">           en la horca, por el homicidio de Janetta Peters;</w:t>
        <w:br/>
        <w:br/>
        <w:br/>
        <w:t xml:space="preserve">       14. El 7 de febrero de 1997 el señor Noel  Seepersad  (Caso  12.075)</w:t>
        <w:br/>
        <w:t xml:space="preserve">           fue condenado y sentenciado a una “pena de  muerte  obligatoria”</w:t>
        <w:br/>
        <w:t xml:space="preserve">           en la horca, por los homicidios de  Candace  Scott  y  Karen  Sa</w:t>
        <w:br/>
        <w:t xml:space="preserve">           Gomes;</w:t>
        <w:br/>
        <w:br/>
        <w:br/>
        <w:t xml:space="preserve">       15. El 16 de noviembre de 1988 el señor Wayne Matthews (Caso 12.076)</w:t>
        <w:br/>
        <w:t xml:space="preserve">           fue condenado y sentenciado a una “pena de  muerte  obligatoria”</w:t>
        <w:br/>
        <w:t xml:space="preserve">           en la horca, por el homicidio de Norris Yorke;</w:t>
        <w:br/>
        <w:br/>
        <w:br/>
        <w:t xml:space="preserve">       16. El 29 de septiembre de 1997  el  señor  Alfred  Frederick  (Caso</w:t>
        <w:br/>
        <w:t xml:space="preserve">           12.082) fue condenado  y  sentenciado  a  una  “pena  de  muerte</w:t>
        <w:br/>
        <w:t xml:space="preserve">           obligatoria” en la horca, por el homicidio de Rahiman Gopaul;</w:t>
        <w:br/>
        <w:br/>
        <w:br/>
        <w:t xml:space="preserve">       17. El 9 de noviembre de  1995  la  señora  Natasha  De  Leon  (Caso</w:t>
        <w:br/>
        <w:t xml:space="preserve">           12.093) fue condenada  y  sentenciada  a  una  “pena  de  muerte</w:t>
        <w:br/>
        <w:t xml:space="preserve">           obligatoria” en  la  horca,  por  el  homicidio  de  Chandranath</w:t>
        <w:br/>
        <w:t xml:space="preserve">           Maharaj;</w:t>
        <w:br/>
        <w:br/>
        <w:br/>
        <w:t xml:space="preserve">       18. El 13 de diciembre de 1996 el señor Vijay Mungroo (Caso  12.111)</w:t>
        <w:br/>
        <w:t xml:space="preserve">           fue condenado y sentenciado a una “pena de  muerte  obligatoria”</w:t>
        <w:br/>
        <w:t xml:space="preserve">           en la horca, por el homicidio de Edmund Mitchell;</w:t>
        <w:br/>
        <w:br/>
        <w:br/>
        <w:t xml:space="preserve">       19. El 13 de diciembre de  1996  el  señor  Phillip  Chotalal  (Caso</w:t>
        <w:br/>
        <w:t xml:space="preserve">           12.112) fue condenado  y  sentenciado  a  una  “pena  de  muerte</w:t>
        <w:br/>
        <w:t xml:space="preserve">           obligatoria” en la horca, por el homicidio de  Edmund  Mitchell;</w:t>
        <w:br/>
        <w:br/>
        <w:br/>
        <w:br/>
        <w:br/>
        <w:t xml:space="preserve">       20. El 27 de noviembre de 1996 los  señores  Joey  Ramiah  y  Naresh</w:t>
        <w:br/>
        <w:t xml:space="preserve">           Boodram (Caso 12.129) fueron condenados  y  sentenciados  a  una</w:t>
        <w:br/>
        <w:t xml:space="preserve">           “pena de muerte obligatoria” en la horca, por los homicidios  de</w:t>
        <w:br/>
        <w:t xml:space="preserve">           Anthony Curtis Greenridge y  Steven  Sandy;  adicionalmente,  el</w:t>
        <w:br/>
        <w:t xml:space="preserve">           señor Joey Ramiah fue  sentenciado  a  muerte  bajo  la  Ley  de</w:t>
        <w:br/>
        <w:t xml:space="preserve">           Delitos Contra la Persona en relación con Dole Chaddee y el 4 de</w:t>
        <w:br/>
        <w:t xml:space="preserve">           junio de 1999, el  Estado  ejecutó  al  señor  Ramiah  por  esta</w:t>
        <w:br/>
        <w:t xml:space="preserve">           segunda causa;</w:t>
        <w:br/>
        <w:br/>
        <w:br/>
        <w:t xml:space="preserve">       21. El 11 de noviembre de 1997 el señor Nigel Mark (Caso 12.137) fue</w:t>
        <w:br/>
        <w:t xml:space="preserve">           condenado y sentenciado a una “pena de muerte obligatoria” en la</w:t>
        <w:br/>
        <w:t xml:space="preserve">           horca, por el homicidio de Bhagirath Singh;</w:t>
        <w:br/>
        <w:br/>
        <w:br/>
        <w:t xml:space="preserve">       22. El 22 de enero  de  1996  el  señor  Wilberforce  Bernard  (Caso</w:t>
        <w:br/>
        <w:t xml:space="preserve">           12.140) fue condenado  y  sentenciado  a  una  “pena  de  muerte</w:t>
        <w:br/>
        <w:t xml:space="preserve">           obligatoria” en la horca, por el homicidio de Ramnarine  Saroop;</w:t>
        <w:br/>
        <w:br/>
        <w:br/>
        <w:br/>
        <w:br/>
        <w:t xml:space="preserve">       23. El 13 de diciembre de 1996 el señor Steve Mungroo (Caso  12.141)</w:t>
        <w:br/>
        <w:t xml:space="preserve">           fue condenado y sentenciado a una “pena de  muerte  obligatoria”</w:t>
        <w:br/>
        <w:t xml:space="preserve">           en la horca, por el homicidio de Edmund Mitchell;</w:t>
        <w:br/>
        <w:br/>
        <w:br/>
        <w:t xml:space="preserve">       24. En los  23  casos  anteriores,  las  supuestas  víctimas  fueron</w:t>
        <w:br/>
        <w:t xml:space="preserve">           juzgadas por Trinidad y  Tobago  por  el  delito  de  homicidio,</w:t>
        <w:br/>
        <w:t xml:space="preserve">           condenadas y sentenciadas a muerte en la horca en virtud  de  la</w:t>
        <w:br/>
        <w:t xml:space="preserve">           Ley de Delitos Contra la Persona. Una vez que el delincuente  es</w:t>
        <w:br/>
        <w:t xml:space="preserve">           encontrado culpable de homicidio, la sección 4 de la  mencionada</w:t>
        <w:br/>
        <w:t xml:space="preserve">           ley “impone obligatoriamente la pena de  muerte”,  estableciendo</w:t>
        <w:br/>
        <w:t xml:space="preserve">           que “toda persona condenada por homicidio sufrirá la muerte”;</w:t>
        <w:br/>
        <w:br/>
        <w:br/>
        <w:t xml:space="preserve">       25. La Ley de Delitos Contra la Persona  provee  una  definición  de</w:t>
        <w:br/>
        <w:t xml:space="preserve">           “homicidio”,   permite   que   un   jurado   considere   ciertas</w:t>
        <w:br/>
        <w:t xml:space="preserve">           circunstancias del asesinato determinantes para establecer si el</w:t>
        <w:br/>
        <w:t xml:space="preserve">           acusado debe ser encontrado culpable del delito de homicidio,  o</w:t>
        <w:br/>
        <w:t xml:space="preserve">           de un delito menor, impone la pena de muerte en caso de  que  el</w:t>
        <w:br/>
        <w:t xml:space="preserve">           acusado sea encontrado culpable de asesinato, pero no permite al</w:t>
        <w:br/>
        <w:t xml:space="preserve">           juez o al jurado considerar las  circunstancias  personales  del</w:t>
        <w:br/>
        <w:t xml:space="preserve">           acusado o del delito;</w:t>
        <w:br/>
        <w:br/>
        <w:br/>
        <w:t xml:space="preserve">       26. Los procedimientos de revisión judicial internos respecto de las</w:t>
        <w:br/>
        <w:t xml:space="preserve">           condenas penales pueden adoptar dos formas:  una apelación penal</w:t>
        <w:br/>
        <w:t xml:space="preserve">           contra la condena o una acción de inconstitucionalidad al amparo</w:t>
        <w:br/>
        <w:t xml:space="preserve">           de la sección 14 de  la  Constitución.   El  artículo  6  de  la</w:t>
        <w:br/>
        <w:t xml:space="preserve">           Constitución de Trinidad y Tobago protege contra la impugnación,</w:t>
        <w:br/>
        <w:t xml:space="preserve">           en virtud  de  las  secciones  4  y  5  de  la  misma,  de  toda</w:t>
        <w:br/>
        <w:t xml:space="preserve">           reivindicación contra una ley o una acción adoptada al amparo de</w:t>
        <w:br/>
        <w:t xml:space="preserve">           ley vigente  en  1976,  fecha  de  entrada  en  vigencia  de  la</w:t>
        <w:br/>
        <w:t xml:space="preserve">           Constitución, que viole derechos  fundamentales  consagrados  en</w:t>
        <w:br/>
        <w:t xml:space="preserve">           las secciones 4 y 5  de  la  Constitución.   Ello  incluye  todo</w:t>
        <w:br/>
        <w:t xml:space="preserve">           argumento de que el acto ejecutivo de la materialización de  una</w:t>
        <w:br/>
        <w:t xml:space="preserve">           sentencia de muerte pronunciada por un tribunal al amparo de una</w:t>
        <w:br/>
        <w:t xml:space="preserve">           ley vigente en 1976  abroga,  restringe  o  infringe  de  alguna</w:t>
        <w:br/>
        <w:t xml:space="preserve">           manera  los  derechos  o  libertades  constitucionales   de   un</w:t>
        <w:br/>
        <w:t xml:space="preserve">           condenado;</w:t>
        <w:br/>
        <w:br/>
        <w:br/>
        <w:t xml:space="preserve">       27. Además, la sección 4 de la Constitución  de  Trinidad  y  Tobago</w:t>
        <w:br/>
        <w:t xml:space="preserve">           sólo garantiza el derecho a un juicio justo y  no  a  un  juicio</w:t>
        <w:br/>
        <w:t xml:space="preserve">           rápido, dentro de un  plazo  razonable.   Consecuentemente,  una</w:t>
        <w:br/>
        <w:t xml:space="preserve">           prolongada demora previa al juicio en una causa penal  no  puede</w:t>
        <w:br/>
        <w:t xml:space="preserve">           de por sí plantear un problema en virtud de la  Constitución  de</w:t>
        <w:br/>
        <w:t xml:space="preserve">           Trinidad y Tobago, sino que es simplemente un factor a tener  en</w:t>
        <w:br/>
        <w:t xml:space="preserve">           cuenta por el Juez de la  Primera  Instancia  cuando  evalúa  la</w:t>
        <w:br/>
        <w:t xml:space="preserve">           cuestión general de la justicia;</w:t>
        <w:br/>
        <w:br/>
        <w:br/>
        <w:t xml:space="preserve">       28. La  Constitución  de  Trinidad  y  Tobago  establece  un  Comité</w:t>
        <w:br/>
        <w:t xml:space="preserve">           Consultivo de Indulto, que tiene a su  cargo  estudiar  y  hacer</w:t>
        <w:br/>
        <w:t xml:space="preserve">           recomendaciones al Ministro de Seguridad Nacional  sobre  si  un</w:t>
        <w:br/>
        <w:t xml:space="preserve">           delincuente  sentenciado  a  muerte  debe  beneficiarse  de   la</w:t>
        <w:br/>
        <w:t xml:space="preserve">           discreción presidencial del indulto en virtud de la Constitución</w:t>
        <w:br/>
        <w:t xml:space="preserve">           mencionada.  La ley no establece criterio  alguno  para  ejercer</w:t>
        <w:br/>
        <w:t xml:space="preserve">           las funciones del Comité o  la  discreción  presidencial,  y  el</w:t>
        <w:br/>
        <w:t xml:space="preserve">           delincuente  no  tiene   derecho   legal   alguno   a   formular</w:t>
        <w:br/>
        <w:t xml:space="preserve">           exposiciones ante el Comité para presentar, recibir  o  impugnar</w:t>
        <w:br/>
        <w:t xml:space="preserve">           las pruebas que el Comité considere pertinente tomar en  cuenta.</w:t>
        <w:br/>
        <w:t xml:space="preserve">           La facultad de indulto es un acto de clemencia que no es materia</w:t>
        <w:br/>
        <w:t xml:space="preserve">           de derecho alguno y por tanto, de revisión judicial.</w:t>
        <w:br/>
        <w:br/>
        <w:br/>
        <w:br/>
        <w:t xml:space="preserve">                                     III</w:t>
        <w:br/>
        <w:t xml:space="preserve">                       PROCEDIMIENTO ANTE LA COMISIÓN</w:t>
        <w:br/>
        <w:br/>
        <w:br/>
        <w:t>3.    Entre julio de 1997 y abril de 1999 la Comisión recibió 23  peticiones</w:t>
        <w:br/>
        <w:t>de varias firmas británicas de abogados (en adelante  “los  peticionarios”),</w:t>
        <w:br/>
        <w:t>en nombre de 24 supuestas víctimas cuyos derechos habrían sido violados  por</w:t>
        <w:br/>
        <w:t>el Estado.  La Comisión inició el conocimiento de los hechos materia  de  la</w:t>
        <w:br/>
        <w:t>presente demanda en diversas fechas comprendidas  entre  agosto  de  1997  y</w:t>
        <w:br/>
        <w:t>abril de 1999, tras lo cual abrió los casos 11.787, 11.814, 11.840,  11.851,</w:t>
        <w:br/>
        <w:t>11.853, 11.855, 12.005, 12.021,  12.042,  12.043,  12.052,  12.072,  12.073,</w:t>
        <w:br/>
        <w:t>12.075, 12.076, 12.082, 12.093, 12.111, 12.112,  12.129,  12.137,  12.140  y</w:t>
        <w:br/>
        <w:t>12.141 y remitió al  Estado  las  partes  pertinentes  de  las  denuncias  y</w:t>
        <w:br/>
        <w:t>solicitó una respuesta.</w:t>
        <w:br/>
        <w:br/>
        <w:br/>
        <w:t>4.    La Comisión recibió las respuestas del  Estado  en  los  casos  11.787</w:t>
        <w:br/>
        <w:t>(George Constantine), 11.814 (Wenceslaus James),  11.840  (Denny  Baptiste),</w:t>
        <w:br/>
        <w:t>11.851 (Clarence Charles), 11.853 (Keiron Thomas), 11.855 (Anthony  Garcia),</w:t>
        <w:br/>
        <w:t>12.005 (Wilson  Prince),  12.042  (Mervyn  Edmund),  12.052  (Martin  Reid),</w:t>
        <w:br/>
        <w:t>12.072 (Rodney Davis), 12.073 (Gangadeen Tahaloo), 12.075 (Noel  Seepersad),</w:t>
        <w:br/>
        <w:t>12.082  (Alfred  Frederick),  12.093  (Natasha  De  Leon),   12.111   (Vijay</w:t>
        <w:br/>
        <w:t>Mungroo), 12.112 (Phillip Chotalal), 12.129 (Joey Ramiah y Naresh  Boodram),</w:t>
        <w:br/>
        <w:t>12.137 (Nigel Mark) y  12.140  (Wilberforce  Bernard),  en  diversas  fechas</w:t>
        <w:br/>
        <w:t>entre diciembre de 1997 y octubre de 1999, y en los  otros  cuatro  (12.021,</w:t>
        <w:br/>
        <w:t>12.043, 12.076 y 12.141) el Estado  no  brindó  a  la  Comisión  observación</w:t>
        <w:br/>
        <w:t>alguna en relación con las peticiones.  En  los  19  casos  en  los  que  el</w:t>
        <w:br/>
        <w:t>Estado  envío  una  repuesta,  la  Comisión  decidió  remitir   las   partes</w:t>
        <w:br/>
        <w:t>pertinentes a los peticionarios, de acuerdo  con  el  artículo  34.7  de  su</w:t>
        <w:br/>
        <w:t>Reglamento y les solicitó sus observaciones.</w:t>
        <w:br/>
        <w:br/>
        <w:t>5.    En 18 casos, los peticionarios enviaron observaciones a  la  respuesta</w:t>
        <w:br/>
        <w:t>del Estado. La Comisión le remitió dichas  comunicaciones  al  Estado  y  le</w:t>
        <w:br/>
        <w:t>solicitó una respuesta.  En dos casos, 11.814 (Wenceslaus  James)  y  11.840</w:t>
        <w:br/>
        <w:t>(Denny Baptiste), el Estado presentó réplicas a  las  observaciones  de  los</w:t>
        <w:br/>
        <w:t>peticionarios.</w:t>
        <w:br/>
        <w:br/>
        <w:t>6.    En ocho casos, 11.814 (Wenceslaus  James),  11.840  (Denny  Baptiste),</w:t>
        <w:br/>
        <w:t>11.853 (Keiron Thomas), 11.855 (Anthony  Garcia),  12.005  (Wilson  Prince),</w:t>
        <w:br/>
        <w:t>12.021 (Darrin Roger  Thomas),  12.042  (Mervyn  Edmund)  y  12.129  (Naresh</w:t>
        <w:br/>
        <w:t>Boodram y Joey Ramiah), la Comisión recibió documentación complementaria  de</w:t>
        <w:br/>
        <w:t>los peticionarios y remitió  las  partes  pertinentes  al  Estado.   En  dos</w:t>
        <w:br/>
        <w:t>casos, 11.840 (Denny Baptiste) y 11.853 (Keiron Thomas), el Estado  presentó</w:t>
        <w:br/>
        <w:t>respuestas a la  documentación  complementaria  de  los  peticionarios.   En</w:t>
        <w:br/>
        <w:t>ambos, la Comisión remitió a los peticionarios las partes pertinentes de  la</w:t>
        <w:br/>
        <w:t>respuesta del Estado y los peticionarios presentaron observaciones a ésta.</w:t>
        <w:br/>
        <w:br/>
        <w:t>7.    En su 103° Período de Sesiones, la Comisión fijó audiencias orales  en</w:t>
        <w:br/>
        <w:t>varios casos relacionados con reclusos condenados, a las cuales  no  asistió</w:t>
        <w:br/>
        <w:t>el Estado.   Asimismo,  durante  el  período  de  sesiones  mencionado,  los</w:t>
        <w:br/>
        <w:t>peticionarios en  los  casos  11.787  (George  Constantine),  11.840  (Denny</w:t>
        <w:br/>
        <w:t>Baptiste), 12.005 (Wilson Prince),  12.021  (Darrin  Roger  Thomas),  12.042</w:t>
        <w:br/>
        <w:t>(Mervyn Edmund), 12.043 (Samuel Winchester), 12.072 (Rodney Davis) y  12.075</w:t>
        <w:br/>
        <w:t>(Noel Seepersad) presentaron a la Comisión un escrito conjunto,  fechado  17</w:t>
        <w:br/>
        <w:t>de marzo de 1999.  Por comunicación de 15  de  abril  de  1999  la  Comisión</w:t>
        <w:br/>
        <w:t>remitió al Estado la documentación  adicional  de  los  peticionarios  y  le</w:t>
        <w:br/>
        <w:t>solicitó que formulara observaciones.</w:t>
        <w:br/>
        <w:br/>
        <w:t>8.    Entre mayo de 1998 y marzo de 1999 la  Comisión  aprobó  los  informes</w:t>
        <w:br/>
        <w:t>Nos. 36/98, 62/98, 45/98, 35/99, 36/99 y 37/99 en los casos 11.814,  11.840,</w:t>
        <w:br/>
        <w:t>11.855, 12.005, 12.042 y 12.052.  En dichos informes,  la  Comisión  declaró</w:t>
        <w:br/>
        <w:t>la admisibilidad de estas peticiones.</w:t>
        <w:br/>
        <w:br/>
        <w:t>9.    El 19 de noviembre de 1999 la Comisión aprobó el Informe  No.  128/99,</w:t>
        <w:br/>
        <w:t>de conformidad con el artículo 50  de  la  Convención  y  lo  transmitió  al</w:t>
        <w:br/>
        <w:t>Estado el 22 de noviembre del mismo año.   En  dicho  informe,  la  Comisión</w:t>
        <w:br/>
        <w:t>estableció que los 17 casos restantes  eran  admisibles[2]  y  en  la  parte</w:t>
        <w:br/>
        <w:t>dispositiva del informe la Comisión recomendó al Estado en relación con  los</w:t>
        <w:br/>
        <w:t>23 casos que conforman esta demanda que[3]:</w:t>
        <w:br/>
        <w:br/>
        <w:t xml:space="preserve">   1. Otorgue a las víctimas en los casos  objeto  de  [dicho]  Informe  una</w:t>
        <w:br/>
        <w:t xml:space="preserve">      reparación efectiva que incluya  la  conmutación  de  la  pena  y  una</w:t>
        <w:br/>
        <w:t xml:space="preserve">      indemnización;</w:t>
        <w:br/>
        <w:br/>
        <w:br/>
        <w:t xml:space="preserve">   2. Otorgue a  los  familiares  de  Joey  Ramiah  (Caso  No.  12.129)  una</w:t>
        <w:br/>
        <w:t xml:space="preserve">      indemnización  adecuada  por  las  violaciones  referidas,  en  [dicho</w:t>
        <w:br/>
        <w:t xml:space="preserve">      Informe], en relación con el [señor] Ramiah;</w:t>
        <w:br/>
        <w:br/>
        <w:br/>
        <w:t xml:space="preserve">   3. Adopte las medidas legislativas y de otra índole que  sean  necesarias</w:t>
        <w:br/>
        <w:t xml:space="preserve">      para garantizar que la pena de muerte se imponga  en  cumplimiento  de</w:t>
        <w:br/>
        <w:t xml:space="preserve">      los derechos y libertades garantizados en la  Convención,  incluyendo,</w:t>
        <w:br/>
        <w:t xml:space="preserve">      en particular, los artículos 4, 5 y 8;</w:t>
        <w:br/>
        <w:br/>
        <w:br/>
        <w:t xml:space="preserve">   4. Adopte las medidas legislativas y de otra índole que  sean  necesarias</w:t>
        <w:br/>
        <w:t xml:space="preserve">      para garantizar que el derecho consagrado en el artículo  4(6)  de  la</w:t>
        <w:br/>
        <w:t xml:space="preserve">      Convención a solicitar la amnistía, el indulto o la conmutación de  la</w:t>
        <w:br/>
        <w:t xml:space="preserve">      pena tenga efecto en Trinidad y Tobago;</w:t>
        <w:br/>
        <w:br/>
        <w:br/>
        <w:t xml:space="preserve">   5. Adopte las medidas legislativas  y  de  otra  índole  necesarias  para</w:t>
        <w:br/>
        <w:t xml:space="preserve">      garantizar que el derecho a un juicio dentro  de  un  plazo  razonable</w:t>
        <w:br/>
        <w:t xml:space="preserve">      consagrado en los artículos 7(5) y 8(1) de la  Convención,  incluyendo</w:t>
        <w:br/>
        <w:t xml:space="preserve">      recursos efectivos ante una corte o tribunal competente  para  obtener</w:t>
        <w:br/>
        <w:t xml:space="preserve">      protección contra actos que  violen  esos  derechos  tenga  efecto  en</w:t>
        <w:br/>
        <w:t xml:space="preserve">      Trinidad y Tobago;</w:t>
        <w:br/>
        <w:br/>
        <w:br/>
        <w:t xml:space="preserve">   6. Adopte las medidas legislativas  y  de  otra  índole  necesarias  para</w:t>
        <w:br/>
        <w:t xml:space="preserve">      garantizar el derecho a ser oído, consagrado en el artículo 8(1) de la</w:t>
        <w:br/>
        <w:t xml:space="preserve">      Convención y el derecho a la  protección  judicial  consagrado  en  el</w:t>
        <w:br/>
        <w:t xml:space="preserve">      artículo 25 de la misma tenga efecto en Trinidad y Tobago, en relación</w:t>
        <w:br/>
        <w:t xml:space="preserve">      con el recurso a acciones constitucionales.</w:t>
        <w:br/>
        <w:br/>
        <w:t>10.   Por comunicación de fecha 22 de enero de 2000 el  Estado  respondió  a</w:t>
        <w:br/>
        <w:t>la solicitud de la Comisión de proporcionar información  sobre  las  medidas</w:t>
        <w:br/>
        <w:t>adoptadas para dar cumplimiento a las recomendaciones.</w:t>
        <w:br/>
        <w:br/>
        <w:t>11.   El 22 de febrero de 2000 la Comisión  Interamericana,  de  conformidad</w:t>
        <w:br/>
        <w:t>con el artículo 51 de la Convención Americana,  decidió  presentar  el  caso</w:t>
        <w:br/>
        <w:t>ante la Corte.</w:t>
        <w:br/>
        <w:br/>
        <w:br/>
        <w:t xml:space="preserve">                                     IV</w:t>
        <w:br/>
        <w:t xml:space="preserve">                            MEDIDAS PROVISIONALES</w:t>
        <w:br/>
        <w:br/>
        <w:t>12.   El 22 de mayo de 1998,  con  anterioridad  a  la  presentación  de  la</w:t>
        <w:br/>
        <w:t>demanda,  la  Comisión  solicitó  a  la  Corte  la   adopción   de   medidas</w:t>
        <w:br/>
        <w:t>provisionales para preservar la vida y la integridad  física  de  Wenceslaus</w:t>
        <w:br/>
        <w:t>James y Anthony García, entre otros[4].</w:t>
        <w:br/>
        <w:br/>
        <w:t>13.   Por Resolución de 27 de mayo de 1998 el Presidente  de  la  Corte  (en</w:t>
        <w:br/>
        <w:t>adelante “el Presidente”) ordenó la adopción de las medidas  solicitadas  en</w:t>
        <w:br/>
        <w:t>el asunto James y otros y el 14 de junio del mismo año,  la  Corte  ratificó</w:t>
        <w:br/>
        <w:t>dicha Resolución.</w:t>
        <w:br/>
        <w:br/>
        <w:t>14.   El 29 de agosto de 1999 la Corte amplió las medidas provisionales  del</w:t>
        <w:br/>
        <w:t>asunto James y otros a fin de incluir a Darrin Roger Thomas, Haniff  Hilaire</w:t>
        <w:br/>
        <w:t>y Denny Baptiste[5].</w:t>
        <w:br/>
        <w:br/>
        <w:t>15.   El 3 de mayo de 1999 la Comisión solicitó a la Corte la ampliación  de</w:t>
        <w:br/>
        <w:t>las medias provisionales en el asunto James y otros  a  efectos  de  incluir</w:t>
        <w:br/>
        <w:t>dentro de las medidas de protección a  20  personas  adicionales,  a  saber:</w:t>
        <w:br/>
        <w:t>Wilberforce Bernard, Naresh Boodram, Joey Ramiah, Clarence Charles,  Phillip</w:t>
        <w:br/>
        <w:t>Chotalal, George Constantine, Rodney Davis, Natasha De Leon, Mervyn  Edmund,</w:t>
        <w:br/>
        <w:t>Alfred Frederick, Nigel Mark, Wayne Matthews, Steve Mungroo, Vijay  Mungroo,</w:t>
        <w:br/>
        <w:t>Wilson Prince,  Martin  Reid,  Noel  Seepersad,  Gangadeen  Tahaloo,  Keiron</w:t>
        <w:br/>
        <w:t>Thomas y Samuel Winchester.</w:t>
        <w:br/>
        <w:br/>
        <w:t>16.   El 11 de mayo de 1999 el Presidente de  la  Corte  ordenó  al  Estado,</w:t>
        <w:br/>
        <w:t>inter alia, que tomara todas  las  medidas  necesarias  para  preservar  las</w:t>
        <w:br/>
        <w:t>vidas de las supuestas víctimas (supra 15), a fin de que  la  Corte  pudiera</w:t>
        <w:br/>
        <w:t>examinar  la  pertinencia  del  pedido  de  ampliación  presentado  por   la</w:t>
        <w:br/>
        <w:t>Comisión. El 25 de mayo de 1999 el pleno de la Corte ratificó la  Resolución</w:t>
        <w:br/>
        <w:t>del Presidente de 11 de mayo de 1999.</w:t>
        <w:br/>
        <w:br/>
        <w:t>17.   Desde esa fecha, el  Estado  ha  presentado  los  informes  relevantes</w:t>
        <w:br/>
        <w:t>acerca de la situación de las personas protegidas y la Comisión  ha  enviado</w:t>
        <w:br/>
        <w:t>sus observaciones a dichos informes del Estado.</w:t>
        <w:br/>
        <w:br/>
        <w:t xml:space="preserve">                                      V</w:t>
        <w:br/>
        <w:t xml:space="preserve">                         PROCEDIMIENTO ANTE LA CORTE</w:t>
        <w:br/>
        <w:br/>
        <w:t>18.   El 22 de febrero de  2000  la  Comisión  Interamericana  interpuso  su</w:t>
        <w:br/>
        <w:t>demanda en los siguientes términos:</w:t>
        <w:br/>
        <w:br/>
        <w:t xml:space="preserve">      [L]a   Comisión   Interamericana   de   Derechos   Humanos    solicita</w:t>
        <w:br/>
        <w:t xml:space="preserve">      respetuosamente  a  la  Honorable  Corte  Interamericana  de  Derechos</w:t>
        <w:br/>
        <w:t xml:space="preserve">      Humanos que declare que el Estado ha violado la  Convención,  disponga</w:t>
        <w:br/>
        <w:t xml:space="preserve">      la reparaciones correspondientes y determine las costas y  gastos  que</w:t>
        <w:br/>
        <w:t xml:space="preserve">      deben pagarse a los representantes de las víctimas.</w:t>
        <w:br/>
        <w:br/>
        <w:br/>
        <w:t xml:space="preserve">      A.    Declaraciones de Violaciones</w:t>
        <w:br/>
        <w:br/>
        <w:br/>
        <w:br/>
        <w:t xml:space="preserve">             La  Comisión  Interamericana  de  Derechos   Humanos   solicita</w:t>
        <w:br/>
        <w:t xml:space="preserve">      respetuosamente  a  la  Honorable  Corte  Interamericana  de  Derechos</w:t>
        <w:br/>
        <w:t xml:space="preserve">      Humanos que:</w:t>
        <w:br/>
        <w:br/>
        <w:br/>
        <w:t xml:space="preserve">      Dictamine que la República de Trinidad y Tobago es responsable de:</w:t>
        <w:br/>
        <w:br/>
        <w:br/>
        <w:t xml:space="preserve">      1.    En los casos 11.787  (George  Constantine),  11.814  (Wenceslaus</w:t>
        <w:br/>
        <w:t xml:space="preserve">      James), 11.840 (Denny Baptiste),  11.851  (Clarence  Charles),  11.853</w:t>
        <w:br/>
        <w:t xml:space="preserve">      (Keiron Thomas), 11.855  (Anthony  Garcia),  12.005  (Wilson  Prince),</w:t>
        <w:br/>
        <w:t xml:space="preserve">      12.021 (Darrin Roger Thomas), 12.042 (Mervyn Edmund),  12.043  (Samuel</w:t>
        <w:br/>
        <w:t xml:space="preserve">      Winchester), 12.052  (Martin  Reid),  12.072  (Rodney  Davis),  12.073</w:t>
        <w:br/>
        <w:t xml:space="preserve">      (Gangadeen Tahaloo), 12.075 (Noel Seepersad), 12.076 (Wayne Matthews),</w:t>
        <w:br/>
        <w:t xml:space="preserve">      12.082 (Alfred Frederick), 12.093 (Natasha  De  Leon),  12.111  (Vijay</w:t>
        <w:br/>
        <w:t xml:space="preserve">      Mungroo), 12.112 (Phillip Chotalal), 12.129  (Naresh  Boodram  y  Joey</w:t>
        <w:br/>
        <w:t xml:space="preserve">      Ramiah), 12.137 (Nigel Mark), 12.140 (Wilberforce  Bernard)  y  12.141</w:t>
        <w:br/>
        <w:t xml:space="preserve">      (Steve Mungroo) el Estado es  responsable  por  la  violación  de  los</w:t>
        <w:br/>
        <w:t xml:space="preserve">      derechos previstos en los  artículos  4(1),  5(1),  5(2)  y  8(1),  en</w:t>
        <w:br/>
        <w:t xml:space="preserve">      conjunción con el artículo l(1) de la  Convención  Americana,  por  la</w:t>
        <w:br/>
        <w:t xml:space="preserve">      imposición obligatoria de la pena de muerte.</w:t>
        <w:br/>
        <w:br/>
        <w:br/>
        <w:t xml:space="preserve">      2.    En el caso 12.129 (Naresh Boodram y Joey Ramiah), el  Estado  es</w:t>
        <w:br/>
        <w:t xml:space="preserve">      responsable de violar los derechos de la víctima Joey Ramiah previstos</w:t>
        <w:br/>
        <w:t xml:space="preserve">      en los artículos 4(1), 5(1) y 5(2) de la Convención, en conjunción con</w:t>
        <w:br/>
        <w:t xml:space="preserve">      el artículo l(1) de la Convención,  en  virtud  de  la  ejecución  del</w:t>
        <w:br/>
        <w:t xml:space="preserve">      [señor] Ramiah  por  aplicación  de  la  pena  de  muerte  obligatoria</w:t>
        <w:br/>
        <w:t xml:space="preserve">      mientras  su  caso   se   encontraba   pendiente   ante   el   Sistema</w:t>
        <w:br/>
        <w:t xml:space="preserve">      Interamericano de Derechos Humanos.</w:t>
        <w:br/>
        <w:br/>
        <w:br/>
        <w:t xml:space="preserve">       3.   En los casos 11.787  (George  Constantine),  11.814  (Wenceslaus</w:t>
        <w:br/>
        <w:t xml:space="preserve">      James), 11.840 (Denny Baptiste),  11.851  (Clarence  Charles),  11.853</w:t>
        <w:br/>
        <w:t xml:space="preserve">      (Keiron Thomas), 11.855  (Anthony  Garcia),  12.005  (Wilson  Prince),</w:t>
        <w:br/>
        <w:t xml:space="preserve">      12.021 (Darrin Roger Thomas), 12.042 (Mervyn Edmund),  12.043  (Samuel</w:t>
        <w:br/>
        <w:t xml:space="preserve">      Winchester), 12.052  (Martin  Reid),  12.072  (Rodney  Davis),  12.073</w:t>
        <w:br/>
        <w:t xml:space="preserve">      (Gangadeen Tahaloo), 12.075 (Noel Seepersad), 12.076 (Wayne Matthews),</w:t>
        <w:br/>
        <w:t xml:space="preserve">      12.082 (Alfred Frederick), 12.093 (Natasha  De  Leon),  12.111  (Vijay</w:t>
        <w:br/>
        <w:t xml:space="preserve">      Mungroo), 12.112 (Phillip Chotalal), 12.129  (Naresh  Boodram  y  Joey</w:t>
        <w:br/>
        <w:t xml:space="preserve">      Ramiah), 12.137 (Nigel Mark), 12.140 (Wilberforce  Bernard)  y  12.141</w:t>
        <w:br/>
        <w:t xml:space="preserve">      (Steve Mungroo), el Estado  es  responsable  de  violar  los  derechos</w:t>
        <w:br/>
        <w:t xml:space="preserve">      previstos en el artículo 4(6) de la Convención, en conjunción  con  el</w:t>
        <w:br/>
        <w:t xml:space="preserve">      artículo l(1) de la Convención, por no haber brindado a esas  víctimas</w:t>
        <w:br/>
        <w:t xml:space="preserve">      un  derecho  efectivo  a  solicitar  la  amnistía,  el  indulto  o  la</w:t>
        <w:br/>
        <w:t xml:space="preserve">      conmutación de la pena.</w:t>
        <w:br/>
        <w:br/>
        <w:t xml:space="preserve">        4.    En  los  casos  11.787  (George  Constantine),  11.840  (Denny</w:t>
        <w:br/>
        <w:t xml:space="preserve">      Baptiste), 11.851 (Clarence Charles), 12.005 (Wilson  Prince),  12.021</w:t>
        <w:br/>
        <w:t xml:space="preserve">      (Darrin Roger Thomas), 12.042 (Mervyn Edmund), 12.072 (Rodney  Davis),</w:t>
        <w:br/>
        <w:t xml:space="preserve">      12.073 (Gangadeen Tahaloo), 12.075  (Noel  Seepersad),  12.076  (Wayne</w:t>
        <w:br/>
        <w:t xml:space="preserve">      Matthews), 12.082 (Alfred Frederick), 12.093 (Natasha De Leon), 12.111</w:t>
        <w:br/>
        <w:t xml:space="preserve">      (Vijay Mungroo),  12.112  (Phillip  Chotalal),  12.137  (Nigel  Mark),</w:t>
        <w:br/>
        <w:t xml:space="preserve">      12.140 (Wilberforce Bernard) y 12.141 (Steve Mungroo),  el  Estado  es</w:t>
        <w:br/>
        <w:t xml:space="preserve">      responsable de la violación de los derechos  de  las  víctimas  a  ser</w:t>
        <w:br/>
        <w:t xml:space="preserve">      juzgadas dentro de un plazo razonable  y  a  través  de  juicio  justo</w:t>
        <w:br/>
        <w:t xml:space="preserve">      previstos  por  los  artículos  7(5)  y  8(1)  de  la  Convención,  en</w:t>
        <w:br/>
        <w:t xml:space="preserve">      concurrencia con violaciones  del  artículo  l(1)  de  la  Convención,</w:t>
        <w:br/>
        <w:t xml:space="preserve">      debido a las demoras en sus respectivos procesos penales.</w:t>
        <w:br/>
        <w:br/>
        <w:t xml:space="preserve">      5.     En  los  casos  11.787  (George  Constantine),  11.840  (Denny</w:t>
        <w:br/>
        <w:t xml:space="preserve">      Baptiste), 11.851 (Clarence Charles), 12.005 (Wilson  Prince),  12.021</w:t>
        <w:br/>
        <w:t xml:space="preserve">      (Darrin Roger Thomas), 12.042 (Mervyn Edmund), 12.072 (Rodney  Davis),</w:t>
        <w:br/>
        <w:t xml:space="preserve">      12.073 (Gangadeen Tahaloo), 12.075  (Noel  Seepersad),  12.076  (Wayne</w:t>
        <w:br/>
        <w:t xml:space="preserve">      Matthews), 12.082 (Alfred Frederick), 12.093 (Natasha De Leon), 12.111</w:t>
        <w:br/>
        <w:t xml:space="preserve">      (Vijay Mungroo),  12.112  (Phillip  Chotalal),  12.137  (Nigel  Mark),</w:t>
        <w:br/>
        <w:t xml:space="preserve">      12.140 (Wilberforce Bernard) y 12.141 (Steve Mungroo),  el  Estado  es</w:t>
        <w:br/>
        <w:t xml:space="preserve">      responsable por la violación del artículo  25  de  la  Convención,  en</w:t>
        <w:br/>
        <w:t xml:space="preserve">      conjunción con la violación de las obligaciones que impone  al  Estado</w:t>
        <w:br/>
        <w:t xml:space="preserve">      el artículo 2 de la Convención, y  todo  ello  en  conjunción  con  la</w:t>
        <w:br/>
        <w:t xml:space="preserve">      violación del artículo l(1) de la Convención, por  no  haber  adoptado</w:t>
        <w:br/>
        <w:t xml:space="preserve">      medidas legislativas y de otro carácter necesarias para la realización</w:t>
        <w:br/>
        <w:t xml:space="preserve">      del derecho a ser juzgado dentro de un plazo razonable conforme  a  lo</w:t>
        <w:br/>
        <w:t xml:space="preserve">      previsto por los artículos 7(5) y 8(1) de la Convención.</w:t>
        <w:br/>
        <w:br/>
        <w:br/>
        <w:t xml:space="preserve">       6.   En los casos 11.853 (Keiron Thomas),  11.855  (Anthony  Garcia),</w:t>
        <w:br/>
        <w:t xml:space="preserve">      12.021 (Darrin Roger   Thomas),  12.043  (Samuel  Winchester),  12.072</w:t>
        <w:br/>
        <w:t xml:space="preserve">      (Rodney Davis), 12.073 (Gangadeen Tahaloo), 12.075  (Noel  Seepersad),</w:t>
        <w:br/>
        <w:t xml:space="preserve">      12.076 (Wayne Matthews),  12.082  (Alfred  Frederick),  12.111  (Vijay</w:t>
        <w:br/>
        <w:t xml:space="preserve">      Mungroo), 12.112 (Phillip Chotalal), 12.129  (Naresh  Boodram  y  Joey</w:t>
        <w:br/>
        <w:t xml:space="preserve">      Rarniah), 12.137 (Nigel Mark), 12.140 (Wilberforce Bernard)  y  12.141</w:t>
        <w:br/>
        <w:t xml:space="preserve">      (Steve Mungroo), el Estado es responsable  por  la  violación  de  los</w:t>
        <w:br/>
        <w:t xml:space="preserve">      artículos 5(1) y 5(2) de la Convención, en conjunción con  violaciones</w:t>
        <w:br/>
        <w:t xml:space="preserve">      del artículo l(1) de  la  Convención,  debido  a  las  condiciones  de</w:t>
        <w:br/>
        <w:t xml:space="preserve">      detención de esas víctimas antes y después de sus condenas.</w:t>
        <w:br/>
        <w:br/>
        <w:t xml:space="preserve">       7.   En el caso 12.052 (Martin Reid), el Estado es responsable por la</w:t>
        <w:br/>
        <w:t xml:space="preserve">      violación de los derechos previstos  en  el  artículo  8(2)(c)  de  la</w:t>
        <w:br/>
        <w:t xml:space="preserve">      Convención, en conjunción con el artículo l(1) de la  Convención,  por</w:t>
        <w:br/>
        <w:t xml:space="preserve">      no  haber  dado  a  conocer  a  la  víctima,  antes  del  juicio,  una</w:t>
        <w:br/>
        <w:t xml:space="preserve">      declaración testimonial de alto valor probatorio.</w:t>
        <w:br/>
        <w:br/>
        <w:t xml:space="preserve">       8.   En el caso 11.853 (Keiron Thomas), el Estado es  responsable  de</w:t>
        <w:br/>
        <w:t xml:space="preserve">      la violación de los derechos de la víctima previstos por los artículos</w:t>
        <w:br/>
        <w:t xml:space="preserve">      8(2)(d) y 8(2)(e) de la Convención, en conjunción con el artículo l(1)</w:t>
        <w:br/>
        <w:t xml:space="preserve">      de la Convención, por haber denegado a la víctima  la  posibilidad  de</w:t>
        <w:br/>
        <w:t xml:space="preserve">      defenderse personalmente o contar con  la  asistencia  letrada  de  su</w:t>
        <w:br/>
        <w:t xml:space="preserve">      elección en el curso de su apelación ante la Corte de  Apelaciones  de</w:t>
        <w:br/>
        <w:t xml:space="preserve">      Trinidad y Tobago.</w:t>
        <w:br/>
        <w:br/>
        <w:t xml:space="preserve">       9.    En  los  casos  11.787  (George  Constantine),  12.005  (Wilson</w:t>
        <w:br/>
        <w:t xml:space="preserve">      Prince),  12.042  (Mervyn  Edmund),  12.052  (Martin   Reid),   12.073</w:t>
        <w:br/>
        <w:t xml:space="preserve">      (Gangadeen Tahaloo),  12.075  (Noel  Seepersad),  12.093  (Natasha  De</w:t>
        <w:br/>
        <w:t xml:space="preserve">      Leon), 12.112 (Phillip Chotalal) y 12.140  (Wilberforce  Bernard),  el</w:t>
        <w:br/>
        <w:t xml:space="preserve">      Estado es responsable por la violación de los artículos 8 y 25  de  la</w:t>
        <w:br/>
        <w:t xml:space="preserve">      Convención, en conjunción con el artículo 1(1) de la  Convención,  por</w:t>
        <w:br/>
        <w:t xml:space="preserve">      no haber puesto a disposición  de  esas  víctimas  asistencia  letrada</w:t>
        <w:br/>
        <w:t xml:space="preserve">      necesaria para plantear recursos constitucionales ante los  tribunales</w:t>
        <w:br/>
        <w:t xml:space="preserve">      internos en relación con sus respectivos procesos penales.</w:t>
        <w:br/>
        <w:br/>
        <w:br/>
        <w:br/>
        <w:br/>
        <w:br/>
        <w:br/>
        <w:t xml:space="preserve">      B.    Reparaciones</w:t>
        <w:br/>
        <w:br/>
        <w:br/>
        <w:br/>
        <w:t xml:space="preserve">           La  Comisión  Interamericana  de   Derechos   Humanos   solicita</w:t>
        <w:br/>
        <w:t xml:space="preserve">      respetuosamente  a  la  Honorable  Corte  Interamericana  de  Derechos</w:t>
        <w:br/>
        <w:t xml:space="preserve">      Humanos que:</w:t>
        <w:br/>
        <w:br/>
        <w:br/>
        <w:t xml:space="preserve">      Disponga que la República de Trinidad y Tobago conceda a las  víctimas</w:t>
        <w:br/>
        <w:t xml:space="preserve">      de 21 casos que son objeto de la presente demanda, Caso[s] Nos. 11.787</w:t>
        <w:br/>
        <w:t xml:space="preserve">      (George  Constantine),  11.814  (Wenceslaus  James),   11.840   (Denny</w:t>
        <w:br/>
        <w:t xml:space="preserve">      Baptiste), 11.851 (Clarence Charles), 11.853 (Keiron  Thomas),  11.855</w:t>
        <w:br/>
        <w:t xml:space="preserve">      (Anthony  Garcia),  12.005  (Wilson  Prince),  12.021  (Darrin   Roger</w:t>
        <w:br/>
        <w:t xml:space="preserve">      Thomas), 12.042 (Mervyn Edmund), 12.043  (Samuel  Winchester),  12.072</w:t>
        <w:br/>
        <w:t xml:space="preserve">      (Rodney Davis), 12.073 (Gangadeen Tahaloo), 12.075  (Noel  Seepersad),</w:t>
        <w:br/>
        <w:t xml:space="preserve">      12.082 (Alfred Frederick), 12.093 (Natasha  De  Leon),  12.111  (Vijay</w:t>
        <w:br/>
        <w:t xml:space="preserve">      Mungroo), 12.112 (Phillip Chotalal), 12.129  (Naresh  Boodram  y  Joey</w:t>
        <w:br/>
        <w:t xml:space="preserve">      Ramiah), 12.137 (Nigel Mark), 12.140 (Wilberforce Bernard),  y  12.141</w:t>
        <w:br/>
        <w:t xml:space="preserve">      (Steve Mungroo) un recurso efectivo, que incluya la conmutación de  la</w:t>
        <w:br/>
        <w:t xml:space="preserve">      pena y una indemnización.</w:t>
        <w:br/>
        <w:br/>
        <w:br/>
        <w:t xml:space="preserve">      Disponga que la República de Trinidad y Tobago conceda  a  la  víctima</w:t>
        <w:br/>
        <w:t xml:space="preserve">      del Caso 12.076 (Wayne Matthews), cuya sentencia de muerte  el  Estado</w:t>
        <w:br/>
        <w:t xml:space="preserve">      ha  acordado  conmutar,  un   recurso   efectivo   que   incluya   una</w:t>
        <w:br/>
        <w:t xml:space="preserve">      indemnización.</w:t>
        <w:br/>
        <w:br/>
        <w:br/>
        <w:t xml:space="preserve">      Disponga que la República de Trinidad y Tobago conceda  a  la  víctima</w:t>
        <w:br/>
        <w:t xml:space="preserve">      del Caso 12.052 (Martin Reid) un recurso efectivo que incluya un nuevo</w:t>
        <w:br/>
        <w:t xml:space="preserve">      juicio conforme con la protección del debido proceso  previsto  en  el</w:t>
        <w:br/>
        <w:t xml:space="preserve">      artículo 8 de la Convención o, si un nuevo juicio con esta  protección</w:t>
        <w:br/>
        <w:t xml:space="preserve">      no es posible, su liberación.</w:t>
        <w:br/>
        <w:br/>
        <w:br/>
        <w:t xml:space="preserve">      Disponga que la República de Trinidad y Tobago  otorgue  una  adecuada</w:t>
        <w:br/>
        <w:t xml:space="preserve">      indemnización a los familiares de Joey Ramiah (caso  12.129)  por  las</w:t>
        <w:br/>
        <w:t xml:space="preserve">      violaciones de derechos aludidas en la Parte VII.B, que  antecede,  en</w:t>
        <w:br/>
        <w:t xml:space="preserve">      lo referente al [señor] Ramiah.</w:t>
        <w:br/>
        <w:br/>
        <w:br/>
        <w:t xml:space="preserve">      Disponga que la República de Trinidad  y  Tobago  adopte  las  medidas</w:t>
        <w:br/>
        <w:t xml:space="preserve">      legislativas o de otro carácter que fueren necesarias a fin de que  la</w:t>
        <w:br/>
        <w:t xml:space="preserve">      imposición de la pena de muerte  se  realice  en  observancia  de  los</w:t>
        <w:br/>
        <w:t xml:space="preserve">      derechos y libertades garantizados  en  el  marco  de  la  Convención,</w:t>
        <w:br/>
        <w:t xml:space="preserve">      incluidos, en especial, los artículos 4, 5 y 8.</w:t>
        <w:br/>
        <w:br/>
        <w:br/>
        <w:t xml:space="preserve">      Disponga que la República de Trinidad  y  Tobago  adopte  las  medidas</w:t>
        <w:br/>
        <w:t xml:space="preserve">      legislativas o de otro carácter que fueren necesarias para que se haga</w:t>
        <w:br/>
        <w:t xml:space="preserve">      efectivo en Trinidad y Tobago el derecho previsto en el artículo  4(6)</w:t>
        <w:br/>
        <w:t xml:space="preserve">      de la Convención de solicitar la amnistía, el indulto o la conmutación</w:t>
        <w:br/>
        <w:t xml:space="preserve">      de la pena.</w:t>
        <w:br/>
        <w:br/>
        <w:br/>
        <w:t xml:space="preserve">      Disponga  que  la  República  de  Trinidad  y  Tobago  adopte  medidas</w:t>
        <w:br/>
        <w:t xml:space="preserve">      legislativas o de otro carácter con el fin de que se haga efectivo  en</w:t>
        <w:br/>
        <w:t xml:space="preserve">      Trinidad y Tobago  el  derecho  a  ser  juzgado  dentro  de  un  plazo</w:t>
        <w:br/>
        <w:t xml:space="preserve">      razonable conforme a lo previsto por los artículos 7(5) y 8(1)  de  la</w:t>
        <w:br/>
        <w:t xml:space="preserve">      Convención, inclusive a través de un recurso efectivo ante una corte o</w:t>
        <w:br/>
        <w:t xml:space="preserve">      tribunal competente para obtener protección contra  actos  que  violen</w:t>
        <w:br/>
        <w:t xml:space="preserve">      ese derecho.</w:t>
        <w:br/>
        <w:br/>
        <w:br/>
        <w:t xml:space="preserve">      Disponga  que  la  República  de  Trinidad  y  Tobago  adopte  medidas</w:t>
        <w:br/>
        <w:t xml:space="preserve">      legislativas o de otro carácter que fueren necesarias para que se haga</w:t>
        <w:br/>
        <w:t xml:space="preserve">      efectivo en Trinidad y Tobago el derecho a ser oído  con  las  debidas</w:t>
        <w:br/>
        <w:t xml:space="preserve">      garantías, previsto en el artículo 8(1) de la Convención, y el derecho</w:t>
        <w:br/>
        <w:t xml:space="preserve">      a obtener protección judicial,  previsto  en  el  artículo  25  de  la</w:t>
        <w:br/>
        <w:t xml:space="preserve">      Convención, en  relación  con  la  posibilidad  de  tramitar  recursos</w:t>
        <w:br/>
        <w:t xml:space="preserve">      constitucionales.</w:t>
        <w:br/>
        <w:br/>
        <w:br/>
        <w:t xml:space="preserve">      C.    Compensación</w:t>
        <w:br/>
        <w:br/>
        <w:br/>
        <w:t xml:space="preserve">           La Comisión ha solicitado a la Honorable Corte  que  imponga  al</w:t>
        <w:br/>
        <w:t xml:space="preserve">      Estado de Trinidad y Tobago la obligación de reparar las consecuencias</w:t>
        <w:br/>
        <w:t xml:space="preserve">      de las violaciones de derechos objeto de la presente demanda.</w:t>
        <w:br/>
        <w:br/>
        <w:br/>
        <w:t xml:space="preserve">           El artículo 63(1) de la Convención Americana dispone:</w:t>
        <w:br/>
        <w:br/>
        <w:br/>
        <w:t xml:space="preserve">           Cuando decida que  hubo  violación  de  un  derecho  o  libertad</w:t>
        <w:br/>
        <w:t xml:space="preserve">           protegidos  en  esta  Convención,  la  Corte  dispondrá  que  se</w:t>
        <w:br/>
        <w:t xml:space="preserve">           garantice al lesionado en el  goce  de  su  derecho  o  libertad</w:t>
        <w:br/>
        <w:t xml:space="preserve">           conculcados.  Dispondrá asimismo, si ello fuera procedente,  que</w:t>
        <w:br/>
        <w:t xml:space="preserve">           se reparen las consecuencias de la medida  o  situación  que  ha</w:t>
        <w:br/>
        <w:t xml:space="preserve">           configurado la vulneración de esos derechos y  el  pago  de  una</w:t>
        <w:br/>
        <w:t xml:space="preserve">           justa indemnización a la parte lesionada.</w:t>
        <w:br/>
        <w:br/>
        <w:br/>
        <w:t xml:space="preserve">           Es[a] Honorable Corte ha declarado que el artículo 63(1)  de  la</w:t>
        <w:br/>
        <w:t xml:space="preserve">      Convención codifica una norma del derecho consuetudinario y constituye</w:t>
        <w:br/>
        <w:t xml:space="preserve">      uno  de  los  principios  fundamentales  de  éste.   (Caso  Aloboetoe,</w:t>
        <w:br/>
        <w:t xml:space="preserve">      Sentencia del 10 de setiembre de 1993, párr. 43).   La  obligación  de</w:t>
        <w:br/>
        <w:t xml:space="preserve">      otorgar una reparación por una violación puede dar lugar a  una  serie</w:t>
        <w:br/>
        <w:t xml:space="preserve">      de medidas para reparar las consecuencias.   El  Estado  debe,  en  la</w:t>
        <w:br/>
        <w:t xml:space="preserve">      medida de lo posible, restablecer el statu quo ante, que  en  el  caso</w:t>
        <w:br/>
        <w:t xml:space="preserve">      presente puede lograrse mediante la conmutación  de  la  sentencia  de</w:t>
        <w:br/>
        <w:t xml:space="preserve">      muerte del peticionario y ajustar la legislación interna de Trinidad y</w:t>
        <w:br/>
        <w:t xml:space="preserve">      Tobago en consecuencia.  Si ya no es posible restablecer el statu  quo</w:t>
        <w:br/>
        <w:t xml:space="preserve">      ante, las consecuencias deben ser  reparadas  mediante  otros  medios.</w:t>
        <w:br/>
        <w:t xml:space="preserve">      Por lo tanto, la Comisión procura obtener una  decisión  de  la  Corte</w:t>
        <w:br/>
        <w:t xml:space="preserve">      sobre una compensación a la víctima a raíz  de  la  violación  por  el</w:t>
        <w:br/>
        <w:t xml:space="preserve">      Estado de los derechos que le otorga la Convención.</w:t>
        <w:br/>
        <w:br/>
        <w:br/>
        <w:t xml:space="preserve">      D.    Costas y gastos</w:t>
        <w:br/>
        <w:br/>
        <w:br/>
        <w:t xml:space="preserve">           La Comisión solicita a la Corte que se pronuncie con respecto  a</w:t>
        <w:br/>
        <w:t xml:space="preserve">      las costas y gastos incurridos por los representantes de las  víctimas</w:t>
        <w:br/>
        <w:t xml:space="preserve">      durante el trámite de este caso ante los tribunales nacionales  y  los</w:t>
        <w:br/>
        <w:t xml:space="preserve">      órganos del sistema interamericano.</w:t>
        <w:br/>
        <w:br/>
        <w:br/>
        <w:t>19.   La Comisión designó como delegados a los señores Robert K. Goldman  y</w:t>
        <w:br/>
        <w:t>Nicholas Blake y como asesores jurídicos a los señores David J.  Padilla  y</w:t>
        <w:br/>
        <w:t>Brian D. Tittemore. Asimismo, la Comisión acreditó en calidad de asistentes</w:t>
        <w:br/>
        <w:t>a los señores  Julian  Knowles,  Keir  Starmer,  Saul  Lehrfreund,  Belinda</w:t>
        <w:br/>
        <w:t>Moffat, Yasmin Waljee y James Oury.</w:t>
        <w:br/>
        <w:br/>
        <w:br/>
        <w:t>20.   El 14 de abril de 2000 la Secretaría de la  Corte  (en  adelante  “la</w:t>
        <w:br/>
        <w:t>Secretaría”), previo examen preliminar  de  la  demanda  realizado  por  el</w:t>
        <w:br/>
        <w:t>Presidente de la Corte, la notificó, junto con sus anexos, al  Estado.   El</w:t>
        <w:br/>
        <w:t>mismo día la Secretaría, siguiendo instrucciones del  Presidente,  comunicó</w:t>
        <w:br/>
        <w:t>al Estado el derecho a designar juez ad hoc, en virtud de los artículos  18</w:t>
        <w:br/>
        <w:t>del  Reglamento  y  10.3  del  Estatuto  de  la  Corte   (en  adelante  “el</w:t>
        <w:br/>
        <w:t>Estatuto”).</w:t>
        <w:br/>
        <w:br/>
        <w:br/>
        <w:t>21.   El 14 de junio de 2000 Trinidad  y  Tobago  interpuso  una  excepción</w:t>
        <w:br/>
        <w:t>preliminar a la competencia contenciosa de la Corte en este caso.   Al  día</w:t>
        <w:br/>
        <w:t>siguiente, la Secretaría  transmitió  copia  de  dicha  comunicación  a  la</w:t>
        <w:br/>
        <w:t>Comisión Interamericana.</w:t>
        <w:br/>
        <w:br/>
        <w:br/>
        <w:t>22.   EL 15 DE JULIO DE 2000 LA COMISIÓN  RESPONDIÓ  AL  ESCRITO  SOBRE  LA</w:t>
        <w:br/>
        <w:t>INTERPOSICIÓN DE LA EXCEPCIÓN PRELIMINAR POR PARTE DEL ESTADO, COMUNICACIÓN</w:t>
        <w:br/>
        <w:t>QUE FUE TRANSMITIDA A TRINIDAD Y TOBAGO EL DÍA 17 DE JULIO DEL MISMO AÑO.</w:t>
        <w:br/>
        <w:br/>
        <w:br/>
        <w:t>23.   EL 1 DE SEPTIEMBRE DE 2000 LA COMISIÓN INTERAMERICANA RENUNCIÓ A  QUE</w:t>
        <w:br/>
        <w:t>SE CONVOCARA A UNA AUDIENCIA SOBRE LA EXCEPCIÓN PRELIMINAR  PRESENTADA  POR</w:t>
        <w:br/>
        <w:t>EL ESTADO.  EL 5 DE SEPTIEMBRE DE  2000,  LA  SECRETARÍA  TRANSMITIÓ  DICHA</w:t>
        <w:br/>
        <w:t>COMUNICACIÓN AL ESTADO Y EL 12  DE  SEPTIEMBRE  DE  2000  LE  SOLICITÓ  QUE</w:t>
        <w:br/>
        <w:t>PRESENTARA SUS OBSERVACIONES, OTORGÁNDOLE PLAZO HASTA EL 29  DE  SEPTIEMBRE</w:t>
        <w:br/>
        <w:t>DEL MISMO AÑO.</w:t>
        <w:br/>
        <w:br/>
        <w:br/>
        <w:t>24.   El Estado no presentó sus observaciones a la petición de la Comisión,</w:t>
        <w:br/>
        <w:t>a pesar de que la Secretaría le solicitó  nuevamente  el  envió  de  dichas</w:t>
        <w:br/>
        <w:t>observaciones el 2 de octubre de 2000.</w:t>
        <w:br/>
        <w:br/>
        <w:br/>
        <w:t>25.   El 9 de octubre  de  2000  el  Presidente  de  la  Corte  emitió  una</w:t>
        <w:br/>
        <w:t>Resolución en los siguientes términos:</w:t>
        <w:br/>
        <w:br/>
        <w:t xml:space="preserve">      1.    Aceptar la solicitud de la Comisión Interamericana  de  Derechos</w:t>
        <w:br/>
        <w:t xml:space="preserve">      Humanos de renunciar a la convocatoria de una audiencia especial sobre</w:t>
        <w:br/>
        <w:t xml:space="preserve">      la excepción preliminar interpuesta por el Estado de Trinidad y Tobago</w:t>
        <w:br/>
        <w:t xml:space="preserve">      en el presente Caso.</w:t>
        <w:br/>
        <w:br/>
        <w:br/>
        <w:t xml:space="preserve">      2.    Continuar con la consideración del Caso Constantine y  otros  en</w:t>
        <w:br/>
        <w:t xml:space="preserve">      su etapa procesal vigente.</w:t>
        <w:br/>
        <w:br/>
        <w:br/>
        <w:t>26.   El 7 de mayo de 2001 la Secretaría recibió de la  Comisión  copias  de</w:t>
        <w:br/>
        <w:t>dos decisiones relativas a casos sobre la imposición de la “pena  de  muerte</w:t>
        <w:br/>
        <w:t>obligatoria”, emitidas por el Comité de Derechos Humanos de Naciones  Unidas</w:t>
        <w:br/>
        <w:t>y la Corte de Apelaciones del  Caribe  Oriental.   Estas  decisiones  fueron</w:t>
        <w:br/>
        <w:t>transmitidas al Estado el 15 de mayo de 2001.</w:t>
        <w:br/>
        <w:br/>
        <w:br/>
        <w:t xml:space="preserve">                                     VI</w:t>
        <w:br/>
        <w:t xml:space="preserve">                                 COMPETENCIA</w:t>
        <w:br/>
        <w:br/>
        <w:t>27.   TRINIDAD Y TOBAGO  DEPOSITÓ  SU  INSTRUMENTO  DE  RATIFICACIÓN  A  LA</w:t>
        <w:br/>
        <w:t>CONVENCIÓN AMERICANA EL 28 DE MAYO DE  1991.   ESE  MISMO  DÍA,  EL  ESTADO</w:t>
        <w:br/>
        <w:t>RECONOCIÓ LA COMPETENCIA CONTENCIOSA DE LA CORTE.</w:t>
        <w:br/>
        <w:br/>
        <w:br/>
        <w:t>28.   El 26 de mayo de 1998 Trinidad y Tobago denunció la Convención  y  de</w:t>
        <w:br/>
        <w:t>acuerdo con el artículo 78 de la misma, esta denuncia tuvo  efecto  un  año</w:t>
        <w:br/>
        <w:t>más tarde, el 26 de mayo de 1999.  Los hechos  a  los  que  se  refiere  el</w:t>
        <w:br/>
        <w:t>presente caso ocurrieron con anterioridad a  la  entrada  en  vigor  de  la</w:t>
        <w:br/>
        <w:t>denuncia hecha por el Estado. Por lo tanto, esta Corte  es  competente,  en</w:t>
        <w:br/>
        <w:t>los términos de los artículos 78.2 y 62.3 de la Convención, para conocer el</w:t>
        <w:br/>
        <w:t>presente caso y dictar sentencia sobre la excepción  preliminar  presentada</w:t>
        <w:br/>
        <w:t>por el Estado.</w:t>
        <w:br/>
        <w:br/>
        <w:br/>
        <w:t xml:space="preserve">                                     VII</w:t>
        <w:br/>
        <w:br/>
        <w:t xml:space="preserve">                            EXCEPCIÓN PRELIMINAR:</w:t>
        <w:br/>
        <w:br/>
        <w:br/>
        <w:t xml:space="preserve">            EXTEMPORANEIDAD DE LA “ACEPTACIÓN DE LA COMPETENCIA”</w:t>
        <w:br/>
        <w:br/>
        <w:br/>
        <w:t xml:space="preserve">                   DE LA CORTE E INCOMPETENCIA DE LA CORTE</w:t>
        <w:br/>
        <w:br/>
        <w:br/>
        <w:t>29.   En su excepción preliminar, Trinidad y Tobago  sostuvo  que  la  Corte</w:t>
        <w:br/>
        <w:t>Interamericana no es competente para conocer del  caso  en  virtud  de  tres</w:t>
        <w:br/>
        <w:t>argumentos principales:</w:t>
        <w:br/>
        <w:br/>
        <w:t xml:space="preserve">      I.    NO HAY EVIDENCIA DE QUE LA CORTE HAYA  ACEPTADO  SU  COMPETENCIA</w:t>
        <w:br/>
        <w:t xml:space="preserve">      RESPECTO DEL ASUNTO DENTRO DEL PLAZO DE TRES MESES  ESTIPULADO  EN  EL</w:t>
        <w:br/>
        <w:t xml:space="preserve">      ARTÍCULO 51 DE LA CONVENCIÓN AMERICANA SOBRE DERECHOS HUMANOS.</w:t>
        <w:br/>
        <w:br/>
        <w:br/>
        <w:t xml:space="preserve">      II.   LA SEGUNDA RESERVA DEL ESTADO EXCLUYE  [LA]  COMPETENCIA  DE  LA</w:t>
        <w:br/>
        <w:t xml:space="preserve">      CORTE EN ESTE CASO.</w:t>
        <w:br/>
        <w:br/>
        <w:br/>
        <w:t xml:space="preserve">      III.         Alternativamente,  el  Estado  nunca  ha  reconocido   la</w:t>
        <w:br/>
        <w:t xml:space="preserve">      competencia de la Corte.</w:t>
        <w:br/>
        <w:br/>
        <w:t>30.   La Corte pasa a considerar los argumentos presentados  por  el  Estado</w:t>
        <w:br/>
        <w:t>en el caso sub judice.</w:t>
        <w:br/>
        <w:br/>
        <w:t xml:space="preserve">                 A.  EXTEMPORANEIDAD DE LA “ACEPTACIÓN DE LA</w:t>
        <w:br/>
        <w:t xml:space="preserve">                          COMPETENCIA DE LA CORTE”</w:t>
        <w:br/>
        <w:br/>
        <w:t>ALEGATOS DEL ESTADO</w:t>
        <w:br/>
        <w:br/>
        <w:t>31.   El Estado alegó que el artículo 51.1 de la  Convención  establece  que</w:t>
        <w:br/>
        <w:t>para que la Corte sea competente, el informe de la Comisión no  sólo  ha  de</w:t>
        <w:br/>
        <w:t>ser sometido ante ésta dentro del plazo de tres meses después  de  la  fecha</w:t>
        <w:br/>
        <w:t>de la transmisión del mencionado informe al  Estado  involucrado,  sino  que</w:t>
        <w:br/>
        <w:t>también la Corte haya aceptado su competencia  sobre  el  asunto  dentro  de</w:t>
        <w:br/>
        <w:t>dicho plazo de tres meses.</w:t>
        <w:br/>
        <w:br/>
        <w:t>32.    AL  RESPECTO,  EL  ESTADO  ARGUMENTÓ  QUE  EL  ARTÍCULO  51.1  DE  LA</w:t>
        <w:br/>
        <w:t>CONVENCIÓN AMERICANA ESTABLECE QUE</w:t>
        <w:br/>
        <w:br/>
        <w:t xml:space="preserve">      [S]I EN EL PLAZO DE TRES MESES, A PARTIR DE LA REMISIÓN A LOS  ESTADOS</w:t>
        <w:br/>
        <w:t xml:space="preserve">      INTERESADOS  DEL  INFORME  DE  LA  COMISIÓN,  EL  ASUNTO  NO  HA  SIDO</w:t>
        <w:br/>
        <w:t xml:space="preserve">      SOLUCIONADO O SOMETIDO A LA DECISIÓN DE LA CORTE POR LA COMISIÓN O POR</w:t>
        <w:br/>
        <w:t xml:space="preserve">      EL ESTADO INTERESADO, ACEPTANDO  SU  COMPETENCIA,  LA  COMISIÓN  PODRÁ</w:t>
        <w:br/>
        <w:t xml:space="preserve">      EMITIR, POR MAYORÍA ABSOLUTA DE VOTOS DE SUS MIEMBROS,  SU  OPINIÓN  Y</w:t>
        <w:br/>
        <w:t xml:space="preserve">      CONCLUSIONES SOBRE LA CUESTIÓN SOMETIDA A SU  CONSIDERACIÓN.  (ÉNFASIS</w:t>
        <w:br/>
        <w:t xml:space="preserve">      AÑADIDO)</w:t>
        <w:br/>
        <w:br/>
        <w:t>33.   TRINIDAD Y TOBAGO AFIRMÓ  QUE  EL  INFORME  CONFIDENCIAL  NO.  128/99,</w:t>
        <w:br/>
        <w:t>CONFORME AL ARTÍCULO 50 DE LA CONVENCIÓN, FUE REMITIDO AL ESTADO  EL  22  DE</w:t>
        <w:br/>
        <w:t>NOVIEMBRE DE 1999, EN CONSECUENCIA, EL PERÍODO DE TRES MESES  ESTIPULADO  EN</w:t>
        <w:br/>
        <w:t>EL ARTÍCULO 51.1 EXPIRÓ EL 22 DE FEBRERO DE 2000, POR  LO  TANTO,  LA  CORTE</w:t>
        <w:br/>
        <w:t>DEBIÓ  HABER  ACEPTADO  SU  COMPETENCIA  EN  RELACIÓN  CON   EL   CASO   CON</w:t>
        <w:br/>
        <w:t>ANTERIORIDAD A ESA FECHA. SIN EMBARGO, EL  ESTADO  RECIBIÓ  NOTIFICACIÓN  DE</w:t>
        <w:br/>
        <w:t>QUE LA CORTE HABÍA “ACEPTADO COMPETENCIA” HASTA EL 14 DE ABRIL DE 2000.</w:t>
        <w:br/>
        <w:br/>
        <w:t>ALEGATOS DE LA COMISIÓN</w:t>
        <w:br/>
        <w:br/>
        <w:t>34.   La Comisión  señaló  que  la  frase  “aceptando  su  competencia”  del</w:t>
        <w:br/>
        <w:t>artículo 51.1 de la Convención no puede ser interpretada en  el  sentido  de</w:t>
        <w:br/>
        <w:t>que exija que  la  Corte  realice  un  acto  expreso  de  aceptación  de  su</w:t>
        <w:br/>
        <w:t>competencia en relación con cada demanda, y menos aún, que dicho  acto  deba</w:t>
        <w:br/>
        <w:t>efectuarse dentro del plazo de tres meses mencionado en ese mismo  artículo.</w:t>
        <w:br/>
        <w:br/>
        <w:br/>
        <w:t>35.   ASIMISMO, LA COMISIÓN SOSTUVO QUE LA INTERPRETACIÓN DEL ARTÍCULO  51.1</w:t>
        <w:br/>
        <w:t>DE LA CONVENCIÓN PRESENTADA POR EL ESTADO  NO  ESTARÍA  DE  ACUERDO  CON  EL</w:t>
        <w:br/>
        <w:t>SIGNIFICADO ORDINARIO DE LOS TÉRMINOS DE LA DISPOSICIÓN EN SU  CONTEXTO,  NI</w:t>
        <w:br/>
        <w:t>CON EL OBJETO  Y  FIN  DE  LA  CONVENCIÓN.   SERÍA  INCOMPATIBLE  CON  OTRAS</w:t>
        <w:br/>
        <w:t>DISPOSICIONES DE LA CONVENCIÓN, EL ESTATUTO DE LA CORTE, LOS  PROCEDIMIENTOS</w:t>
        <w:br/>
        <w:t>Y LA JURISPRUDENCIA DE LA CORTE.</w:t>
        <w:br/>
        <w:br/>
        <w:t>36.   AGREGÓ QUE LA INTERPRETACIÓN  DEL  ESTADO  DEL  ARTÍCULO  51.1  DE  LA</w:t>
        <w:br/>
        <w:t>CONVENCIÓN NECESARIAMENTE OBLIGARÍA  A  LA  CORTE  A  HACER  DETERMINACIONES</w:t>
        <w:br/>
        <w:t>SOBRE SU COMPETENCIA PARA CONSIDERAR UN CASO,  DENTRO  DEL  MISMO  PLAZO  DE</w:t>
        <w:br/>
        <w:t>TRES MESES QUE TIENE LA COMISIÓN O UN ESTADO PARA PRESENTAR EL ASUNTO  A  LA</w:t>
        <w:br/>
        <w:t>CORTE. UNA INTERPRETACIÓN ASÍ NO ES VIABLE PORQUE INEVITABLEMENTE  NO  DARÍA</w:t>
        <w:br/>
        <w:t>EL TIEMPO ADECUADO PARA PRESENTAR EXCEPCIONES A  LA  COMPETENCIA,  PARA  UNA</w:t>
        <w:br/>
        <w:t>AUDIENCIA  SOBRE  ASUNTOS  PRELIMINARES  Y  PARA  QUE  LA  CORTE  HAGA   UNA</w:t>
        <w:br/>
        <w:t>DETERMINACIÓN CON RESPECTO A SU COMPETENCIA EN  UN  CASO.   LA  CONSECUENCIA</w:t>
        <w:br/>
        <w:t>SERÍA QUE LA CORTE PERDERÍA SU JURISDICCIÓN EN LA MAYORÍA, SI NO  TODOS  LOS</w:t>
        <w:br/>
        <w:t>CASOS, PRESENTADOS ANTE ELLA.  UNA  INTERPRETACIÓN  ASÍ  DEL  ARTÍCULO  51.1</w:t>
        <w:br/>
        <w:t>SERÍA IRRACIONAL EN  EL  CONTEXTO  DE  LA  CONVENCIÓN  COMO  UN  TODO  Y  ES</w:t>
        <w:br/>
        <w:t>CLARAMENTE INCOMPATIBLE CON EL OBJETO Y FIN DE LA CONVENCIÓN.</w:t>
        <w:br/>
        <w:br/>
        <w:t>37.   POR OTRO LADO, LA INTERPRETACIÓN DEL ARTÍCULO 51.1 EN REFERENCIA A  LA</w:t>
        <w:br/>
        <w:t>ACEPTACIÓN POR PARTE DEL ESTADO DE LA COMPETENCIA OBLIGATORIA DE  LA  CORTE,</w:t>
        <w:br/>
        <w:t>SEGÚN EL ARTÍCULO 62 DE LA CONVENCIÓN, ES COMPATIBLE CON EL OBJETO Y FIN  DE</w:t>
        <w:br/>
        <w:t>LA CONVENCIÓN, Y ES REFORZADO  POR  ÉSTA,  EL  ESTATUTO  DE  LA  CORTE,  LOS</w:t>
        <w:br/>
        <w:t>PROCEDIMIENTOS Y LA JURISPRUDENCIA CONSTANTE DE LA CORTE.   EL  ARTÍCULO  61</w:t>
        <w:br/>
        <w:t>DE LA CONVENCIÓN, POR  EJEMPLO,  EXPRESAMENTE  CONTIENE  INSTRUCCIONES  PARA</w:t>
        <w:br/>
        <w:t>CUMPLIR CON LO ESTABLECIDO EN  LOS  ARTÍCULOS  48  A  50,  PERO  NO  CON  LO</w:t>
        <w:br/>
        <w:t>DISPUESTO EN EL ARTÍCULO 51, COMO CONDICIONES QUE DEBEN SER CUMPLIDAS  ANTES</w:t>
        <w:br/>
        <w:t>DE QUE LA CORTE PUEDA CONSIDERAR UN CASO. DEL MISMO MODO, EL ARTÍCULO 2  DEL</w:t>
        <w:br/>
        <w:t>ESTATUTO DEFINE LA  ADJUDICACIÓN  DE  LA  COMPETENCIA  EN  TÉRMINOS  DE  LOS</w:t>
        <w:br/>
        <w:t>ARTÍCULOS 61, 62 Y 63, PERO NO DEL ARTÍCULO 51 DE LA CONVENCIÓN.</w:t>
        <w:br/>
        <w:br/>
        <w:t>38.   ADEMÁS, SEÑALÓ QUE EL ARTÍCULO 36 DEL REGLAMENTO DE  LA  CORTE  PROVEE</w:t>
        <w:br/>
        <w:t>UN PLAZO DE DOS MESES DESDE LA FECHA DE NOTIFICACIÓN  DE  UNA  DEMANDA  PARA</w:t>
        <w:br/>
        <w:t>QUE LAS PARTES PUEDAN PRESENTAR EXCEPCIONES  PRELIMINARES  Y  OTROS  TREINTA</w:t>
        <w:br/>
        <w:t>DÍAS  PARA  LA  PRESENTACIÓN  DE  ESCRITOS  ADICIONALES  SOBRE   EXCEPCIONES</w:t>
        <w:br/>
        <w:t>PRELIMINARES.  EL  CRONOMETRAJE  DE   ESTE   PROCEDIMIENTO   ES   CLARAMENTE</w:t>
        <w:br/>
        <w:t>INCOMPATIBLE CON UNA INTERPRETACIÓN DEL ARTÍCULO 51.1  QUE  SEÑALE  QUE  LAS</w:t>
        <w:br/>
        <w:t>EXCEPCIONES PRELIMINARES DEBEN SER INTERPUESTAS DENTRO  DE  LOS  TRES  MESES</w:t>
        <w:br/>
        <w:t>DESDE LA FECHA DE TRANSMISIÓN DEL INFORME DEL ARTÍCULO 50 POR  PARTE  DE  LA</w:t>
        <w:br/>
        <w:t>COMISIÓN. ASIMISMO, LA CORTE HA DETERMINADO  EN  SU  JURISPRUDENCIA  QUE  EL</w:t>
        <w:br/>
        <w:t>ARTÍCULO 51 DE LA CONVENCIÓN REQUIERE QUE UN ASUNTO SEA PRESENTADO  ANTE  LA</w:t>
        <w:br/>
        <w:t>CORTE DENTRO DEL PERÍODO DE TRES MESES CONFORME AL ARTÍCULO 51,  PERO  NUNCA</w:t>
        <w:br/>
        <w:t>HA INTERPRETADO DICHO ARTÍCULO DE FORMA QUE REQUIERA QUE LA CORTE  DETERMINE</w:t>
        <w:br/>
        <w:t>SU COMPETENCIA SOBRE UN CASO DENTRO DEL MISMO PERÍODO DE TRES MESES.</w:t>
        <w:br/>
        <w:br/>
        <w:t>39.   DADA LA URGENCIA DE LOS ASUNTOS PRESENTADOS EN ESTA  DEMANDA  ANTE  LA</w:t>
        <w:br/>
        <w:t>CORTE,  PRINCIPALMENTE  EN  CUANTO  A  LA  LEGITIMIDAD  DE  LAS  EJECUCIONES</w:t>
        <w:br/>
        <w:t>PENDIENTES, LA COMISIÓN SOLICITÓ QUE NO SE LE PERMITIERA AL ESTADO  RECHAZAR</w:t>
        <w:br/>
        <w:t>LA COMPETENCIA DE LA CORTE SOBRE EL CASO, BASÁNDOSE  EN  UNA  INTERPRETACIÓN</w:t>
        <w:br/>
        <w:t>ERRÓNEA DEL LAPSO PROCESAL ESTABLECIDO EN EL ARTÍCULO 51 DE LA CONVENCIÓN.</w:t>
        <w:br/>
        <w:br/>
        <w:t>Consideraciones de la Corte</w:t>
        <w:br/>
        <w:br/>
        <w:t>40.   La Corte estima conveniente aclarar, en  vista  de  los  alegatos  del</w:t>
        <w:br/>
        <w:t>Estado, que lo que se practicó el 14 de abril de 2000  fue  la  notificación</w:t>
        <w:br/>
        <w:t>de la demanda (supra 20).   Consecuentemente,  no  debe  entenderse  que  el</w:t>
        <w:br/>
        <w:t>plazo de tres meses establecido en el artículo 51.1 de  la  Convención  rige</w:t>
        <w:br/>
        <w:t>para actuaciones de la Corte en el ejercicio de su propia competencia,  pues</w:t>
        <w:br/>
        <w:t>ésta emana de la propia Convención  Americana.   Lo  que  el  artículo  51.1</w:t>
        <w:br/>
        <w:t>determina es un plazo para la presentación de la demanda ante la Corte y  no</w:t>
        <w:br/>
        <w:t>tiene relación directa con actos de la Corte relativos  a  la  determinación</w:t>
        <w:br/>
        <w:t>de su competencia.  Cuando en el texto del artículo 51.1 se dice  “aceptando</w:t>
        <w:br/>
        <w:t>su competencia”, éste se refiere a la aceptación de  la  competencia  de  la</w:t>
        <w:br/>
        <w:t>Corte por parte de un Estado y no a las actuaciones por parte  de  la  Corte</w:t>
        <w:br/>
        <w:t>en ejercicio de su competencia.</w:t>
        <w:br/>
        <w:br/>
        <w:t>41.   POR LO TANTO,  LA  CORTE  CONSIDERA  QUE  DEBE  DESESTIMAR  EL  PRIMER</w:t>
        <w:br/>
        <w:t>ARGUMENTO DE LA EXCEPCIÓN PRELIMINAR INTERPUESTA POR EL ESTADO EN LO QUE  SE</w:t>
        <w:br/>
        <w:t>REFIERE A LA TEMPORALIDAD DE LA “ACEPTACIÓN DE COMPETENCIA” POR PARTE DE  LA</w:t>
        <w:br/>
        <w:t>CORTE.</w:t>
        <w:br/>
        <w:br/>
        <w:t xml:space="preserve">                        B. INCOMPETENCIA DE LA CORTE</w:t>
        <w:br/>
        <w:br/>
        <w:t>Alegatos del Estado</w:t>
        <w:br/>
        <w:br/>
        <w:t>42.   Según lo señalado por Trinidad y Tobago, el  instrumento  de  adhesión</w:t>
        <w:br/>
        <w:t>de la Convención de fecha de 3 de abril de 1991, depositado  por  el  Estado</w:t>
        <w:br/>
        <w:t>el 28 de mayo de 1991, reconoce la competencia contenciosa de la Corte  pero</w:t>
        <w:br/>
        <w:t>sujetando ese reconocimiento a  una  “reserva”.   La  “reserva”  del  Estado</w:t>
        <w:br/>
        <w:t>enuncia que</w:t>
        <w:br/>
        <w:br/>
        <w:t xml:space="preserve">      [c]on respecto al [a]rtículo 62 de la Convención, el  Gobierno  de  la</w:t>
        <w:br/>
        <w:t xml:space="preserve">      República de Trinidad y Tobago, reconoce la  jurisdicción  obligatoria</w:t>
        <w:br/>
        <w:t xml:space="preserve">      de la Corte Interamericana de Derechos  Humanos  que  se  estipula  en</w:t>
        <w:br/>
        <w:t xml:space="preserve">      dicho artículo sólo  en  la  medida  en  que  tal  reconocimiento  sea</w:t>
        <w:br/>
        <w:t xml:space="preserve">      compatible con las secciones pertinentes  de  la  Constitución  de  la</w:t>
        <w:br/>
        <w:t xml:space="preserve">      República de Trinidad y Tobago, y siempre  que  una  sentencia  de  la</w:t>
        <w:br/>
        <w:t xml:space="preserve">      Corte no contravenga, establezca o anule derechos o deberes existentes</w:t>
        <w:br/>
        <w:t xml:space="preserve">      de ciudadanos particulares.</w:t>
        <w:br/>
        <w:br/>
        <w:t>43.   El Estado señaló que el artículo 75 de la Convención establece que  la</w:t>
        <w:br/>
        <w:t>misma sólo puede ser objeto de reservas conforme a las disposiciones  de  la</w:t>
        <w:br/>
        <w:t>Convención de Viena sobre el Derecho de los  Tratados,  suscrita  el  23  de</w:t>
        <w:br/>
        <w:t>mayo de 1969 (en adelante  “la  Convención  de  Viena”).   Al  respecto,  el</w:t>
        <w:br/>
        <w:t>artículo 19 de la misma señala que</w:t>
        <w:br/>
        <w:br/>
        <w:t>[u]n Estado podrá formular una reserva en el momento de  firmar,  ratificar,</w:t>
        <w:br/>
        <w:t>aceptar o aprobar un tratado o adherirse al mismo, a menos:</w:t>
        <w:br/>
        <w:br/>
        <w:t xml:space="preserve">   1. que la reserva esté prohibida por el tratado;</w:t>
        <w:br/>
        <w:br/>
        <w:br/>
        <w:t xml:space="preserve">   2. que el tratado disponga que  únicamente  pueden  hacerse  determinadas</w:t>
        <w:br/>
        <w:t xml:space="preserve">      reservas, entre las cuales no figure la reserva de que se trate; o</w:t>
        <w:br/>
        <w:br/>
        <w:br/>
        <w:t xml:space="preserve">   3. que, en los casos no previstos en los apartados a) y  b),  la  reserva</w:t>
        <w:br/>
        <w:t xml:space="preserve">      sea incompatible con el objeto y fin del tratado.</w:t>
        <w:br/>
        <w:br/>
        <w:t>44.   Asimismo, el Estado mencionó que según lo señalado por la Corte en  la</w:t>
        <w:br/>
        <w:t>Opinión Consultiva sobre El Efecto de  las  Reservas  Sobre  la  Entrada  en</w:t>
        <w:br/>
        <w:t>Vigencia de la Convención Americana sobre  Derechos  Humanos  (OC-2/82),  la</w:t>
        <w:br/>
        <w:t>reseña al artículo 75 de la Convención Americana tenía la intención  de  ser</w:t>
        <w:br/>
        <w:t>una referencia al párrafo c) del artículo 19 de la  Convención  de  Viena  y</w:t>
        <w:br/>
        <w:t>que “sólo tiene sentido si se entiende como autorización  expresa  destinada</w:t>
        <w:br/>
        <w:t>a permitir a los Estados cualesquiera reservas  que  consideren  apropiadas,</w:t>
        <w:br/>
        <w:t>siempre y cuando éstas no  sean  incompatibles  con  el  objeto  y  fin  del</w:t>
        <w:br/>
        <w:t>tratado.  Como tales, se puede decir que ellas  se  rigen  por  el  artículo</w:t>
        <w:br/>
        <w:t>20.1 de la Convención de Viena y, consecuentemente, no están  sujetas  a  la</w:t>
        <w:br/>
        <w:t>aceptación de ningún otro Estado Parte” [6].</w:t>
        <w:br/>
        <w:br/>
        <w:t>45.   El Estado indicó que  la  “reserva”  fue  hecha  en  relación  con  la</w:t>
        <w:br/>
        <w:t>aceptación de la competencia de la Corte y se limita al artículo  62  de  la</w:t>
        <w:br/>
        <w:t>Convención Americana.  Según  Trinidad  y  Tobago,  el  artículo  62  de  la</w:t>
        <w:br/>
        <w:t>Convención es una cláusula facultativa que  los  Estados  pueden  libremente</w:t>
        <w:br/>
        <w:t>“aceptar o rechazar”.  Aquellos Estados que la aceptan  y  así  lo  declaran</w:t>
        <w:br/>
        <w:t>están  expresamente   autorizados   a   hacerlo   sujetos   a   condiciones.</w:t>
        <w:br/>
        <w:t>La  misma</w:t>
        <w:br/>
        <w:br/>
        <w:t>Convención autoriza  a  que  se  establezcan  restricciones  al  momento  de</w:t>
        <w:br/>
        <w:t>aceptar la competencia de la Corte  conforme  al  artículo  62,  lo  que  no</w:t>
        <w:br/>
        <w:t>afecta el disfrute o ejercicio de los derechos y libertades  reconocidos  en</w:t>
        <w:br/>
        <w:t>la Convención.  Por tanto, dado que la “reserva” no niega  el  ejercicio  de</w:t>
        <w:br/>
        <w:t>alguno de  los  derechos  consagrados  en  la  Convención,  la  misma  puede</w:t>
        <w:br/>
        <w:t>considerarse compatible con el objeto y fin de ésta.</w:t>
        <w:br/>
        <w:br/>
        <w:t>46.   Trinidad y Tobago manifestó  que  de  conformidad  con  principios  de</w:t>
        <w:br/>
        <w:t>Derecho  Internacional  universalmente  reconocidos,  el  ejercicio  de   la</w:t>
        <w:br/>
        <w:t>competencia de una Corte internacional con respecto a un Estado,  no  es  un</w:t>
        <w:br/>
        <w:t>derecho, sino un privilegio  que  sólo  se  puede  ejercer  con  el  expreso</w:t>
        <w:br/>
        <w:t>consentimiento del Estado y el artículo 62 de  la  Convención  refleja  esta</w:t>
        <w:br/>
        <w:t>posición.</w:t>
        <w:br/>
        <w:br/>
        <w:t>47.   Agregó el Estado que la Constitución de Trinidad y Tobago  es  y  fue,</w:t>
        <w:br/>
        <w:t>al momento  de  ratificar  la  Convención,  compatible  con  la  misma.   La</w:t>
        <w:br/>
        <w:t>“reserva” del Estado no puede ser interpretada como contraria  al  objeto  y</w:t>
        <w:br/>
        <w:t>fin de la Convención; ésta se  relaciona  únicamente  con  el  procedimiento</w:t>
        <w:br/>
        <w:t>facultativo contenido en el artículo 62 de la Convención, lo que  en  ningún</w:t>
        <w:br/>
        <w:t>modo afecta los derechos  sustantivos  consagrados  en  la  Convención.   La</w:t>
        <w:br/>
        <w:t>“reserva”,  tal  y  como  está  planteada,  de  ninguna  manera  limita  las</w:t>
        <w:br/>
        <w:t>obligaciones asumidas por el Estado de  conformidad  con  la  Convención  en</w:t>
        <w:br/>
        <w:t>relación con los individuos sujetos a su jurisdicción.</w:t>
        <w:br/>
        <w:br/>
        <w:t>48.   Asimismo, Trinidad y Tobago sostuvo que  en  el  supuesto  de  que  la</w:t>
        <w:br/>
        <w:t>Corte declare que la “reserva” del Estado es incompatible con  el  objeto  y</w:t>
        <w:br/>
        <w:t>fin de la Convención Americana,  en  relación  con  el  artículo  62  de  la</w:t>
        <w:br/>
        <w:t>Convención, el efecto de tal determinación sería el anular  e  invalidar  ab</w:t>
        <w:br/>
        <w:t>initio la declaración del Estado por medio de la cual aceptó la  competencia</w:t>
        <w:br/>
        <w:t>contenciosa de la Corte.</w:t>
        <w:br/>
        <w:br/>
        <w:t>49.   El Estado agregó que en su Opinión Consultiva sobre las Reservas a  la</w:t>
        <w:br/>
        <w:t>Convención para Prevenir y Sancionar  el  Delito  de  Genocidio  (1951),  la</w:t>
        <w:br/>
        <w:t>Corte Internacional de Justicia señaló que</w:t>
        <w:br/>
        <w:br/>
        <w:t xml:space="preserve">      […] si un Estado  parte  en  la  Convención  objeta  una  reserva  por</w:t>
        <w:br/>
        <w:t xml:space="preserve">      considerarla incompatible con el objeto y fin de la Convención,  puede</w:t>
        <w:br/>
        <w:t xml:space="preserve">      de hecho considerar que el Estado autor de la reserva no es  parte  en</w:t>
        <w:br/>
        <w:t xml:space="preserve">      la Convención […]</w:t>
        <w:br/>
        <w:br/>
        <w:t>50.   El Estado señaló que bajo  el  ordenamiento  jurídico  de  Trinidad  y</w:t>
        <w:br/>
        <w:t>Tobago, es el Poder Legislativo quien dicta  las  leyes.   El  Ejecutivo  no</w:t>
        <w:br/>
        <w:t>puede, al  momento  de  ratificar  un  tratado,  alterar  las  leyes  de  la</w:t>
        <w:br/>
        <w:t>República o incurrir en incumplimiento constitucional.  Por esta  razón,  el</w:t>
        <w:br/>
        <w:t>Ejecutivo, a la hora de acceder a la Convención  y  aceptar  la  competencia</w:t>
        <w:br/>
        <w:t>contenciosa de la Corte, conforme al artículo 62, estableció  la  “reserva”.</w:t>
        <w:br/>
        <w:t>En ese mismo sentido, el Estado denunció la Convención en mayo de  1998,  en</w:t>
        <w:br/>
        <w:t>virtud de la necesidad de acatar los enunciados de  la  Constitución  de  la</w:t>
        <w:br/>
        <w:t>República de Trinidad y Tobago.</w:t>
        <w:br/>
        <w:br/>
        <w:t>51.   Si la “reserva”  del  Estado  fuere,  por  algún  motivo,  considerada</w:t>
        <w:br/>
        <w:t>inválida, no significaría que el Estado hubiese  declarado,  ilimitadamente,</w:t>
        <w:br/>
        <w:t>su aceptación de la competencia contenciosa de la Corte.  Por el  contrario,</w:t>
        <w:br/>
        <w:t xml:space="preserve"> queda claro que el Estado  nunca  tuvo  la  intención  de  aceptar,  en  su</w:t>
        <w:br/>
        <w:t>totalidad, la competencia de la Corte.  Si  la  “reserva”  es  inválida,  la</w:t>
        <w:br/>
        <w:t>declaración fue inválida y el Estado no presentó nunca su declaración.</w:t>
        <w:br/>
        <w:br/>
        <w:t>Alegatos de la Comisión</w:t>
        <w:br/>
        <w:br/>
        <w:t>52.   La Comisión sostuvo que  la  frase  impugnada  en  la  declaración  de</w:t>
        <w:br/>
        <w:t>aceptación del Estado a  la  competencia  de  la  Corte,  debe  considerarse</w:t>
        <w:br/>
        <w:t>inválida en virtud  de  que  no  es  posible  determinar  con  exactitud  su</w:t>
        <w:br/>
        <w:t>naturaleza o alcance.  Es excesivamente vaga  y  no  debe  interpretarse  de</w:t>
        <w:br/>
        <w:t>manera que afecte la competencia de la Corte para juzgar sobre casos  contra</w:t>
        <w:br/>
        <w:t>el Estado.  Indicó que si  se  le  debe  atribuir  un  sentido,  deberá  ser</w:t>
        <w:br/>
        <w:t>interpretada de manera de regular el efecto legal de las  sentencias  de  la</w:t>
        <w:br/>
        <w:t>Corte, y no la competencia de la Corte para juzgar  sobre  casos  contra  el</w:t>
        <w:br/>
        <w:t>Estado.</w:t>
        <w:br/>
        <w:br/>
        <w:t>53.   La Comisión señaló que el  Comité  de  Derechos  Humanos  de  Naciones</w:t>
        <w:br/>
        <w:t>Unidas ha indicado que  las  reservas  a  tratados  sobre  derechos  humanos</w:t>
        <w:br/>
        <w:t>tienen que ser específicas y transparentes  para  que  de  esta  manera  los</w:t>
        <w:br/>
        <w:t>tribunales, individuos bajo la jurisdicción del Estado que hace  la  reserva</w:t>
        <w:br/>
        <w:t>y los otros Estados partes puedan  saber  cuáles  obligaciones  de  derechos</w:t>
        <w:br/>
        <w:t>humanos han o no sido asumidas.  De esta forma, la  frase  contenida  en  la</w:t>
        <w:br/>
        <w:t>“reserva” del Estado parece tener la intención  de  modificar  el  grado  de</w:t>
        <w:br/>
        <w:t>aceptación del Estado a la competencia contenciosa de la Corte, pues  de  la</w:t>
        <w:br/>
        <w:t>lectura de la frase  resulta  difícil  entender  las  restricciones  que  el</w:t>
        <w:br/>
        <w:t>Estado ha pretendido establecer a las obligaciones asumidas  en  virtud  del</w:t>
        <w:br/>
        <w:t>artículo 62 de la Convención.</w:t>
        <w:br/>
        <w:br/>
        <w:t>54.   Además, la frase puede ser interpretada  en  diversos  sentidos.   Por</w:t>
        <w:br/>
        <w:t>ejemplo, puede entenderse que la Corte está impedida para conocer  y  dictar</w:t>
        <w:br/>
        <w:t>sentencia en relación con alegatos de violación  de  un  derecho  consagrado</w:t>
        <w:br/>
        <w:t>por  la  Convención,  si  el  mismo  no  se  encuentra  protegido   por   la</w:t>
        <w:br/>
        <w:t>Constitución del Estado. Alternativamente, se puede interpretar  que  aunque</w:t>
        <w:br/>
        <w:t>la Corte tiene competencia para conocer y decidir un asunto, las  sentencias</w:t>
        <w:br/>
        <w:t>de la Corte deben ser compatibles con ciertas secciones  no  estipuladas  de</w:t>
        <w:br/>
        <w:t>la Constitución de Trinidad y Tobago.</w:t>
        <w:br/>
        <w:br/>
        <w:t>55.   La Comisión señaló que el Estado se  basa  únicamente  en  la  primera</w:t>
        <w:br/>
        <w:t>parte de su declaración para concluir que la  Corte  no  tiene  competencia.</w:t>
        <w:br/>
        <w:t>Destacó que el Estado no hace referencia a la parte de  la  declaración  que</w:t>
        <w:br/>
        <w:t>dice “y siempre que una sentencia de la Corte no contravenga,  establezca  o</w:t>
        <w:br/>
        <w:t>anule  derechos  o  deberes  existentes  de  ciudadanos   particulares”,   y</w:t>
        <w:br/>
        <w:t>consideró que es evidente que el Estado  reconoce  específicamente  en  esta</w:t>
        <w:br/>
        <w:t>segunda parte de la declaración que la Corte tiene competencia  para  emitir</w:t>
        <w:br/>
        <w:t>sentencias en casos contra Trinidad  y  Tobago.   Puede  ser  entonces  que,</w:t>
        <w:br/>
        <w:t>tomando la primera y segunda partes de  la  declaración  juntas,  el  Estado</w:t>
        <w:br/>
        <w:t>estuviera preocupado de que el darle efecto a las sentencias de la Corte  en</w:t>
        <w:br/>
        <w:t>Trinidad  y  Tobago  no  tuviera  un  efecto  adverso  sobre  los   derechos</w:t>
        <w:br/>
        <w:t>existentes de los ciudadanos, privarlos de derechos  que  ya  disfrutaban  o</w:t>
        <w:br/>
        <w:t>imponerles deberes a los que no estaban sujetos.</w:t>
        <w:br/>
        <w:br/>
        <w:t>56.   El término podría interpretarse en el sentido de que dado  que  en  la</w:t>
        <w:br/>
        <w:t>Constitución no hay disposición alguna que expresamente  prohíba  al  Estado</w:t>
        <w:br/>
        <w:t>aceptar la competencia de la Corte, el reconocimiento de  dicha  competencia</w:t>
        <w:br/>
        <w:t>es completo y eficaz. En  este  sentido,  el  Estado  no  sugiere  que  haya</w:t>
        <w:br/>
        <w:t>disposiciones de la Constitución  de  Trinidad  y  Tobago  que  prohíban  al</w:t>
        <w:br/>
        <w:t>Estado aceptar la competencia de la Corte.</w:t>
        <w:br/>
        <w:br/>
        <w:t>57.   En virtud de las diversas interpretaciones posibles de la frase,  ésta</w:t>
        <w:br/>
        <w:t>resulta tan ambigua que su significado  y  alcance  van  a  depender  de  la</w:t>
        <w:br/>
        <w:t>decisión subjetiva  del  Estado  respecto  de  cuáles  disposiciones  de  la</w:t>
        <w:br/>
        <w:t>Constitución  son  “relevantes”  y  en  qué  sentido  la  aceptación  de  la</w:t>
        <w:br/>
        <w:t>competencia de la Corte debe ser “compatible” con dichas disposiciones.   La</w:t>
        <w:br/>
        <w:t>frase, por lo tanto, privaría  la  exclusiva  autoridad  de  la  Corte  para</w:t>
        <w:br/>
        <w:t>determinar  su  propia  competencia,  razón  por  la  cual  dicha  frase  es</w:t>
        <w:br/>
        <w:t>inválida.</w:t>
        <w:br/>
        <w:br/>
        <w:t>58.   La Comisión, además, señaló que la frase contenida en  la  declaración</w:t>
        <w:br/>
        <w:t>de aceptación del Estado no está autorizada por los artículos 62  ni  75  de</w:t>
        <w:br/>
        <w:t>la Convención y es incompatible con el objeto y fin de ésta.</w:t>
        <w:br/>
        <w:br/>
        <w:t>59.   De conformidad con el artículo 62.2 de la Convención, la  “declaración</w:t>
        <w:br/>
        <w:t>puede ser hecha incondicionalmente o bajo condición de reciprocidad, por  un</w:t>
        <w:br/>
        <w:t>plazo determinado o para casos específicos”.  La  “reserva”  del  Estado  no</w:t>
        <w:br/>
        <w:t>estipula requerimiento de reciprocidad, limitaciones temporales,  ni  define</w:t>
        <w:br/>
        <w:t>los  casos  específicos  respecto  de  los  cuales  la  Corte  aplicará   su</w:t>
        <w:br/>
        <w:t>competencia.</w:t>
        <w:br/>
        <w:br/>
        <w:t>60.   En un segundo lugar, y  de  conformidad  con  el  artículo  75  de  la</w:t>
        <w:br/>
        <w:t>Convención y, específicamente el artículo 19 de la Convención de  Viena,  la</w:t>
        <w:br/>
        <w:t>“reserva” del Estado no está  permitida,  en  virtud  de  que  la  misma  es</w:t>
        <w:br/>
        <w:t>contraria al objeto y fin de la Convención.  Asimismo, la “reserva”  resulta</w:t>
        <w:br/>
        <w:t>contraria a los principios generales del Derecho Internacional.</w:t>
        <w:br/>
        <w:br/>
        <w:t>61.   Finalmente, la frase,  tal  y  como  la  ha  interpretado  el  Estado,</w:t>
        <w:br/>
        <w:t>limitaría las facultades de la Corte  para  interpretar  y  aplicar  ciertas</w:t>
        <w:br/>
        <w:t>disposiciones de la Convención en todos  los  casos  ante  la  Corte  contra</w:t>
        <w:br/>
        <w:t>Trinidad y Tobago,  al  permitir  al  Tribunal  interpretar  y  aplicar  los</w:t>
        <w:br/>
        <w:t>derechos consagrados en la Convención  sólo  en  la  medida  en  que  dichos</w:t>
        <w:br/>
        <w:t>derechos se encuentren protegidos en la Constitución del Estado.</w:t>
        <w:br/>
        <w:br/>
        <w:t>62.   La Comisión consideró que la posición del Estado ignora  el  hecho  de</w:t>
        <w:br/>
        <w:t>que es responsabilidad de la Corte,  y  no  del  Estado,  determinar  si  el</w:t>
        <w:br/>
        <w:t>derecho interno del Estado, incluyendo la Constitución,  es  compatible  con</w:t>
        <w:br/>
        <w:t>los  derechos  protegidos  por  la   Convención.   Indicó   que   la   Corte</w:t>
        <w:br/>
        <w:t>Interamericana ha enfatizado que el tema de la competencia para un  caso  en</w:t>
        <w:br/>
        <w:t>particular es materia que decide la Corte solamente, no los Estados  partes.</w:t>
        <w:br/>
        <w:t xml:space="preserve"> Esto se extiende claramente a la interpretación de  las  frases  contenidas</w:t>
        <w:br/>
        <w:t>en las declaraciones de aceptación, de conformidad con el artículo 62 de  la</w:t>
        <w:br/>
        <w:t>Convención, de varios Estados partes.</w:t>
        <w:br/>
        <w:br/>
        <w:t>63.   En las circunstancias mencionadas, interpretar el artículo  62  de  la</w:t>
        <w:br/>
        <w:t>Convención Americana autorizando  los  términos  de  aceptación  del  Estado</w:t>
        <w:br/>
        <w:t>contravendría  el   artículo   29.a   de   la   Convención,   al   permitir,</w:t>
        <w:br/>
        <w:t>efectivamente, al Estado violar la  Convención  respecto  de  las  supuestas</w:t>
        <w:br/>
        <w:t>víctimas en este caso.  El Estado ha interpretado su declaración  de  manera</w:t>
        <w:br/>
        <w:t>de impedir a la Corte considerar los aspectos específicos  de  la  “pena  de</w:t>
        <w:br/>
        <w:t>muerte obligatoria”.</w:t>
        <w:br/>
        <w:br/>
        <w:t>64.   Asimismo, la Comisión sostuvo que se puede separar la frase  impugnada</w:t>
        <w:br/>
        <w:t>del instrumento de aceptación, por  parte  del  Estado,  de  la  competencia</w:t>
        <w:br/>
        <w:t>contenciosa de la Corte, conservando  la  validez  y  efectividad  de  dicho</w:t>
        <w:br/>
        <w:t>instrumento.</w:t>
        <w:br/>
        <w:br/>
        <w:t>65.   La Convención protege los derechos humanos de los  individuos  sujetos</w:t>
        <w:br/>
        <w:t>a la jurisdicción de los Estados partes, por lo que la “reserva” del  Estado</w:t>
        <w:br/>
        <w:t>debe ser interpretada  de  manera  que  fortalezca,  no  que  debilite  este</w:t>
        <w:br/>
        <w:t>régimen y, por lo tanto,  aumente  y  no  disminuya  la  protección  de  los</w:t>
        <w:br/>
        <w:t>derechos humanos en todo el hemisferio.</w:t>
        <w:br/>
        <w:t>66.   Separar la  frase  impugnada  de  la  declaración  de  aceptación  del</w:t>
        <w:br/>
        <w:t>Estado, en lugar de anular la declaración in toto, sirve para  asegurar  los</w:t>
        <w:br/>
        <w:t>derechos  humanos  fundamentales  de  las  supuestas  víctimas  y   de   los</w:t>
        <w:br/>
        <w:t>individuos en situaciones similares  quienes  de  otra  manera  no  tendrían</w:t>
        <w:br/>
        <w:t>recursos internos efectivos de protección.</w:t>
        <w:br/>
        <w:br/>
        <w:t>67.   Trinidad y Tobago indicó que es un principio de Derecho  Internacional</w:t>
        <w:br/>
        <w:t>y un “precepto fundamental subyacente en la Convención Americana”,  que  los</w:t>
        <w:br/>
        <w:t>Estados no pueden invocar  su  derecho  interno  como  justificación  de  no</w:t>
        <w:br/>
        <w:t>cumplir un tratado.  Sin embargo, esto es lo que el Estado pretende hacer  a</w:t>
        <w:br/>
        <w:t>través de su interpretación de la frase impugnada.</w:t>
        <w:br/>
        <w:br/>
        <w:t>68.   La Comisión Interamericana argumentó que  la  Corte  puede  seguir  el</w:t>
        <w:br/>
        <w:t>razonamiento de la Corte Europea de Derechos Humanos (en adelante “la  Corte</w:t>
        <w:br/>
        <w:t>Europea”), en el  caso  Loizidou  vs.  Turquía,  el  cual  declaró  que  las</w:t>
        <w:br/>
        <w:t>restricciones ratione loci pueden ser  separadas  de  las  declaraciones  de</w:t>
        <w:br/>
        <w:t>aceptación, dejando intacta la aceptación de cláusulas facultativas.</w:t>
        <w:br/>
        <w:br/>
        <w:t>Consideraciones de la Corte</w:t>
        <w:br/>
        <w:br/>
        <w:t>69.   La cuestión de la pretendida “reserva” con que el Estado  de  Trinidad</w:t>
        <w:br/>
        <w:t>y Tobago acompañó su aceptación de la competencia contenciosa  de  la  Corte</w:t>
        <w:br/>
        <w:t>Interamericana, debe ser resuelta por este Tribunal.  La  Corte,  como  todo</w:t>
        <w:br/>
        <w:t>órgano  con  funciones  jurisdiccionales,  tiene  el  poder   inherente   de</w:t>
        <w:br/>
        <w:t>determinar  el  alcance  de  su  propia  competencia   (compétence   de   la</w:t>
        <w:br/>
        <w:t>compétence/Kompetenz-Kompetenz).</w:t>
        <w:br/>
        <w:br/>
        <w:t>70.   Incumbe a la Corte darle a la declaración del Estado,  como  un  todo,</w:t>
        <w:br/>
        <w:t>una interpretación de acuerdo con los cánones  y  la  práctica  del  Derecho</w:t>
        <w:br/>
        <w:t>Internacional en general,  y  del  Derecho  Internacional  de  los  Derechos</w:t>
        <w:br/>
        <w:t>Humanos en particular, y que proporcione el mayor grado de protección a  los</w:t>
        <w:br/>
        <w:t>seres humanos bajo su tutela.</w:t>
        <w:br/>
        <w:br/>
        <w:t>71.   La Corte no puede abdicar de  esta  prerrogativa,  que  además  es  un</w:t>
        <w:br/>
        <w:t>deber que le impone la Convención  Americana,  para  ejercer  sus  funciones</w:t>
        <w:br/>
        <w:t>según el artículo 62.3 de la misma.  Dicha disposición establece  que  “[l]a</w:t>
        <w:br/>
        <w:t>Corte tiene competencia  para  conocer  de  cualquier  caso  relativo  a  la</w:t>
        <w:br/>
        <w:t>interpretación y aplicación de las disposiciones de esta Convención  que  le</w:t>
        <w:br/>
        <w:t>sea sometido, siempre que los Estados partes en el caso hayan  reconocido  o</w:t>
        <w:br/>
        <w:t>reconozcan dicha competencia, ora por declaración especial, como  se  indica</w:t>
        <w:br/>
        <w:t>en los incisos anteriores, ora por convención especial”.</w:t>
        <w:br/>
        <w:br/>
        <w:t>72.   Como este mismo Tribunal lo ha  mencionado  en  las  sentencias  sobre</w:t>
        <w:br/>
        <w:t>competencia en los Casos del Tribunal Constitucional e Ivcher Bronstein:</w:t>
        <w:br/>
        <w:br/>
        <w:t xml:space="preserve">      La competencia de la Corte no  puede  estar  condicionada  por  hechos</w:t>
        <w:br/>
        <w:t xml:space="preserve">      distintos a sus propias actuaciones.  Los instrumentos  de  aceptación</w:t>
        <w:br/>
        <w:t xml:space="preserve">      de la cláusula facultativa de la  jurisdicción  obligatoria  (artículo</w:t>
        <w:br/>
        <w:t xml:space="preserve">      62.1 de la Convención) presuponen la admisión, por los Estados que  la</w:t>
        <w:br/>
        <w:t xml:space="preserve">      presentan, del derecho de la Corte a resolver  cualquier  controversia</w:t>
        <w:br/>
        <w:t xml:space="preserve">      relativa a su  jurisdicción.   Una  objeción  o  cualquier  otro  acto</w:t>
        <w:br/>
        <w:t xml:space="preserve">      interpuesto por el Estado con el propósito de afectar  la  competencia</w:t>
        <w:br/>
        <w:t xml:space="preserve">      de la Corte es inocuo, pues en cualesquiera  circunstancias  la  Corte</w:t>
        <w:br/>
        <w:t xml:space="preserve">      retiene la  compétence  de  la  compétence,  por  ser  maestra  de  su</w:t>
        <w:br/>
        <w:t xml:space="preserve">      jurisdicción[7].</w:t>
        <w:br/>
        <w:br/>
        <w:t>73.   Al interpretar la Convención conforme a su  objeto  y  fin,  la  Corte</w:t>
        <w:br/>
        <w:t>debe actuar de tal manera  que  se  preserve  la  integridad  del  mecanismo</w:t>
        <w:br/>
        <w:t>previsto  en  el  artículo  62.1  de  la  Convención.    Sería   inadmisible</w:t>
        <w:br/>
        <w:t>subordinar tal mecanismo a restricciones que  hagan  inoperante  el  sistema</w:t>
        <w:br/>
        <w:t>tutelar de los derechos humanos, previsto en la Convención y, por lo  tanto,</w:t>
        <w:br/>
        <w:t>la función jurisdiccional de la Corte.</w:t>
        <w:br/>
        <w:br/>
        <w:t>74.   Como esta Corte ha señalado en los Casos del  Tribunal  Constitucional</w:t>
        <w:br/>
        <w:t>e Ivcher Bronstein</w:t>
        <w:br/>
        <w:br/>
        <w:t xml:space="preserve">      [l]os Estados partes en la Convención deben garantizar el cumplimiento</w:t>
        <w:br/>
        <w:t xml:space="preserve">      de las disposiciones  convencionales  y  sus  efectos  propios  (effet</w:t>
        <w:br/>
        <w:t xml:space="preserve">      utile) en  el  plano  de  sus  respectivos  derechos  internos.   Este</w:t>
        <w:br/>
        <w:t xml:space="preserve">      principio se aplica no sólo en relación con las normas sustantivas  de</w:t>
        <w:br/>
        <w:t xml:space="preserve">      los  tratados  de  derechos  humanos  (es  decir,  las  que  contienen</w:t>
        <w:br/>
        <w:t xml:space="preserve">      disposiciones sobre los derechos protegidos), sino también en relación</w:t>
        <w:br/>
        <w:t xml:space="preserve">      con las normas procesales, tal como la  referente  a  la  cláusula  de</w:t>
        <w:br/>
        <w:t xml:space="preserve">      aceptación de la competencia contenciosa del Tribunal.  Tal  cláusula,</w:t>
        <w:br/>
        <w:t xml:space="preserve">      esencial a la eficacia del mecanismo de protección internacional, debe</w:t>
        <w:br/>
        <w:t xml:space="preserve">      ser interpretada y aplicada de modo que la garantía que establece  sea</w:t>
        <w:br/>
        <w:t xml:space="preserve">      verdaderamente práctica  y  eficaz,  teniendo  presentes  el  carácter</w:t>
        <w:br/>
        <w:t xml:space="preserve">      especial de los tratados de derechos humanos […] y  su  implementación</w:t>
        <w:br/>
        <w:t xml:space="preserve">      colectiva[8].</w:t>
        <w:br/>
        <w:br/>
        <w:t>75.   Según el artículo 31.1 de la Convención de Viena de 1969</w:t>
        <w:br/>
        <w:br/>
        <w:br/>
        <w:t xml:space="preserve">      [u]n tratado deberá interpretarse de  buena  fe  conforme  al  sentido</w:t>
        <w:br/>
        <w:t xml:space="preserve">      corriente que haya de atribuirse a los  términos  del  tratado  en  el</w:t>
        <w:br/>
        <w:t xml:space="preserve">      contexto de éstos y teniendo en cuenta su objeto y fin.</w:t>
        <w:br/>
        <w:br/>
        <w:t>76.   LA TAREA DE LA CORTE EN ESTA ETAPA ES  DECIDIR  POR  LO  QUE  HACE  AL</w:t>
        <w:br/>
        <w:t>PRESENTE CASO, SI LA “RESERVA” PLANTEADA POR  TRINIDAD  Y  TOBAGO  TIENE  EL</w:t>
        <w:br/>
        <w:t>EFECTO DE EXCLUIR LA COMPETENCIA DE LA CORTE EN  LA  FORMA  ALEGADA  POR  EL</w:t>
        <w:br/>
        <w:t>ESTADO.</w:t>
        <w:br/>
        <w:br/>
        <w:t>77.   Como se ha  visto,  la  pretendida  “reserva”  tiene  dos  partes.  La</w:t>
        <w:br/>
        <w:t>primera  se  orienta  a  limitar  el  reconocimiento   de   la   competencia</w:t>
        <w:br/>
        <w:t>contenciosa de la Corte, en el sentido  de  que  dicho  reconocimiento  sólo</w:t>
        <w:br/>
        <w:t>valdrá como tal en la medida  en  que  “sea  compatible  con  las  secciones</w:t>
        <w:br/>
        <w:t>pertinentes” de la Constitución de  Trinidad  y  Tobago.  Estas  expresiones</w:t>
        <w:br/>
        <w:t>admiten muchas interpretaciones. Sin embargo, para la Corte es claro que  no</w:t>
        <w:br/>
        <w:t>puede dárseles un alcance de acuerdo con el cual constituyan un  impedimento</w:t>
        <w:br/>
        <w:t>para que este Tribunal juzgue si el Estado violó o no alguna disposición  de</w:t>
        <w:br/>
        <w:t>la Convención.  La segunda parte de la pretendida restricción condiciona  el</w:t>
        <w:br/>
        <w:t>“reconocimiento” del Estado de la competencia contenciosa de la Corte a  que</w:t>
        <w:br/>
        <w:t>las  sentencias  de  ésta  “no  contravenga[n],  establezca[n]  o   anule[n]</w:t>
        <w:br/>
        <w:t>derechos  o  deberes   existentes   de   ciudadanos   particulares”   (sic).</w:t>
        <w:br/>
        <w:t>Nuevamente, además de que el significado preciso de  esta  condición  no  es</w:t>
        <w:br/>
        <w:t>claro, es indudable que no puede ser utilizado con el propósito de  suprimir</w:t>
        <w:br/>
        <w:t>la competencia de la Corte para conocer y decidir una  demanda  en  relación</w:t>
        <w:br/>
        <w:t>con una supuesta violación de las obligaciones convencionales del Estado.</w:t>
        <w:br/>
        <w:br/>
        <w:t>78.   Al respecto, el artículo 62 incisos 1 y 2 de la  Convención  Americana</w:t>
        <w:br/>
        <w:t>dispone:</w:t>
        <w:br/>
        <w:br/>
        <w:t xml:space="preserve">   1. Todo Estado parte puede, en el momento del depósito de su  instrumento</w:t>
        <w:br/>
        <w:t xml:space="preserve">      de ratificación o adhesión de esta Convención, o en cualquier  momento</w:t>
        <w:br/>
        <w:t xml:space="preserve">      posterior, declarar que reconoce como obligatoria de pleno  derecho  y</w:t>
        <w:br/>
        <w:t xml:space="preserve">      sin convención especial, la competencia de la Corte  sobre  todos  los</w:t>
        <w:br/>
        <w:t xml:space="preserve">      casos relativos a la interpretación o aplicación de esta Convención.</w:t>
        <w:br/>
        <w:br/>
        <w:br/>
        <w:t xml:space="preserve">   2. La declaración puede ser hecha incondicionalmente, o bajo condición de</w:t>
        <w:br/>
        <w:t xml:space="preserve">      reciprocidad, por un  plazo  determinado  o  para  casos  específicos.</w:t>
        <w:br/>
        <w:t xml:space="preserve">      Deberá ser presentada al Secretario General de la Organización,  quien</w:t>
        <w:br/>
        <w:t xml:space="preserve">      transmitirá copias de la misma a los  otros  Estados  miembros  de  la</w:t>
        <w:br/>
        <w:t xml:space="preserve">      Organización y al Secretario de la Corte.</w:t>
        <w:br/>
        <w:br/>
        <w:t>79.   Esta Corte observa que el instrumento  de  aceptación,  por  parte  de</w:t>
        <w:br/>
        <w:t>Trinidad y Tobago, de la competencia contenciosa del Tribunal,  no  encuadra</w:t>
        <w:br/>
        <w:t>en las hipótesis previstas en el artículo 62.2 de la  Convención  Americana.</w:t>
        <w:br/>
        <w:t>Tiene un alcance general, que termina por subordinar  la  aplicación  de  la</w:t>
        <w:br/>
        <w:t>Convención al derecho interno de Trinidad y Tobago en forma  total  y  según</w:t>
        <w:br/>
        <w:t>lo  dispongan  sus  tribunales  nacionales.   Todo  esto  implica  que  este</w:t>
        <w:br/>
        <w:t>instrumento de aceptación es manifiestamente incompatible con  el  objeto  y</w:t>
        <w:br/>
        <w:t>fin de la Convención.  Por  lo  tanto,  no  existe  en  el  citado  artículo</w:t>
        <w:br/>
        <w:t>disposición alguna  que  faculte  a  Trinidad  y  Tobago  para  formular  la</w:t>
        <w:br/>
        <w:t>restricción que hizo.</w:t>
        <w:br/>
        <w:br/>
        <w:t>80.   Una interpretación de la Convención Americana “de  buena  fe  conforme</w:t>
        <w:br/>
        <w:t>al sentido corriente que haya de atribuirse a los términos  del  tratado  en</w:t>
        <w:br/>
        <w:t>el contexto de éstos y teniendo en cuenta su objeto y  fin”,  lleva  a  esta</w:t>
        <w:br/>
        <w:t>Corte a  considerar  que  un  Estado  parte  en  la  Convención  sólo  puede</w:t>
        <w:br/>
        <w:t>desvincularse   de   sus   obligaciones   convencionales   observando    las</w:t>
        <w:br/>
        <w:t>disposiciones del propio tratado[9].</w:t>
        <w:br/>
        <w:br/>
        <w:t>81.   El artículo 29.a de la  Convención  Americana  establece  que  ninguna</w:t>
        <w:br/>
        <w:t>disposición de la misma puede ser interpretada en el sentido de “permitir  a</w:t>
        <w:br/>
        <w:t>alguno de los Estados partes, grupo o persona, suprimir el goce y  ejercicio</w:t>
        <w:br/>
        <w:t>de los derechos y libertades reconocidos en la Convención  o  limitarlos  en</w:t>
        <w:br/>
        <w:t>mayor medida que la prevista en ella”.  De esta manera, no  tendría  sentido</w:t>
        <w:br/>
        <w:t>suponer que un Estado que decidió libremente su aceptación a la  competencia</w:t>
        <w:br/>
        <w:t>contenciosa de la Corte, haya pretendido en ese  mismo  momento  evitar  que</w:t>
        <w:br/>
        <w:t>ésta ejerza sus funciones según  lo  previsto  en  la  Convención.   Por  el</w:t>
        <w:br/>
        <w:t>contrario, la sola aceptación del Estado conlleva la  presunción  inequívoca</w:t>
        <w:br/>
        <w:t>de que se somete a la competencia contenciosa de la Corte.</w:t>
        <w:br/>
        <w:br/>
        <w:t>82.    El  efecto  del  tercer  alegato  del   Estado   sería   limitar   su</w:t>
        <w:br/>
        <w:t>reconocimiento de la competencia contenciosa de la  Corte  en  forma  total,</w:t>
        <w:br/>
        <w:t>con consecuencias negativas para el ejercicio  de  los  derechos  protegidos</w:t>
        <w:br/>
        <w:t>por la Convención.</w:t>
        <w:br/>
        <w:br/>
        <w:t>83.    La  declaración  efectuada  por  el  Estado  de  Trinidad  y  Tobago,</w:t>
        <w:br/>
        <w:t>facultaría a éste para decidir en  cada  caso  concreto  el  alcance  de  su</w:t>
        <w:br/>
        <w:t>propia aceptación de la competencia contenciosa de la  Corte  en  detrimento</w:t>
        <w:br/>
        <w:t>del ejercicio de la función contenciosa del  Tribunal.   Además,  concedería</w:t>
        <w:br/>
        <w:t>al Estado la potestad discrecional para decidir qué  asuntos  puede  conocer</w:t>
        <w:br/>
        <w:t>la Corte, lo que privaría el ejercicio de  la  competencia  contenciosa  del</w:t>
        <w:br/>
        <w:t>Tribunal de toda eficacia.</w:t>
        <w:br/>
        <w:br/>
        <w:t>84.   Asimismo, aceptar la declaración a la que se hace referencia,  en  los</w:t>
        <w:br/>
        <w:t>términos propuestos por el Estado, conduciría a  una  situación  en  que  la</w:t>
        <w:br/>
        <w:t>Corte tendría como  primer  parámetro  de  referencia  la  Constitución  del</w:t>
        <w:br/>
        <w:t>Estado y  sólo  subsidiariamente  la  Convención  Americana,  situación  que</w:t>
        <w:br/>
        <w:t>acarrearía una fragmentación del orden jurídico internacional de  protección</w:t>
        <w:br/>
        <w:t>de los derechos humanos y haría ilusorios el objeto y fin de la Convención.</w:t>
        <w:br/>
        <w:br/>
        <w:t>85.   La Convención Americana, así  como  los  demás  tratados  de  derechos</w:t>
        <w:br/>
        <w:t>humanos,  se  inspira  en  valores  comunes  superiores  (centrados  en   la</w:t>
        <w:br/>
        <w:t>protección del  ser  humano),  está  dotada  de  mecanismos  específicos  de</w:t>
        <w:br/>
        <w:t>supervisión, se aplica de conformidad con la noción de  garantía  colectiva,</w:t>
        <w:br/>
        <w:t>consagra  obligaciones  de  carácter  esencialmente  objetivo  y  tiene  una</w:t>
        <w:br/>
        <w:t>naturaleza especial, que la diferencia de los  demás  tratados,  los  cuales</w:t>
        <w:br/>
        <w:t>reglamentan intereses recíprocos entre los Estados partes  y  son  aplicados</w:t>
        <w:br/>
        <w:t>por éstos, con todas las consecuencias jurídicas que de ahí derivan  en  los</w:t>
        <w:br/>
        <w:t>ordenamientos jurídicos internacional e interno[10].</w:t>
        <w:br/>
        <w:br/>
        <w:t>86.   Al respecto, esta Corte ha señalado, en su  Opinión  Consultiva  sobre</w:t>
        <w:br/>
        <w:t>El Efecto de las Reservas Sobre la Entrada  en  Vigencia  de  la  Convención</w:t>
        <w:br/>
        <w:t>Americana sobre Derechos Humanos (OC-2/82), que</w:t>
        <w:br/>
        <w:br/>
        <w:t xml:space="preserve">    […] los tratados modernos sobre derechos humanos,  en  general,  y,  en</w:t>
        <w:br/>
        <w:t xml:space="preserve">    particular, la Convención Americana, no son tratados multilaterales del</w:t>
        <w:br/>
        <w:t xml:space="preserve">    tipo tradicional, concluidos en función de un intercambio recíproco  de</w:t>
        <w:br/>
        <w:t xml:space="preserve">    derechos, para el beneficio mutuo  de  los  Estados  contratantes.   Su</w:t>
        <w:br/>
        <w:t xml:space="preserve">    objeto y fin son la protección de los  derechos  fundamentales  de  los</w:t>
        <w:br/>
        <w:t xml:space="preserve">    seres humanos, independientemente de su nacionalidad, tanto frente a su</w:t>
        <w:br/>
        <w:t xml:space="preserve">    propio Estado como frente a los otros Estados contratantes.  Al aprobar</w:t>
        <w:br/>
        <w:t xml:space="preserve">    estos tratados sobre derechos humanos, los  Estados  se  someten  a  un</w:t>
        <w:br/>
        <w:t xml:space="preserve">    orden legal dentro del cual ellos, por el  bien  común,  asumen  varias</w:t>
        <w:br/>
        <w:t xml:space="preserve">    obligaciones,  no  en  relación  con  otros  Estados,  sino  hacia  los</w:t>
        <w:br/>
        <w:t xml:space="preserve">    individuos bajo su jurisdicción[11].</w:t>
        <w:br/>
        <w:br/>
        <w:t>87.   Dicho  criterio  coincide  con  la  jurisprudencia  de  otros  órganos</w:t>
        <w:br/>
        <w:t>jurisdiccionales internacionales[12].</w:t>
        <w:br/>
        <w:br/>
        <w:t>88.   Asimismo, como esta Corte ha  advertido  en  los  Casos  del  Tribunal</w:t>
        <w:br/>
        <w:t>Constitucional e Ivcher Bronstein</w:t>
        <w:br/>
        <w:br/>
        <w:t xml:space="preserve">    [h]ay que descartar cualquier analogía entre, por un lado, la  práctica</w:t>
        <w:br/>
        <w:t xml:space="preserve">    estatal permisiva desarrollada bajo el artículo 36.2 del Estatuto de la</w:t>
        <w:br/>
        <w:t xml:space="preserve">    Corte Internacional de Justicia, y, por otro lado, la aceptación de  la</w:t>
        <w:br/>
        <w:t xml:space="preserve">    cláusula facultativa de  la  competencia  obligatoria  de  esta  Corte,</w:t>
        <w:br/>
        <w:t xml:space="preserve">    teniendo presentes el carácter especial, así como el objeto y propósito</w:t>
        <w:br/>
        <w:t xml:space="preserve">    de  la  Convención  Americana.   En  este  sentido  se  ha  pronunciado</w:t>
        <w:br/>
        <w:t xml:space="preserve">    igualmente la Corte Europea de Derechos Humanos, en su sentencia  sobre</w:t>
        <w:br/>
        <w:t xml:space="preserve">    excepciones preliminares en el caso Loizidou  vs.  Turquía  (1995),  en</w:t>
        <w:br/>
        <w:t xml:space="preserve">    relación con la cláusula facultativa  de  su  jurisdicción  obligatoria</w:t>
        <w:br/>
        <w:t xml:space="preserve">    (artículo 46 de la Convención Europea, anteriormente a  la  entrada  en</w:t>
        <w:br/>
        <w:t xml:space="preserve">    vigor, el 01.11.1998,  del  Protocolo  XI  a  la  Convención  Europea),</w:t>
        <w:br/>
        <w:t xml:space="preserve">    fundamentando su posición en el carácter de “tratado  normativo”  (law-</w:t>
        <w:br/>
        <w:t xml:space="preserve">    making treaty) de la Convención Europea[13].</w:t>
        <w:br/>
        <w:br/>
        <w:t>89.   En vista de lo anterior, la Corte considera que Trinidad y  Tobago  no</w:t>
        <w:br/>
        <w:t>puede prevalerse  de  las  limitaciones  formuladas  en  su  instrumento  de</w:t>
        <w:br/>
        <w:t>aceptación de la cláusula facultativa de la jurisdicción obligatoria  de  la</w:t>
        <w:br/>
        <w:t>Corte Interamericana de Derechos Humanos, en virtud de lo establecido en  el</w:t>
        <w:br/>
        <w:t>artículo 62 de la Convención  Americana,  por  cuanto  dicha  limitación  es</w:t>
        <w:br/>
        <w:t>incompatible con el objeto y fin de la Convención.  Por lo tanto,  la  Corte</w:t>
        <w:br/>
        <w:t>considera  que  debe  desestimar  el  segundo  y  tercer  argumentos  de  la</w:t>
        <w:br/>
        <w:t>excepción preliminar interpuesta por el Estado en lo que  se  refiere  a  la</w:t>
        <w:br/>
        <w:t>competencia de la Corte.</w:t>
        <w:br/>
        <w:br/>
        <w:br/>
        <w:t xml:space="preserve">                                    VIII</w:t>
        <w:br/>
        <w:t xml:space="preserve">                             PUNTOS RESOLUTIVOS</w:t>
        <w:br/>
        <w:br/>
        <w:br/>
        <w:t>90.   Por tanto,</w:t>
        <w:br/>
        <w:br/>
        <w:br/>
        <w:t>LA CORTE</w:t>
        <w:br/>
        <w:br/>
        <w:br/>
        <w:br/>
        <w:t xml:space="preserve">   DECIDE</w:t>
        <w:br/>
        <w:br/>
        <w:br/>
        <w:t>por unanimidad,</w:t>
        <w:br/>
        <w:br/>
        <w:t>1.    Desestimar en su totalidad la excepción preliminar interpuesta por  el</w:t>
        <w:br/>
        <w:t>Estado.</w:t>
        <w:br/>
        <w:br/>
        <w:t>2.    Continuar con el conocimiento y la tramitación del presente caso.</w:t>
        <w:br/>
        <w:br/>
        <w:t>3.    Comisionar a su Presidente para que, en su  oportunidad,  convoque  al</w:t>
        <w:br/>
        <w:t>Estado y a la Comisión Interamericana  a  una  audiencia  pública  sobre  el</w:t>
        <w:br/>
        <w:t>fondo del caso, por realizarse en la sede  de  la  Corte  Interamericana  de</w:t>
        <w:br/>
        <w:t>Derechos Humanos.</w:t>
        <w:br/>
        <w:br/>
        <w:t>4.    Notificar esta Sentencia al Estado y a la Comisión  Interamericana  de</w:t>
        <w:br/>
        <w:t>Derechos Humanos.</w:t>
        <w:br/>
        <w:br/>
        <w:t>Los Jueces Cançado Trindade, Salgado  Pesantes  y  García  Ramírez  hicieron</w:t>
        <w:br/>
        <w:t>conocer a la Corte sus Votos Razonados,  los  cuales  se  acompañan  a  esta</w:t>
        <w:br/>
        <w:t>Sentencia.</w:t>
        <w:br/>
        <w:br/>
        <w:t>Redactada en español y en inglés, haciendo fe el texto en  español,  en  San</w:t>
        <w:br/>
        <w:t>José, Costa Rica, el día 1 de septiembre de 2001.</w:t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t>Máximo Pacheco Gómez   Hernán Salgado Pesantes</w:t>
        <w:br/>
        <w:br/>
        <w:t xml:space="preserve">      Oliver Jackman   Alirio Abreu Burelli</w:t>
        <w:br/>
        <w:br/>
        <w:t>Sergio García Ramírez  Carlos Vicente de Roux Rengifo</w:t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t>Comuníquese y ejecútese,</w:t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t xml:space="preserve">                          Manuel E. Ventura Robles</w:t>
        <w:br/>
        <w:t xml:space="preserve">                                 Secretario</w:t>
        <w:br/>
        <w:br/>
        <w:t xml:space="preserve">                VOTO RAZONADO DEL JUEZ A. A. CANÇADO TRINDADE</w:t>
        <w:br/>
        <w:br/>
        <w:br/>
        <w:br/>
        <w:br/>
        <w:t>1.    Voto a favor de la adopción por la Corte  Interamericana  de  Derechos</w:t>
        <w:br/>
        <w:t>Humanos de la presente Sentencia sobre Excepciones Preliminares en  el  caso</w:t>
        <w:br/>
        <w:t>Constantine y Otros versus Trinidad y Tobago, que, a  mi  juicio  representa</w:t>
        <w:br/>
        <w:t>un aporte significativo del Derecho Internacional de los Derechos Humanos  a</w:t>
        <w:br/>
        <w:t>la  evolución  de  un   aspecto   específico   del   Derecho   Internacional</w:t>
        <w:br/>
        <w:t>contemporáneo,  a  saber,  el  atinente  a  la  jurisdicción   internacional</w:t>
        <w:br/>
        <w:t>obligatoria (basada en la  aceptación  de  la  cláusula  facultativa  de  la</w:t>
        <w:br/>
        <w:t>jurisdicción obligatoria) de un tribunal internacional de derechos  humanos.</w:t>
        <w:br/>
        <w:t>Dada la transcendental importancia de esta materia, me veo en la  obligación</w:t>
        <w:br/>
        <w:t>de presentar, como fundamento jurídico  de  mi  posición  al  respecto,  las</w:t>
        <w:br/>
        <w:t>reflexiones que me permito desarrollar en este Voto Razonado, acerca de  los</w:t>
        <w:br/>
        <w:t>siguientes puntos: primero, la  cuestión  previa  de  la  compétence  de  la</w:t>
        <w:br/>
        <w:t>compétence (Kompetenz Kompetenz) de la  Corte  Interamericana;  segundo,  el</w:t>
        <w:br/>
        <w:t>orígen y la evolución  del  instituto  de  la  cláusula  facultativa  de  la</w:t>
        <w:br/>
        <w:t>jurisdicción obligatoria, y  el  examen  de  la  práctica  internacional  al</w:t>
        <w:br/>
        <w:t>respecto; tercero, una evaluación lex lata de la jurisdicción  internacional</w:t>
        <w:br/>
        <w:t>obligatoria; cuarto, el efecto jurídico de la  formulación  taxativa  de  la</w:t>
        <w:br/>
        <w:t>cláusula facultativa en el artículo 62  de  la  Convención  Americana  sobre</w:t>
        <w:br/>
        <w:t>Derechos Humanos (numerus clausus); y  cuarto,  mis  ponderaciones  de  lege</w:t>
        <w:br/>
        <w:t>ferenda sobre la jurisdicción internacional obligatoria en el  marco  de  la</w:t>
        <w:br/>
        <w:t>Convención Americana.</w:t>
        <w:br/>
        <w:br/>
        <w:t xml:space="preserve">      I.    Cuestión Previa: La Compétence de  la  Compétence  de  la  Corte</w:t>
        <w:br/>
        <w:t xml:space="preserve">      Interamericana de Derechos Humanos.</w:t>
        <w:br/>
        <w:br/>
        <w:t>2.    El punto de partida de mi lectura personal del sentido  y  alcance  de</w:t>
        <w:br/>
        <w:t>la presente Sentencia de la Corte Interamericana en el  caso  Constantine  y</w:t>
        <w:br/>
        <w:t>Otros versus Trinidad y Tobago reside en la cuestión previa de  la  facultad</w:t>
        <w:br/>
        <w:t>inherente de la Corte para determinar el alcance de su  propia  competencia.</w:t>
        <w:br/>
        <w:t>En efecto, los instrumentos de aceptación de la cláusula facultativa  de  la</w:t>
        <w:br/>
        <w:t>jurisdicción obligatoria de los  tribunales  internacionales  presuponen  la</w:t>
        <w:br/>
        <w:t>admisión, por los Estados que los presentan, de la competencia del  tribunal</w:t>
        <w:br/>
        <w:t>internacional en cuestión de resolver cualquier controversia relativa  a  su</w:t>
        <w:br/>
        <w:t>propia jurisdicción, - siendo este un principio básico de  derecho  procesal</w:t>
        <w:br/>
        <w:t>internacional[14]. Trátase de una competencia  inherente  de  todo  tribunal</w:t>
        <w:br/>
        <w:t>internacional, que atiende  a  un  imperativo  de  seguridad  jurídica,  por</w:t>
        <w:br/>
        <w:t>cuanto la determinación del alcance  de  su  propia  jurisdicción  no  puede</w:t>
        <w:br/>
        <w:t>estar en las manos de los Estados Partes[15].</w:t>
        <w:br/>
        <w:br/>
        <w:t>3.    Una reserva u objeción  o  cualquier  otro  acto  interpuesto  por  el</w:t>
        <w:br/>
        <w:t>Estado con el propósito de resguardarse la última palabra  en  relación  con</w:t>
        <w:br/>
        <w:t>cualquier aspecto de la competencia  de  la  Corte  es,  además  de  inocuo,</w:t>
        <w:br/>
        <w:t>inválido,  pues  en  cualesquiera  circunstancias  la   Corte   detiene   la</w:t>
        <w:br/>
        <w:t>compétence de la compétence. Es lo que se desprende de las Sentencias  sobre</w:t>
        <w:br/>
        <w:t>Excepciones  Preliminares  que  viene  de  dictar  la  Corte  en  los  casos</w:t>
        <w:br/>
        <w:t>Constantine, Hilaire y Benjamin y relativos a Trinidad y  Tobago,  así  como</w:t>
        <w:br/>
        <w:t>de las anteriores Sentencias sobre Competencia en  los  casos  del  Tribunal</w:t>
        <w:br/>
        <w:t>Constitucional  e  Ivcher  Bronstein  (1999),  relativos   al   Perú.   Esta</w:t>
        <w:br/>
        <w:t>importante jurisprudencia protectora de la  Corte  Interamericana  ha,  así,</w:t>
        <w:br/>
        <w:t>descartado una analogía con la práctica permisiva de  los  Estados  bajo  la</w:t>
        <w:br/>
        <w:t>cláusula  facultativa  de  la   jurisdicción   obligatoria   de   la   Corte</w:t>
        <w:br/>
        <w:t>Internacional de Justicia (artículo 36.2 del Estatuto de esta última).  Paso</w:t>
        <w:br/>
        <w:t>al examen de este punto específico en perspectiva  histórica,  para  revelar</w:t>
        <w:br/>
        <w:t>el sentido y alcance de lo decidido por la Corte Interamericana.</w:t>
        <w:br/>
        <w:br/>
        <w:t xml:space="preserve">      II.   La Cláusula Facultativa de  la  Jurisdicción  Obligatoria:   Del</w:t>
        <w:br/>
        <w:t xml:space="preserve">      Ideal Profesado a una Práctica Desvirtuada.</w:t>
        <w:br/>
        <w:br/>
        <w:br/>
        <w:t>4.     Las  cláusulas  facultativas  de  reconocimiento  de  la  competencia</w:t>
        <w:br/>
        <w:t>contenciosa de  las  Cortes  Europea  (antes  del  Protocolo  n.  11)[16]  e</w:t>
        <w:br/>
        <w:t>Interamericana de  Derechos  Humanos  se  inspiraron  en  el  modelo  de  la</w:t>
        <w:br/>
        <w:t>cláusula facultativa de  la  jurisdicción  obligatoria  de  la  CIJ,  -  una</w:t>
        <w:br/>
        <w:t>fórmula originalmente concebida hace más de 80  años.  A  pesar  del  origen</w:t>
        <w:br/>
        <w:t>común,  en  búsqueda  de  la  realización   del   ideal   de   la   justicia</w:t>
        <w:br/>
        <w:t>internacional, el rationale de la aplicación de la cláusula  facultativa  ha</w:t>
        <w:br/>
        <w:t>sido interpretado de modo fundamentalmente  distinto,  por  un  lado  en  el</w:t>
        <w:br/>
        <w:t>contencioso interestatal, y por otro en el de los derechos  humanos.  En  el</w:t>
        <w:br/>
        <w:t>primero, han prevalecido  hasta  la  fecha  consideraciones  del  equilibrio</w:t>
        <w:br/>
        <w:t>contractual entre las Partes, de la reciprocidad, a la luz  de  la  igualdad</w:t>
        <w:br/>
        <w:t>jurídica  de  los   Estados   soberanos;   en   el   segundo,   priman   las</w:t>
        <w:br/>
        <w:t>consideraciones de ordre public, de la garantía colectiva  ejercida  por  el</w:t>
        <w:br/>
        <w:t>conjunto de los Estados Partes, de  la  realización  de  una  meta  común  y</w:t>
        <w:br/>
        <w:t>superior a  los  intereses  individuales  de  cada  Parte  Contratante  (cf.</w:t>
        <w:br/>
        <w:t>infra).</w:t>
        <w:br/>
        <w:br/>
        <w:t>5.    Cabe inicialmente recordar el histórico legislativo de la  disposición</w:t>
        <w:br/>
        <w:t>del artículo 36.2 del Estatuto de la Corte Internacional de Justicia  (CIJ),</w:t>
        <w:br/>
        <w:t>que es  esencialmente  la  misma  que  la  disposición  correspondiente  del</w:t>
        <w:br/>
        <w:t>Estatuto  de  su  predecesora,  la  antigua  Corte  Permanente  de  Justicia</w:t>
        <w:br/>
        <w:t>Internacional (CPJI). El referido artículo 36.2 establece que</w:t>
        <w:br/>
        <w:br/>
        <w:t xml:space="preserve">            "Los Estados Partes en el presente Estatuto podrán  declarar  en</w:t>
        <w:br/>
        <w:t xml:space="preserve">      cualquier momento que reconocen como  obligatoria  ipso  facto  y  sin</w:t>
        <w:br/>
        <w:t xml:space="preserve">      convenio especial, respecto a cualquier  otro  Estado  que  acepte  la</w:t>
        <w:br/>
        <w:t xml:space="preserve">      misma  obligación,  la  jurisdicción  de  la  Corte   en   todas   las</w:t>
        <w:br/>
        <w:t xml:space="preserve">      controversias de orden jurídico que versen sobre: a) la interpretación</w:t>
        <w:br/>
        <w:t xml:space="preserve">      de un tratado; b) cualquier cuestión de derecho internacional;  c)  la</w:t>
        <w:br/>
        <w:t xml:space="preserve">      existencia de todo  hecho  que,  si  fuere  establecido,  constituiría</w:t>
        <w:br/>
        <w:t xml:space="preserve">      violación  de  una  obligación  internacional;  d)  la  naturaleza   o</w:t>
        <w:br/>
        <w:t xml:space="preserve">      extensión de la reparación que ha de hacerse por el quebrantamiento de</w:t>
        <w:br/>
        <w:t xml:space="preserve">      una obligación internacional".</w:t>
        <w:br/>
        <w:br/>
        <w:t>El artículo 36.3 agrega que "la declaración a que se refiere  este  Artículo</w:t>
        <w:br/>
        <w:t>podrá hacerse incondicionalmente o bajo condición de reciprocidad por  parte</w:t>
        <w:br/>
        <w:t>de varios o determinados Estados, o por determinado tiempo"[17].</w:t>
        <w:br/>
        <w:br/>
        <w:t>6.    El origen de la disposición arriba  transcrita  se  encuentra  en  los</w:t>
        <w:br/>
        <w:t>travaux préparatoires del Estatuto original de la CPJI. Fue  este  redactado</w:t>
        <w:br/>
        <w:t>en 1920 por un Comité Consultivo de  Jurisconsultos  (de  10  miembros)[18],</w:t>
        <w:br/>
        <w:t>designado por el Consejo de la Sociedad de las Naciones, y que se reunió  en</w:t>
        <w:br/>
        <w:t>La Haya, en los meses de junio y julio de 1920. En aquel entonces había  los</w:t>
        <w:br/>
        <w:t>que  favorecían  el  reconocimiento  puro  y  simple  de   la   jurisdicción</w:t>
        <w:br/>
        <w:t>obligatoria de la  futura  CPJI,  a  lo  que  se  oponían  los  Estados  más</w:t>
        <w:br/>
        <w:t>poderosos, alegando que  tenían  que  gradualmente  ganar  confianza  en  el</w:t>
        <w:br/>
        <w:t>tribunal internacional  a  ser  creado,  antes  de  atribuirle  jurisdicción</w:t>
        <w:br/>
        <w:t>obligatoria tout court. Para superar el impasse  en  el  seno  del  referido</w:t>
        <w:br/>
        <w:t>Comité de Jurisconsultos, uno de sus miembros,  el  jurista  brasileño  Raul</w:t>
        <w:br/>
        <w:t>Fernandes, propuso la fórmula ingeniosa que se  transformó  en  el  artículo</w:t>
        <w:br/>
        <w:t>36.2 del Estatuto - la misma del actual Estatuto de la CIJ,  -  que  vino  a</w:t>
        <w:br/>
        <w:t>ser  conocida   como   la   "cláusula   facultativa   de   la   jurisdicción</w:t>
        <w:br/>
        <w:t>obligatoria"[19]. El Estatuto, aprobado en 13.12.1920,  entró  en  vigor  en</w:t>
        <w:br/>
        <w:t>01.09.1921[20].</w:t>
        <w:br/>
        <w:br/>
        <w:t>7.    En aquella época, la decisión tomada constituyó el paso  inicial  que,</w:t>
        <w:br/>
        <w:t>durante el período de 1921-1940, contribuyó a atraer  la  aceptación  de  la</w:t>
        <w:br/>
        <w:t>jurisdicción obligatoria - bajo la cláusula facultativa - de la CPJI  de  un</w:t>
        <w:br/>
        <w:t>total de 45 Estados[21]. Este principio era  firmemente  defendido  por  los</w:t>
        <w:br/>
        <w:t>Estados latinoamericanos,  y,  al  tenerlo  presente,  la  fórmula  de  Raul</w:t>
        <w:br/>
        <w:t>Fernandes[22], trasladada al Estatuto de la  CPJI,  fue  aclamada  como  una</w:t>
        <w:br/>
        <w:t>contribución  latinoamericana  al   establecimiento   de   la   jurisdicción</w:t>
        <w:br/>
        <w:t>internacional[23]. Dicha fórmula sirvió su  propósito  en  las  dos  décadas</w:t>
        <w:br/>
        <w:t>siguientes.</w:t>
        <w:br/>
        <w:br/>
        <w:t>8.     En  la  Conferencia  de  San  Francisco  de  1945,  se  contempló  la</w:t>
        <w:br/>
        <w:t>posibilidad de dar un paso adelante, con una eventual aceptación  automática</w:t>
        <w:br/>
        <w:t>de la jurisdicción obligatoria de la nueva CIJ;  sin  embargo,  las  grandes</w:t>
        <w:br/>
        <w:t>potencias - en particular los Estados Unidos  y  la  Unión  Soviética  -  se</w:t>
        <w:br/>
        <w:t>opusieron a esta evolución, sosteniendo la retención, en el Estatuto  de  la</w:t>
        <w:br/>
        <w:t>nueva  CIJ,  de  la  misma  "cláusula   facultativa   de   la   jurisdicción</w:t>
        <w:br/>
        <w:t>obligatoria" del Estatuto de 1920 de la predecesora CPJI. El relator  de  la</w:t>
        <w:br/>
        <w:t>Comisión de Juristas encargada de estudiar la materia en la  Conferencia  de</w:t>
        <w:br/>
        <w:t>San Francisco de 1945, el jurista francés Jules  Basdevant,  señaló  que,  a</w:t>
        <w:br/>
        <w:t>pesar de que la  mayoría  de  los  miembros  de  la  Comisión  favorecía  la</w:t>
        <w:br/>
        <w:t>aceptación automática de la  jurisdicción  obligatoria,  no  había  voluntad</w:t>
        <w:br/>
        <w:t>política en la Conferencia (y tampoco en las propuestas de  Dumbarton  Oaks)</w:t>
        <w:br/>
        <w:t>para dar este paso adelante[24].</w:t>
        <w:br/>
        <w:br/>
        <w:t>9.    Consecuentemente, se mantuvo en el actual Estatuto de la CIJ la  misma</w:t>
        <w:br/>
        <w:t>formulación de 1920, la cual  correspondía  a  una  concepción  del  derecho</w:t>
        <w:br/>
        <w:t>internacional del inicio del siglo XX. Por la intransigencia de los  Estados</w:t>
        <w:br/>
        <w:t>más poderosos, se perdió una  oportunidad  única  de  superar  la  falta  de</w:t>
        <w:br/>
        <w:t>automatismo  de  la  jurisdicción  internacional  y  de  fomentar  un  mayor</w:t>
        <w:br/>
        <w:t>desarrollo de la jurisdicción obligatoria  del  tribunal  internacional[25].</w:t>
        <w:br/>
        <w:t>Obsérvese que  todo  se  pasó  en  el  plano  de  las  relaciones  puramente</w:t>
        <w:br/>
        <w:t>interestatales. La fórmula de la cláusula  facultativa  de  la  jurisdicción</w:t>
        <w:br/>
        <w:t>obligatoria (de la CIJ) que hoy existe, nada más es que un  esquema  de  los</w:t>
        <w:br/>
        <w:t>años veinte, estratificado  en  el  tiempo[26],  y  que,  a  rigor,  no  más</w:t>
        <w:br/>
        <w:t>corresponde a las necesidades  del  contencioso  internacional  ni  siquiera</w:t>
        <w:br/>
        <w:t>puramente interestatal[27].</w:t>
        <w:br/>
        <w:br/>
        <w:t>10.   Tanto es así que, en 1997, por ejemplo, de los  185  Estados  miembros</w:t>
        <w:br/>
        <w:t>de Naciones Unidas, no más que 60 Estados  se  sometían  a  la  jurisdicción</w:t>
        <w:br/>
        <w:t>obligatoria de  la  CIJ  por  aceptación  de  la  cláusula  facultativa  del</w:t>
        <w:br/>
        <w:t>artículo 36.2 de su Estatuto[28],  -  o  sea,  menos  de  un  tercio  de  la</w:t>
        <w:br/>
        <w:t>comunidad internacional de nuestros días. Y varios de  los  Estados  que  la</w:t>
        <w:br/>
        <w:t>han   utilizado,   han   hecho   un   uso   desvirtuado   de    la    misma,</w:t>
        <w:br/>
        <w:t>desnaturalizándola, al introducir restricciones que militan en contra de  su</w:t>
        <w:br/>
        <w:t>rationale y la privan de toda eficacia. En realidad,  casi  dos  tercios  de</w:t>
        <w:br/>
        <w:t>las declaraciones  de  aceptación  de  la  mencionada  cláusula  han  venido</w:t>
        <w:br/>
        <w:t>acompañadas  de  limitaciones  y   restricciones   que   las   han   tornado</w:t>
        <w:br/>
        <w:t>"prácticamente sin sentido"[29].</w:t>
        <w:br/>
        <w:br/>
        <w:t>11.   Se puede, pues,  cuestionar  seriamente  si  la  cláusula  facultativa</w:t>
        <w:br/>
        <w:t>sigue sirviendo el mismo  propósito  que  la  inspiró  en  la  época  de  la</w:t>
        <w:br/>
        <w:t>CPJI[30].  El  índice  de  su  aceptación  en  la   era   de   la   CIJ   es</w:t>
        <w:br/>
        <w:t>proporcionalmente inferior al de  la  época  de  su  predecesora,  la  CPJI.</w:t>
        <w:br/>
        <w:t>Además, a lo largo de los años,  la  posibilidad  abierta  por  la  cláusula</w:t>
        <w:br/>
        <w:t>facultativa de aceptación de  la  jurisdicción  del  tribunal  internacional</w:t>
        <w:br/>
        <w:t>pasó, en efecto, a ser objeto de excesos por parte de algunos  Estados,  que</w:t>
        <w:br/>
        <w:t>sólo aceptaban  la  jurisdicción  obligatoria  de  la  CIJ  en  sus  propios</w:t>
        <w:br/>
        <w:t>términos, con todo tipo de limitaciones[31]. Así, en nada sorprende que,  ya</w:t>
        <w:br/>
        <w:t>en mediados de los años cincuenta, se pasó  a  hablar  abiertamente  de  una</w:t>
        <w:br/>
        <w:t>decadencia de la cláusula facultativa[32].</w:t>
        <w:br/>
        <w:br/>
        <w:t>12.   Estos excesos ocurrieron precisamente porque, al elaborar el  Estatuto</w:t>
        <w:br/>
        <w:t>de la nueva  CIJ,  se  dejó  de  acompañar  la  evolución  de  la  comunidad</w:t>
        <w:br/>
        <w:t>internacional. Se abandonó la propia base de la jurisdicción obligatoria  de</w:t>
        <w:br/>
        <w:t>la  CIJ  a  una   concepción   voluntarista   del   derecho   internacional,</w:t>
        <w:br/>
        <w:t>prevaleciente  en  el  inicio   del   siglo   pasado,   pero   desautorizada</w:t>
        <w:br/>
        <w:t>posteriormente por sus consecuencias nefastas  para  la  conducción  de  las</w:t>
        <w:br/>
        <w:t>relaciones internacionales, - tal como lo advierte con vehemencia  la  mejor</w:t>
        <w:br/>
        <w:t>doctrina jurídica internacional contemporánea. No puede restar  duda  alguna</w:t>
        <w:br/>
        <w:t>de que  la  práctica  desvirtuada  e  incongruente,  desencadenada  bajo  el</w:t>
        <w:br/>
        <w:t>artículo 36.2 del Estatuto de la CIJ, no sirve, en definitiva, como  ejemplo</w:t>
        <w:br/>
        <w:t>o modelo a ser seguido por los Estados Partes en tratados de  protección  de</w:t>
        <w:br/>
        <w:t>los derechos del ser humano como  la  Convención  Americana  sobre  Derechos</w:t>
        <w:br/>
        <w:t>Humanos, en lo relativo al alcance de la base  jurisdiccional  de  actuación</w:t>
        <w:br/>
        <w:t>de la Corte Interamericana de Derechos Humanos.</w:t>
        <w:br/>
        <w:br/>
        <w:t xml:space="preserve">      III.  La Jurisdicción  Internacional  Obligatoria:  Reflexiones    Lex</w:t>
        <w:br/>
        <w:t>Lata.</w:t>
        <w:br/>
        <w:br/>
        <w:br/>
        <w:t>13.   El derecho internacional contemporáneo ha  gradualmente  evolucionado,</w:t>
        <w:br/>
        <w:t>poniendo límites a las manifestaciones de un  voluntarismo  estatal  que  se</w:t>
        <w:br/>
        <w:t>revela propio de otra época[33]. La metodología  de  interpretación  de  los</w:t>
        <w:br/>
        <w:t>tratados de derechos humanos[34], desarrollada a partir  de  las  reglas  de</w:t>
        <w:br/>
        <w:t>interpretación consagradas en  el  derecho  internacional  (tales  como  las</w:t>
        <w:br/>
        <w:t>enunciadas en los artículos 31-33 de las dos  Convenciones  de  Viena  sobre</w:t>
        <w:br/>
        <w:t>Derecho de  los  Tratados,  de  1969  y  1986),  alcanza  tanto  las  normas</w:t>
        <w:br/>
        <w:t>sustantivas (sobre los derechos protegidos) como  las  cláusulas  que  rigen</w:t>
        <w:br/>
        <w:t>los mecanismos de protección internacional.</w:t>
        <w:br/>
        <w:br/>
        <w:t>14.   La  Corte  Interamericana  de  Derechos  Humanos  tiene  el  deber  de</w:t>
        <w:br/>
        <w:t>preservar la integridad del sistema regional convencional de  protección  de</w:t>
        <w:br/>
        <w:t>los  derechos  humanos  como  un  todo.  Sería  inadmisible  subordinar   la</w:t>
        <w:br/>
        <w:t>operación del  mecanismo  convencional  de  protección  a  restricciones  no</w:t>
        <w:br/>
        <w:t>expresamente autorizadas por la Convención Americana, interpuestas  por  los</w:t>
        <w:br/>
        <w:t>Estados Partes en sus instrumentos de aceptación de la cláusula  facultativa</w:t>
        <w:br/>
        <w:t>de la jurisdicción obligatoria de la Corte Interamericana  (artículo  62  de</w:t>
        <w:br/>
        <w:t>la Convención Americana). Ésto no sólo afectaría de  inmediato  la  eficacia</w:t>
        <w:br/>
        <w:t>de la operación del mecanismo  convencional  de  protección,  sino,  además,</w:t>
        <w:br/>
        <w:t>fatalmente impediría sus posibilidades de desarrollo futuro.</w:t>
        <w:br/>
        <w:br/>
        <w:t>15.   En  virtud  del  principio  ut  res  magis  valeat  quam  pereat,  que</w:t>
        <w:br/>
        <w:t>corresponde al llamado effet utile  (a  veces  denominado  principio  de  la</w:t>
        <w:br/>
        <w:t>efectividad), ampliamente respaldado  por  la  jurisprudencia,  los  Estados</w:t>
        <w:br/>
        <w:t>Partes  en  los  tratados  de  derechos  humanos  deben   asegurar   a   las</w:t>
        <w:br/>
        <w:t>disposiciones  convencionales  los  efectos  propios  en  el  plano  de  sus</w:t>
        <w:br/>
        <w:t>respectivos derechos internos. Tal principio se aplica no sólo  en  relación</w:t>
        <w:br/>
        <w:t>con las normas sustantivas de los tratados de derechos  humanos  (es  decir,</w:t>
        <w:br/>
        <w:t>las que disponen sobre los derechos protegidos), sino  también  en  relación</w:t>
        <w:br/>
        <w:t>con las normas  procesales,  en  particular  las  relativas  al  derecho  de</w:t>
        <w:br/>
        <w:t>petición individual y a la aceptación  de  la  competencia  contenciosa  del</w:t>
        <w:br/>
        <w:t>órgano   judicial   internacional   de    protección[35].    Tales    normas</w:t>
        <w:br/>
        <w:t>convencionales,  esenciales  a  la  eficacia  del  sistema   de   protección</w:t>
        <w:br/>
        <w:t>internacional, han de ser interpretadas y aplicadas de  modo  a  tornar  sus</w:t>
        <w:br/>
        <w:t>salvaguardias verdaderamente prácticas y  eficaces,  teniendo  presentes  el</w:t>
        <w:br/>
        <w:t>carácter especial de los tratados de derechos humanos  y  su  implementación</w:t>
        <w:br/>
        <w:t>colectiva.</w:t>
        <w:br/>
        <w:br/>
        <w:t>16.   La Corte Europea de Derechos Humanos tuvo ocasión de  pronunciarse  al</w:t>
        <w:br/>
        <w:t>respecto.  Así,  en  su  Sentencia  sobre  Excepciones   Preliminares   (del</w:t>
        <w:br/>
        <w:t>23.03.1995) en el caso Loizidou versus Turquia, advirtió que, a  la  luz  de</w:t>
        <w:br/>
        <w:t>la letra y del espíritu de la Convención Europea  no  se  puede  inferir  la</w:t>
        <w:br/>
        <w:t>posibilidad  de  restricciones  a  la  cláusula  facultativa   relativa   al</w:t>
        <w:br/>
        <w:t>reconocimiento de la competencia contenciosa de la  Corte  Europea[36],  por</w:t>
        <w:br/>
        <w:t>analogía con la práctica estatal permisiva bajo el artículo 36 del  Estatuto</w:t>
        <w:br/>
        <w:t>de la CIJ; bajo la Convención Europea, se había formado una práctica de  los</w:t>
        <w:br/>
        <w:t>Estados Partes precisamente a contrario sensu, aceptando dicha cláusula  sin</w:t>
        <w:br/>
        <w:t>restricciones[37].</w:t>
        <w:br/>
        <w:br/>
        <w:t>17.   En el dominio de la protección internacional de los derechos  humanos,</w:t>
        <w:br/>
        <w:t>no hay limitaciones "implícitas" al ejercicio de los  derechos  consagrados;</w:t>
        <w:br/>
        <w:t>y las limitaciones constantes de los  tratados  de  protección  han  de  ser</w:t>
        <w:br/>
        <w:t>restrictivamente interpretadas. La cláusula facultativa de  la  jurisdicción</w:t>
        <w:br/>
        <w:t>obligatoria de los tribunales internacionales de derechos  humanos  no  hace</w:t>
        <w:br/>
        <w:t>excepción  a  esto:  no  admite  limitaciones  otras  que  las  expresamente</w:t>
        <w:br/>
        <w:t>contenidas en los tratados de derechos  humanos  en  cuestión,  y,  dada  su</w:t>
        <w:br/>
        <w:t>capital importancia, no podría estar a merced de limitaciones  en  ellos  no</w:t>
        <w:br/>
        <w:t>previstas e invocadas por los Estados Partes por razones  o  vicisitudes  de</w:t>
        <w:br/>
        <w:t>orden interno[38].</w:t>
        <w:br/>
        <w:br/>
        <w:t>18.    En  sus  estudios  clásicos  sobre  la  base   de   la   jurisdicción</w:t>
        <w:br/>
        <w:t>internacional, dos distinguidos  scholars,  C.W.  Jenks  y  C.H.M.  Waldock,</w:t>
        <w:br/>
        <w:t>alertaron, ya en las décadas de cincuenta y sesenta, para el grave  problema</w:t>
        <w:br/>
        <w:t>que planteaba la inserción, por los Estados, de todos tipos de  limitaciones</w:t>
        <w:br/>
        <w:t>y  restricciones  en  sus  instrumentos  de  aceptación   de   la   cláusula</w:t>
        <w:br/>
        <w:t>facultativa de la jurisdicción obligatoria (de la CIJ)[39]. A pesar  de  que</w:t>
        <w:br/>
        <w:t>tales limitaciones jamás hayan estado previstas  en  la  formulación  de  la</w:t>
        <w:br/>
        <w:t>cláusula facultativa, los Estados, ante tal vacío  legal,  se  han  sentido,</w:t>
        <w:br/>
        <w:t>sin  embargo,  "libres"  para  insertarlas.   Tales   excesos   han   minado</w:t>
        <w:br/>
        <w:t>contradictoriamente  la  propia  base  del  sistema   de   la   jurisdicción</w:t>
        <w:br/>
        <w:t>internacional obligatoria. Como bien se señaló en un estudio  clásico  sobre</w:t>
        <w:br/>
        <w:t>la materia, los instrumentos de aceptación de la competencia contenciosa  de</w:t>
        <w:br/>
        <w:t>un tribunal internacional deberían efectuarse "en los términos que  aseguren</w:t>
        <w:br/>
        <w:t>una medida razonable de estabilidad en la aceptación de  la  competencia  de</w:t>
        <w:br/>
        <w:t>la Corte"[40], - o sea, en los términos expresamente previstos en el  propio</w:t>
        <w:br/>
        <w:t>tratado internacional (cf. infra).</w:t>
        <w:br/>
        <w:br/>
        <w:t>19.   La cláusula relativa a la jurisdicción obligatoria de  los  tribunales</w:t>
        <w:br/>
        <w:t>internacionales de derechos humanos  constituye,  a  mi  modo  de  ver,  una</w:t>
        <w:br/>
        <w:t>cláusula pétrea de la  protección  internacional  del  ser  humano,  que  no</w:t>
        <w:br/>
        <w:t>admite cualesquiera restricciones otras que las previstas  en  los  tratados</w:t>
        <w:br/>
        <w:t>de derechos humanos. Así lo ha establecido la Corte  Interamericana  en  sus</w:t>
        <w:br/>
        <w:t>Sentencias sobre Competencia en los  casos  del  Tribunal  Constitucional  e</w:t>
        <w:br/>
        <w:t>Ivcher Bronstein:</w:t>
        <w:br/>
        <w:br/>
        <w:t xml:space="preserve">            - "La aceptación de  la  competencia  contenciosa  de  la  Corte</w:t>
        <w:br/>
        <w:t xml:space="preserve">      constituye una cláusula pétrea que no admite limitaciones que no estén</w:t>
        <w:br/>
        <w:t xml:space="preserve">      expresamente  contenidas  en  el  artículo  62.1  de   la   Convención</w:t>
        <w:br/>
        <w:t xml:space="preserve">      Americana. Dada la fundamental importancia de dicha cláusula  para  la</w:t>
        <w:br/>
        <w:t xml:space="preserve">      operación del sistema de protección de la Convención,  no  puede  ella</w:t>
        <w:br/>
        <w:t xml:space="preserve">      estar a merced de limitaciones no previstas que sean invocadas por los</w:t>
        <w:br/>
        <w:t xml:space="preserve">      Estados Partes por razones de orden interno"[41].</w:t>
        <w:br/>
        <w:br/>
        <w:t>La permisividad de  la  inserción  de  limitaciones,  no  previstas  en  los</w:t>
        <w:br/>
        <w:t>tratados de derechos  humanos,  en  un  instrumento  de  aceptación  de  una</w:t>
        <w:br/>
        <w:t>cláusula facultativa de  la  jurisdicción  obligatoria[42],  representa  una</w:t>
        <w:br/>
        <w:t>lamentable  deformación  histórica  de  la  concepción  original  de   dicha</w:t>
        <w:br/>
        <w:t>cláusula,  en  mi  entender  inaceptable  en  el  campo  de  la   protección</w:t>
        <w:br/>
        <w:t>internacional de los derechos de la persona humana.</w:t>
        <w:br/>
        <w:br/>
        <w:t>20.   Es deber de un tribunal internacional de derechos  humanos  velar  por</w:t>
        <w:br/>
        <w:t>la debida aplicación del tratado de  derechos  humanos  en  cuestión  en  el</w:t>
        <w:br/>
        <w:t>marco del derecho interno de cada  Estado  Parte,  de  modo  a  asegurar  la</w:t>
        <w:br/>
        <w:t>protección eficaz en el ámbito  de  este  último  de  los  derechos  humanos</w:t>
        <w:br/>
        <w:t>consagrados en  dicho  tratado[43].  Cualquier  entendimiento  en  contrario</w:t>
        <w:br/>
        <w:t>sustraería del tribunal internacional de derechos humanos  el  ejercicio  de</w:t>
        <w:br/>
        <w:t>la función y del deber de protección inherentes a su  jurisdicción,  dejando</w:t>
        <w:br/>
        <w:t>de asegurar que el tratado de derechos humanos  tenga  el  efecto  apropiado</w:t>
        <w:br/>
        <w:t>(effet utile) en el derecho interno de cada Estado Parte. Es  por  esto  que</w:t>
        <w:br/>
        <w:t>sostengo que la cláusula facultativa  de  la  jurisdicción  obligatoria  del</w:t>
        <w:br/>
        <w:t>tribunal internacional de derechos humanos constituye  una  cláusula  pétrea</w:t>
        <w:br/>
        <w:t>de la protección internacional del ser humano, que  no  admite  cualesquiera</w:t>
        <w:br/>
        <w:t>restricciones otras que las expresamente previstas en el propio  tratado  de</w:t>
        <w:br/>
        <w:t>derechos humanos en cuestión.</w:t>
        <w:br/>
        <w:br/>
        <w:t xml:space="preserve">      IV.   La Formulación Taxativa de la Cláusula Facultativa del  Artículo</w:t>
        <w:br/>
        <w:t xml:space="preserve">      62  de  la  Convención  Americana  sobre  Derechos  Humanos   (Numerus</w:t>
        <w:br/>
        <w:t xml:space="preserve">      Clausus).</w:t>
        <w:br/>
        <w:br/>
        <w:t>21.   El presente caso Constantine y Otros versus Trinidad y  Tobago  incita</w:t>
        <w:br/>
        <w:t>a un examen profundizado de este punto específico. Los párrafos 1  y  2  del</w:t>
        <w:br/>
        <w:t>artículo 62 de la Convención Americana sobre Derechos Humanos disponen que</w:t>
        <w:br/>
        <w:br/>
        <w:t xml:space="preserve">            "Todo Estado Parte puede, en  el  momento  del  depósito  de  su</w:t>
        <w:br/>
        <w:t xml:space="preserve">      instrumento de ratificación  o  adhesión  de  esta  Convención,  o  en</w:t>
        <w:br/>
        <w:t xml:space="preserve">      cualquier momento posterior, declarar que reconoce como obligatoria de</w:t>
        <w:br/>
        <w:t xml:space="preserve">      pleno derecho y sin convención especial, la competencia  de  la  Corte</w:t>
        <w:br/>
        <w:t xml:space="preserve">      sobre todos los casos relativos a la interpretación  o  aplicación  de</w:t>
        <w:br/>
        <w:t xml:space="preserve">      esta Convención.</w:t>
        <w:br/>
        <w:t xml:space="preserve">            La  declaración  puede  ser  hecha  incondicionalmente,  o  bajo</w:t>
        <w:br/>
        <w:t xml:space="preserve">      condición de reciprocidad, por  un  plazo  determinado  o  para  casos</w:t>
        <w:br/>
        <w:t xml:space="preserve">      específicos.  Deberá  ser  presentada  al  Secretario  General  de  la</w:t>
        <w:br/>
        <w:t xml:space="preserve">      Organización, quién transmitirá copias de la misma a los otros Estados</w:t>
        <w:br/>
        <w:t xml:space="preserve">      miembros de la Organización y al Secretario de la Corte"[44].</w:t>
        <w:br/>
        <w:br/>
        <w:t>22.   En efecto, las modalidades de aceptación, por un Estado  Parte  en  la</w:t>
        <w:br/>
        <w:t>Convención, de  la  competencia  contenciosa  de  la  Corte  Interamericana,</w:t>
        <w:br/>
        <w:t>encuéntranse  expresamente   estipuladas   en   las   disposiciones   arriba</w:t>
        <w:br/>
        <w:t>transcritas; la formulación de la cláusula facultativa  de  la  jurisdicción</w:t>
        <w:br/>
        <w:t>obligatoria de la Corte Interamericana, en el artículo 62 de  la  Convención</w:t>
        <w:br/>
        <w:t>Americana, no es simplemente ilustrativa, sino claramente  taxativa.  Ningún</w:t>
        <w:br/>
        <w:t>Estado está obligado a aceptar una  cláusula  facultativa,  como  el  propio</w:t>
        <w:br/>
        <w:t>nombre de ésta lo indica. Así, una "reserva" a la  cláusula  facultativa  de</w:t>
        <w:br/>
        <w:t>la jurisdicción obligatoria de la Corte Interamericana del  artículo  62  de</w:t>
        <w:br/>
        <w:t>la Convención Americana equivaldría simplemente a la no-aceptación de  dicha</w:t>
        <w:br/>
        <w:t>cláusula, lo que está previsto en la Convención. Pero  si  un  Estado  Parte</w:t>
        <w:br/>
        <w:t>decide aceptarla, debe hacerlo en los términos expresamente  estipulados  en</w:t>
        <w:br/>
        <w:t>dicha cláusula.</w:t>
        <w:br/>
        <w:br/>
        <w:t>23.   Según el artículo 62.2 de la Convención, la aceptación, por un  Estado</w:t>
        <w:br/>
        <w:t>Parte, de la competencia contenciosa de la Corte Interamericana,  puede  ser</w:t>
        <w:br/>
        <w:t>efectuada en cuatro modalidades, a saber:  a)  incondicionalmente;  b)  bajo</w:t>
        <w:br/>
        <w:t>condición de reciprocidad; c) por un plazo  determinado;  y  d)  para  casos</w:t>
        <w:br/>
        <w:t>específicos. Son éstas, y tan sólo éstas, las modalidades de  aceptación  de</w:t>
        <w:br/>
        <w:t>la  competencia  contenciosa  de  la  Corte   Interamericana   previstas   y</w:t>
        <w:br/>
        <w:t>autorizadas por el artículo 62.2 de la Convención, que  no  autoriza  a  los</w:t>
        <w:br/>
        <w:t>Estados Partes interponer cualesquiera  otras  condiciones  o  restricciones</w:t>
        <w:br/>
        <w:t>(numerus clausus).</w:t>
        <w:br/>
        <w:br/>
        <w:t>24.   En mi entendimiento, no se puede sostener, en  esta  materia,  que  lo</w:t>
        <w:br/>
        <w:t>que no está  prohibido,  está  permitido.  Esta  postura  equivaldría  a  la</w:t>
        <w:br/>
        <w:t>actitud tradicional - y superada -  del  laisser-faire,  laisser-passer,  es</w:t>
        <w:br/>
        <w:t>propia  de  un  ordenamiento  jurídico  internacional  fragmentado  por   el</w:t>
        <w:br/>
        <w:t>subjetivismo estatal  voluntarista,  que  en  la  historia  del  Derecho  ha</w:t>
        <w:br/>
        <w:t>favorecido ineluctablemente los más poderosos. Ubi societas, ibi  jus...  En</w:t>
        <w:br/>
        <w:t>este inicio del siglo XXI, en un ordenamiento jurídico internacional en  que</w:t>
        <w:br/>
        <w:t>se busca afirmar valores comunes superiores, en medio a  consideraciones  de</w:t>
        <w:br/>
        <w:t>ordre public internacional, como en el dominio del Derecho Internacional  de</w:t>
        <w:br/>
        <w:t>los Derechos  Humanos,  es  precisamente  la  lógica  inversa  la  que  debe</w:t>
        <w:br/>
        <w:t>imponerse: lo que no está permitido, está prohibido.</w:t>
        <w:br/>
        <w:br/>
        <w:t>25.   Si  estamos  realmente  dispuestos  a  extraer  las  lecciones  de  la</w:t>
        <w:br/>
        <w:t>evolución del Derecho Internacional en el mundo  convulsionado  a  lo  largo</w:t>
        <w:br/>
        <w:t>del  siglo  XX,  si  pretendemos  tener  presentes  los  esfuerzos  de   las</w:t>
        <w:br/>
        <w:t>generaciones pasadas por  construir  un  mundo  más  ecuánime  y  justo,  si</w:t>
        <w:br/>
        <w:t>creemos que las mismas normas, principios  y  criterios  deben  aplicarse  a</w:t>
        <w:br/>
        <w:t>todos los  Estados  (jurídicamente  iguales  a  pesar  de  las  disparidades</w:t>
        <w:br/>
        <w:t>fácticas), y si nos disponemos realmente  a  impulsar  los  ideales  de  los</w:t>
        <w:br/>
        <w:t>verdaderos  jusinternacionalistas  que  nos  precedieron,   -   no   podemos</w:t>
        <w:br/>
        <w:t>convalidar  una  práctica  internacional  que  se   ha   curvado   ante   el</w:t>
        <w:br/>
        <w:t>voluntarismo estatal, que ha traicionado  el  espíritu  y  propósito  de  la</w:t>
        <w:br/>
        <w:t>cláusula  facultativa  de  la  jurisdicción  obligatoria,  -  a   punto   de</w:t>
        <w:br/>
        <w:t>desnaturalizarla por completo, - y que ha conllevado a  la  perpetuación  de</w:t>
        <w:br/>
        <w:t>un mundo fragmentado en unidades estatales que se estiman  árbitros  finales</w:t>
        <w:br/>
        <w:t>del alcance de las obligaciones internacionales contraídas, al mismo  tiempo</w:t>
        <w:br/>
        <w:t>en que no parecen verdaderamente creer en lo que han aceptado:  la  justicia</w:t>
        <w:br/>
        <w:t>internacional.</w:t>
        <w:br/>
        <w:br/>
        <w:t>26.   No toda práctica se consustancia en costumbre de modo a  conformar  el</w:t>
        <w:br/>
        <w:t>derecho internacional general, por cuanto una determinada práctica puede  no</w:t>
        <w:br/>
        <w:t>estar conforme al Derecho (ex injuria jus non oritur). Así,  no  es  función</w:t>
        <w:br/>
        <w:t>del jurista simplemente tomar nota de la práctica de los Estados,  sino  más</w:t>
        <w:br/>
        <w:t>bien decir cual es el Derecho. Desde la obra clásica de  H.  Grotius  en  el</w:t>
        <w:br/>
        <w:t>siglo XVII, hay toda una corriente del pensamiento jusinternacionalista  que</w:t>
        <w:br/>
        <w:t>concibe el derecho internacional como un  ordenamiento  jurídico  dotado  de</w:t>
        <w:br/>
        <w:t>valor propio o intrínseco (y por lo tanto superior a un derecho  simplemente</w:t>
        <w:br/>
        <w:t>"voluntario"), - como bien lo recuerda H. Accioly[45], - por  cuanto  deriva</w:t>
        <w:br/>
        <w:t>su autoridad de ciertos  principios  de  sana  razón  (est  dictatum  rectae</w:t>
        <w:br/>
        <w:t>rationis).</w:t>
        <w:br/>
        <w:br/>
        <w:t>27.   En la presente  Sentencia  en  el  caso  Constantine  y  Otros  versus</w:t>
        <w:br/>
        <w:t>Trinidad y Tobago, la Corte ha ponderado con acierto que,  si  se  aceptasen</w:t>
        <w:br/>
        <w:t>restricciones  interpuestas  en  el  instrumento   de   aceptación   de   su</w:t>
        <w:br/>
        <w:t>competencia contenciosa, en los términos propuestos por el Estado  demandado</w:t>
        <w:br/>
        <w:t>en el cas d'espèce, no expresamente  previstos  en  el  artículo  62  de  la</w:t>
        <w:br/>
        <w:t>Convención Americana, ésto</w:t>
        <w:br/>
        <w:br/>
        <w:t xml:space="preserve">           "conduciría a una situación en que la Corte tendría como  primer</w:t>
        <w:br/>
        <w:t xml:space="preserve">      parámetro  de  referencia  la   Constitución   del   Estado   y   sólo</w:t>
        <w:br/>
        <w:t xml:space="preserve">      subsidiariamente la Convención Americana, situación que acarrearía una</w:t>
        <w:br/>
        <w:t xml:space="preserve">      fragmentación del orden jurídico internacional de  protección  de  los</w:t>
        <w:br/>
        <w:t xml:space="preserve">      derechos humanos y haría ilusorios el objeto y fin  de  la  Convención</w:t>
        <w:br/>
        <w:t xml:space="preserve">      Americana" (párr. 84).</w:t>
        <w:br/>
        <w:br/>
        <w:t>28.   Y LA  CORTE  HA,  ADEMÁS,  EN  LA  PRESENTE  SENTENCIA,  CORRECTAMENTE</w:t>
        <w:br/>
        <w:t>OBSERVADO QUE</w:t>
        <w:br/>
        <w:br/>
        <w:t xml:space="preserve">            "(...) El instrumento de aceptación  por  parte  de  Trinidad  y</w:t>
        <w:br/>
        <w:t xml:space="preserve">      Tobago, de la competencia contenciosa del Tribunal, no se encuadra  en</w:t>
        <w:br/>
        <w:t xml:space="preserve">      las hipótesis previstas en el artículo 62.2 de la Convención. Tiene un</w:t>
        <w:br/>
        <w:t xml:space="preserve">      alcance general, que  termina  por  subordinar  la  aplicación  de  la</w:t>
        <w:br/>
        <w:t xml:space="preserve">      Convención Americana al derecho interno de Trinidad y Tobago en  forma</w:t>
        <w:br/>
        <w:t xml:space="preserve">      total y según lo que dispongan sus tribunales  nacionales.  Todo  esto</w:t>
        <w:br/>
        <w:t xml:space="preserve">      implica  que  este  instrumento  de  aceptación   es   manifiestamente</w:t>
        <w:br/>
        <w:t xml:space="preserve">      incompatible con el objeto y fin de la Convención" (párr. 79).</w:t>
        <w:br/>
        <w:br/>
        <w:t>29.    ESTA  CONCLUSIÓN  DE  LA  CORTE  ENCUENTRA  CLARO  RESPALDO   EN   LA</w:t>
        <w:br/>
        <w:t>FORMULACIÓN TAXATIVA, Y  CLARÍSIMA,  DEL  ARTÍCULO  62.2  DE  LA  CONVENCIÓN</w:t>
        <w:br/>
        <w:t>AMERICANA. TENIENDO PRESENTES LOS TRES ELEMENTOS  COMPONENTES  DE  LA  REGLA</w:t>
        <w:br/>
        <w:t>GENERAL DE LA INTERPRETACIÓN BONA FIDES  DE  LOS  TRATADOS  -  TEXTO  EN  EL</w:t>
        <w:br/>
        <w:t>SENTIDO CORRIENTE, CONTEXTO, Y OBJETO Y FIN DEL TRATADO - CONSAGRADA  EN  EL</w:t>
        <w:br/>
        <w:t>ARTÍCULO 31.1 DE  LAS  DOS  CONVENCIONES  DE  VIENA  SOBRE  DERECHO  DE  LOS</w:t>
        <w:br/>
        <w:t>TRATADOS (DE 1969 Y 1986), SE DESPRENDE, INICIALMENTE, QUE EL TEXTO,  EN  EL</w:t>
        <w:br/>
        <w:t>SENTIDO CORRIENTE (NUMERUS CLAUSUS), DEL  ARTÍCULO  62.2  DE  LA  CONVENCIÓN</w:t>
        <w:br/>
        <w:t>AMERICANA, CONVALIDA PLENAMENTE LA  DECISIÓN  TOMADA  POR  LA  CORTE  EN  LA</w:t>
        <w:br/>
        <w:t>PRESENTE SENTENCIA.</w:t>
        <w:br/>
        <w:br/>
        <w:t>30.   En la teoría y  práctica  del  derecho  internacional  se  ha  buscado</w:t>
        <w:br/>
        <w:t>distinguir  una  "reserva"  de  una  "declaración  interpretativa"[46],   de</w:t>
        <w:br/>
        <w:t>conformidad con los efectos jurídicos que se pretende atribuir  a  una  u  a</w:t>
        <w:br/>
        <w:t>otra[47]:  así,  si  se  pretende  aclarar  el  sentido  o  alcance  de  una</w:t>
        <w:br/>
        <w:t>determinada   disposición   convencional,   trátase   de   una   declaración</w:t>
        <w:br/>
        <w:t>interpretativa, mientras  que  si  se  pretende  modificar  una  determinada</w:t>
        <w:br/>
        <w:t>disposición convencional o excluir su aplicación, trátase  de  una  reserva.</w:t>
        <w:br/>
        <w:t>En la práctica, no siempre es fácil trazar la línea divisoria  entre  una  y</w:t>
        <w:br/>
        <w:t>otra[48], como lo ilustra la controversia que ha circundado, en las  últimas</w:t>
        <w:br/>
        <w:t>décadas, la cuestión de los efectos jurídicos  de  declaraciones  insertadas</w:t>
        <w:br/>
        <w:t>en  los  instrumentos  de  aceptación  de  la  cláusula  facultativa  de  la</w:t>
        <w:br/>
        <w:t>jurisdicción obligatoria, dado el carácter sui generis de dicha cláusula.</w:t>
        <w:br/>
        <w:br/>
        <w:t>31.   De todos modos, al considerar el sentido y alcance de una  declaración</w:t>
        <w:br/>
        <w:t>de aceptación de una cláusula facultativa de la jurisdicción obligatoria,  -</w:t>
        <w:br/>
        <w:t>como la presentada  por  Trinidad  y  Tobago  bajo  el  artículo  62  de  la</w:t>
        <w:br/>
        <w:t>Convención Americana e interpuesta como excepción preliminar en el  presente</w:t>
        <w:br/>
        <w:t>caso Constantine, - hay que tener presente la naturaleza del tratado en  que</w:t>
        <w:br/>
        <w:t>figura dicha cláusula.  Ésto  corresponde  al  "contexto",  precisamente  el</w:t>
        <w:br/>
        <w:t>segundo elemento integrante de la regla general  de  interpretación  de  los</w:t>
        <w:br/>
        <w:t>tratados consagrada en el artículo 31  de  las  dos  Convenciones  de  Viena</w:t>
        <w:br/>
        <w:t>sobre Derecho de los Tratados. En la presente  Sentencia,  la  Corte  lo  ha</w:t>
        <w:br/>
        <w:t>hecho debidamente, al destacar el  carácter  especial  de  los  tratados  de</w:t>
        <w:br/>
        <w:t>derechos humanos (párrs. 85-88).</w:t>
        <w:br/>
        <w:br/>
        <w:t>32.   Del mismo modo, la Corte ha tenido constantemente presente  el  tercer</w:t>
        <w:br/>
        <w:t>elemento componente de aquella regla general  de  interpretación,  a  saber,</w:t>
        <w:br/>
        <w:t>"objeto y fin" del  tratado  en  cuestión,  la  Convención  Americana  sobre</w:t>
        <w:br/>
        <w:t>Derechos Humanos (párrs. 73-74 y 79). Así, el entendimiento avanzado  en  el</w:t>
        <w:br/>
        <w:t>cas d'espèce por el Estado demandado del alcance de su propia aceptación  de</w:t>
        <w:br/>
        <w:t>la  cláusula  facultativa  de  la  jurisdicción  obligatoria  de  la   Corte</w:t>
        <w:br/>
        <w:t>Interamericana,  no  resiste  a  la  hermenéutica  del  artículo  62  de  la</w:t>
        <w:br/>
        <w:t>Convención  Americana,  desarrollada  a   la   luz   de   los   cánones   de</w:t>
        <w:br/>
        <w:t>interpretación del derecho de los tratados.</w:t>
        <w:br/>
        <w:br/>
        <w:t>33.   Como me permití señalar en mi Voto Razonado en el  caso  Blake  versus</w:t>
        <w:br/>
        <w:t>Guatemala (Reparaciones, 1999),</w:t>
        <w:br/>
        <w:br/>
        <w:t xml:space="preserve">            "(...) Al contraer obligaciones convencionales de protección, no</w:t>
        <w:br/>
        <w:t xml:space="preserve">      es razonable, de parte del Estado, presuponer una discrecionalidad tan</w:t>
        <w:br/>
        <w:t xml:space="preserve">      indebidamente amplia y condicionadora del  propio  alcance  de  dichas</w:t>
        <w:br/>
        <w:t xml:space="preserve">      obligaciones, que militaría en contra de la  integridad  del  tratado.</w:t>
        <w:br/>
        <w:br/>
        <w:br/>
        <w:t xml:space="preserve">      Los  principios  y  métodos  de  interpretación  de  los  tratados  de</w:t>
        <w:br/>
        <w:t xml:space="preserve">      derechos humanos, desarrollados en la jurisprudencia  de  los  órganos</w:t>
        <w:br/>
        <w:t xml:space="preserve">      convencionales de protección, pueden en mucho asistir y fomentar  esta</w:t>
        <w:br/>
        <w:t xml:space="preserve">      tan necesaria evolución. Así,  en  materia  de  tratados  de  derechos</w:t>
        <w:br/>
        <w:t xml:space="preserve">      humanos, cabe tener siempre  presente  el  carácter  objetivo  de  las</w:t>
        <w:br/>
        <w:t xml:space="preserve">      obligaciones que encierran, el sentido autónomo (en  relación  con  el</w:t>
        <w:br/>
        <w:t xml:space="preserve">      derecho interno de los Estados) de los términos de dichos tratados, la</w:t>
        <w:br/>
        <w:t xml:space="preserve">      garantía colectiva subyacente  a  éstos,  el  amplio  alcance  de  las</w:t>
        <w:br/>
        <w:t xml:space="preserve">      obligaciones de protección y  la  interpretación  restrictiva  de  las</w:t>
        <w:br/>
        <w:t xml:space="preserve">      restricciones permisibles. Estos elementos convergen  al  sostener  la</w:t>
        <w:br/>
        <w:t xml:space="preserve">      integridad  de  los  tratados  de  derechos  humanos,  al  buscar   la</w:t>
        <w:br/>
        <w:t xml:space="preserve">      realización  de  su  objeto  y  propósito,  y,  por  consiguiente,  al</w:t>
        <w:br/>
        <w:t xml:space="preserve">      establecer límites al voluntarismo estatal. De todo esto se  desprende</w:t>
        <w:br/>
        <w:t xml:space="preserve">      una nueva visión de las relaciones entre el poder  público  y  el  ser</w:t>
        <w:br/>
        <w:t xml:space="preserve">      humano, que se resume, en última instancia, en  el  reconocimiento  de</w:t>
        <w:br/>
        <w:t xml:space="preserve">      que el Estado existe para el ser humano, y no viceversa.</w:t>
        <w:br/>
        <w:t xml:space="preserve">            LOS CONCEPTOS  Y  CATEGORÍAS  JURÍDICOS,  POR  CUANTO  ENCIERRAN</w:t>
        <w:br/>
        <w:t xml:space="preserve">      VALORES, SON PRODUCTO DE SU TIEMPO, Y, COMO TALES,  SE  ENCUENTRAN  EN</w:t>
        <w:br/>
        <w:t xml:space="preserve">      CONSTANTE EVOLUCIÓN. LA PROTECCIÓN  DEL  SER  HUMANO  EN  CUALESQUIERA</w:t>
        <w:br/>
        <w:t xml:space="preserve">      CIRCUNSTANCIAS, CONTRA TODAS LAS MANIFESTACIONES DEL PODER ARBITRARIO,</w:t>
        <w:br/>
        <w:t xml:space="preserve">      CORRESPONDE AL NUEVO ETHOS  DE  NUESTROS  TIEMPOS,  QUE  DEBE  HACERSE</w:t>
        <w:br/>
        <w:t xml:space="preserve">      REFLEJAR  EN  LOS  POSTULADOS  DEL  DERECHO   INTERNACIONAL   PÚBLICO.</w:t>
        <w:br/>
        <w:t xml:space="preserve">      (...)"[49].</w:t>
        <w:br/>
        <w:br/>
        <w:t xml:space="preserve">      V.    La Jurisdicción Internacional Obligatoria: Reflexiones. De  Lege</w:t>
        <w:br/>
        <w:t>Ferenda.</w:t>
        <w:br/>
        <w:br/>
        <w:t>34.   No podría concluir este Voto Razonado en el presente caso  Constantine</w:t>
        <w:br/>
        <w:t>y Otros versus Trinidad y Tobago sin una última  línea  de  reflexiones,  de</w:t>
        <w:br/>
        <w:t>lege ferenda, acerca  de  la  jurisdicción  internacional  obligatoria.  Las</w:t>
        <w:br/>
        <w:t>"decisiones judiciales", a las que se refiere el elenco de fuentes  formales</w:t>
        <w:br/>
        <w:t>y evidencias del Derecho Internacional, plasmadas en el artículo 38.1.d  del</w:t>
        <w:br/>
        <w:t>Estatuto de la CIJ[50], ciertamente no se limitan a la jurisprudencia de  la</w:t>
        <w:br/>
        <w:t>propia CIJ[51]. Abarcan igualmente, hoy día, las  decisiones  judiciales  de</w:t>
        <w:br/>
        <w:t>los  tribunales  internacionales  (Cortes  Interamericana  y   Europea)   de</w:t>
        <w:br/>
        <w:t>derechos humanos, de los Tribunales Penales Internacionales ad hoc (para  la</w:t>
        <w:br/>
        <w:t>ex-Yugoslavia y para Ruanda), del Tribunal Internacional del Mar,  de  otros</w:t>
        <w:br/>
        <w:t>tribunales internacionales y arbitrales, así como de  tribunales  nacionales</w:t>
        <w:br/>
        <w:t>en materia de derecho internacional[52]. En los últimos años el viejo  ideal</w:t>
        <w:br/>
        <w:t>de la justicia internacional se ha revitalizado  y  ganado  cuerpo,  con  la</w:t>
        <w:br/>
        <w:t>expansión considerable de la función judicial  internacional,  reflejada  en</w:t>
        <w:br/>
        <w:t>la creación de nuevos tribunales  internacionales;  la  actuación  de  éstos</w:t>
        <w:br/>
        <w:t>últimos viene enriqueciendo la jurisprudencia  internacional  contemporánea,</w:t>
        <w:br/>
        <w:t>contribuyendo para afirmar la aptitud del Derecho  Internacional  de  reglar</w:t>
        <w:br/>
        <w:t>adecuadamente  las  relaciones  jurídicas  en  dominios  distintos   de   la</w:t>
        <w:br/>
        <w:t>actividad humana.</w:t>
        <w:br/>
        <w:br/>
        <w:t>35.   En este sentido, en mi supracitado Voto  Razonado  en  el  caso  Blake</w:t>
        <w:br/>
        <w:t>versus Guatemala, al advertir para la  necesidad  de  establecer  las  bases</w:t>
        <w:br/>
        <w:t>jurídicas de una  comunidad  internacional  mínimamente  institucionalizada,</w:t>
        <w:br/>
        <w:t>señalé que</w:t>
        <w:br/>
        <w:br/>
        <w:t xml:space="preserve">            "(...)  Con  la  evolución  del  Derecho  Internacional  de  los</w:t>
        <w:br/>
        <w:t xml:space="preserve">      Derechos Humanos, es el propio Derecho Internacional  Público  que  se</w:t>
        <w:br/>
        <w:t xml:space="preserve">      justifica y se legitima, al afirmar principios, conceptos y categorías</w:t>
        <w:br/>
        <w:t xml:space="preserve">      jurídicos propios del presente dominio  de  protección,  asentados  en</w:t>
        <w:br/>
        <w:t xml:space="preserve">      premisas  fundamentalmente  distintas  de  las  que  han  norteado  la</w:t>
        <w:br/>
        <w:t xml:space="preserve">      aplicación de sus postulados en el plano de las  relaciones  puramente</w:t>
        <w:br/>
        <w:t xml:space="preserve">      interestatales.</w:t>
        <w:br/>
        <w:t xml:space="preserve">            (...) Las normas del derecho de los  tratados  (...)  pueden  en</w:t>
        <w:br/>
        <w:t xml:space="preserve">      mucho enriquecerse con el impacto del  Derecho  Internacional  de  los</w:t>
        <w:br/>
        <w:t xml:space="preserve">      Derechos Humanos, y desarrollar su aptidud para  reglar  adecuadamente</w:t>
        <w:br/>
        <w:t xml:space="preserve">      las  relaciones  jurídicas  en  los  planos  tanto  interestatal  como</w:t>
        <w:br/>
        <w:t xml:space="preserve">      intraestatal, bajo los tratados de protección respectivos. (...)"[53].</w:t>
        <w:br/>
        <w:br/>
        <w:t>36.   La Corte Interamericana de Derechos Humanos, mediante  las  Sentencias</w:t>
        <w:br/>
        <w:t>sobre  Excepciones  Preliminares  que  viene  de  adoptar   en   los   casos</w:t>
        <w:br/>
        <w:t>Constantine, Hilaire, y Benjamin, así  como  en  sus  anteriores  Sentencias</w:t>
        <w:br/>
        <w:t>sobre  Competencia  en  los  casos  del  Tribunal  Constitucional  y  Ivcher</w:t>
        <w:br/>
        <w:t>Bronstein, ha salvaguardado la integridad de la Convención  Americana  sobre</w:t>
        <w:br/>
        <w:t>Derechos Humanos, ha sido maestra de su propia jurisdicción y actuado  a  la</w:t>
        <w:br/>
        <w:t>altura de las responsabilidades que le atribuye la Convención Americana.  Lo</w:t>
        <w:br/>
        <w:t>mismo se puede decir de la Corte Europea de Derechos  Humanos,  mediante  su</w:t>
        <w:br/>
        <w:t>Sentencia  sobre  Excepciones  Preliminares  en  el  caso  Loizidou   versus</w:t>
        <w:br/>
        <w:t>Turquía, en lo relativo a la Convención Europea de  Derechos  Humanos.  Así,</w:t>
        <w:br/>
        <w:t>los dos tribunales internacionales  de  derechos  humanos  existentes  a  la</w:t>
        <w:br/>
        <w:t>fecha, en su jurisprudencia convergente sobre la cuestión, se  han  recusado</w:t>
        <w:br/>
        <w:t>a ceder a manifestaciones indebidas del voluntarismo estatal,  han  cumplido</w:t>
        <w:br/>
        <w:t>a cabalidad las  funciones  que  les  atribuyen  los  tratados  de  derechos</w:t>
        <w:br/>
        <w:t>humanos  que  los  crearon,  y  han  dado  una   contribución   valiosa   al</w:t>
        <w:br/>
        <w:t>fortalecimiento de la jurisdicción internacional  y  a  la  realización  del</w:t>
        <w:br/>
        <w:t>antiguo ideal de la justicia internacional.</w:t>
        <w:br/>
        <w:br/>
        <w:t>37.   Urge que  los  Estados  se  convenzan  que  el  ordenamiento  jurídico</w:t>
        <w:br/>
        <w:t>internacional es, más que voluntario, necesario. En el  ámbito  del  derecho</w:t>
        <w:br/>
        <w:t>internacional general, en mi entender,  ha  llegado  el  tiempo  de  avanzar</w:t>
        <w:br/>
        <w:t>decididamente  en  el  perfeccionamiento  de   la   solución   judicial   de</w:t>
        <w:br/>
        <w:t>controversias internacionales. En los últimos 80 años, los avances  en  este</w:t>
        <w:br/>
        <w:t>campo podrían haber sido mucho mayores si la  práctica  estatal  no  hubiera</w:t>
        <w:br/>
        <w:t>traicionado el propósito que inspiró la creación del mecanismo  la  cláusula</w:t>
        <w:br/>
        <w:t>facultativa de la jurisdicción obligatoria (de la CPJI y la CIJ), cual  sea,</w:t>
        <w:br/>
        <w:t>la sumisión de los intereses políticos al Derecho mediante el desarrollo  en</w:t>
        <w:br/>
        <w:t>la realización de la justicia a nivel internacional.</w:t>
        <w:br/>
        <w:br/>
        <w:t>38.   Ha llegado el tiempo de superar en definitiva la lamentable  falta  de</w:t>
        <w:br/>
        <w:t>automatismo de la jurisdicción internacional. Con  las  distorsiones  de  su</w:t>
        <w:br/>
        <w:t>práctica en la materia, los Estados se ven hoy ante un  dilema  que  debería</w:t>
        <w:br/>
        <w:t>ya estar superado hace mucho: o retornan a la  concepción  voluntarista  del</w:t>
        <w:br/>
        <w:t>derecho  internacional,  abandonando  de  una  vez  la   esperanza   en   la</w:t>
        <w:br/>
        <w:t>preeminencia del Derecho sobre los  intereses  políticos[54],  o  retoman  y</w:t>
        <w:br/>
        <w:t>realizan con  determinación  el  ideal  de  construcción  de  una  comunidad</w:t>
        <w:br/>
        <w:t>internacional más cohesionada e institucionalizada a la luz  del  Derecho  y</w:t>
        <w:br/>
        <w:t>en la búsqueda de la Justicia, moviendo resueltamente del  jus  dispositivum</w:t>
        <w:br/>
        <w:t>al jus cogens[55].</w:t>
        <w:br/>
        <w:br/>
        <w:t>39.   Ha llegado el tiempo  de  considerar,  en  particular,  en  un  futuro</w:t>
        <w:br/>
        <w:t>Protocolo de enmiendas a la parte procesal de la Convención Americana  sobre</w:t>
        <w:br/>
        <w:t>Derechos Humanos, con miras a fortalecer  su  mecanismo  de  protección,  la</w:t>
        <w:br/>
        <w:t>posibilidad de una enmienda al artículo 62 de la Convención Americana,  para</w:t>
        <w:br/>
        <w:t>tornar dicha cláusula también mandatoria, de conformidad con su carácter  de</w:t>
        <w:br/>
        <w:t>cláusula pétrea, estableciendo así el automatismo[56] de la jurisdicción  de</w:t>
        <w:br/>
        <w:t>la Corte Interamericana de Derechos Humanos[57]. Urge que el  antiguo  ideal</w:t>
        <w:br/>
        <w:t>de la  jurisdicción  internacional  obligatoria  permanente[58]  se  realice</w:t>
        <w:br/>
        <w:t>también en el continente americano, en el presente  dominio  de  protección,</w:t>
        <w:br/>
        <w:t>con los necesarios ajustes para hacer frente a su realidad de  los  derechos</w:t>
        <w:br/>
        <w:t>humanos y atender a las necesidades crecientes de protección eficaz del  ser</w:t>
        <w:br/>
        <w:t>humano.</w:t>
        <w:br/>
        <w:br/>
        <w:br/>
        <w:br/>
        <w:br/>
        <w:br/>
        <w:br/>
        <w:br/>
        <w:t xml:space="preserve">                      Antônio Augusto Cançado Trindade</w:t>
        <w:br/>
        <w:t xml:space="preserve">                                    Juez</w:t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t xml:space="preserve"> VOTO RAZONADO CONCURRENTE DEL JUEZ HERNÁN SALGADO PESANTES A LAS SENTENCIAS</w:t>
        <w:br/>
        <w:t xml:space="preserve"> SOBRE EXCEPCIONES PRELIMINARES EN LOS CASOS HILAIRE, CONSTANTINE Y OTROS Y</w:t>
        <w:br/>
        <w:t xml:space="preserve">                              BENJAMIN Y OTROS</w:t>
        <w:br/>
        <w:br/>
        <w:br/>
        <w:t>Estando  de  acuerdo  en  lo  fundamental  con  la  sentencia  en  el   Caso</w:t>
        <w:br/>
        <w:t>Constantine y otros vs. Trinidad y  Tobago  quiero  agregar  las  siguientes</w:t>
        <w:br/>
        <w:t>consideraciones:</w:t>
        <w:br/>
        <w:br/>
        <w:t>1.    En materia  de  reservas  a  los  tratados,  al  igual  que  en  otras</w:t>
        <w:br/>
        <w:t>cuestiones del Derecho Internacional, ha  habido  una  importante  evolución</w:t>
        <w:br/>
        <w:t>marcada por un  progreso constante.  Bien  podría  situarse  como  punto  de</w:t>
        <w:br/>
        <w:t>partida de esta evolución los  intensos  debates  a  que  dieron  lugar  las</w:t>
        <w:br/>
        <w:t>reservas formuladas por los Estados a la Convención para la Prevención y  la</w:t>
        <w:br/>
        <w:t>Sanción del Delito de  Genocidio  (1948)  y  luego  con  motivo  la  opinión</w:t>
        <w:br/>
        <w:t>consultiva que sobre esta cuestión dictó la Corte Internacional de  Justicia</w:t>
        <w:br/>
        <w:t>(1951).</w:t>
        <w:br/>
        <w:br/>
        <w:t>2.    Dichos debates sentaron las bases para construir de  mejor  manera  el</w:t>
        <w:br/>
        <w:t>sistema de reservas.  Un criterio importante de la opinión consultiva de  la</w:t>
        <w:br/>
        <w:t>CIJ fue el de la compatibilidad  de las reservas con el  objeto  y  fin  del</w:t>
        <w:br/>
        <w:t>tratado, siendo incorporado en 1969 en la  Convención  de  Viena  sobre  los</w:t>
        <w:br/>
        <w:t>Tratados (Art. 19) y, a través de este instrumento, está vigente también  en</w:t>
        <w:br/>
        <w:t>la Convención Americana sobre Derechos Humanos (Art. 75).</w:t>
        <w:br/>
        <w:br/>
        <w:t>3.    Es en las últimas décadas donde el criterio de que  una  reserva  debe</w:t>
        <w:br/>
        <w:t>ser compatible con el objeto y fin del tratado pasa  a  perfilarse  como  el</w:t>
        <w:br/>
        <w:t>requisito esencial y se convierte en una exigencia de  fondo  para  apreciar</w:t>
        <w:br/>
        <w:t>la admisibilidad y la validez de una reserva.  Sin embargo, la evolución  no</w:t>
        <w:br/>
        <w:t>está aún completa mientras no se proscriban las  reservas  de  los  tratados</w:t>
        <w:br/>
        <w:t>sobre derechos humanos en razón de su especial naturaleza.</w:t>
        <w:br/>
        <w:br/>
        <w:t>4.    En el presente caso, el Estado no formula la reserva  con  respecto  a</w:t>
        <w:br/>
        <w:t>las cláusulas sustantivas de la Convención  sino  que  pretende  hacerlo  en</w:t>
        <w:br/>
        <w:t>relación con la cláusula facultativa de  aceptación  de  la  competencia,  o</w:t>
        <w:br/>
        <w:t>mejor dicho, de la jurisdicción contenciosa de la Corte Interamericana.</w:t>
        <w:br/>
        <w:br/>
        <w:t>5.    Para reconocer la jurisdicción de la Corte, en  la  Convención  existe</w:t>
        <w:br/>
        <w:t>una disposición expresa que establece las  modalidades  o  formas  de  dicha</w:t>
        <w:br/>
        <w:t>aceptación: el Art. 62 párrafos 1 y 2;  en  consecuencia,  el  Estado  Parte</w:t>
        <w:br/>
        <w:t>que, en ejercicio de  su  potestad  soberana,  decida  reconocer  al  órgano</w:t>
        <w:br/>
        <w:t>jurisdiccional debe proceder de conformidad con lo que está previsto  en  la</w:t>
        <w:br/>
        <w:t>mencionada norma convencional.</w:t>
        <w:br/>
        <w:br/>
        <w:t>6.    En mi criterio no es posible que un Estado ignore lo dispuesto  en  el</w:t>
        <w:br/>
        <w:t>Art. 62. 2 e imponga condiciones a su reconocimiento de la  jurisdicción  de</w:t>
        <w:br/>
        <w:t>la Corte.  No existe  margen  de  discrecionalidad  alguna  para  el  Estado</w:t>
        <w:br/>
        <w:t>Parte, como  no  sea  la  de  expresar  su  voluntad  de  aceptación  de  la</w:t>
        <w:br/>
        <w:t>jurisdicción u omitir hacerlo.  Interpretar que lo que no está prohibido  en</w:t>
        <w:br/>
        <w:t>la norma convencional está permitido solo cabe  en  el  ámbito  del  derecho</w:t>
        <w:br/>
        <w:t>privado interno.  De lo expresado puedo inferir dos conclusiones.</w:t>
        <w:br/>
        <w:br/>
        <w:t>7.    Primera conclusión: un Estado  no  puede  establecer  condiciones  que</w:t>
        <w:br/>
        <w:t>limiten el funcionamiento del órgano jurisdiccional, encargado de aplicar  e</w:t>
        <w:br/>
        <w:t>interpretar la Convención. Cualquier limitación en este  sentido  terminaría</w:t>
        <w:br/>
        <w:t>afectando gravemente la eficacia del sistema de protección de  los  derechos</w:t>
        <w:br/>
        <w:t>humanos.</w:t>
        <w:br/>
        <w:br/>
        <w:t>8.    Segunda conclusión: cuando las reservas están permitidas, como  es  el</w:t>
        <w:br/>
        <w:t>caso del Art. 75  de  la  Convención  Americana,  éstas  tienen  un  alcance</w:t>
        <w:br/>
        <w:t>limitado por tratarse de un instrumento internacional de  derechos  humanos,</w:t>
        <w:br/>
        <w:t>caso contrario se volverían inciertas las  obligaciones  del  Estado  Parte.</w:t>
        <w:br/>
        <w:t>Por último, las reservas pierden su validez no  solamente  por  la  cuestión</w:t>
        <w:br/>
        <w:t>formal,  cuando  están  concebidas  con  un  carácter  general,   amplio   o</w:t>
        <w:br/>
        <w:t>impreciso, sino sobre todo cuando de alguna manera contradicen el  objeto  y</w:t>
        <w:br/>
        <w:t>el fin de la Convención Americana sobre Derechos Humanos.</w:t>
        <w:br/>
        <w:br/>
        <w:br/>
        <w:br/>
        <w:t xml:space="preserve">                           Hernán Salgado Pesantes</w:t>
        <w:br/>
        <w:t xml:space="preserve">                                    Juez</w:t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t xml:space="preserve">  VOTO RAZONADO CONCURRENTE DEL JUEZ SERGIO GARCÍA RAMÍREZ A LAS SENTENCIAS</w:t>
        <w:br/>
        <w:t xml:space="preserve"> SOBRE EXCEPCIONES PRELIMINARES EN LOS CASOS HILAIRE, CONSTANTINE Y OTROS Y</w:t>
        <w:br/>
        <w:t xml:space="preserve">                              BENJAMÍN Y OTROS</w:t>
        <w:br/>
        <w:br/>
        <w:br/>
        <w:t>1.    He sumado mi voto al de mis colegas  en  la  Corte  Interamericana  de</w:t>
        <w:br/>
        <w:t>Derechos Humanos en las Sentencias sobre  excepciones  preliminares  en  los</w:t>
        <w:br/>
        <w:t>Casos Hilaire, Contantine y Otros y Benjamín y Otros, del  1  de  septiembre</w:t>
        <w:br/>
        <w:t>de 2001, que se fundan  en  el  mismo  razonamiento  y  llegan  a  idénticas</w:t>
        <w:br/>
        <w:t>decisiones en lo concerniente a la supuesta incompetencia de la  Corte  para</w:t>
        <w:br/>
        <w:t>conocer estos casos.</w:t>
        <w:br/>
        <w:br/>
        <w:t>2.    Considero que la Corte ha  procedido  adecuadamente  al  analizar  los</w:t>
        <w:br/>
        <w:t>argumentos del Estado y exponer sus  propios  razonamientos  con  referencia</w:t>
        <w:br/>
        <w:t>específica a los casos que ha tenido a la vista, sin examinar por  ahora  el</w:t>
        <w:br/>
        <w:t>tema general de las reservas a los  tratados  y  las  declaraciones  de  los</w:t>
        <w:br/>
        <w:t>Estados  acerca  del  alcance  que  éstos  asignan  a  la  admisión  de   la</w:t>
        <w:br/>
        <w:t>jurisdicción contenciosa de la Corte, conforme  a  la  cláusula  facultativa</w:t>
        <w:br/>
        <w:t>prevista en el  artículo  62  de  la  Convención  Americana  sobre  Derechos</w:t>
        <w:br/>
        <w:t>Humanos.</w:t>
        <w:br/>
        <w:br/>
        <w:t>3.    En ese marco, coincido con los Jueces que  integran  la  Corte  en  el</w:t>
        <w:br/>
        <w:t>señalamiento de que la  reserva  o  declaración  formulada  por  Trinidad  y</w:t>
        <w:br/>
        <w:t>Tobago en el instrumento de ratificación de la Convención  (del 3  de  abril</w:t>
        <w:br/>
        <w:t>de 1991, depositado el 28  de  mayo  del  mismo  año),  a  propósito  de  la</w:t>
        <w:br/>
        <w:t>jurisdicción contenciosa de la Corte Interamericana, tendría  el  efecto  de</w:t>
        <w:br/>
        <w:t>excluir al Estado del sistema jurisdiccional que en  ese  mismo  instrumento</w:t>
        <w:br/>
        <w:t>declara aceptar, en cuanto contiene una condición de  carácter  general  que</w:t>
        <w:br/>
        <w:t>subordina el ejercicio de la jurisdicción, en forma prácticamente  absoluta,</w:t>
        <w:br/>
        <w:t>a las disposiciones del  Derecho  interno.   En  efecto,  dicha  declaración</w:t>
        <w:br/>
        <w:t>admite la mencionada jurisdicción contenciosa  --pieza clave en la  efectiva</w:t>
        <w:br/>
        <w:t>vigencia del sistema interamericano  de  derechos  humanos--   “sólo  en  la</w:t>
        <w:br/>
        <w:t>medida en que (su ejercicio) sea compatible con  las  secciones  pertinentes</w:t>
        <w:br/>
        <w:t>de la Constitución de la República de Trinidad y Tobago”.</w:t>
        <w:br/>
        <w:br/>
        <w:t>4.    Como es fácil advertir, la fórmula utilizada por el Estado no  precisa</w:t>
        <w:br/>
        <w:t xml:space="preserve"> --a diferencia de lo que suele ocurrir en otras declaraciones de  la  misma</w:t>
        <w:br/>
        <w:t>naturaleza--   cuáles  son,  específicamente,  los  puntos   sustraídos   al</w:t>
        <w:br/>
        <w:t>conocimiento y a la resolución de la Corte,  que  necesariamente  aplica  la</w:t>
        <w:br/>
        <w:t>Convención Americana,  no  las  disposiciones  del  Derecho  interno  de  un</w:t>
        <w:br/>
        <w:t>Estado. Así las cosas, ese tribunal  internacional  estaría  privado  de  la</w:t>
        <w:br/>
        <w:t>posibilidad de ejercer con independencia las atribuciones que le  asigna  la</w:t>
        <w:br/>
        <w:t>Convención y debería sujetarse a una modalidad de  cotejo  casuístico  entre</w:t>
        <w:br/>
        <w:t>las normas de ésta y las del Derecho interno,  que  a  su  vez  se  hallaría</w:t>
        <w:br/>
        <w:t>sometido a la interpretación de los tribunales nacionales.</w:t>
        <w:br/>
        <w:br/>
        <w:t>5.    Evidentemente, semejante limitación  --establecida, como se ha  dicho,</w:t>
        <w:br/>
        <w:t>en forma general e indeterminada--, no es consecuente con el  objeto  y  fin</w:t>
        <w:br/>
        <w:t>de la Convención Americana sobre  Derechos  Humanos,  ni  corresponde  a  la</w:t>
        <w:br/>
        <w:t>naturaleza  de  la  jurisdicción  interamericana  llamada  a  tutelar   esos</w:t>
        <w:br/>
        <w:t>derechos.</w:t>
        <w:br/>
        <w:br/>
        <w:t>6.    Por otra parte, la fórmula que se analiza incluye  igualmente  algunas</w:t>
        <w:br/>
        <w:t>expresiones de muy difícil  comprensión,  que  resultan  equívocas  para  el</w:t>
        <w:br/>
        <w:t>intérprete    --y   que   podrían   obstruir   íntegramente   el    quehacer</w:t>
        <w:br/>
        <w:t>jurisdiccional de la Corte--,  como  la  que  se  reconoce  la  jurisdicción</w:t>
        <w:br/>
        <w:t>obligatoria del tribunal internacional “siempre que una sentencia de  (éste)</w:t>
        <w:br/>
        <w:t>no  contravenga,  establezca  o  anule  derechos  o  deberes  existentes  de</w:t>
        <w:br/>
        <w:t>ciudadanos particulares”.  Es  posible  citar  algunos  ejemplos  sobre  las</w:t>
        <w:br/>
        <w:t>implicaciones que podría tener esta  expresión  oscura.  Evidentemente,  una</w:t>
        <w:br/>
        <w:t>sentencia de la  Corte  podría  incidir  sobre  supuestos  “deberes  de  los</w:t>
        <w:br/>
        <w:t>individuos”  derivados  de  actos  o  medidas  que  el  tribunal   considere</w:t>
        <w:br/>
        <w:t>violatorios de la Convención. Las resoluciones del  tribunal  interamericano</w:t>
        <w:br/>
        <w:t>también repercutirían sobre “derechos de los particulares”  si  reconocieran</w:t>
        <w:br/>
        <w:t>a  favor  de  éstos  ciertas  consecuencias  jurídicas  con  motivo  de  las</w:t>
        <w:br/>
        <w:t>violaciones cometidas: así, el derecho a reparaciones. Por  otra  parte,  no</w:t>
        <w:br/>
        <w:t>está claro lo que se quiere decir al señalar que las sentencias de la  Corte</w:t>
        <w:br/>
        <w:t>no  podrían  establecer  “derechos  o  deberes  existentes”  de   ciudadanos</w:t>
        <w:br/>
        <w:t>particulares.</w:t>
        <w:br/>
        <w:br/>
        <w:t>7.    En suma,  por todo lo expuesto en los párrafos precedentes   --en  los</w:t>
        <w:br/>
        <w:t>que se proyecta el criterio que funda las sentencias  de  la  Corte  en  los</w:t>
        <w:br/>
        <w:t>casos a los que se refiere este voto-- no es posible  reconocer  eficacia  a</w:t>
        <w:br/>
        <w:t>la declaración formulada por el Estado en  el  instrumento  de  ratificación</w:t>
        <w:br/>
        <w:t>del 28 de mayo de 1991,  y sustentar en ella la excepción preliminar que  se</w:t>
        <w:br/>
        <w:t>invoca.</w:t>
        <w:br/>
        <w:br/>
        <w:t>8.     En  las  sentencias  dictadas  en  estos   tres   casos,   la   Corte</w:t>
        <w:br/>
        <w:t>Interamericana se ha referido única y exclusivamente a la excepción  opuesta</w:t>
        <w:br/>
        <w:t>por Trinidad y Tobago y ha examinado, en consecuencia,  las  características</w:t>
        <w:br/>
        <w:t>de la declaración en la que aquélla pretende sustentarse, analizada  en  las</w:t>
        <w:br/>
        <w:t>condiciones de los casos planteados. Otra cosa es el tema de las reservas  y</w:t>
        <w:br/>
        <w:t>declaraciones limitativas  del  ejercicio  jurisdiccional  de  la  Corte  en</w:t>
        <w:br/>
        <w:t>general, que suelen presentarse en términos diferentes. Esto no  obsta  para</w:t>
        <w:br/>
        <w:t>la conveniencia  --en aras de la  universalidad  de  los  derechos  humanos,</w:t>
        <w:br/>
        <w:t>convicción  común  de   los  Estados  que  han  contribuido  a   erigir   el</w:t>
        <w:br/>
        <w:t>correspondiente   sistema   interamericano--    de   eliminar   reservas   y</w:t>
        <w:br/>
        <w:t>condiciones  que  finalmente  significan  restricciones  de  mayor  o  menor</w:t>
        <w:br/>
        <w:t>alcance a la vigencia plena de esos derechos.</w:t>
        <w:br/>
        <w:br/>
        <w:br/>
        <w:br/>
        <w:br/>
        <w:t xml:space="preserve">                            Sergio García Ramírez</w:t>
        <w:br/>
        <w:t xml:space="preserve">                                    Juez</w:t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t xml:space="preserve">                           -----------------------</w:t>
        <w:br/>
        <w:t>[1]   De conformidad con la Resolución de la Corte de 13 de  marzo  de  2001</w:t>
        <w:br/>
        <w:t>sobre Disposiciones Transitorias al Reglamento  de  la  Corte,  la  presente</w:t>
        <w:br/>
        <w:t>Sentencia sobre excepciones preliminares se dicta  según  los  términos  del</w:t>
        <w:br/>
        <w:t>Reglamento adoptado en la Resolución de la Corte  de  16  de  septiembre  de</w:t>
        <w:br/>
        <w:t>1996.</w:t>
        <w:br/>
        <w:t>[2]   Los 17 casos restantes corresponden  a  los  números:  11.787  (George</w:t>
        <w:br/>
        <w:t>Constantine), 11.851 (Clarence  Charles),  11.853  (Keiron  Thomas),  12.021</w:t>
        <w:br/>
        <w:t>(Darrin Roger Thomas), 12.043 (Samuel Winchester),  12.072  (Rodney  Davis),</w:t>
        <w:br/>
        <w:t>12.073  (Gangadeen  Tahaloo),  12.075  (Noel   Seepersad),   12.076   (Wayne</w:t>
        <w:br/>
        <w:t>Matthews), 12.082 (Alfred  Frederick),  12.093  (Natasha  De  Leon),  12.111</w:t>
        <w:br/>
        <w:t>(Vijay Mungroo), 12.112 (Phillip Chotalal), 12.129  (Joey  Ramiah  y  Naresh</w:t>
        <w:br/>
        <w:t>Boodram), 12.137 (Nigel Mark), 12.140 (Wilberforce Bernard) y 12.141  (Steve</w:t>
        <w:br/>
        <w:t>Mungroo).</w:t>
        <w:br/>
        <w:br/>
        <w:t>[3]   En los cuatro casos en que  el  Estado  no  envió  información  alguna</w:t>
        <w:br/>
        <w:t>(12.021, 12.043, 12.076 y 12.141), la Comisión aplicó el artículo 42  de  su</w:t>
        <w:br/>
        <w:t>Reglamento para  determinar  la  admisibilidad  y  el  fondo  de  los  casos</w:t>
        <w:br/>
        <w:t>presumiendo  que  los  hechos  denunciados  por   los   peticionarios   eran</w:t>
        <w:br/>
        <w:t>verdaderos, a menos que las pruebas presentadas en cada  caso  condujeran  a</w:t>
        <w:br/>
        <w:t>una conclusión diferente.</w:t>
        <w:br/>
        <w:t>[4]   Las demás personas indicadas por la Comisión en  su  solicitud  no  se</w:t>
        <w:br/>
        <w:t>encuentran incluidas en la demanda del presente caso.</w:t>
        <w:br/>
        <w:br/>
        <w:t>[5]   El señor Haniff Hilaire no se encuentra incluido  en  la  demanda  del</w:t>
        <w:br/>
        <w:t>presente caso.</w:t>
        <w:br/>
        <w:br/>
        <w:t>[6]   El Efecto  de  las  Reservas  Sobre  la  Entrada  en  Vigencia  de  la</w:t>
        <w:br/>
        <w:t>Convención Americana  sobre  Derechos  Humanos  (Arts.  74  y  75),  Opinión</w:t>
        <w:br/>
        <w:t>Consultiva OC-2/82 del 24 de septiembre de 1982.  Serie A No. 2,  párr.  35.</w:t>
        <w:br/>
        <w:t>Al respecto, el artículo 20 de la Convención de  Viena  “Aceptación  de  las</w:t>
        <w:br/>
        <w:t>reservas y objeción a las reservas” establece en su inciso 1) lo  siguiente:</w:t>
        <w:br/>
        <w:br/>
        <w:br/>
        <w:br/>
        <w:t xml:space="preserve">      1.    Una reserva expresamente autorizada por el tratado no exigirá la</w:t>
        <w:br/>
        <w:t xml:space="preserve">      aceptación ulterior de los demás Estados contratantes, a menos que  el</w:t>
        <w:br/>
        <w:t xml:space="preserve">      tratado así lo disponga.</w:t>
        <w:br/>
        <w:t>[7]   Así, en Caso del Tribunal Constitucional.  Competencia.  Sentencia  de</w:t>
        <w:br/>
        <w:t>24 de septiembre de 1999. Serie C No. 55, párr. 33 y Caso Ivcher  Bronstein.</w:t>
        <w:br/>
        <w:t xml:space="preserve"> Competencia. Sentencia de 24 de septiembre de 1999. Serie C No.  54,  párr.</w:t>
        <w:br/>
        <w:t>34.</w:t>
        <w:br/>
        <w:br/>
        <w:t>[8]   Cfr. Caso del Tribunal  Constitucional.  Competencia.  Supra  nota  7,</w:t>
        <w:br/>
        <w:t>párr. 36 y Caso Ivcher Bronstein.  Competencia. Supra nota 7, párr. 37.</w:t>
        <w:br/>
        <w:t>[9]   Cfr. Caso del Tribunal  Constitucional.  Competencia.  Supra  nota  7,</w:t>
        <w:br/>
        <w:t>párr. 39 y Caso Ivcher Bronstein.  Competencia. Supra nota 7, párr. 40.</w:t>
        <w:br/>
        <w:t>[10]  Cfr. Caso del Tribunal  Constitucional.  Competencia.  Supra  nota  7,</w:t>
        <w:br/>
        <w:t>párr. 41 y Caso Ivcher Bronstein.  Competencia. Supra nota 7, párr. 42.</w:t>
        <w:br/>
        <w:br/>
        <w:t>[11]  El Efecto de las Reservas Sobre la Entrada en Vigencia de la</w:t>
        <w:br/>
        <w:t>Convención Americana sobre Derechos Humanos. Opinión Consultiva OC-2/82.</w:t>
        <w:br/>
        <w:t>Supra nota 6, párr. 29.</w:t>
        <w:br/>
        <w:br/>
        <w:t>[12]  Ver: Corte Internacional de Justicia, Opinión  Consultiva  Reservas  a</w:t>
        <w:br/>
        <w:t>la Convención para Prevenir y  Sancionar  el  Delito  de  Genocidio  (1951);</w:t>
        <w:br/>
        <w:t>European Commission of Human Rights, Decision as  to  the  Admissibility  of</w:t>
        <w:br/>
        <w:t>Application No. 788/60, Austria vs. Italy case,  Yearbook  of  the  European</w:t>
        <w:br/>
        <w:t>Convention on Human Rights, The Hague, M.  Nijhoff,  1961;  Eur.  Court  HR,</w:t>
        <w:br/>
        <w:t>Ireland vs. United Kingdom case, Judgment of 18 January 1978, Series  A  No.</w:t>
        <w:br/>
        <w:t>25; Eur. Court H.R., Soering Case, decision of 26  January  1989,  Series  A</w:t>
        <w:br/>
        <w:t>No. 161; Eur. Court of  H.R.,  Case  of  Loizidou  vs.  Turkey  (Preliminary</w:t>
        <w:br/>
        <w:t>Objections), judgment of 23 March 1995, Series A No. 310.</w:t>
        <w:br/>
        <w:t>[13]  Cfr. Caso del Tribunal  Constitucional.  Competencia.  Supra  nota  7,</w:t>
        <w:br/>
        <w:t>párr. 46 y Caso Ivcher Bronstein.  Competencia. Supra nota 7, párr. 47.</w:t>
        <w:br/>
        <w:t>[14].       Corte  Interamericana  de  Derechos  Humanos  (CtIADH),  Opinión</w:t>
        <w:br/>
        <w:t>Consultiva  n.  15,  de  14.11.1997,  sobre  los  Informes  de  la  Comisión</w:t>
        <w:br/>
        <w:t>Interamericana de Derechos Humanos (1997), Serie A, n. 15, Voto  Concurrente</w:t>
        <w:br/>
        <w:t>del Juez A.A. Cançado Trindade, pp. 39 y 49-50, párrs. 7 y 37.</w:t>
        <w:br/>
        <w:br/>
        <w:t>[15].        Es  como  guardián  y  maestra  de   su   propia   jurisdicción</w:t>
        <w:br/>
        <w:t>(jurisdictio, jus dicere, la potestad de declarar  el  Derecho)  que,  a  la</w:t>
        <w:br/>
        <w:t>Corte Interamericana, como órgano judicial de supervisión de  la  Convención</w:t>
        <w:br/>
        <w:t>Americana, está reservado el rol de establecer las bases jurídicas  para  la</w:t>
        <w:br/>
        <w:t>construcción de un ordre public internacional de observancia y  salvaguardia</w:t>
        <w:br/>
        <w:t>de los derechos humanos, en  el  ámbito  de  aplicación  de  la  Convención.</w:t>
        <w:br/>
        <w:t>CtIADH,  Resolución  sobre   Medidas   Provisionales   de   Protección   (de</w:t>
        <w:br/>
        <w:t>25.05.1999), caso James et alii versus Trinidad y Tobago,  Voto  Concurrente</w:t>
        <w:br/>
        <w:t>del Juez A.A. Cançado Trindade, párrs. 7-8.</w:t>
        <w:br/>
        <w:br/>
        <w:t>[16].       El Protocolo n. 11 a la Convención Europea de  Derechos  Humanos</w:t>
        <w:br/>
        <w:t>entró en vigor el 01.11.1998. Sobre la cláusula  facultativa  (artículo  46)</w:t>
        <w:br/>
        <w:t>original  de  la  Convención  Europea,  cf.  Council  of  Europe/Conseil  de</w:t>
        <w:br/>
        <w:t>l'Europe, Collected Edition of the `Travaux Préparatoires' of  the  European</w:t>
        <w:br/>
        <w:t>Convention  on  Human  Rights/Recueil  des  Travaux  Préparatoires   de   la</w:t>
        <w:br/>
        <w:t>Convention Européenne des Droits de l'Homme, vol. IV,  The  Hague,  Nijhoff,</w:t>
        <w:br/>
        <w:t>1977, pp. 200-201 y 266-267; y vol. V, The Hague, Nijhoff, 1979, pp.  58-59.</w:t>
        <w:br/>
        <w:br/>
        <w:br/>
        <w:t>[17].       Y el artículo 36.6 determina que "en caso de disputa  en  cuanto</w:t>
        <w:br/>
        <w:t>a si la Corte tiene o no jurisdicción, la Corte decidirá".</w:t>
        <w:br/>
        <w:br/>
        <w:t>[18].       A saber:  Srs.  Adatci  (Japón),  Altamira  (España),  Fernandes</w:t>
        <w:br/>
        <w:t>(Brasil), Barón  Descamps  (Bélgica),  Hagerup  (Noruega),  De  La  Pradelle</w:t>
        <w:br/>
        <w:t>(Francia), Loder (Holanda), Lord Phillimore (Gran  Bretaña),  Ricci  Busatti</w:t>
        <w:br/>
        <w:t>(Italia) y Elihu Root (Estados Unidos).</w:t>
        <w:br/>
        <w:br/>
        <w:t>[19].       Cf. R.P. Anand, Compulsory  Jurisdiction  of  the  International</w:t>
        <w:br/>
        <w:t>Court of Justice, New Delhi/Bombay, Asia Publ. House, 1961, pp. 19 y  34-36.</w:t>
        <w:br/>
        <w:br/>
        <w:br/>
        <w:t>[20].       Para un relato, cf., inter alia, J.C. Witenberg,  L'organisation</w:t>
        <w:br/>
        <w:t>judiciaire, la procédure et la sentence internationales -  Traité  pratique,</w:t>
        <w:br/>
        <w:t>Paris, Pédone, 1937, pp. 22-23; L.  Gross,  "Compulsory  Jurisdiction  under</w:t>
        <w:br/>
        <w:t>the Optional Clause: History  and  Practice",  The  International  Court  of</w:t>
        <w:br/>
        <w:t>Justice  at  a   Crossroads   (ed.   L.F.   Damrosch),   Dobbs   Ferry/N.Y.,</w:t>
        <w:br/>
        <w:t>ASIL/Transnational Publs., 1987, pp. 20-21.</w:t>
        <w:br/>
        <w:br/>
        <w:t>[21].       Cf. el relato de un  Juez  de  la  antigua  CPJI,  M.O.  Hudson,</w:t>
        <w:br/>
        <w:t>International Tribunals - Past and Future,  Washington,  Carnegie  Endowment</w:t>
        <w:br/>
        <w:t>for International Peace/Brookings Institution,  1944,  pp.  76-78.  -  Aquel</w:t>
        <w:br/>
        <w:t>total de 45 Estados representaba, en realidad, una proporción  alta,  en  la</w:t>
        <w:br/>
        <w:t>época, considerándose que, al final de los años  treinta,  52  Estados  eran</w:t>
        <w:br/>
        <w:t>miembros de la Sociedad de las Naciones (de la  cual  no  formaba  parte  la</w:t>
        <w:br/>
        <w:t>antigua CPJI, distintamente de la CIJ, que es el órgano  judicial  principal</w:t>
        <w:br/>
        <w:t>de Naciones Unidas, y cuyo Estatuto forma un todo  orgánico  con  la  propia</w:t>
        <w:br/>
        <w:t>Carta de Naciones Unidas).</w:t>
        <w:br/>
        <w:br/>
        <w:t>[22].       En su libro  de  memorias  publicado  en  1967,  Raul  Fernandes</w:t>
        <w:br/>
        <w:t>reveló que el Comité de Jurisconsultos de 1920 se vio  ante  el  desafío  de</w:t>
        <w:br/>
        <w:t>establecer  la  base  de  la  jurisdicción  de  la  CPJI   (a   partir   del</w:t>
        <w:br/>
        <w:t>consentimiento mutuo entre los Estados) y, al  mismo  tiempo,  resguardar  y</w:t>
        <w:br/>
        <w:t>reafirmar el principio de la  igualdad  jurídica  de  los  Estados;  cf.  R.</w:t>
        <w:br/>
        <w:t>Fernandes, Nonagésimo Aniversário - Conferências e Trabalhos Esparsos,  vol.</w:t>
        <w:br/>
        <w:t>I, Rio de Janeiro, M.R.E., 1967, pp. 174-175.</w:t>
        <w:br/>
        <w:br/>
        <w:t>[23].        J.-M.  Yepes,  "La  contribution  de   l'Amérique   Latine   au</w:t>
        <w:br/>
        <w:t>développement du Droit international public et privé", 32 Recueil des  Cours</w:t>
        <w:br/>
        <w:t>de l'Académie de Droit  International  de  La  Haye  (1930)  p.  712;  F.-J.</w:t>
        <w:br/>
        <w:t>Urrutia, "La Codification du Droit International en  Amérique",  22  Recueil</w:t>
        <w:br/>
        <w:t>des Cours de l'Académie de Droit International de La Haye  (1928)  pp.  148-</w:t>
        <w:br/>
        <w:t>149; y cf. M. Bourquin, "Règles générales du droit de la paix",  35  Recueil</w:t>
        <w:br/>
        <w:t>des Cours de l'Académie de Droit International de La Haye  (1931)  pp.  195-</w:t>
        <w:br/>
        <w:t>196.</w:t>
        <w:br/>
        <w:br/>
        <w:t>[24].       Cf. el relato de R.P. Anand, op. cit. supra n. (6),  pp.  38-46;</w:t>
        <w:br/>
        <w:t>y cf. también, al  respecto,  S.  Rosenne,  The  Law  and  Practice  of  the</w:t>
        <w:br/>
        <w:t>International  Court,  vol.  I,  Leyden,  Sijthoff,  1965,  pp.  32-36;  Ian</w:t>
        <w:br/>
        <w:t>Brownlie,  Principles  of  Public  International  Law,  4a.   ed.,   Oxford,</w:t>
        <w:br/>
        <w:t>Clarendon  Press,  1995  (reprint),  pp.  715-716;   O.J.   Lissitzyn,   The</w:t>
        <w:br/>
        <w:t>International Court of Justice, N.Y., Carnegie Endowment  for  International</w:t>
        <w:br/>
        <w:t>Peace, 1951, pp. 61-64.</w:t>
        <w:br/>
        <w:br/>
        <w:t>[25].       Como la insensatez humana parece no tener límites,  el  capítulo</w:t>
        <w:br/>
        <w:t>del  derecho  internacional  atinente  a  la  solución   pacífica   de   las</w:t>
        <w:br/>
        <w:t>controversias internacionales continuó padeciendo de la  vieja  ambivalencia</w:t>
        <w:br/>
        <w:t>- verdadera vexata quaestio -  que  siempre  lo  caracterizó,  inclusive  en</w:t>
        <w:br/>
        <w:t>nuestros días, a saber, la tensión ineluctable entre  el  deber  general  de</w:t>
        <w:br/>
        <w:t>solución pacífica y la libre elección por los  Estados  de  los  métodos  de</w:t>
        <w:br/>
        <w:t>solución de la controversia.</w:t>
        <w:br/>
        <w:br/>
        <w:t>[26].       Para expresiones de pesimismo en cuanto a  la  práctica  de  los</w:t>
        <w:br/>
        <w:t>Estados bajo  aquella  cláusula  facultativa,  al  final  de  la  década  de</w:t>
        <w:br/>
        <w:t>setenta, cf. J.G. Merrills, "The Optional Clause  Today",  50  British  Year</w:t>
        <w:br/>
        <w:t>Book of International Law (1979) pp. 90-91, 108, 113 y 116.</w:t>
        <w:br/>
        <w:br/>
        <w:t>[27].       En un artículo reciente, un ex-Presidente de la CIJ, después  de</w:t>
        <w:br/>
        <w:t>señalar que "hoy día una parte bien considerable del  derecho  internacional</w:t>
        <w:br/>
        <w:t>afecta directamente los individuos, corporaciones y entidades legales  otras</w:t>
        <w:br/>
        <w:t>que los Estados", y de recordar que, sin embargo,  el  Estatuto  de  la  CIJ</w:t>
        <w:br/>
        <w:t>todavía sostiene - según una concepción del derecho internacional propia  de</w:t>
        <w:br/>
        <w:t>los años veinte - que sólo los Estados pueden ser partes en  casos  ante  la</w:t>
        <w:br/>
        <w:t>Corte  (artículo  34.1),  admitió  y  lamentó  que   este   descompás   haya</w:t>
        <w:br/>
        <w:t>marginalizado la Corte de La Haya del gran corpus del derecho  internacional</w:t>
        <w:br/>
        <w:t>contemporáneo. R.Y. Jennings, "The  International  Court  of  Justice  after</w:t>
        <w:br/>
        <w:t>Fifty Years", 89 American Journal of International Law (1995) p. 504.</w:t>
        <w:br/>
        <w:br/>
        <w:t>[28].       International Court of Justice,  Yearbook  1996-1997,  vol.  51,</w:t>
        <w:br/>
        <w:t>The Hague, ICJ, 1997, p. 84, y cf. pp. 84-125.</w:t>
        <w:br/>
        <w:br/>
        <w:t>[29].       G. Weissberg, "The Role of the International  Court  of  Justice</w:t>
        <w:br/>
        <w:t>in the United Nations System: The First Quarter Century", The Future of  the</w:t>
        <w:br/>
        <w:t>International Court of Justice (ed. L. Gross), vol.  I,  Dobbs  Ferry  N.Y.,</w:t>
        <w:br/>
        <w:t>Oceana Publs.,  1976,  p.  163;  y,  sobre  el  sentimiento  de  frustración</w:t>
        <w:br/>
        <w:t>generado por ésto, cf.  ibid.,  pp.  186-190.  Cf.  también  Report  on  the</w:t>
        <w:br/>
        <w:t>Connally Amendment - Views of  Law  School  Deans,  Law  School  Professors,</w:t>
        <w:br/>
        <w:t>International Law Professors (compiled under the auspices of  the  Committee</w:t>
        <w:br/>
        <w:t>for Effective Use of the International Court by Repealing  the  Self-Judging</w:t>
        <w:br/>
        <w:t>Reservation), New York, [1961], pp. 1-154.</w:t>
        <w:br/>
        <w:br/>
        <w:t>[30].       Cf. datos estadísticos in G. Weissberg, op. cit. supra n.  (16),</w:t>
        <w:br/>
        <w:t>pp. 160-161; hay, sin embargo,  que  recordar  las  clauses  compromissoires</w:t>
        <w:br/>
        <w:t>atinentes a la competencia contenciosa de la CIJ, las  cuales,  en  mediados</w:t>
        <w:br/>
        <w:t>de los años setenta, figuraban en cerca de 180 tratados y convenciones  (más</w:t>
        <w:br/>
        <w:t>de dos tercios de los cuales de carácter bilateral, y envolviendo más de  50</w:t>
        <w:br/>
        <w:t>Estados - ibid., p. 164).</w:t>
        <w:br/>
        <w:br/>
        <w:t>[31].        Algunos  daban  la  impresión  que  suscribían  así  la  citada</w:t>
        <w:br/>
        <w:t>cláusula  facultativa  para  poder  accionar  otros  Estados  ante  la  CIJ,</w:t>
        <w:br/>
        <w:t>intentando, sin embargo, evitar que fuesen  ellos  propios   accionados  por</w:t>
        <w:br/>
        <w:t>otros Estados; J. Soubeyrol, "Validité  dans  le  temps  de  la  déclaration</w:t>
        <w:br/>
        <w:t>d'acceptation de la juridiction obligatoire", 5 Annuaire français  de  Droit</w:t>
        <w:br/>
        <w:t>international (1959) pp. 232-257, esp. p. 233.</w:t>
        <w:br/>
        <w:br/>
        <w:t>[32].       C.H.M. Waldock, "Decline of the  Optional  Clause",  32  British</w:t>
        <w:br/>
        <w:t>Year Book of  International  Law  (1955-1956)  pp.  244-287.  Y,  sobre  los</w:t>
        <w:br/>
        <w:t>orígenes de esta decadencia, cf. el Voto Disidente del Juez Guerrero  en  el</w:t>
        <w:br/>
        <w:t>caso de los Préstamos  Noruegos  (Sentencia  del  06.07.1957),  ICJ  Reports</w:t>
        <w:br/>
        <w:t>(1957) pp. 69-70.</w:t>
        <w:br/>
        <w:br/>
        <w:t>[33].       Cuando todavía prevalecía hasta cierto punto esta visión, en  un</w:t>
        <w:br/>
        <w:t>libro clásico publicado en 1934, Georges  Scelle,  cuestionándola,  señalaba</w:t>
        <w:br/>
        <w:t>que la auto-atribución de competencia discrecional a los gubernantes,  y  el</w:t>
        <w:br/>
        <w:t>ejercicio de funciones según los criterios de  los  propios  detentores  del</w:t>
        <w:br/>
        <w:t>poder,   eran   características   de   una   sociedad   internacional   poco</w:t>
        <w:br/>
        <w:t>evolucionada, imperfecta, y todavía casi anárquica;  G.  Scelle,  Précis  de</w:t>
        <w:br/>
        <w:t>droit des gens - Principes et systématique, parte  II,  Paris,  Rec.  Sirey,</w:t>
        <w:br/>
        <w:t>1934 (reed. 1984), pp. 547-548. Y cf., anteriormente, en el  mismo  sentido,</w:t>
        <w:br/>
        <w:t>L. Duguit, L'État, le Droit objectif et la loi positive, vol. I,  Paris,  A.</w:t>
        <w:br/>
        <w:t>Fontemoing Ed., 1901, pp. 122-131 y 614.</w:t>
        <w:br/>
        <w:br/>
        <w:t>[34].       Tal como se desprende de la amplia jurisprudencia  internacional</w:t>
        <w:br/>
        <w:t>al respecto, analizada detalladamente in: A.A. Cançado Trindade, El  Derecho</w:t>
        <w:br/>
        <w:t>Internacional   de   los    Derechos    Humanos    en    el    Siglo    XXI,</w:t>
        <w:br/>
        <w:t>Santiago/México/Buenos Aires/Barcelona, Editorial Jurídica de  Chile,  2001,</w:t>
        <w:br/>
        <w:t>pp. 15-58.</w:t>
        <w:br/>
        <w:br/>
        <w:t>[35].       Cf., en  este  sentido,  la  decisión  de  la  antigua  Comisión</w:t>
        <w:br/>
        <w:t>Europea de Derechos Humanos (ComEDH) en el caso Chrysostomos et alii  versus</w:t>
        <w:br/>
        <w:t>Turquía (1991), in ComEDH,  Decisions  and  Reports,  vol.  68,  Strasbourg,</w:t>
        <w:br/>
        <w:t>C.E., [1991], pp. 216-253; y cf., anteriormente,  los  obiter  dicta  de  la</w:t>
        <w:br/>
        <w:t>Comisión, en el mismo sentido, en sus decisiones en los  Casos  Lingüísticos</w:t>
        <w:br/>
        <w:t>Belgas (1966-1967) y en los casos Kjeldsen, Busk Madsen  y  Pedersen  versus</w:t>
        <w:br/>
        <w:t>Dinamarca (1976).</w:t>
        <w:br/>
        <w:br/>
        <w:t>[36].       Artículo  46  de  la  Convención  Europea,  anteriormente  a  la</w:t>
        <w:br/>
        <w:t>entrada en vigor, el  01.11.1998,  del  Protocolo  n.  11  a  la  Convención</w:t>
        <w:br/>
        <w:t>Europea.</w:t>
        <w:br/>
        <w:br/>
        <w:t>[37].       A lo que agregó, además, el contexto  fundamentalmente  distinto</w:t>
        <w:br/>
        <w:t>en que operan los dos tribunales internacionales, siendo  la  CIJ  "a  free-</w:t>
        <w:br/>
        <w:t>standing international tribunal which has no  links  to  a  standard-setting</w:t>
        <w:br/>
        <w:t>treaty such as the Convention"; cf. European Court of Human Rights  (ECtHR),</w:t>
        <w:br/>
        <w:t>Case of Loizidou versus Turkey (Preliminary Objections),  Strasbourg,  C.E.,</w:t>
        <w:br/>
        <w:t>Sentencia del 23.03.1995, p. 25, párr. 82, y cf. p. 22, párr. 68.  Sobre  la</w:t>
        <w:br/>
        <w:t>prevalencia de las obligaciones convencionales de los  Estados  Partes,  cf.</w:t>
        <w:br/>
        <w:t>también los obiter dicta de la Corte en su decisión  anterior,  en  el  caso</w:t>
        <w:br/>
        <w:t>Belilos versus Suiza (1988). - La  Corte  de  La  Haya,  a  su  vez,  en  su</w:t>
        <w:br/>
        <w:t>Sentencia del 04.12.1998  en  el  caso  de  la  Jurisdicción  de  Pesquerías</w:t>
        <w:br/>
        <w:t>(España versus Canadá), cedió  ante  el  subjetivismo  voluntarista  de  los</w:t>
        <w:br/>
        <w:t>Estados litigantes (cf. ICJ Reports (1998) pp. 438-468),  antitético  de  la</w:t>
        <w:br/>
        <w:t>propia noción de jurisdicción internacional obligatoria, - provocando  Votos</w:t>
        <w:br/>
        <w:t>Disidentes de cinco de sus Jueces, para quienes la CIJ  puso  en  riesgo  el</w:t>
        <w:br/>
        <w:t>propio futuro del mecanismo de la  cláusula  facultativa  bajo  el  artículo</w:t>
        <w:br/>
        <w:t>36.2 de su Estatuto, abriendo la puerta a una eventual deserción  del  mismo</w:t>
        <w:br/>
        <w:t>(cf.  ibid.,   pp.   496-515,   516-552,   553-569,   570-581   y   582-738,</w:t>
        <w:br/>
        <w:t>respectivamente). - En  más  de  una  ocasión  el  énfasis  indebido  en  el</w:t>
        <w:br/>
        <w:t>consentimiento estatal llevó la CIJ  a  decisiones  incongruentes,  como  su</w:t>
        <w:br/>
        <w:t>Sentencia de 1995 en el caso del Timor Oriental; cf. críticas in,  v.g.,  J.</w:t>
        <w:br/>
        <w:t>Dugard, "1966 and All That: the South West  African  Judgment  Revisited  in</w:t>
        <w:br/>
        <w:t>the East Timor Case", 8 African Journal  of  International  and  Comparative</w:t>
        <w:br/>
        <w:t>Law (1996) pp. 549-563;  A.A.  Cançado  Trindade,  "O  Caso  do  Timor-Leste</w:t>
        <w:br/>
        <w:t>(1999): O Direito de Autodeterminação  do  Povo  Timorense",  1  Revista  de</w:t>
        <w:br/>
        <w:t>Derecho de la Universidad Católica del Uruguay (2000) pp. 68-75.  Como  bien</w:t>
        <w:br/>
        <w:t>ha señalado Shabtai Rosenne, el procedimiento judicial internacional  de  la</w:t>
        <w:br/>
        <w:t>Corte de La Haya desafortunadamente continúa siguiendo  hoy  día  el  modelo</w:t>
        <w:br/>
        <w:t>del bilateralismo en el contencioso internacional, propio del siglo XIX;  S.</w:t>
        <w:br/>
        <w:t>Rosenne, "Decolonisation in the International Court of Justice",  8  African</w:t>
        <w:br/>
        <w:t>Journal of International and Comparative Law (1996) p. 576.</w:t>
        <w:br/>
        <w:br/>
        <w:t>[38].       Cf. Corte Interamericana  de  Derechos  Humanos,  caso  Castillo</w:t>
        <w:br/>
        <w:t>Petruzzi y  Otros  versus  Perú  (Excepciones  Preliminares),  Sentencia  de</w:t>
        <w:br/>
        <w:t>04.09.1998,  Serie  C,  n.  41,  Voto  Concurrente  del  Juez  A.A.  Cançado</w:t>
        <w:br/>
        <w:t>Trindade, párrs. 36 y 38.</w:t>
        <w:br/>
        <w:br/>
        <w:t>[39].       Han constituido ejemplos de  tales  excesos  las  objeciones  de</w:t>
        <w:br/>
        <w:t>dominio reservado (domestic jurisdiction/compétence nationale exclusive)  de</w:t>
        <w:br/>
        <w:t>los Estados (criticadas en mi ensayo "The Domestic  Jurisdiction  of  States</w:t>
        <w:br/>
        <w:t>in the Practice of  the  United  Nations  and  Regional  Organisations",  25</w:t>
        <w:br/>
        <w:t>International  and  Comparative  Law  Quarterly  (1976)  pp.  744-751),   la</w:t>
        <w:br/>
        <w:t>previsión de retiro a cualquier momento de  la  aceptación  de  la  cláusula</w:t>
        <w:br/>
        <w:t>facultativa, la previsión de  modificación  posterior  de  los  términos  de</w:t>
        <w:br/>
        <w:t>aceptación de la cláusula, y la previsión de inserción  de  nuevas  reservas</w:t>
        <w:br/>
        <w:t>en el futuro; cf. C.W. Jenks, The Prospects of  International  Adjudication,</w:t>
        <w:br/>
        <w:t>London, Stevens, 1964, p.  108,  y  cf.  pp.  113,  118  y  760-761;  C.H.M.</w:t>
        <w:br/>
        <w:t>Waldock, "Decline of the Optional Clause", op. cit. supra n. (19), p. 270.</w:t>
        <w:br/>
        <w:br/>
        <w:t>[40].       C.W. Jenks, op. cit. supra n. (26), pp. 760-761.</w:t>
        <w:br/>
        <w:br/>
        <w:t>[41].        CtIADH,  caso  del   Tribunal   Constitucional   (Competencia),</w:t>
        <w:br/>
        <w:t>Sentencia del 24.09.1999, Serie C, n. 55, p.  18,  párr.  35;  CtIADH,  caso</w:t>
        <w:br/>
        <w:t>Ivcher Bronstein (Competencia), Sentencia del 24.09.1999, Serie  C,  n.  54,</w:t>
        <w:br/>
        <w:t>p. 16, párr. 36.</w:t>
        <w:br/>
        <w:br/>
        <w:t>[42].       Ejemplificada por la práctica estatal bajo el artículo 36.2  del</w:t>
        <w:br/>
        <w:t>Estatuto de la CIJ (supra).</w:t>
        <w:br/>
        <w:br/>
        <w:t>[43].       Si no fuera así, no habría cualquier seguridad  jurídica  en  el</w:t>
        <w:br/>
        <w:t>contencioso internacional, con  consecuencias  nefastas  sobre  todo  en  el</w:t>
        <w:br/>
        <w:t>dominio  de  la  protección  internacional  de  los  derechos  humanos.   La</w:t>
        <w:br/>
        <w:t>pretensión de analogía  entre  el  contencioso  interestatal  clásico  y  el</w:t>
        <w:br/>
        <w:t>contencioso   internacional   de   los   derechos   humanos   -     dominios</w:t>
        <w:br/>
        <w:t>fundamentalmente distintos - es manifiestamente inadecuada,  por  cuanto  en</w:t>
        <w:br/>
        <w:t>este  último  las  consideraciones   de   orden   superior   (ordre   public</w:t>
        <w:br/>
        <w:t>internacional) priman sobre el voluntarismo de los  Estados.  Éstos  últimos</w:t>
        <w:br/>
        <w:t>no pueden pretender contar con la misma latitud de discrecionalidad  que  se</w:t>
        <w:br/>
        <w:t>han  reservado  en  el  contexto  tradicional  del   contencioso   puramente</w:t>
        <w:br/>
        <w:t>interestatal.</w:t>
        <w:br/>
        <w:br/>
        <w:t>[44].       El párrafo 3 del artículo 62 de la Convención agrega  que:  -"La</w:t>
        <w:br/>
        <w:t>Corte tiene competencia  para  conocer  de  cualquier  caso  relativo  a  la</w:t>
        <w:br/>
        <w:t>interpretación y aplicación de las disposiciones de esta Convención  que  le</w:t>
        <w:br/>
        <w:t>sea sometido, siempre que los Estados Partes en el caso hayan  reconocido  o</w:t>
        <w:br/>
        <w:t>reconozcan dicha competencia, ora por declaración especial, como  se  indica</w:t>
        <w:br/>
        <w:t>en los incisos anteriores, ora por convención especial".</w:t>
        <w:br/>
        <w:br/>
        <w:t>[45].       H. Accioly, Tratado de Derecho Internacional  Público,  tomo  I,</w:t>
        <w:br/>
        <w:t>Rio de Janeiro, Imprensa Nacional, 1945, p. 5.</w:t>
        <w:br/>
        <w:br/>
        <w:t>[46].       Cf. U.N./International  Law  Commission,  "Draft  Guidelines  on</w:t>
        <w:br/>
        <w:t>Reservations to  Treaties",  in:  U.N.,  Report  of  the  International  Law</w:t>
        <w:br/>
        <w:t>Commission on the Work of Its  51st  Session  (May/July  1999),  G.A.O.R.  -</w:t>
        <w:br/>
        <w:t>Suppl. n. 10 (A/54/10/Corr.1-2), 1999, pp. 18-24, item 1.3; e in: Report  of</w:t>
        <w:br/>
        <w:t>the International Law Commission on the Work of Its 52nd  Session  (May/June</w:t>
        <w:br/>
        <w:t>and July/August 2000), G.A.O.R. - Suppl. n. 10  (A/55/10),  2000,  pp.  229-</w:t>
        <w:br/>
        <w:t>272, item  1.7;  y  cf.  también,  más  recientemente,  A.  Pellet  (special</w:t>
        <w:br/>
        <w:t>rapporteur),  Sixth  Report  on   Reservations   to   Treaties   (Addendum),</w:t>
        <w:br/>
        <w:t>U.N./I.L.C. doc. A/CN.4/518/Add.1, de 21.05.2001, pp. 3-31,  párrs.  38-133.</w:t>
        <w:br/>
        <w:br/>
        <w:br/>
        <w:t>[47].       Para un examen de la cuestión, cf., e.g., F. Horn,  Reservations</w:t>
        <w:br/>
        <w:t>and   Interpretative   Declarations   to    Multilateral    Treaties,    The</w:t>
        <w:br/>
        <w:t>Hague/Uppsala, T.M.C. Asser  Instituut/Swedish  Institute  of  International</w:t>
        <w:br/>
        <w:t>Law, 1988, pp. 98-110 y 229-337, y cf. pp. 184-222; D.M. McRae,  "The  Legal</w:t>
        <w:br/>
        <w:t>Effect  of  Interpretative  Declarations",   49   British   Year   Book   of</w:t>
        <w:br/>
        <w:t>International Law (1978) pp. 155-173.</w:t>
        <w:br/>
        <w:br/>
        <w:t>[48].       Recuérdese que en el célebre caso Belilos versus  Suiza  (1988),</w:t>
        <w:br/>
        <w:t>la  Corte  Europea  de  Derechos  Humanos  consideró  que  una   declaración</w:t>
        <w:br/>
        <w:t>interpuesta por Suiza equivaldría a una reserva - de carácter  general  -  a</w:t>
        <w:br/>
        <w:t>la Convención Europea de Derechos Humanos, incompatible con el objeto y  fin</w:t>
        <w:br/>
        <w:t>de esta última. Corte Europea  de  Derechos  Humanos,  caso  Belilos  versus</w:t>
        <w:br/>
        <w:t>Suiza, Sentencia del 29.04.1988, Serie A, n. 132, pp. 20-28, párrs. 38-60.</w:t>
        <w:br/>
        <w:br/>
        <w:t>[49].       CtIADH, caso Blake versus  Guatemala  (Reparaciones),  Sentencia</w:t>
        <w:br/>
        <w:t>del 22.01.1999, Serie  C,  n.  48,  Voto  Razonado  del  Juez  A.A.  Cançado</w:t>
        <w:br/>
        <w:t>Trindade, pp. 52-53, párrs. 32-34.</w:t>
        <w:br/>
        <w:br/>
        <w:t>[50].       Como "medio auxiliar para la  determinación  de  las  reglas  de</w:t>
        <w:br/>
        <w:t>derecho".</w:t>
        <w:br/>
        <w:br/>
        <w:t>[51].       Como esta misma lo  ha  admitido,  v.g.,  en  su  Sentencia  del</w:t>
        <w:br/>
        <w:t>18.11.1960 en el caso de la Sentencia Arbitral del Rey  de  España  de  1906</w:t>
        <w:br/>
        <w:t>(Honduras versus Nicarágua), ICJ Reports (1960) pp. 204-217.</w:t>
        <w:br/>
        <w:br/>
        <w:t>[52].       I. Brownlie, Principles of Public International  Law,  4a.  ed.,</w:t>
        <w:br/>
        <w:t>Oxford, Clarendon Press, 1990, pp. 19-24; A.A. Cançado Trindade,  Princípios</w:t>
        <w:br/>
        <w:t>do Direito Internacional Contemporâneo, Brasília,  Editora  Universidade  de</w:t>
        <w:br/>
        <w:t>Brasília, 1981, pp. 19-20; R.A. Falk, The Role of  Domestic  Courts  in  the</w:t>
        <w:br/>
        <w:t>International Legal Order, Syracuse University  Press,  1964,  pp.  21-52  y</w:t>
        <w:br/>
        <w:t>170; J.A. Barberis, "Les arrêts des tribunaux nationaux et la  formation  du</w:t>
        <w:br/>
        <w:t>droit international coutumier", 46 Revue de droit international de  sciences</w:t>
        <w:br/>
        <w:t>diplomatiques et politiques (1968) pp. 247-253;  F.  Morgenstern,  "Judicial</w:t>
        <w:br/>
        <w:t>Practice and the Supremacy of International Law", 27 British  Year  Book  of</w:t>
        <w:br/>
        <w:t>International Law (1950) p. 90.</w:t>
        <w:br/>
        <w:br/>
        <w:t>[53].       CtIADH, caso Blake versus  Guatemala  (Reparaciones),  Sentencia</w:t>
        <w:br/>
        <w:t>del 22.01.1999, Serie  C,  n.  48,  Voto  Razonado  del  Juez  A.A.  Cançado</w:t>
        <w:br/>
        <w:t>Trindade, pp. 48 y 50, párrs. 23 y 27-28.</w:t>
        <w:br/>
        <w:br/>
        <w:t>[54].       En realidad, no se ha avanzado más en la  solución  judicial  de</w:t>
        <w:br/>
        <w:t>controversias  internacionales  precisamente  porque  los  Estados  se   han</w:t>
        <w:br/>
        <w:t>mostrado refractarios a ella, dispensando  mayor  atención  a  los  factores</w:t>
        <w:br/>
        <w:t>políticos; Ch. de Visscher, Aspects récents du droit procédural de  la  Cour</w:t>
        <w:br/>
        <w:t>Internationale de Justice, Paris, Pédone, 1966, p. 204;  y  cf.  también  L.</w:t>
        <w:br/>
        <w:t>Delbez, Les principes généraux du contentieux  international,  Paris,  LGDJ,</w:t>
        <w:br/>
        <w:t>1962, pp. 68, 74 y 76-77. - Más recientemente, un ex-Presidente  de  la  CIJ</w:t>
        <w:br/>
        <w:t>criticó como insatisfactorio el mal uso hecho por los Estados del  mecanismo</w:t>
        <w:br/>
        <w:t>de la cláusula facultativa (de la jurisdicción obligatoria de  la  CIJ)  del</w:t>
        <w:br/>
        <w:t>Estatuto de la Corte; en sus palabras, los  Estados  pueden  considerar  que</w:t>
        <w:br/>
        <w:t>"hay alguna ventaja política en permanecer fuera de un sistema  que  permite</w:t>
        <w:br/>
        <w:t>a los Estados adherir más o menos en sus  propios  términos  en  un  momento</w:t>
        <w:br/>
        <w:t>oportuno". R.Y. Jennings, "The International Court of  Justice  after  Fifty</w:t>
        <w:br/>
        <w:t>Years", op. cit. supra n. (14), p. 495. Cf. también las críticas de otro ex-</w:t>
        <w:br/>
        <w:t>Presidente de la CIJ: E. Jiménez de  Aréchaga,  "International  Law  in  the</w:t>
        <w:br/>
        <w:t>Past Third of a Century", 159 Recueil  des  Cours  de  l'Académie  de  Droit</w:t>
        <w:br/>
        <w:t>International de La Haye (1978) pp. 154-155; y cf. también las críticas  in:</w:t>
        <w:br/>
        <w:t>H.W. Briggs, "Reservations to the Acceptance of Compulsory  Jurisdiction  of</w:t>
        <w:br/>
        <w:t>the International Court of Justice", 93 Recueil des Cours de  l'Académie  de</w:t>
        <w:br/>
        <w:t>Droit International de La Haye (1958) p. 273. Y cf. también: P.  Guggenheim,</w:t>
        <w:br/>
        <w:t>Traité de Droit international public, vol. I, Genève, Georg, 1967,  p.  279;</w:t>
        <w:br/>
        <w:t>y, en  general,  J.  Sicault,  "Du  caractère  obligatoire  des  engagements</w:t>
        <w:br/>
        <w:t>unilatéraux en Droit international  public",  83  Revue  générale  de  Droit</w:t>
        <w:br/>
        <w:t>international  public  (1979)  pp.  633-688.   -   Esta   práctica   estatal</w:t>
        <w:br/>
        <w:t>desvirtuada no puede, en definitiva, servir de modelo a la operación de  los</w:t>
        <w:br/>
        <w:t>órganos judiciales creados por tratados de derechos humanos.</w:t>
        <w:br/>
        <w:br/>
        <w:t>[55].       Y teniendo siempre presente que la protección  de  los  derechos</w:t>
        <w:br/>
        <w:t>fundamentales nos sitúa precisamente  en  el  dominio  del  jus  cogens.  Al</w:t>
        <w:br/>
        <w:t>respecto,  en  una  intervención  en  los  debates  del  12.03.1986  de   la</w:t>
        <w:br/>
        <w:t>Conferencia  de  Viena  sobre  Derecho  de  los  Tratados  entre  Estados  y</w:t>
        <w:br/>
        <w:t>Organizaciones Internacionales o entre  Organizaciones  Internacionales,  me</w:t>
        <w:br/>
        <w:t>permití advertir para la manifiesta incompatibilidad con el concepto de  jus</w:t>
        <w:br/>
        <w:t>cogens de la concepción voluntarista del derecho internacional, la  cual  no</w:t>
        <w:br/>
        <w:t>es  capaz  siquiera  de  explicar  la  formación  de  reglas   del   derecho</w:t>
        <w:br/>
        <w:t>internacional general; cf. U.N., United Nations Conference  on  the  Law  of</w:t>
        <w:br/>
        <w:t>Treaties  between  States  and  International   Organizations   or   between</w:t>
        <w:br/>
        <w:t>International Organizations (Vienna, 1986) -  Official  Records,  volume  I,</w:t>
        <w:br/>
        <w:t>N.Y., U.N., 1995, pp. 187-188 (intervención de A.A. Cançado Trindade).</w:t>
        <w:br/>
        <w:br/>
        <w:t>[56].       El cual ya es una realidad, en cuanto  a  la  Corte  Europea  de</w:t>
        <w:br/>
        <w:t>Derechos Humanos, a partir de  la  entrada  en  vigor,  el  01.11.1998,  del</w:t>
        <w:br/>
        <w:t>Protocolo n. 11 a la Convención Europea de Derechos  Humanos.  Otro  ejemplo</w:t>
        <w:br/>
        <w:t>de  jurisdicción  obligatoria  es  el  de  la  Corte  de  Justicia  de   las</w:t>
        <w:br/>
        <w:t>Comunidades Europeas;  cf.  H.  Steiger,  "Plaidoyer  pour  une  juridiction</w:t>
        <w:br/>
        <w:t>internationale obligatoire", Theory of International Law  at  the  Threshold</w:t>
        <w:br/>
        <w:t>of the  21st  Century  -  Essays  in  Honour  of  K.  Skubiszewski  (ed.  J.</w:t>
        <w:br/>
        <w:t>Makarczyk), The Hague, Kluwer, 1996, pp. 821-822 y 832.</w:t>
        <w:br/>
        <w:br/>
        <w:t>[57].       Con la necesaria enmienda, - mediante un Protocolo,  -  en  este</w:t>
        <w:br/>
        <w:t>sentido, del artículo 62 de la Convención  Americana,  poniendo  fin  a  las</w:t>
        <w:br/>
        <w:t>restricciones en él previstas y expresamente descartando la  posibilidad  de</w:t>
        <w:br/>
        <w:t>cualesquiera  otras  restricciones,  y  poniendo   igualmente   fin   a   la</w:t>
        <w:br/>
        <w:t>reciprocidad y al carácter facultativo de la aceptación  de  la  competencia</w:t>
        <w:br/>
        <w:t>contenciosa de la Corte, la cual se  tornaría  obligatoria  para  todos  los</w:t>
        <w:br/>
        <w:t>Estados Partes.</w:t>
        <w:br/>
        <w:br/>
        <w:t>[58].       En monografía publicada en  1924,  cuatro  años  después  de  la</w:t>
        <w:br/>
        <w:t>adopción del Estatuto de la antigua CPJI, Nicolas Politis,  al  recordar  la</w:t>
        <w:br/>
        <w:t>evolución histórica de la justicia privada a  la  justicia  pública,  advogó</w:t>
        <w:br/>
        <w:t>igualmente por la evolución, en  el  plano  internacional,  de  la  justicia</w:t>
        <w:br/>
        <w:t>facultativa  a  la  justicia  obligatoria;  cf.  N.  Politis,   La   justice</w:t>
        <w:br/>
        <w:t>internationale, Paris, Libr. Hachette, 1924, pp. 7-255, esp. pp.  193-194  y</w:t>
        <w:br/>
        <w:t>249-250.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