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Caso Barrios Altos Vs.Perú</w:t>
        <w:br/>
        <w:br/>
        <w:br/>
        <w:br/>
        <w:t xml:space="preserve">                    Sentencia de 3 de septiembre de 2001</w:t>
        <w:br/>
        <w:br/>
        <w:t xml:space="preserve">                  (Interpretación de la Sentencia de Fondo)</w:t>
        <w:br/>
        <w:br/>
        <w:br/>
        <w:br/>
        <w:br/>
        <w:t>En el caso Barrios Altos,</w:t>
        <w:br/>
        <w:br/>
        <w:t>la Corte Interamericana de Derechos Humanos (en adelante “la  Corte”  o  “la</w:t>
        <w:br/>
        <w:t>Corte Interamericana”), integrada por los siguientes jueces*:</w:t>
        <w:br/>
        <w:br/>
        <w:t xml:space="preserve">     Antônio A. Cançado Trindade, Presidente;</w:t>
        <w:br/>
        <w:t xml:space="preserve">      Hernán Salgado Pesantes, Juez;</w:t>
        <w:br/>
        <w:t xml:space="preserve">     Alirio Abreu Burelli, Juez;</w:t>
        <w:br/>
        <w:t xml:space="preserve">     Sergio García Ramírez, Juez, y</w:t>
        <w:br/>
        <w:t xml:space="preserve">     Carlos Vicente de Roux Rengifo, Juez;</w:t>
        <w:br/>
        <w:br/>
        <w:t>presentes, además,</w:t>
        <w:br/>
        <w:br/>
        <w:t xml:space="preserve">     Manuel E. Ventura Robles, Secretario y</w:t>
        <w:br/>
        <w:t xml:space="preserve">     Pablo Saavedra Alessandri, Secretario adjunto</w:t>
        <w:br/>
        <w:br/>
        <w:t>de acuerdo con el artículo 67 de  la  Convención  Americana  sobre  Derechos</w:t>
        <w:br/>
        <w:t>Humanos (en adelante “la Convención”  o  “la  Convención  Americana”)  y  el</w:t>
        <w:br/>
        <w:t>artículo 58 del Reglamento de  la  Corte  (en  adelante  “el  Reglamento”)**</w:t>
        <w:br/>
        <w:t>resuelve sobre la  demanda  de  interpretación  de  la  sentencia  de  fondo</w:t>
        <w:br/>
        <w:t>emitida por la Corte el 14 de marzo de 2001 en el  caso  Barrios  Altos  (en</w:t>
        <w:br/>
        <w:t>adelante  “la   sentencia   de   fondo”),   presentada   por   la   Comisión</w:t>
        <w:br/>
        <w:t>Interamericana  de  Derechos  Humanos  (en  adelante  “la  Comisión”  o  “la</w:t>
        <w:br/>
        <w:t>Comisión Interamericana”) el 20 de junio de 2001.</w:t>
        <w:br/>
        <w:br/>
        <w:br/>
        <w:t xml:space="preserve">                                      I</w:t>
        <w:br/>
        <w:t xml:space="preserve">                    Competencia y Composición de la corte</w:t>
        <w:br/>
        <w:br/>
        <w:t>1.    El artículo 67 de la Convención establece que</w:t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De  conformidad  con  el  artículo  citado,  la  Corte  es  competente  para</w:t>
        <w:br/>
        <w:t>interpretar sus fallos, y para el examen de  la  demanda  de  interpretación</w:t>
        <w:br/>
        <w:t>debe tener, si es posible, la misma  composición  que  tenía  al  dictar  la</w:t>
        <w:br/>
        <w:t>sentencia respectiva (artículo 58.3 del Reglamento).  En  esta  ocasión,  la</w:t>
        <w:br/>
        <w:t>Corte se integra con los jueces que dictaron la  sentencia  de  fondo,  cuya</w:t>
        <w:br/>
        <w:t>interpretación ha sido solicitada por la Comisión.</w:t>
        <w:br/>
        <w:br/>
        <w:br/>
        <w:br/>
        <w:br/>
        <w:br/>
        <w:t xml:space="preserve">                                     II</w:t>
        <w:br/>
        <w:br/>
        <w:t xml:space="preserve">                Introducción de la demanda de interpretación</w:t>
        <w:br/>
        <w:br/>
        <w:t>2.    El 20 de junio de 2001 la Comisión presentó,  de  conformidad  con  el</w:t>
        <w:br/>
        <w:t>artículo 67 de la Convención Americana y el artículo 58 del Reglamento,  una</w:t>
        <w:br/>
        <w:t>demanda de interpretación de la sentencia de fondo.</w:t>
        <w:br/>
        <w:br/>
        <w:br/>
        <w:br/>
        <w:br/>
        <w:br/>
        <w:t xml:space="preserve">                                     III</w:t>
        <w:br/>
        <w:br/>
        <w:t xml:space="preserve">                         Procedimiento ante la Corte</w:t>
        <w:br/>
        <w:br/>
        <w:t>3.    Mediante nota de 21 de  junio  de  2001  la  Secretaría  de  la  Corte</w:t>
        <w:br/>
        <w:t>transmitió copia de la demanda de interpretación  al  Estado  del  Perú  (en</w:t>
        <w:br/>
        <w:t>adelante “el Estado” o “el Perú”) y, de conformidad con el artículo  58  del</w:t>
        <w:br/>
        <w:t>Reglamento, le invitó a presentar  las  alegaciones  escritas  que  estimase</w:t>
        <w:br/>
        <w:t>pertinentes a más tardar el 23 de julio del mismo año.</w:t>
        <w:br/>
        <w:br/>
        <w:br/>
        <w:t>4.    El 16 de julio de 2001  el  Estado  solicitó  una  prórroga  para  la</w:t>
        <w:br/>
        <w:t>presentación de  sus  observaciones  a  la  demanda  de  interpretación  de</w:t>
        <w:br/>
        <w:t>sentencia.  Por instrucciones del Presidente de la Corte (en  adelante  “el</w:t>
        <w:br/>
        <w:t>Presidente”) esta prórroga fue otorgada, mediante nota de Secretaría, hasta</w:t>
        <w:br/>
        <w:t>el 13 de agosto de 2001.</w:t>
        <w:br/>
        <w:br/>
        <w:br/>
        <w:t>5.    El 17 de agosto de 2001 el Perú  solicitó  “una  prórroga  excepcional</w:t>
        <w:br/>
        <w:t>hasta el viernes  24  del  presente  mes,  para  la  presentación  de  [sus]</w:t>
        <w:br/>
        <w:t>observaciones […] a la demanda de interpretación de la  sentencia  de  fondo</w:t>
        <w:br/>
        <w:t>sobre el  caso  Barrios  Altos”,  fundamentada  en  “los  recientes  cambios</w:t>
        <w:br/>
        <w:t>ministeriales  originados  por  la  asunción  del   nuevo   Gobierno.”    La</w:t>
        <w:br/>
        <w:t>Secretaría, siguiendo instrucciones del Presidente, informó al  Estado  que,</w:t>
        <w:br/>
        <w:t>atendiendo a la situación excepcional alegada por el Perú,  se  le  otorgaba</w:t>
        <w:br/>
        <w:t>un plazo improrrogable hasta el 22 de agosto de  2001  para  que  presentara</w:t>
        <w:br/>
        <w:t>sus observaciones a la demanda de interpretación de sentencia.</w:t>
        <w:br/>
        <w:br/>
        <w:br/>
        <w:t>6.    El 29 de agosto de 2001 el Perú,  no  obstante  haber  solicitado  dos</w:t>
        <w:br/>
        <w:t>prórrogas que fueron concedidas, presentó extemporáneamente sus  alegaciones</w:t>
        <w:br/>
        <w:t>escritas respecto a la demanda de interpretación.   Al  respecto,  la  Corte</w:t>
        <w:br/>
        <w:t>considera que el tiempo transcurrido no puede considerarse razonable,  según</w:t>
        <w:br/>
        <w:t>el criterio seguido por ella en su jurisprudencia[1];  y  teniendo  presente</w:t>
        <w:br/>
        <w:t>los imperativos de seguridad jurídica y equidad procesal la Corte decide  no</w:t>
        <w:br/>
        <w:t>incorporar dicho escrito al expediente.</w:t>
        <w:br/>
        <w:br/>
        <w:t>7.    El 29 de agosto de 2001 el señor Walter Alban  Peralta,  Defensor  del</w:t>
        <w:br/>
        <w:t>Pueblo del Perú, presentó  un  escrito  como  amicus  curiae,  el  cual  fue</w:t>
        <w:br/>
        <w:t>agregado al expediente.</w:t>
        <w:br/>
        <w:br/>
        <w:br/>
        <w:br/>
        <w:br/>
        <w:br/>
        <w:t xml:space="preserve">                                     IV</w:t>
        <w:br/>
        <w:br/>
        <w:t xml:space="preserve">                            Objeto de la demanda</w:t>
        <w:br/>
        <w:br/>
        <w:t>8.    En la demanda de interpretación, la Comisión solicita a la  Corte  que</w:t>
        <w:br/>
        <w:t>aclare algunas cuestiones relativas al sentido o alcance de la sentencia  de</w:t>
        <w:br/>
        <w:t>fondo.  La  Comisión  solicita,  de  manera  específica,  que  la  Corte  se</w:t>
        <w:br/>
        <w:t>pronuncie sobre si los efectos  del  punto  resolutivo  4  de  la  sentencia</w:t>
        <w:br/>
        <w:t>emitida el 14 de marzo de 2001 en este caso se  aplican  sólo  para  éste  o</w:t>
        <w:br/>
        <w:t>también de manera genérica para  todos  aquellos  casos  de  violaciones  de</w:t>
        <w:br/>
        <w:t>derechos humanos en los cuales  se  han  aplicado  las  referidas  leyes  de</w:t>
        <w:br/>
        <w:t>amnistía (No. 26479 y No. 26492).</w:t>
        <w:br/>
        <w:br/>
        <w:t>9.    Según la Comisión, esta demanda de interpretación está basada en que</w:t>
        <w:br/>
        <w:br/>
        <w:t xml:space="preserve">      [e]n el marco del proceso de negociaciones entre los representantes de</w:t>
        <w:br/>
        <w:t xml:space="preserve">      los peticionarios y el Gobierno peruano sobre el tema de reparaciones,</w:t>
        <w:br/>
        <w:t xml:space="preserve">      los representantes de los peticionarios, con el apoyo de la  Comisión,</w:t>
        <w:br/>
        <w:t xml:space="preserve">      han tratado de que el Estado asuma el compromiso de que se anulen  los</w:t>
        <w:br/>
        <w:t xml:space="preserve">      efectos de las leyes de amnistía (Nº 26479 y Nº 26492)  en  todos  los</w:t>
        <w:br/>
        <w:t xml:space="preserve">      casos de violaciones de derechos humanos en  que  estas  leyes  fueron</w:t>
        <w:br/>
        <w:t xml:space="preserve">      aplicadas.  Sin embargo, los representantes de los  peticionarios  han</w:t>
        <w:br/>
        <w:t xml:space="preserve">      informado a  la  Comisión  […]  que  la  delegación  gubernamental  ha</w:t>
        <w:br/>
        <w:t xml:space="preserve">      persistido  en  su  postura  [de]  que  la  Sentencia  de   la   Corte</w:t>
        <w:br/>
        <w:t xml:space="preserve">      Interamericana, en su  opinión,  tendría  efecto  sólo  para  el  caso</w:t>
        <w:br/>
        <w:t xml:space="preserve">      Barrios Altos.</w:t>
        <w:br/>
        <w:br/>
        <w:br/>
        <w:t xml:space="preserve">                                      V</w:t>
        <w:br/>
        <w:t xml:space="preserve">                                Admisibilidad</w:t>
        <w:br/>
        <w:br/>
        <w:t>10.    El  artículo  67  de  la  Convención  exige,  como   presupuesto   de</w:t>
        <w:br/>
        <w:t>admisibilidad de la  demanda  de  interpretación  de  sentencia,  que  dicha</w:t>
        <w:br/>
        <w:t>demanda sea presentada “dentro de los noventa días a partir de la  fecha  de</w:t>
        <w:br/>
        <w:t>la notificación del fallo”.  La Corte ha  constatado  que  la  sentencia  de</w:t>
        <w:br/>
        <w:t>fondo en el presente caso se notificó a la Comisión Interamericana el 20  de</w:t>
        <w:br/>
        <w:t>marzo de 2001.  Por lo tanto, la demanda de  interpretación  fue  presentada</w:t>
        <w:br/>
        <w:t>oportunamente (supra párr. 2).</w:t>
        <w:br/>
        <w:br/>
        <w:t>11.   Corresponde ahora a la Corte verificar si los términos de  la  demanda</w:t>
        <w:br/>
        <w:t>de interpretación  cumplen  las  normas  aplicables.   El  artículo  58  del</w:t>
        <w:br/>
        <w:t>Reglamento establece, en lo conducente, que</w:t>
        <w:br/>
        <w:br/>
        <w:t xml:space="preserve">      [l]a demanda de interpretación a que se refiere el artículo 67  de  la</w:t>
        <w:br/>
        <w:t xml:space="preserve">      Convención podrá promoverse en relación con las sentencias de fondo  o</w:t>
        <w:br/>
        <w:t xml:space="preserve">      de  reparaciones 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t>12.   La petición de interpretación de la Comisión se basa en  que  el  Perú</w:t>
        <w:br/>
        <w:t>“ha  persistido  en  su  postura  [de]  que  la  Sentencia   de   la   Corte</w:t>
        <w:br/>
        <w:t>Interamericana […] tendría efecto sólo para el caso  Barrios  Altos”  (supra</w:t>
        <w:br/>
        <w:t>párr.9).  Por lo tanto, existe un desacuerdo sobre el sentido o  alcance  de</w:t>
        <w:br/>
        <w:t>la sentencia.</w:t>
        <w:br/>
        <w:br/>
        <w:t>13.   En  razón  de  lo  expuesto,  la  Corte  observa  que  la  demanda  de</w:t>
        <w:br/>
        <w:t>interpretación se adecua a lo previsto en el artículo 67 de la Convención  y</w:t>
        <w:br/>
        <w:t>en el artículo 58 del Reglamento, por  lo  que  la  declara  admisible.   De</w:t>
        <w:br/>
        <w:t>conformidad con lo anterior,  la  Corte  procederá  a  interpretar  aquellos</w:t>
        <w:br/>
        <w:t>aspectos de su fallo en los que exista duda sobre su sentido o alcance.</w:t>
        <w:br/>
        <w:br/>
        <w:br/>
        <w:t xml:space="preserve">                                     VI</w:t>
        <w:br/>
        <w:t xml:space="preserve">         Incompatibilidad de las Leyes de Amnistía con la Convención</w:t>
        <w:br/>
        <w:br/>
        <w:br/>
        <w:t>Alegatos de la Comisión</w:t>
        <w:br/>
        <w:br/>
        <w:br/>
        <w:t>14.   En su demanda de interpretación,  la  Comisión  solicitó  a  la  Corte</w:t>
        <w:br/>
        <w:t>pronunciarse sobre lo siguiente:</w:t>
        <w:br/>
        <w:br/>
        <w:t xml:space="preserve">      [¿]Tiene la Sentencia en el caso Barrios Altos, con  referencia  a  la</w:t>
        <w:br/>
        <w:t xml:space="preserve">      incompatibilidad de las leyes Nos. 26479 y  26492  con  la  Convención</w:t>
        <w:br/>
        <w:t xml:space="preserve">      Americana, alcance general o se limita solamente al caso indicado?</w:t>
        <w:br/>
        <w:br/>
        <w:t>SOBRE EL PARTICULAR, LA COMISIÓN SOSTIENE QUE “LOS EFECTOS DE  LA  SENTENCIA</w:t>
        <w:br/>
        <w:t>DE LA CORTE NO ESTÁN SÓLO REFERIDOS AL  CASO  BARRIOS  ALTOS  SINO  A  TODOS</w:t>
        <w:br/>
        <w:t>AQUELLOS A LOS QUE SE APLIC[ARON] LAS REFERIDAS LEYES DE AMNISTÍA”.   INDICA</w:t>
        <w:br/>
        <w:t>LA COMISIÓN QUE EL PÁRRAFO 44 DE LA SENTENCIA DE 14 DE MARZO DE 2001  DE  LA</w:t>
        <w:br/>
        <w:t>CORTE “DIFÍCILMENTE PERMITE OTRA  INTERPRETACIÓN”.   EN  EL  MISMO  SENTIDO,</w:t>
        <w:br/>
        <w:t>SEÑALA QUE LA DEFENSORÍA DEL PUEBLO,  EN  EL  INFORME  DEFENSORIAL  NO.  57,</w:t>
        <w:br/>
        <w:t>TITULADO “AMNISTÍA  VS  DERECHOS  HUMANOS:  BUSCANDO  JUSTICIA”  Y  APROBADO</w:t>
        <w:br/>
        <w:t>MEDIANTE RESOLUCIÓN DEFENSORIAL NO. 019-2001/DP, SEÑALÓ QUE:</w:t>
        <w:br/>
        <w:br/>
        <w:t xml:space="preserve">      La Sentencia de la Corte Interamericana en el caso Barrios Altos tiene</w:t>
        <w:br/>
        <w:t xml:space="preserve">      alcance general, debido a la naturaleza normativa del acto violatorio:</w:t>
        <w:br/>
        <w:t xml:space="preserve">      las leyes Nº 26479 y Nº 26492.  Estas leyes al ser  incompatibles  con</w:t>
        <w:br/>
        <w:t xml:space="preserve">      la Convención, no pueden serlo sólo en el  caso  Barrios  Altos,  sino</w:t>
        <w:br/>
        <w:t xml:space="preserve">      además con relación  a  todos  los  supuestos  de  violaciones  a  los</w:t>
        <w:br/>
        <w:t xml:space="preserve">      derechos humanos en los que ella resulte aplicable.</w:t>
        <w:br/>
        <w:br/>
        <w:br/>
        <w:t>Consideraciones de la Corte</w:t>
        <w:br/>
        <w:br/>
        <w:br/>
        <w:t>15.   Al referirse a la incompatibilidad de las leyes de  amnistía  con  la</w:t>
        <w:br/>
        <w:t>Convención Americana, la Corte, en la Sentencia de  fondo  en  el  presente</w:t>
        <w:br/>
        <w:t>caso,</w:t>
        <w:br/>
        <w:br/>
        <w:t xml:space="preserve">      […] consider[ó] que son inadmisibles las  disposiciones  de  amnistía,</w:t>
        <w:br/>
        <w:t xml:space="preserve">      las disposiciones de prescripción y el establecimiento de  excluyentes</w:t>
        <w:br/>
        <w:t xml:space="preserve">      de responsabilidad que pretendan impedir la investigación y sanción de</w:t>
        <w:br/>
        <w:t xml:space="preserve">      los responsables de las violaciones graves  de  los  derechos  humanos</w:t>
        <w:br/>
        <w:t xml:space="preserve">      tales como  la  tortura,  las  ejecuciones  sumarias,  extralegales  o</w:t>
        <w:br/>
        <w:t xml:space="preserve">      arbitrarias y las desapariciones forzadas, todas ellas prohibidas  por</w:t>
        <w:br/>
        <w:t xml:space="preserve">      contravenir  derechos  inderogables   reconocidos   por   el   Derecho</w:t>
        <w:br/>
        <w:t xml:space="preserve">      Internacional de los Derechos Humanos[;]</w:t>
        <w:br/>
        <w:br/>
        <w:br/>
        <w:t xml:space="preserve">      […señaló  que,]  conforme  a  lo  alegado  por  la   Comisión   y   no</w:t>
        <w:br/>
        <w:t xml:space="preserve">      controvertido por el Estado,  considera  que  las  leyes  de  amnistía</w:t>
        <w:br/>
        <w:t xml:space="preserve">      adoptadas por el Perú impidieron que los familiares de las víctimas  y</w:t>
        <w:br/>
        <w:t xml:space="preserve">      las víctimas sobrevivientes en el presente caso fueran  oídas  por  un</w:t>
        <w:br/>
        <w:t xml:space="preserve">      juez, conforme a lo señalado en el  artículo  8.1  de  la  Convención;</w:t>
        <w:br/>
        <w:t xml:space="preserve">      violaron el derecho a la protección judicial consagrado en el artículo</w:t>
        <w:br/>
        <w:t xml:space="preserve">      25  de  la  Convención;  impidieron  la  investigación,   persecución,</w:t>
        <w:br/>
        <w:t xml:space="preserve">      captura, enjuiciamiento y sanción de los responsables  de  los  hechos</w:t>
        <w:br/>
        <w:t xml:space="preserve">      ocurridos en  Barrios  Altos,  incumpliendo  el  artículo  1.1  de  la</w:t>
        <w:br/>
        <w:t xml:space="preserve">      Convención, y obstruyeron el esclarecimiento de los hechos  del  caso.</w:t>
        <w:br/>
        <w:t xml:space="preserve">      Finalmente, la adopción de las leyes de autoamnistía incompatibles con</w:t>
        <w:br/>
        <w:t xml:space="preserve">      la Convención incumplió la obligación de adecuar  el  derecho  interno</w:t>
        <w:br/>
        <w:t xml:space="preserve">      consagrada en el artículo 2 de la misma[;]</w:t>
        <w:br/>
        <w:br/>
        <w:br/>
        <w:t xml:space="preserve">      […] estim[ó] necesario enfatizar que, a la  luz  de  las  obligaciones</w:t>
        <w:br/>
        <w:t xml:space="preserve">      generales consagradas en los  artículos  1.1  y  2  de  la  Convención</w:t>
        <w:br/>
        <w:t xml:space="preserve">      Americana,  los  Estados  Partes  tienen  el  deber   de   tomar   las</w:t>
        <w:br/>
        <w:t xml:space="preserve">      providencias de toda  índole  para  que  nadie  sea  sustraído  de  la</w:t>
        <w:br/>
        <w:t xml:space="preserve">      protección judicial y del ejercicio del derecho a un recurso  sencillo</w:t>
        <w:br/>
        <w:t xml:space="preserve">      y eficaz, en los términos de los artículos 8 y 25  de  la  Convención.</w:t>
        <w:br/>
        <w:t xml:space="preserve">      [… Por ello,] los Estados Partes en la Convención  que  adopten  leyes</w:t>
        <w:br/>
        <w:t xml:space="preserve">      que tengan este  efecto,  como  lo  son  las  leyes  de  autoamnistía,</w:t>
        <w:br/>
        <w:t xml:space="preserve">      incurren en una violación de los artículos 8 y 25 en concordancia  con</w:t>
        <w:br/>
        <w:t xml:space="preserve">      los artículos 1.1 y 2 de la Convención.   Las  leyes  de  autoamnistía</w:t>
        <w:br/>
        <w:t xml:space="preserve">      conducen a la indefensión de las víctimas y a la  perpetuación  de  la</w:t>
        <w:br/>
        <w:t xml:space="preserve">      impunidad, por lo que son manifiestamente incompatibles con la letra y</w:t>
        <w:br/>
        <w:t xml:space="preserve">      el espíritu de la Convención Americana.  Este tipo de leyes impide  la</w:t>
        <w:br/>
        <w:t xml:space="preserve">      identificación  de  los  individuos  responsables  de  violaciones   a</w:t>
        <w:br/>
        <w:t xml:space="preserve">      derechos humanos, ya que se obstaculiza la investigación y el acceso a</w:t>
        <w:br/>
        <w:t xml:space="preserve">      la justicia e impide a las víctimas y  a  sus  familiares  conocer  la</w:t>
        <w:br/>
        <w:t xml:space="preserve">      verdad y recibir la reparación correspondiente[; y]</w:t>
        <w:br/>
        <w:br/>
        <w:br/>
        <w:t xml:space="preserve">      […señaló que, c]omo consecuencia  de  la  manifiesta  incompatibilidad</w:t>
        <w:br/>
        <w:t xml:space="preserve">      entre las leyes  de  autoamnistía  y  la  Convención  Americana  sobre</w:t>
        <w:br/>
        <w:t xml:space="preserve">      Derechos Humanos, las mencionadas leyes carecen de efectos jurídicos y</w:t>
        <w:br/>
        <w:t xml:space="preserve">      no pueden seguir representando un obstáculo para la  investigación  de</w:t>
        <w:br/>
        <w:t xml:space="preserve">      los hechos que constituyen este caso ni para la  identificación  y  el</w:t>
        <w:br/>
        <w:t xml:space="preserve">      castigo de los responsables, ni puedan tener igual o  similar  impacto</w:t>
        <w:br/>
        <w:t xml:space="preserve">      respecto de otros casos de violación de los derechos consagrados en la</w:t>
        <w:br/>
        <w:t xml:space="preserve">      Convención Americana acontecidos en el Perú.[2]</w:t>
        <w:br/>
        <w:br/>
        <w:br/>
        <w:br/>
        <w:t>16.   En ese sentido, en el punto resolutivo 4, la Corte declaró que</w:t>
        <w:br/>
        <w:br/>
        <w:t xml:space="preserve">      […] las leyes de amnistía Nº 26479 y Nº 26492 son incompatibles con la</w:t>
        <w:br/>
        <w:t xml:space="preserve">      Convención  Americana  sobre  Derechos  Humanos  y,  en  consecuencia,</w:t>
        <w:br/>
        <w:t xml:space="preserve">      carecen de efectos jurídicos.</w:t>
        <w:br/>
        <w:br/>
        <w:t>EN EL PUNTO RESOLUTIVO 5, LA CORTE DECLARÓ QUE</w:t>
        <w:br/>
        <w:br/>
        <w:br/>
        <w:t xml:space="preserve">      [...] el Estado del Perú debe investigar los  hechos  para  determinar</w:t>
        <w:br/>
        <w:t xml:space="preserve">      las personas responsables de las violaciones de los derechos humanos a</w:t>
        <w:br/>
        <w:t xml:space="preserve">      los que se ha hecho referencia en [la] Sentencia,  así  como  divulgar</w:t>
        <w:br/>
        <w:t xml:space="preserve">      públicamente los resultados de dicha investigación y sancionar  a  los</w:t>
        <w:br/>
        <w:t xml:space="preserve">      responsables.</w:t>
        <w:br/>
        <w:br/>
        <w:t>17.    EN CUANTO  AL  DEBER  DEL  ESTADO  DE  SUPRIMIR  DE  SU  ORDENAMIENTO</w:t>
        <w:br/>
        <w:t>JURÍDICO LAS NORMAS VIGENTES QUE IMPLIQUEN UNA VIOLACIÓN  A  LA  CONVENCIÓN,</w:t>
        <w:br/>
        <w:t>ESTE TRIBUNAL HA SEÑALADO EN SU JURISPRUDENCIA QUE</w:t>
        <w:br/>
        <w:br/>
        <w:t xml:space="preserve">      […] el deber general del Estado, establecido en el artículo  2  de  la</w:t>
        <w:br/>
        <w:t xml:space="preserve">      Convención, incluye la adopción de medidas para suprimir las normas  y</w:t>
        <w:br/>
        <w:t xml:space="preserve">      prácticas de cualquier naturaleza que impliquen una  violación  a  las</w:t>
        <w:br/>
        <w:t xml:space="preserve">      garantías previstas en la Convención, así como la expedición de normas</w:t>
        <w:br/>
        <w:t xml:space="preserve">      y el desarrollo de prácticas conducentes a la observancia efectiva  de</w:t>
        <w:br/>
        <w:t xml:space="preserve">      dichas garantías.</w:t>
        <w:br/>
        <w:br/>
        <w:br/>
        <w:t xml:space="preserve">      […]</w:t>
        <w:br/>
        <w:br/>
        <w:br/>
        <w:t xml:space="preserve">      […]   En el derecho de gentes, una norma consuetudinaria prescribe que</w:t>
        <w:br/>
        <w:t xml:space="preserve">      un Estado que ha  ratificado  un  tratado  de  derechos  humanos  debe</w:t>
        <w:br/>
        <w:t xml:space="preserve">      introducir en su derecho interno las  modificaciones  necesarias  para</w:t>
        <w:br/>
        <w:t xml:space="preserve">      asegurar el fiel cumplimiento  de  las  obligaciones  asumidas.   Esta</w:t>
        <w:br/>
        <w:t xml:space="preserve">      norma es universalmente aceptada,  con  respaldo  jurisprudencial.  La</w:t>
        <w:br/>
        <w:t xml:space="preserve">      Convención Americana establece la obligación general  de  cada  Estado</w:t>
        <w:br/>
        <w:t xml:space="preserve">      Parte de adecuar su derecho  interno  a  las  disposiciones  de  dicha</w:t>
        <w:br/>
        <w:t xml:space="preserve">      Convención, para garantizar los derechos en  ella  consagrados.   Este</w:t>
        <w:br/>
        <w:t xml:space="preserve">      deber general del Estado Parte implica  que  las  medidas  de  derecho</w:t>
        <w:br/>
        <w:t xml:space="preserve">      interno han de  ser  efectivas  (principio  del  effet  utile).   Esto</w:t>
        <w:br/>
        <w:t xml:space="preserve">      significa que el Estado ha de adoptar todas las medidas  para  que  lo</w:t>
        <w:br/>
        <w:t xml:space="preserve">      establecido  en  la  Convención  sea  efectivamente  cumplido  en   su</w:t>
        <w:br/>
        <w:t xml:space="preserve">      ordenamiento jurídico interno, tal como lo requiere el artículo  2  de</w:t>
        <w:br/>
        <w:t xml:space="preserve">      la Convención.  Dichas medidas sólo son  efectivas  cuando  el  Estado</w:t>
        <w:br/>
        <w:t xml:space="preserve">      adapta su actuación a la normativa de protección de la Convención.[3]</w:t>
        <w:br/>
        <w:br/>
        <w:t>18.    La  promulgación  de  una  ley  manifiestamente   contraria   a   las</w:t>
        <w:br/>
        <w:t>obligaciones asumidas por un Estado parte en la  Convención  constituye  per</w:t>
        <w:br/>
        <w:t>se una violación de ésta y genera responsabilidad internacional del  Estado.</w:t>
        <w:br/>
        <w:t xml:space="preserve"> En  consecuencia,  la  Corte  considera  que,  dada  la  naturaleza  de  la</w:t>
        <w:br/>
        <w:t>violación constituida por las leyes de amnistía No. 26479 y  No.  26492,  lo</w:t>
        <w:br/>
        <w:t>resuelto en la sentencia de fondo en el caso  Barrios  Altos  tiene  efectos</w:t>
        <w:br/>
        <w:t>generales, y en esos términos debe ser resuelto  el  interrogante  formulado</w:t>
        <w:br/>
        <w:t>en la demanda de interpretación presentada por la Comisión.</w:t>
        <w:br/>
        <w:br/>
        <w:br/>
        <w:br/>
        <w:br/>
        <w:br/>
        <w:t xml:space="preserve">                                     VII</w:t>
        <w:br/>
        <w:br/>
        <w:br/>
        <w:t>Por las razones expuestas,</w:t>
        <w:br/>
        <w:br/>
        <w:t xml:space="preserve">      La Corte Interamericana de Derechos Humanos</w:t>
        <w:br/>
        <w:br/>
        <w:t>de conformidad con el artículo 67 de la Convención  y  el  artículo  58  del</w:t>
        <w:br/>
        <w:t>Reglamento,</w:t>
        <w:br/>
        <w:br/>
        <w:t xml:space="preserve">      decide:</w:t>
        <w:br/>
        <w:br/>
        <w:t xml:space="preserve">      por unanimidad,</w:t>
        <w:br/>
        <w:br/>
        <w:t>1.    Que es admisible la demanda  de  interpretación,  interpuesta  por  la</w:t>
        <w:br/>
        <w:t>Comisión Interamericana de Derechos Humanos, a la sentencia de 14  de  marzo</w:t>
        <w:br/>
        <w:t>de 2001 en el caso Barrios Altos.</w:t>
        <w:br/>
        <w:br/>
        <w:t>2.    Que, dada la naturaleza de la violación constituida por las  leyes  de</w:t>
        <w:br/>
        <w:t>amnistía No. 26479 y No. 26492, lo resuelto en la sentencia de fondo  en  el</w:t>
        <w:br/>
        <w:t>caso Barrios Altos tiene efectos generales.</w:t>
        <w:br/>
        <w:t>Redactada en español e inglés haciendo fe el texto en español,  en  la  sede</w:t>
        <w:br/>
        <w:t>de la Corte en San José, Costa Rica, el día 3 de septiembre de 2001.</w:t>
        <w:br/>
        <w:br/>
        <w:br/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Hernán Salgado Pesantes      Alirio Abreu Burelli</w:t>
        <w:br/>
        <w:br/>
        <w:br/>
        <w:t>Sergio García Ramírez  Carlos Vicente de Roux Rengifo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-----------------------</w:t>
        <w:br/>
        <w:t>*     El Juez Máximo Pacheco Gómez informó a la Corte que,  por  motivos  de</w:t>
        <w:br/>
        <w:t>fuerza mayor, no podía  participar  en  la  deliberación  y  firma  de  esta</w:t>
        <w:br/>
        <w:t>Sentencia.  El Juez  Oliver  Jackman  no  participó  en  la  deliberación  y</w:t>
        <w:br/>
        <w:t>emisión de la sentencia debido a que  no  participó  en  el  dictado  de  la</w:t>
        <w:br/>
        <w:t>sentencia de fondo.</w:t>
        <w:br/>
        <w:br/>
        <w:t>**    De conformidad con la Resolución de la Corte de 13 de  marzo  de  2001</w:t>
        <w:br/>
        <w:t>sobre Disposiciones Transitorias al Reglamento  de  la  Corte,  la  presente</w:t>
        <w:br/>
        <w:t>Sentencia sobre la interpretación de la  sentencia  de  fondo  del  caso  se</w:t>
        <w:br/>
        <w:t>dicta en los términos del Reglamento adoptado en la Resolución de  la  Corte</w:t>
        <w:br/>
        <w:t>de 16 de septiembre de 1996.</w:t>
        <w:br/>
        <w:t>[1]   Cfr. Caso Baena Ricardo y otros.  Sentencia de 2 de febrero  de  2001.</w:t>
        <w:br/>
        <w:t>Serie C No. 72, párr.  50;  Caso  “La  Última  Tentación  de  Cristo”(Olmedo</w:t>
        <w:br/>
        <w:t>Bustos y otros). Resolución de 9 de noviembre de 1999, considerando  No.  4;</w:t>
        <w:br/>
        <w:t>Caso Paniagua Morales y Otros. Sentencia de 8 de marzo de 1998. Serie C  No.</w:t>
        <w:br/>
        <w:t>37, párrs. 152-156; Caso Suárez Rosero. Sentencia  de  12  de  noviembre  de</w:t>
        <w:br/>
        <w:t>1997. Serie C No. 35, párrs. 70-75; Caso Genie  Lacayo. Sentencia de  29  de</w:t>
        <w:br/>
        <w:t>enero  de  1997.  Serie  C  No.  30,  párrs.  77-81;  Caso  Castillo   Páez,</w:t>
        <w:br/>
        <w:t>Excepciones Preliminares. Sentencia de 30 de enero de 1996. Serie C No.  24,</w:t>
        <w:br/>
        <w:t>párr.  34;  Caso  Paniagua  Morales  y  Otros,   Excepciones   Preliminares.</w:t>
        <w:br/>
        <w:t>Sentencia de 25 de enero de 1996. Serie C No. 23, párrs. 38, 40-42;  y  Caso</w:t>
        <w:br/>
        <w:t>Cayara, Excepciones Preliminares. Sentencia de 3 de febrero de  1993.  Serie</w:t>
        <w:br/>
        <w:t>C No. 14, párrs. 42 y 63.</w:t>
        <w:br/>
        <w:t>[2]   Cfr. Caso Barrios Altos. Sentencia de 14 de marzo  de  2001.  Serie  C</w:t>
        <w:br/>
        <w:t>No. 75, párrs. 41-44.</w:t>
        <w:br/>
        <w:t>[3]   Cfr. Caso “La Última Tentación de Cristo”  (Olmedo  Bustos  y  otros).</w:t>
        <w:br/>
        <w:t>Sentencia de 5 de febrero de 2001.  Serie  C  No.  73,  párrs.  85-87;  Caso</w:t>
        <w:br/>
        <w:t>Durand y Ugarte. Sentencia de 16  de  agosto  de  2000.   Serie  C  No.  68,</w:t>
        <w:br/>
        <w:t>párr.137; y Caso Castillo Petruzzi y otros.  Sentencia  de  30  de  mayo  de</w:t>
        <w:br/>
        <w:t>1999.  Serie C No. 52, párr. 207.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