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 Caso Cantos Vs. Argentina</w:t>
        <w:br/>
        <w:br/>
        <w:br/>
        <w:br/>
        <w:t xml:space="preserve">                    Sentencia de 7 de septiembre de 2001</w:t>
        <w:br/>
        <w:br/>
        <w:t xml:space="preserve">                         (Excepciones Preliminares)</w:t>
        <w:br/>
        <w:br/>
        <w:br/>
        <w:t>En el caso Cantos,</w:t>
        <w:br/>
        <w:br/>
        <w:t>la Corte Interamericana de Derechos Humanos (en adelante “la  Corte”  o  “la</w:t>
        <w:br/>
        <w:t>Corte Interamericana”), integrada de la siguiente manera[1]:</w:t>
        <w:br/>
        <w:br/>
        <w:t xml:space="preserve">      Antônio A. Cançado Trindade, 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Sergio García Ramírez, Juez;</w:t>
        <w:br/>
        <w:br/>
        <w:t xml:space="preserve">      Carlos Vicente de Roux Rengifo, Juez; y</w:t>
        <w:br/>
        <w:br/>
        <w:t xml:space="preserve">      Julio A. Barberis, Juez ad hoc;</w:t>
        <w:br/>
        <w:br/>
        <w:t>presentes, además,</w:t>
        <w:br/>
        <w:br/>
        <w:t xml:space="preserve">      Manuel E. Ventura Robles, Secretario; y</w:t>
        <w:br/>
        <w:t xml:space="preserve">      Pablo Saavedra Alessandri, Secretario adjunto,</w:t>
        <w:br/>
        <w:br/>
        <w:t>de acuerdo  con  el  artículo  36  de  su  Reglamento[2]  (en  adelante  “el</w:t>
        <w:br/>
        <w:t>Reglamento”),  la  Corte  dicta   la   sentencia   sobre   las   excepciones</w:t>
        <w:br/>
        <w:t>preliminares interpuestas  por  la  República  Argentina  (en  adelante  “el</w:t>
        <w:br/>
        <w:t>Estado” o “la Argentina”).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 El  presente  caso  fue  sometido  a  la  Corte   por   la   Comisión</w:t>
        <w:br/>
        <w:t>Interamericana  de  Derechos  Humanos  (en  adelante  “la  Comisión”  o  “la</w:t>
        <w:br/>
        <w:t>Comisión Interamericana”) el  10  de  marzo  de  1999.   La  demanda  de  la</w:t>
        <w:br/>
        <w:t>Comisión tiene su origen en la denuncia N° 11.636 recibida en su  Secretaría</w:t>
        <w:br/>
        <w:t>el 29 de mayo de 1996.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hechos expuestos en la demanda</w:t>
        <w:br/>
        <w:br/>
        <w:br/>
        <w:t>2.    La Comisión Interamericana expuso en su  demanda  los  hechos  en  que</w:t>
        <w:br/>
        <w:t>funda la reclamación. Según la Comisión, a comienzos de la década  de  1970,</w:t>
        <w:br/>
        <w:t>el señor José María Cantos era dueño de un importante grupo  empresarial  en</w:t>
        <w:br/>
        <w:t>la provincia de Santiago del Estero de la República Argentina.   Este  grupo</w:t>
        <w:br/>
        <w:t>estaba integrado por las firmas  Citrícola  del  Norte,  Canroz  S.A.,  José</w:t>
        <w:br/>
        <w:t>María Cantos S.R.L., Rumbo  S.A.,  José  María  Cantos  S.A.,  Miguel  Ángel</w:t>
        <w:br/>
        <w:t>Cantos S.A. y Marta Inés S.A. Además, el  señor  Cantos  era  el  accionista</w:t>
        <w:br/>
        <w:t>principal de la Radiodifusora Santiago del Estero S.A.C. y del  Nuevo  Banco</w:t>
        <w:br/>
        <w:t>de Santiago del Estero y titular de bienes inmuebles urbanos  y  rurales  en</w:t>
        <w:br/>
        <w:t>la mencionada provincia.  Las empresas mencionadas eran  fuente  de  trabajo</w:t>
        <w:br/>
        <w:t>para más de 700 personas.</w:t>
        <w:br/>
        <w:br/>
        <w:t xml:space="preserve">      En marzo de 1972, la Dirección General  de  Rentas  de  la  Provincia,</w:t>
        <w:br/>
        <w:t>presidida entonces por el señor Luis María J. J. Peña, realizó una serie  de</w:t>
        <w:br/>
        <w:t>allanamientos en las dependencias administrativas de las empresas del  señor</w:t>
        <w:br/>
        <w:t>Cantos  por  presunta  infracción  a  la  Ley   de   Sellos[3].    En   esos</w:t>
        <w:br/>
        <w:t>procedimientos,  se  secuestró,  sin  inventariar,  la   totalidad   de   la</w:t>
        <w:br/>
        <w:t>documentación contable, libros  y  registros  de  comercio,  comprobantes  y</w:t>
        <w:br/>
        <w:t>recibos de pago de dichas empresas con terceros y  firmas  proveedoras,  así</w:t>
        <w:br/>
        <w:t>como también numerosos títulos valores y acciones mercantiles.</w:t>
        <w:br/>
        <w:br/>
        <w:t xml:space="preserve">      A partir de ese momento, se produjo un perjuicio económico debido a la</w:t>
        <w:br/>
        <w:t>imposibilidad de operación de las mencionadas  empresas  por  falta  de  los</w:t>
        <w:br/>
        <w:t>títulos correspondientes, y también por la imposibilidad de oponer  defensas</w:t>
        <w:br/>
        <w:t>ante ejecuciones judiciales intentadas por terceros  exigiendo  el  pago  de</w:t>
        <w:br/>
        <w:t>obligaciones ya canceladas.</w:t>
        <w:br/>
        <w:br/>
        <w:t xml:space="preserve">      Desde marzo  de  1972  el  señor  Cantos  planteó  distintas  acciones</w:t>
        <w:br/>
        <w:t>judiciales en defensa de sus intereses.  Así,  en  esa  fecha  presentó  una</w:t>
        <w:br/>
        <w:t>denuncia penal contra el Director General de Rentas de  la  Provincia.   Dos</w:t>
        <w:br/>
        <w:t>meses después interpuso un recurso de amparo, con  resultados  infructuosos.</w:t>
        <w:br/>
        <w:t>El 10 de septiembre de 1973 presentó una reclamación  administrativa  previa</w:t>
        <w:br/>
        <w:t>a la demanda judicial ante el Interventor Federal de la Provincia  tendiente</w:t>
        <w:br/>
        <w:t>al reconocimiento de los daños y perjuicios ocasionados  como  consecuencias</w:t>
        <w:br/>
        <w:t>de  los  allanamientos  y  la  retención  de  la   documentación   comercial</w:t>
        <w:br/>
        <w:t>realizados por los funcionarios de la Dirección  General  de  Rentas  de  la</w:t>
        <w:br/>
        <w:t>Provincia.  El monto de ese perjuicio  se  calculó  en  40.029.070,00  pesos</w:t>
        <w:br/>
        <w:t>(cuarenta millones veintinueve mil  setenta  pesos)  de  la  ley  18.188[4].</w:t>
        <w:br/>
        <w:t>Esta reclamación fue ampliada el 23 de mayo  de  1974,  ocasión  en  que  el</w:t>
        <w:br/>
        <w:t>perjuicio fue estimado en 90.214.669,10 pesos  (noventa millones  doscientos</w:t>
        <w:br/>
        <w:t>catorce mil seiscientos sesenta y nueve pesos con diez centavos) de  la  ley</w:t>
        <w:br/>
        <w:t>18.188. Debido a la falta de respuesta, el señor Cantos  solicitó  el  6  de</w:t>
        <w:br/>
        <w:t>junio de 1974 y el 26 de abril 1976 el “pronto despacho” de  la  reclamación</w:t>
        <w:br/>
        <w:t>administrativa.</w:t>
        <w:br/>
        <w:br/>
        <w:t xml:space="preserve">      Independientemente de las acciones planteadas, José María Cantos llegó</w:t>
        <w:br/>
        <w:t>a un acuerdo con el Gobierno de la Provincia de Santiago del  Estero  el  15</w:t>
        <w:br/>
        <w:t>de julio de 1982 en el que este último  reconoció  una  deuda  para  con  un</w:t>
        <w:br/>
        <w:t>grupo de empresas de aquél, fijando un monto indemnizatorio y una  fecha  de</w:t>
        <w:br/>
        <w:t>cumplimiento de la obligación.</w:t>
        <w:br/>
        <w:br/>
        <w:t xml:space="preserve">      Con motivo de las acciones judiciales intentadas por el señor  Cantos,</w:t>
        <w:br/>
        <w:t>éste fue objeto de “sistemáticas persecuciones y  hostigamientos  por  parte</w:t>
        <w:br/>
        <w:t>de agentes del Estado”.  Así, el señor Cantos fue  detenido  e  incomunicado</w:t>
        <w:br/>
        <w:t>en más de treinta ocasiones por agentes policiales.   Los  hijos  del  señor</w:t>
        <w:br/>
        <w:t>Cantos, menores de  edad  en  aquella  época,  fueron  detenidos  en  varias</w:t>
        <w:br/>
        <w:t>oportunidades.  Incluso, la residencia de la familia Cantos  tuvo  apostados</w:t>
        <w:br/>
        <w:t>agentes de policía de manera permanente para impedir la entrada o salida  de</w:t>
        <w:br/>
        <w:t>cualquier persona.  Según el registro de antecedentes  diligenciado  por  la</w:t>
        <w:br/>
        <w:t>Policía de la Provincia de Santiago del Estero, entre 1972 y  1985  abrieron</w:t>
        <w:br/>
        <w:t>contra José María Cantos diecisiete causas diferentes  por  los  delitos  de</w:t>
        <w:br/>
        <w:t>estafa, defraudación y falsificación.  El imputado fue sobreseído  en  todos</w:t>
        <w:br/>
        <w:t>los casos.</w:t>
        <w:br/>
        <w:br/>
        <w:t xml:space="preserve">      Dado que la Provincia de Santiago del Estero no cumplió con lo pactado</w:t>
        <w:br/>
        <w:t>con el señor Cantos el 15 de julio de 1982 y  habiendo  concluido  el  plazo</w:t>
        <w:br/>
        <w:t>estipulado, éste presentó el 4 de julio de 1986  una  demanda  contra  dicha</w:t>
        <w:br/>
        <w:t>provincia y contra el Estado argentino ante la Corte Suprema de Justicia  de</w:t>
        <w:br/>
        <w:t>la Nación.  El monto de la reclamación era de 130.245.739,30  pesos  (ciento</w:t>
        <w:br/>
        <w:t>treinta millones doscientos cuarenta  y  cinco  mil  setecientos  treinta  y</w:t>
        <w:br/>
        <w:t>nueve pesos con treinta  centavos)  de  la  ley  18.188.   Este  resultó  de</w:t>
        <w:br/>
        <w:t>actualizar, de acuerdo al valor del dólar estadounidense,  lo  reclamado  el</w:t>
        <w:br/>
        <w:t>23 de mayo de 1974 hasta el 31 de diciembre de 1984, más un interés del  uno</w:t>
        <w:br/>
        <w:t>por ciento diario.</w:t>
        <w:br/>
        <w:br/>
        <w:t xml:space="preserve">      El 3 de septiembre de 1996 la Corte Suprema de Justicia de  la  Nación</w:t>
        <w:br/>
        <w:t>dictó sentencia rechazando la demanda e imponiendo el  pago  de  las  costas</w:t>
        <w:br/>
        <w:t>del juicio al señor Cantos.  Esas costas  ascendían  aproximadamente  a  US$</w:t>
        <w:br/>
        <w:t>140.000.000,00 (ciento cuarenta millones de dólares de  los  Estados  Unidos</w:t>
        <w:br/>
        <w:t>de América).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procedimiento ante la comisiÓn</w:t>
        <w:br/>
        <w:br/>
        <w:br/>
        <w:t>3.    El 29 de mayo de 1996 la Comisión recibió una denuncia  por  supuestas</w:t>
        <w:br/>
        <w:t>violaciones a los derechos humanos del señor José María  Cantos  consagrados</w:t>
        <w:br/>
        <w:t>en los artículos 5 (Derecho a la Integridad Personal), 11 (Protección de  la</w:t>
        <w:br/>
        <w:t>Honra y la Dignidad), 17  (Protección  a  la  Familia),  21  (Derecho  a  la</w:t>
        <w:br/>
        <w:t>Propiedad Privada), 8 (Garantías Judiciales) y 25 (Protección  Judicial)  de</w:t>
        <w:br/>
        <w:t>la Convención Americana sobre Derechos Humanos (en adelante “la  Convención”</w:t>
        <w:br/>
        <w:t>o “la  Convención  Americana”).   Se  invocó  también  la  violación  de  la</w:t>
        <w:br/>
        <w:t>obligación  contenida  en  el  artículo  1.1  (Obligación  de  Respetar  los</w:t>
        <w:br/>
        <w:t>Derechos) de esa Convención y el incumplimiento de varios  artículos  de  la</w:t>
        <w:br/>
        <w:t>Declaración Americana de los Derechos y Deberes del Hombre (en adelante  “la</w:t>
        <w:br/>
        <w:t>Declaración”).  La denuncia fue presentada por el presunto damnificado  José</w:t>
        <w:br/>
        <w:t>María Cantos, sus  asesores  jurídicos  señores  Germán  J.  Bidart  Campos,</w:t>
        <w:br/>
        <w:t>Susana Albanese y Emilio Weinschelbaum y el Centro  por  la  Justicia  y  el</w:t>
        <w:br/>
        <w:t>Derecho Internacional (en adelante “CEJIL”).  El 13  de  junio  de  1996  la</w:t>
        <w:br/>
        <w:t>Comisión remitió al Estado las  partes  pertinentes  de  la  denuncia  y  le</w:t>
        <w:br/>
        <w:t>solicitó la correspondiente respuesta.</w:t>
        <w:br/>
        <w:br/>
        <w:t>4.    Entre julio y octubre  de  1996  el  denunciante  original  amplió  la</w:t>
        <w:br/>
        <w:t>denuncia, cuyos términos fueron transmitidos igualmente al Estado.</w:t>
        <w:br/>
        <w:br/>
        <w:t>5.    La Argentina solicitó varias prórrogas, que fueron autorizadas por  la</w:t>
        <w:br/>
        <w:t>Comisión.  Finalmente, el Estado  respondió  el  23  de  diciembre  de  1996</w:t>
        <w:br/>
        <w:t>pidiendo se declarara inadmisible la  reclamación.   Al  día  siguiente,  la</w:t>
        <w:br/>
        <w:t>solicitud argentina fue comunicada a los peticionarios, quienes  presentaron</w:t>
        <w:br/>
        <w:t>su réplica el 16 de enero de 1997.  A su vez, esta réplica  fue  transmitida</w:t>
        <w:br/>
        <w:t>a la Argentina el 22 de enero siguiente.</w:t>
        <w:br/>
        <w:br/>
        <w:t>6.    El 4 de marzo de 1997 se celebró una audiencia en la  que  las  partes</w:t>
        <w:br/>
        <w:t>expusieron los hechos y el derecho aplicable.  El 6 de marzo  siguiente,  el</w:t>
        <w:br/>
        <w:t>señor Cantos presentó una información  adicional  de  la  que  surgiría  que</w:t>
        <w:br/>
        <w:t>había sido objeto de nuevas y desproporcionadas regulaciones  de  honorarios</w:t>
        <w:br/>
        <w:t>en el ámbito interno, razón  por  la  cual  pidió  la  adopción  de  medidas</w:t>
        <w:br/>
        <w:t>cautelares.  En consecuencia de ello, el 11 de marzo  de  1997  la  Comisión</w:t>
        <w:br/>
        <w:t>solicitó al  Estado  la  adopción  de  medidas  tendientes  a  suspender  la</w:t>
        <w:br/>
        <w:t>ejecución judicial de los bienes del señor Cantos.</w:t>
        <w:br/>
        <w:br/>
        <w:t>7.    El 13 de marzo de 1997 la  Comisión  se  puso  a  disposición  de  las</w:t>
        <w:br/>
        <w:t>Partes con el  propósito  de  alcanzar  una  solución  amistosa  y,  en  ese</w:t>
        <w:br/>
        <w:t>sentido, convocó a una audiencia  el  6  de  octubre  de  1997.   Tres  días</w:t>
        <w:br/>
        <w:t>después el Estado argentino informó que no le resultaba  posible  acceder  a</w:t>
        <w:br/>
        <w:t>la  propuesta  de  solución  amistosa  formulada   durante   la   mencionada</w:t>
        <w:br/>
        <w:t>audiencia.</w:t>
        <w:br/>
        <w:br/>
        <w:t>8.    El 3 de noviembre de 1997 los peticionarios informaron a  la  Comisión</w:t>
        <w:br/>
        <w:t>que, a su criterio, no  existían,  por  el  momento,  las  condiciones  para</w:t>
        <w:br/>
        <w:t>alcanzar una solución amistosa y solicitaron que continuara el  trámite  del</w:t>
        <w:br/>
        <w:t>caso.  Dicha información  fue  transmitida  al  Estado.   Los  peticionarios</w:t>
        <w:br/>
        <w:t>remitieron a la Comisión otros escritos relativos  a  la  situación  de  las</w:t>
        <w:br/>
        <w:t>investigaciones y los procesos  judiciales  y  administrativos  internos,  y</w:t>
        <w:br/>
        <w:t>aquélla transmitió las partes pertinentes al Estado.</w:t>
        <w:br/>
        <w:br/>
        <w:t>9.    El 28 de septiembre de 1998 la Comisión aprobó el Informe N°  75/98  y</w:t>
        <w:br/>
        <w:t>lo transmitió al Estado el 10 de  diciembre  del  mismo  año.   La  Comisión</w:t>
        <w:br/>
        <w:t>concluyó que la  Argentina  había  violado  los  derechos  a  las  garantías</w:t>
        <w:br/>
        <w:t>judiciales y a la protección judicial amparados por los artículos 8 y 25  de</w:t>
        <w:br/>
        <w:t>la Convención Americana y el derecho a la propiedad privada  establecido  en</w:t>
        <w:br/>
        <w:t>el artículo 21 de la misma, “todos ellos con relación  a  la  obligación  de</w:t>
        <w:br/>
        <w:t>dicho Estado de respetar, investigar, sancionar y restablecer  los  derechos</w:t>
        <w:br/>
        <w:t>violados de que trata el artículo 1.1 del citado instrumento”.  La  Comisión</w:t>
        <w:br/>
        <w:t>consideró también que el Estado había violado en perjuicio del señor  Cantos</w:t>
        <w:br/>
        <w:t>el derecho a la  justicia  y  el  derecho  de  petición  enunciados  en  los</w:t>
        <w:br/>
        <w:t>artículos 18 y 24 de la Declaración Americana.   La  parte  dispositiva  del</w:t>
        <w:br/>
        <w:t>Informe N° 75/98 dice así:</w:t>
        <w:br/>
        <w:br/>
        <w:t xml:space="preserve">      A.    Recomendar que el Estado argentino  restablezca  al  señor  José</w:t>
        <w:br/>
        <w:t xml:space="preserve">      María Cantos en la plenitud de sus derechos y, entre otras medidas, lo</w:t>
        <w:br/>
        <w:t xml:space="preserve">      repare e indemnice adecuadamente por las violaciones mencionadas […].</w:t>
        <w:br/>
        <w:br/>
        <w:br/>
        <w:t xml:space="preserve">      B.    Transmitir el presente informe al Estado y otorgar un plazo de 2</w:t>
        <w:br/>
        <w:t xml:space="preserve">      meses para que adopte las medidas necesarias a fin de dar cumplimiento</w:t>
        <w:br/>
        <w:t xml:space="preserve">      a la recomendación precedente.  De conformidad con lo  establecido  en</w:t>
        <w:br/>
        <w:t xml:space="preserve">      el  artículo  50  de  la  Convención  Americana,  el  Estado  no  está</w:t>
        <w:br/>
        <w:t xml:space="preserve">      autorizado para publicar el presente informe.</w:t>
        <w:br/>
        <w:br/>
        <w:br/>
        <w:t xml:space="preserve">      C.    Notificar a los peticionarios de la  aprobación  de  un  informe</w:t>
        <w:br/>
        <w:t xml:space="preserve">      bajo el artículo 50 de la Convención Americana en el presente caso.</w:t>
        <w:br/>
        <w:br/>
        <w:t>10.   El 10 de marzo de 1999 la Comisión presentó  el  caso  ante  la  Corte</w:t>
        <w:br/>
        <w:t>Interamericana (supra § 1).</w:t>
        <w:br/>
        <w:br/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11.   La Comisión Interamericana expuso el petitorio de su  demanda  en  los</w:t>
        <w:br/>
        <w:t>términos siguientes:</w:t>
        <w:br/>
        <w:br/>
        <w:t xml:space="preserve">      Con fundamento en la denegación de justicia de que ha sido víctima  el</w:t>
        <w:br/>
        <w:t xml:space="preserve">      señor José María Cantos por parte de las autoridades  argentinas,  las</w:t>
        <w:br/>
        <w:t xml:space="preserve">      que de manera arbitraria se abstuvieron de reparar de manera  efectiva</w:t>
        <w:br/>
        <w:t xml:space="preserve">      los graves perjuicios  que  le  fueran  ocasionados  por  agentes  del</w:t>
        <w:br/>
        <w:t xml:space="preserve">      Estado, la Comisión solicita a la Honorable Corte que dicte  sentencia</w:t>
        <w:br/>
        <w:t xml:space="preserve">      en el presente caso,  declarando  que  el  Estado  argentino  violó  y</w:t>
        <w:br/>
        <w:t xml:space="preserve">      continúa violando los derechos a  las  garantías  judiciales  y  a  la</w:t>
        <w:br/>
        <w:t xml:space="preserve">      protección judicial, protegidos  por  los  artículos  8  y  25  de  la</w:t>
        <w:br/>
        <w:t xml:space="preserve">      Convención y el derecho a la propiedad reconocido por el  artículo  21</w:t>
        <w:br/>
        <w:t xml:space="preserve">      de la misma, todos ellos con relación a la obligación de dicho  Estado</w:t>
        <w:br/>
        <w:t xml:space="preserve">      de respetar, investigar, sancionar y restablecer los derechos violados</w:t>
        <w:br/>
        <w:t xml:space="preserve">      de que trata el artículo 1.1 del citado instrumento.</w:t>
        <w:br/>
        <w:br/>
        <w:t xml:space="preserve">      Igualmente, la Comisión solicita a la Honorable Corte que:</w:t>
        <w:br/>
        <w:br/>
        <w:br/>
        <w:t xml:space="preserve">      1.    Declare que el Estado ha violado en perjuicio del  señor  Cantos</w:t>
        <w:br/>
        <w:t xml:space="preserve">      los siguientes derechos consagrados en la  Declaración  Americana:  el</w:t>
        <w:br/>
        <w:t xml:space="preserve">      derecho a la justicia  (artículo  XVIII)  y  el  derecho  de  petición</w:t>
        <w:br/>
        <w:t xml:space="preserve">      (artículo XXIV).</w:t>
        <w:br/>
        <w:br/>
        <w:br/>
        <w:t xml:space="preserve">      2.    Declare, con fundamento en el artículo 2 de la Convención y  con</w:t>
        <w:br/>
        <w:t xml:space="preserve">      base  en  el  principio  pacta  sunt   servanda   reconocido   en   la</w:t>
        <w:br/>
        <w:t xml:space="preserve">      jurisprudencia de la Corte, que el  Estado  argentino  ha  violado  el</w:t>
        <w:br/>
        <w:t xml:space="preserve">      artículo 50.3 de  la  Convención,  al  incumplir  las  recomendaciones</w:t>
        <w:br/>
        <w:t xml:space="preserve">      formuladas por la Comisión en su Informe No. 75/98.</w:t>
        <w:br/>
        <w:br/>
        <w:br/>
        <w:t xml:space="preserve">      3.    Ordene al Estado argentino el restablecimiento  en  plenitud  de</w:t>
        <w:br/>
        <w:t xml:space="preserve">      los derechos del señor José María Cantos y, entre otras medidas, se lo</w:t>
        <w:br/>
        <w:t xml:space="preserve">      repare e indemnice  adecuadamente  por  las  violaciones  mencionadas,</w:t>
        <w:br/>
        <w:t xml:space="preserve">      conforme a lo establecido en el artículo 63.1 de  la  Convención.   La</w:t>
        <w:br/>
        <w:t xml:space="preserve">      adecuada indemnización compensatoria debe comprender el daño material,</w:t>
        <w:br/>
        <w:t xml:space="preserve">      psicológico y moral actualizado.</w:t>
        <w:br/>
        <w:br/>
        <w:br/>
        <w:t xml:space="preserve">      4.    Ordene al Estado argentino el pago de las costas de la instancia</w:t>
        <w:br/>
        <w:t xml:space="preserve">      internacional,  incluyendo  tanto  los  gastos   ocasionados   en   el</w:t>
        <w:br/>
        <w:t xml:space="preserve">      procedimiento  llevado  a  cabo  ante  la  Comisión,  cuanto  los  que</w:t>
        <w:br/>
        <w:t xml:space="preserve">      ocasionará este proceso ante la Corte, así como los honorarios de  los</w:t>
        <w:br/>
        <w:t xml:space="preserve">      profesionales que asisten a la Comisión en la tramitación del presente</w:t>
        <w:br/>
        <w:t xml:space="preserve">      caso, solicitando que en el momento procesal que corresponda se  sirva</w:t>
        <w:br/>
        <w:t xml:space="preserve">      abrir un incidente especial para que la Comisión  pueda  detallar  los</w:t>
        <w:br/>
        <w:t xml:space="preserve">      gastos que la tramitación del  presente  caso  ha  generado  al  señor</w:t>
        <w:br/>
        <w:t xml:space="preserve">      Cantos y fije honorarios razonables a los profesionales intervinientes</w:t>
        <w:br/>
        <w:t xml:space="preserve">      y a los expertos contables con el propósito de  que  sean  debidamente</w:t>
        <w:br/>
        <w:t xml:space="preserve">      reembolsados por el Estado argentino.</w:t>
        <w:br/>
        <w:br/>
        <w:br/>
        <w:t xml:space="preserve">      5.    Declare que el Estado argentino debe reparar e indemnizar  todos</w:t>
        <w:br/>
        <w:t xml:space="preserve">      los efectos perjudiciales de la  sentencia  dictada  por  el  tribunal</w:t>
        <w:br/>
        <w:t xml:space="preserve">      interno, en tanto violatoria de una norma internacional.</w:t>
        <w:br/>
        <w:br/>
        <w:t>12.   La Comisión designó como delegados a los señores  Robert  K.  Goldman,</w:t>
        <w:br/>
        <w:t>Carlos M. Ayala Corao y Germán J. Bidart Campos, y como  asesores  jurídicos</w:t>
        <w:br/>
        <w:t>a la señora Raquel Poitevien y al señor Hernando  Valencia  Villa.   Además,</w:t>
        <w:br/>
        <w:t>la  Comisión  acreditó  en  calidad  de  asistentes  a  las  señoras  Susana</w:t>
        <w:br/>
        <w:t>Albanese, Viviana Krsticevic y María Claudia  Pulido[5],  y  a  los  señores</w:t>
        <w:br/>
        <w:t>Ariel Dulitzky,  Emilio  Weinschelbaum  y  Martín  Abregú.   Los  asistentes</w:t>
        <w:br/>
        <w:t>mencionados  se  desempeñan  también  como   representantes   del   supuesto</w:t>
        <w:br/>
        <w:t>damnificado.</w:t>
        <w:br/>
        <w:br/>
        <w:t>13.   El 16 de abril de 1999 la Secretaría de  la  Corte  (en  adelante  “la</w:t>
        <w:br/>
        <w:t>Secretaría”), previo examen  preliminar  de  la  demanda  realizado  por  el</w:t>
        <w:br/>
        <w:t>Presidente de la Corte  (en  adelante  “el  Presidente”)  la  transmitió  al</w:t>
        <w:br/>
        <w:t>Estado.</w:t>
        <w:br/>
        <w:br/>
        <w:t>14.   El 19 de mayo de 1999 la Argentina designó como agente en este caso  a</w:t>
        <w:br/>
        <w:t>la Embajador María  Matilde  Lorenzo  Alcalá  de  Martinsen  y  como  agente</w:t>
        <w:br/>
        <w:t>alterno al señor Luis Ugarte. El 31 de marzo de  2000  la  Argentina  revocó</w:t>
        <w:br/>
        <w:t>estas designaciones y nombró como agente al señor Ernesto Alberto  Marcer  y</w:t>
        <w:br/>
        <w:t>como agente alterno al Embajador Leandro Despouy.  Nuevamente el 24 de  mayo</w:t>
        <w:br/>
        <w:t>de 2001 la Argentina sustituyó sus representantes y designó  como  agente  a</w:t>
        <w:br/>
        <w:t>la señora Andrea G. Gualde y como agente alterno  a  la  señora  María  Rosa</w:t>
        <w:br/>
        <w:t>Cilurzo.</w:t>
        <w:br/>
        <w:br/>
        <w:t>15.   El 19 de mayo de 1999 la Argentina nombró juez ad hoc al  señor  Julio</w:t>
        <w:br/>
        <w:t>A. Barberis.</w:t>
        <w:br/>
        <w:br/>
        <w:t>16.    El  18  de  junio  de  1999  la   Argentina   interpuso   excepciones</w:t>
        <w:br/>
        <w:t>preliminares sobre la competencia de la Corte fundadas  en  el  artículo  1,</w:t>
        <w:br/>
        <w:t>inciso 2, de la Convención Americana y en los términos de su  aceptación  de</w:t>
        <w:br/>
        <w:t>la competencia del Tribunal.</w:t>
        <w:br/>
        <w:br/>
        <w:t>17.   El  24  de  junio  de  1999  la  Secretaría  notificó  a  la  Comisión</w:t>
        <w:br/>
        <w:t>Interamericana  el  escrito  sobre  interposición  de  excepciones  que  fue</w:t>
        <w:br/>
        <w:t>respondido el 27 de agosto de 1999.</w:t>
        <w:br/>
        <w:br/>
        <w:t>18.   El 17 de agosto de 1999, la Secretaría de la Corte recibió del  Estado</w:t>
        <w:br/>
        <w:t>la contestación de demanda.</w:t>
        <w:br/>
        <w:br/>
        <w:t>19.   El 23 de abril de 2001 el Presidente resolvió convocar a las Partes  a</w:t>
        <w:br/>
        <w:t>una audiencia pública que se celebraría en la sede de  la  Corte  el  30  de</w:t>
        <w:br/>
        <w:t>mayo de 2001 para escuchar sus alegatos sobre las excepciones preliminares.</w:t>
        <w:br/>
        <w:br/>
        <w:br/>
        <w:t>20.   La audiencia pública tuvo lugar en la sede de la  Corte  en  la  fecha</w:t>
        <w:br/>
        <w:t>prevista.</w:t>
        <w:br/>
        <w:br/>
        <w:t>Comparecieron ante la Corte:</w:t>
        <w:br/>
        <w:br/>
        <w:t xml:space="preserve">      por la Comisión Interamericana:</w:t>
        <w:br/>
        <w:br/>
        <w:t xml:space="preserve">            Robert K. Goldman, delegado;</w:t>
        <w:br/>
        <w:t xml:space="preserve">            Raquel Poitevien, asesora jurídica;</w:t>
        <w:br/>
        <w:t xml:space="preserve">            Susana Albanese, asistente;</w:t>
        <w:br/>
        <w:t xml:space="preserve">            Emilio Weinschelbaum, asistente; y</w:t>
        <w:br/>
        <w:t xml:space="preserve">            Viviana Krsticevic, asistente.</w:t>
        <w:br/>
        <w:br/>
        <w:t xml:space="preserve">      por el Estado argentino:</w:t>
        <w:br/>
        <w:br/>
        <w:t xml:space="preserve">            Andrea G. Gualde, agente; y</w:t>
        <w:br/>
        <w:t xml:space="preserve">            María Rosa Cilurzo, agente alterna.</w:t>
        <w:br/>
        <w:br/>
        <w:br/>
        <w:t xml:space="preserve">                                      v</w:t>
        <w:br/>
        <w:t xml:space="preserve">                                 competencia</w:t>
        <w:br/>
        <w:br/>
        <w:t>21.   La Argentina es Estado parte en la Convención Americana desde el 5  de</w:t>
        <w:br/>
        <w:t>septiembre  de  1984.   Ese  mismo  día  reconoció  también  la  competencia</w:t>
        <w:br/>
        <w:t>contenciosa de la Corte.  En el presente  caso,  el  Estado  alega,  en  las</w:t>
        <w:br/>
        <w:t>excepciones planteadas, que la Corte es  incompetente  para  conocer  de  la</w:t>
        <w:br/>
        <w:t>demanda y se funda en el artículo 1, inciso 2, de la Convención Americana  y</w:t>
        <w:br/>
        <w:t>en los términos en que aceptó el Estado la  competencia  del  Tribunal.   En</w:t>
        <w:br/>
        <w:t>virtud de la regla de la “competencia de la competencia” (compétence  de  la</w:t>
        <w:br/>
        <w:t>compétence/Kompetenz-Kompetenz), establecida tanto en la  jurisprudencia  de</w:t>
        <w:br/>
        <w:t>esta  Corte,  como  por  una  práctica  arbitral  y  judicial   uniforme   y</w:t>
        <w:br/>
        <w:t>constante[6], esta Corte es competente para conocer del  presente  caso.  La</w:t>
        <w:br/>
        <w:t>Convención reconoce esta regla en su artículo 62, inciso 3.  Por  lo  tanto,</w:t>
        <w:br/>
        <w:t>la Corte decidirá a continuación sobre las dos excepciones interpuestas.</w:t>
        <w:br/>
        <w:br/>
        <w:br/>
        <w:br/>
        <w:br/>
        <w:br/>
        <w:t xml:space="preserve">                                     vi</w:t>
        <w:br/>
        <w:br/>
        <w:t xml:space="preserve">                        primera excepción preliminar</w:t>
        <w:br/>
        <w:br/>
        <w:t>22.   La primera excepción preliminar que la Corte va a analizar  y  decidir</w:t>
        <w:br/>
        <w:t>es la relativa al artículo 1, inciso  2,  de  la  Convención  Americana  que</w:t>
        <w:br/>
        <w:t>afirma:  “Para los efectos de esta Convención, persona es todo ser  humano”.</w:t>
        <w:br/>
        <w:t>Basándose en este texto, la Argentina sostiene que la  Convención  Americana</w:t>
        <w:br/>
        <w:t>no es aplicable a las personas jurídicas y que, por ende, las  empresas  del</w:t>
        <w:br/>
        <w:t>señor José María Cantos, que poseen distintas formas societarias,  no  están</w:t>
        <w:br/>
        <w:t>amparadas por el artículo 1.2 de la Convención.</w:t>
        <w:br/>
        <w:br/>
        <w:t>23.    El  Estado  invoca  en  su  apoyo  la   práctica   de   la   Comisión</w:t>
        <w:br/>
        <w:t>Interamericana en  cuanto  a  la  interpretación  del  artículo  1.2  de  la</w:t>
        <w:br/>
        <w:t>Convención y cita los dos pasajes siguientes, entre  otros,  extractados  de</w:t>
        <w:br/>
        <w:t>los pronunciamientos de la Comisión:</w:t>
        <w:br/>
        <w:br/>
        <w:t xml:space="preserve">      [q]ue el Preámbulo de la Convención Americana sobre  Derechos  Humanos</w:t>
        <w:br/>
        <w:t xml:space="preserve">      así como las disposiciones del Artículo  1.2  proveen  que  ‘para  los</w:t>
        <w:br/>
        <w:t xml:space="preserve">      propósitos de esta Convención, ‘persona’ significa todo ser humano’, y</w:t>
        <w:br/>
        <w:t xml:space="preserve">      que por consiguiente, el sistema de personas naturales  y  no  incluye</w:t>
        <w:br/>
        <w:t xml:space="preserve">      personas   jurídicas   [...   c]onsecuentemente,   en    el    sistema</w:t>
        <w:br/>
        <w:t xml:space="preserve">      interamericano, el derecho a la propiedad es un derecho personal y  la</w:t>
        <w:br/>
        <w:t xml:space="preserve">      Comisión tiene atribuciones para proteger los derechos de un individuo</w:t>
        <w:br/>
        <w:t xml:space="preserve">      cuya propiedad es confiscada, pero no  tiene  jurisdicción  sobre  los</w:t>
        <w:br/>
        <w:t xml:space="preserve">      derechos de personas jurídicas, tales como compañías o, como  en  este</w:t>
        <w:br/>
        <w:t xml:space="preserve">      caso, instituciones bancarias[7].</w:t>
        <w:br/>
        <w:br/>
        <w:br/>
        <w:t xml:space="preserve">      […] de acuerdo al segundo párrafo de la  norma  transcrita,  [artículo</w:t>
        <w:br/>
        <w:t xml:space="preserve">      1], la persona protegida  por  la  Convención  es  ‘todo  ser  humano’</w:t>
        <w:br/>
        <w:t xml:space="preserve">      [....].  Por ello, la Comisión considera que la Convención  otorga  su</w:t>
        <w:br/>
        <w:t xml:space="preserve">      protección a las personas físicas o naturales, excluyendo de su ámbito</w:t>
        <w:br/>
        <w:t xml:space="preserve">      de aplicación a las personas jurídicas o ideales, por cuanto éstas son</w:t>
        <w:br/>
        <w:t xml:space="preserve">      ficciones jurídicas sin existencia real en el orden material[8].</w:t>
        <w:br/>
        <w:br/>
        <w:t>24.   Resulta útil, por un momento, aceptar la  interpretación  sugerida  en</w:t>
        <w:br/>
        <w:t>los pasajes transcritos precedentemente y  examinar  las  consecuencias  que</w:t>
        <w:br/>
        <w:t>ella tendría.  Según este criterio,  una  sociedad  civil  o  comercial  que</w:t>
        <w:br/>
        <w:t>sufriera una violación de sus derechos reconocidos por  la  Constitución  de</w:t>
        <w:br/>
        <w:t>su país, como la inviolabilidad de la defensa en juicio  o  la  intervención</w:t>
        <w:br/>
        <w:t>de la correspondencia, no podría invocar el artículo  25  de  la  Convención</w:t>
        <w:br/>
        <w:t>por ser precisamente una persona jurídica. Ejemplos semejantes  podrían  ser</w:t>
        <w:br/>
        <w:t>mencionados respecto de los artículos  10  y  24  de  la  Convención,  entre</w:t>
        <w:br/>
        <w:t>otros.</w:t>
        <w:br/>
        <w:br/>
        <w:t>25.    Cabe  examinar  a  continuación  el  artículo  21  de  la  Convención</w:t>
        <w:br/>
        <w:t>Americana relativo a la  propiedad  privada,  que  interesa  en  este  caso.</w:t>
        <w:br/>
        <w:t>Según la interpretación que la Argentina sugiere y que  la  Comisión  parece</w:t>
        <w:br/>
        <w:t>compartir, si un hacendado adquiere una máquina  cosechadora  para  trabajar</w:t>
        <w:br/>
        <w:t>su campo y el gobierno se la confisca, tendrá el  amparo  del  artículo  21.</w:t>
        <w:br/>
        <w:t>Pero, si en lugar de un hacendado, se trata de dos agricultores  de  escasos</w:t>
        <w:br/>
        <w:t>recursos que forman una sociedad para comprar la  misma  cosechadora,  y  el</w:t>
        <w:br/>
        <w:t>gobierno se la confisca, ellos no podrán  invocar  la  Convención  Americana</w:t>
        <w:br/>
        <w:t>porque la cosechadora en cuestión sería propiedad de  una  sociedad.   Ahora</w:t>
        <w:br/>
        <w:t>bien, si los agricultores del ejemplo, en vez de  constituir  una  sociedad,</w:t>
        <w:br/>
        <w:t>compraran la cosechadora en copropiedad,  la  Convención  podría  ampararlos</w:t>
        <w:br/>
        <w:t>porque según un principio que se remonta al derecho romano,  la  copropiedad</w:t>
        <w:br/>
        <w:t>no constituye nunca una persona ideal.</w:t>
        <w:br/>
        <w:br/>
        <w:t>26.   Toda norma jurídica se refiere siempre a una conducta humana,  que  la</w:t>
        <w:br/>
        <w:t>postula como permitida, prohibida u obligatoria. Cuando una  norma  jurídica</w:t>
        <w:br/>
        <w:t>atribuye un derecho a una sociedad, ésta supone  una  asociación  voluntaria</w:t>
        <w:br/>
        <w:t>de personas que crean un  fondo  patrimonial  común  para  colaborar  en  la</w:t>
        <w:br/>
        <w:t>explotación de una empresa, con ánimo de obtener  un  beneficio  individual,</w:t>
        <w:br/>
        <w:t>participando en el reparto de las ganancias que  se  obtengan.   El  Derecho</w:t>
        <w:br/>
        <w:t>ofrece al individuo  una  amplia  gama  de  alternativas  para  regular  sus</w:t>
        <w:br/>
        <w:t>conductas para con otros  individuos  y  para  limitar  su  responsabilidad.</w:t>
        <w:br/>
        <w:t>Así, existen sociedades colectivas, anónimas, de  responsabilidad  limitada,</w:t>
        <w:br/>
        <w:t>en comandita, etc.  En todo caso, esta unión  organizada  permite  coordinar</w:t>
        <w:br/>
        <w:t>las fuerzas individuales para conseguir un fin común superior. En  razón  de</w:t>
        <w:br/>
        <w:t>lo  anterior,  se  constituye  una  persona  jurídica   diferente   de   sus</w:t>
        <w:br/>
        <w:t>componentes, creándose a su vez un fondo  patrimonial,  el  cual  supone  un</w:t>
        <w:br/>
        <w:t>desplazamiento de cosas o derechos del patrimonio de los  socios  al  de  la</w:t>
        <w:br/>
        <w:t>sociedad, introduciendo limitaciones a la responsabilidad de  dichos  socios</w:t>
        <w:br/>
        <w:t>frente a  terceros.  En  este  mismo  sentido,  la  Corte  Internacional  de</w:t>
        <w:br/>
        <w:t>Justicia en su caso Barcelona Traction[9] ha diferenciado  los  derechos  de</w:t>
        <w:br/>
        <w:t>los accionistas de una empresa de los de la  empresa  misma,  señalando  que</w:t>
        <w:br/>
        <w:t>las  leyes  internas  otorgan  a  los  accionistas   determinados   derechos</w:t>
        <w:br/>
        <w:t>directos, como los de recibir los dividendos acordados, asistir y  votar  en</w:t>
        <w:br/>
        <w:t>las juntas generales y recibir parte de los activos de  la  compañía  en  el</w:t>
        <w:br/>
        <w:t>momento de su liquidación, entre otros.</w:t>
        <w:br/>
        <w:br/>
        <w:t>27.   En el caso sub judice, la Argentina afirma que las personas  jurídicas</w:t>
        <w:br/>
        <w:t>no están incluidas en la Convención Americana y,  por  lo  tanto,  a  dichas</w:t>
        <w:br/>
        <w:t>personas no se les  aplica  sus  disposiciones,  pues  carecen  de  derechos</w:t>
        <w:br/>
        <w:t>humanos. Sin embargo, la Corte hace notar que, en general,  los  derechos  y</w:t>
        <w:br/>
        <w:t>las obligaciones atribuidos a las personas morales se resuelven en  derechos</w:t>
        <w:br/>
        <w:t>y obligaciones de las personas físicas que las constituyen o que  actúan  en</w:t>
        <w:br/>
        <w:t>su nombre o representación.</w:t>
        <w:br/>
        <w:br/>
        <w:t>28.   Además de ello, se podría recordar aquí la Convención de  Viena  sobre</w:t>
        <w:br/>
        <w:t>el Derecho de los Tratados, tal como  esta  Corte  lo  ha  hecho  en  varias</w:t>
        <w:br/>
        <w:t>ocasiones[10], y afirmar que la  interpretación  pretendida  por  el  Estado</w:t>
        <w:br/>
        <w:t>conduce a resultados irrazonables pues implica quitar la  protección  de  la</w:t>
        <w:br/>
        <w:t>Convención a un conjunto importante de derechos humanos.</w:t>
        <w:br/>
        <w:br/>
        <w:t>29.   Esta Corte considera que si bien la figura de las  personas  jurídicas</w:t>
        <w:br/>
        <w:t>no ha sido reconocida expresamente por la Convención Americana, como  sí  lo</w:t>
        <w:br/>
        <w:t>hace el Protocolo no. 1 a la Convención Europea de  Derechos  Humanos,  esto</w:t>
        <w:br/>
        <w:t>no restringe la posibilidad que bajo  determinados  supuestos  el  individuo</w:t>
        <w:br/>
        <w:t>pueda acudir  al  Sistema  Interamericano  de  Protección  de  los  Derechos</w:t>
        <w:br/>
        <w:t>Humanos para hacer valer sus derechos fundamentales, aún cuando  los  mismos</w:t>
        <w:br/>
        <w:t>estén cubiertos por una figura  o  ficción  jurídica  creada  por  el  mismo</w:t>
        <w:br/>
        <w:t>sistema del Derecho. No obstante, vale hacer una distinción para efectos  de</w:t>
        <w:br/>
        <w:t>admitir cuáles situaciones podrán ser analizadas por este Tribunal, bajo  el</w:t>
        <w:br/>
        <w:t>marco de la  Convención  Americana.  En  este  sentido,  ya  esta  Corte  ha</w:t>
        <w:br/>
        <w:t>analizado la posible violación de derechos  de  sujetos  en  su  calidad  de</w:t>
        <w:br/>
        <w:t>accionistas[11].</w:t>
        <w:br/>
        <w:br/>
        <w:t>30.   En el caso sub judice se ha comprobado en el  expediente  judicial  C-</w:t>
        <w:br/>
        <w:t>1099 tramitado ante la Corte Suprema de Justicia de la Nación que todos  los</w:t>
        <w:br/>
        <w:t>recursos administrativos y judiciales, salvo una denuncia penal y un  amparo</w:t>
        <w:br/>
        <w:t>interpuestos  en  1972,  al  inicio  de  los  hechos   denunciados,   fueron</w:t>
        <w:br/>
        <w:t>presentados directamente por “derecho propio y en nombre  de  sus  empresas”</w:t>
        <w:br/>
        <w:t>por el señor Cantos. En razón de ello la supuesta violación de los  derechos</w:t>
        <w:br/>
        <w:t>de la Convención del señor Cantos podrá ser analizado por este  Tribunal  en</w:t>
        <w:br/>
        <w:t>la etapa de fondo correspondiente, en los términos de los párrafos 40 y  41.</w:t>
        <w:br/>
        <w:br/>
        <w:br/>
        <w:t>31.   La Argentina no explica cuál es el  razonamiento  lógico  que  utiliza</w:t>
        <w:br/>
        <w:t>para derivar del texto del artículo 1.2 de la  Convención  la  conclusión  a</w:t>
        <w:br/>
        <w:t>que llega (supra §§ 22 y 23).  Sin embargo, la jurisprudencia  internacional</w:t>
        <w:br/>
        <w:t>ha reiterado que quien pretende basarse  en  un  razonamiento  lógico,  debe</w:t>
        <w:br/>
        <w:t>demostrar los  pasos  de  esa  operación[12].  Una  vez  demostrado  que  la</w:t>
        <w:br/>
        <w:t>interpretación del artículo 1.2 de la Convención Americana se  funda  en  un</w:t>
        <w:br/>
        <w:t>razonamiento que no es válido, la  Corte  considera  que  debe  rechazar  la</w:t>
        <w:br/>
        <w:t>excepción de incompetencia interpuesta.</w:t>
        <w:br/>
        <w:br/>
        <w:br/>
        <w:br/>
        <w:br/>
        <w:br/>
        <w:br/>
        <w:br/>
        <w:br/>
        <w:t xml:space="preserve">                                     vii</w:t>
        <w:br/>
        <w:br/>
        <w:t xml:space="preserve">                        segunda excepción preliminar</w:t>
        <w:br/>
        <w:br/>
        <w:t>32.   La otra excepción preliminar interpuesta por la Argentina se funda  en</w:t>
        <w:br/>
        <w:t>los términos en que aceptó la competencia de esta  Corte.  Tal  como  ya  se</w:t>
        <w:br/>
        <w:t>indicó (supra, § 21), el Estado se hizo parte  de  la  Convención  el  5  de</w:t>
        <w:br/>
        <w:t>septiembre  de  1984,  al  depositar  en  la  Secretaría   General   de   la</w:t>
        <w:br/>
        <w:t>Organización  de  Estados  Americanos   el   instrumento   de   ratificación</w:t>
        <w:br/>
        <w:t>respectivo.  En esa misma fecha reconoció la competencia obligatoria  de  la</w:t>
        <w:br/>
        <w:t>Corte, pero dejó constancia que las obligaciones  contraídas  “sólo  tendrán</w:t>
        <w:br/>
        <w:t>efectos con relación a hechos acaecidos con posterioridad a la  ratificación</w:t>
        <w:br/>
        <w:t>del mencionado instrumento”.  En razón de  esta  declaración,  la  Argentina</w:t>
        <w:br/>
        <w:t>sostiene que la Corte sólo es competente para conocer los  hechos  acaecidos</w:t>
        <w:br/>
        <w:t>con posterioridad al 5 de septiembre de 1984.  El Estado considera  que  los</w:t>
        <w:br/>
        <w:t>hechos que conforman el presente caso ocurrieron antes de esa fecha  y  que,</w:t>
        <w:br/>
        <w:t>por consiguiente, la Corte es incompetente.</w:t>
        <w:br/>
        <w:br/>
        <w:t>33.   Antes de analizar la excepción de incompetencia interpuesta, la  Corte</w:t>
        <w:br/>
        <w:t>estima conveniente puntualizar algunas reglas de derecho  internacional  que</w:t>
        <w:br/>
        <w:t>no aparecen expuestas con claridad en esta controversia.</w:t>
        <w:br/>
        <w:br/>
        <w:t>34.   En este sentido, resulta claro del  texto  de  la  Convención  que  un</w:t>
        <w:br/>
        <w:t>Estado puede ser parte en ella y reconocer o no la  competencia  obligatoria</w:t>
        <w:br/>
        <w:t>de la Corte.  El artículo 62 de la Convención utiliza el verbo “puede”  para</w:t>
        <w:br/>
        <w:t>significar que el reconocimiento de la competencia es facultativo.  Hay  que</w:t>
        <w:br/>
        <w:t>subrayar también que la  Convención  crea  obligaciones  para  los  Estados.</w:t>
        <w:br/>
        <w:t>Estas obligaciones son iguales para todos  los  Estados  partes,  es  decir,</w:t>
        <w:br/>
        <w:t>vinculan de la misma manera y con la misma  intensidad  tanto  a  un  Estado</w:t>
        <w:br/>
        <w:t>parte que ha reconocido la competencia obligatoria de la Corte como  a  otro</w:t>
        <w:br/>
        <w:t>que no lo ha hecho.  Además, es preciso  distinguir  entre  “reservas  a  la</w:t>
        <w:br/>
        <w:t>Convención” y “reconocimiento de la competencia” de la Corte.   Este  último</w:t>
        <w:br/>
        <w:t>es un acto unilateral de cada Estado condicionado por  los  términos  de  la</w:t>
        <w:br/>
        <w:t>propia Convención  Americana como un todo[13]  y,  por  lo  tanto,  no  está</w:t>
        <w:br/>
        <w:t>sujeta  a  reservas.   Si  bien  alguna  doctrina  habla  de  “reservas”  al</w:t>
        <w:br/>
        <w:t>reconocimiento de la competencia de un tribunal internacional, se trata,  en</w:t>
        <w:br/>
        <w:t>realidad,  de  limitaciones  al  reconocimiento  de  esa  competencia  y  no</w:t>
        <w:br/>
        <w:t>técnicamente de reservas a un tratado multilateral.</w:t>
        <w:br/>
        <w:br/>
        <w:t>35.   Al codificar el derecho general sobre el tema, el artículo  28  de  la</w:t>
        <w:br/>
        <w:t>Convención de Viena sobre el Derecho de los Tratados establece que</w:t>
        <w:br/>
        <w:br/>
        <w:t xml:space="preserve">      Las disposiciones de un tratado no obligarán a una parte  respecto  de</w:t>
        <w:br/>
        <w:t xml:space="preserve">      ningún acto o hecho que haya tenido lugar con anterioridad a la  fecha</w:t>
        <w:br/>
        <w:t xml:space="preserve">      de entrada en vigor del tratado para esa parte ni de ninguna situación</w:t>
        <w:br/>
        <w:t xml:space="preserve">      que en esa fecha haya dejado  de  existir,  salvo  que  una  intención</w:t>
        <w:br/>
        <w:t xml:space="preserve">      diferente se desprenda del tratado o conste de otro modo.</w:t>
        <w:br/>
        <w:br/>
        <w:t>36.   Cabe señalar, que en  el  caso  de  la  Argentina,  ésta  depositó  el</w:t>
        <w:br/>
        <w:t>instrumento de ratificación de la Convención Americana y  de  aceptación  de</w:t>
        <w:br/>
        <w:t>la competencia contenciosa de la Corte en la misma fecha,  en  el  entendido</w:t>
        <w:br/>
        <w:t>(conforme al artículo 62) de que ello sólo tendría efecto respecto a  hechos</w:t>
        <w:br/>
        <w:t>o  actos  jurídicos  acaecidos  con  posterioridad   al   depósito   de   la</w:t>
        <w:br/>
        <w:t>ratificación  de  la  Convención  y  de  la  aceptación  de  la  competencia</w:t>
        <w:br/>
        <w:t>contenciosa de la Corte.</w:t>
        <w:br/>
        <w:br/>
        <w:t>37.   A la luz de lo anterior, la Corte  considera  que  debe  aplicarse  el</w:t>
        <w:br/>
        <w:t>principio de la irretroactividad de las  normas  internacionales  consagrado</w:t>
        <w:br/>
        <w:t>en la Convención de Viena sobre el Derecho de los Tratados y en  el  derecho</w:t>
        <w:br/>
        <w:t>internacional general, observando los términos en que la Argentina  se  hizo</w:t>
        <w:br/>
        <w:t>parte en la Convención Americana[14].</w:t>
        <w:br/>
        <w:br/>
        <w:t>38.   Corresponde ahora examinar los hechos articulados  en  la  demanda  en</w:t>
        <w:br/>
        <w:t>conformidad con los términos de la  ratificación  de  la  Convención  y  del</w:t>
        <w:br/>
        <w:t>reconocimiento de la competencia contenciosa de esta Corte por parte  de  la</w:t>
        <w:br/>
        <w:t>Argentina.  Dentro  de  los  hechos  expuestos  (supra  §  2),  es   preciso</w:t>
        <w:br/>
        <w:t>distinguir aquéllos que podrían recaer bajo la  competencia  contenciosa  de</w:t>
        <w:br/>
        <w:t>la Corte.  En este sentido, un  primer  conjunto  de  estos  hechos  estaría</w:t>
        <w:br/>
        <w:t>constituido por aquéllos que,  ocurridos  principalmente  en  la  década  de</w:t>
        <w:br/>
        <w:t>1970, habrían provocado los daños a las empresas y a la  persona  del  señor</w:t>
        <w:br/>
        <w:t>Cantos como los allanamientos de la Dirección de Rentas de la  Provincia  de</w:t>
        <w:br/>
        <w:t>Santiago del Estero,  la  incautación  de  la  documentación  contable,  las</w:t>
        <w:br/>
        <w:t>detenciones y hostigamientos.  Una segunda categoría  estaría  dada  por  el</w:t>
        <w:br/>
        <w:t>acuerdo que se  habría  suscrito  entre  el  Gobierno  de  la  Provincia  de</w:t>
        <w:br/>
        <w:t>Santiago del Estero y el señor Cantos el 15 de julio  de  1982.  Los  hechos</w:t>
        <w:br/>
        <w:t>comprendidos en estos dos grupos son anteriores a la entrada en vigor de  la</w:t>
        <w:br/>
        <w:t>Convención  para  la  Argentina  y,  por  consiguiente,  no  caen  bajo   la</w:t>
        <w:br/>
        <w:t>competencia de esta Corte.</w:t>
        <w:br/>
        <w:br/>
        <w:t>39.   La Comisión alega que algunos de los hechos por los que  se  acusa  al</w:t>
        <w:br/>
        <w:t>Estado  serían  actos  ilícitos  continuados,  esto  es,  que  los  ilícitos</w:t>
        <w:br/>
        <w:t>seguirían existiendo hasta hoy.  La Corte no  considera  necesario  examinar</w:t>
        <w:br/>
        <w:t>aquí la teoría jurídica de los actos ilícitos continuados[15] y  le  resulta</w:t>
        <w:br/>
        <w:t>suficiente verificar que, si  alguno  de  los  hechos  imputados  al  Estado</w:t>
        <w:br/>
        <w:t>tuviere este carácter,  no  sería  un  “hecho  acaecido  después  del  5  de</w:t>
        <w:br/>
        <w:t>septiembre de 1984”, única categoría de actos en relación  con  la  cual  la</w:t>
        <w:br/>
        <w:t>Argentina aceptó la competencia de esta Corte[16].</w:t>
        <w:br/>
        <w:br/>
        <w:t>40.   La tercera categoría de hechos respecto a los cuales se puede  ejercer</w:t>
        <w:br/>
        <w:t>la competencia contenciosa de la Corte comprende  las  actuaciones  seguidas</w:t>
        <w:br/>
        <w:t>ante la Corte Suprema de Justicia de la Argentina con posterioridad al 5  de</w:t>
        <w:br/>
        <w:t>septiembre de 1984, incluyendo la propia sentencia de  3  de  septiembre  de</w:t>
        <w:br/>
        <w:t>1996, si  se  alegare  que  dichas  actuaciones  pueden  constituir  per  se</w:t>
        <w:br/>
        <w:t>infracciones a la Convención Americana.</w:t>
        <w:br/>
        <w:br/>
        <w:t>41.   Por todo lo  anterior,  la  Corte  considera  que  debe  admitir  sólo</w:t>
        <w:br/>
        <w:t>parcialmente la segunda excepción preliminar.</w:t>
        <w:br/>
        <w:br/>
        <w:br/>
        <w:br/>
        <w:br/>
        <w:br/>
        <w:t xml:space="preserve">                                    viii</w:t>
        <w:br/>
        <w:br/>
        <w:t xml:space="preserve">                             puntos resolutivos</w:t>
        <w:br/>
        <w:br/>
        <w:t>42.   Por tanto,</w:t>
        <w:br/>
        <w:br/>
        <w:t xml:space="preserve">      la corte,</w:t>
        <w:br/>
        <w:br/>
        <w:t xml:space="preserve">      decide:</w:t>
        <w:br/>
        <w:br/>
        <w:br/>
        <w:t>por unanimidad</w:t>
        <w:br/>
        <w:br/>
        <w:t>1.    No admitir la primera excepción preliminar  de  incompetencia  fundada</w:t>
        <w:br/>
        <w:t>en el artículo 1.2 de la Convención Americana sobre Derechos Humanos.</w:t>
        <w:br/>
        <w:br/>
        <w:t>2.    Admitir parcialmente la segunda excepción preliminar de  incompetencia</w:t>
        <w:br/>
        <w:t>conforme a lo indicado en los párrafos 38, 39, 40 y 41 de esta sentencia.</w:t>
        <w:br/>
        <w:br/>
        <w:t>3.    Continuar con el conocimiento y tramitación del presente caso.</w:t>
        <w:br/>
        <w:br/>
        <w:t>4.    Comisionar a su Presidente para que, en su  oportunidad,  convoque  al</w:t>
        <w:br/>
        <w:t>Estado y a la Comisión Interamericana de Derechos Humanos  a  una  audiencia</w:t>
        <w:br/>
        <w:t>pública sobre el fondo del caso por  realizarse  en  la  sede  de  la  Corte</w:t>
        <w:br/>
        <w:t>Interamericana de Derechos Humanos.</w:t>
        <w:br/>
        <w:br/>
        <w:t>5.    Notificar esta Sentencia al Estado y a la Comisión  Interamericana  de</w:t>
        <w:br/>
        <w:t>Derechos Humanos.</w:t>
        <w:br/>
        <w:br/>
        <w:br/>
        <w:t>Redactada en castellano y en inglés, haciendo fe el texto en castellano, en</w:t>
        <w:br/>
        <w:t>San José, Costa Rica, el día 7 de septiembre de 2001.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 Oliver Jackman</w:t>
        <w:br/>
        <w:br/>
        <w:t xml:space="preserve">    Alirio Abreu Burelli    Sergio García Ramírez</w:t>
        <w:br/>
        <w:br/>
        <w:br/>
        <w:t>Carlos Vicente de Roux Rengifo    Julio A. Barberis</w:t>
        <w:br/>
        <w:t xml:space="preserve">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t>-----------------------</w:t>
        <w:br/>
        <w:t>[1]   El Juez Máximo Pacheco Gómez informó a la Corte que,  por  motivos  de</w:t>
        <w:br/>
        <w:t>fuerza mayor, no podía estar presente en parte del LII Período Ordinario  de</w:t>
        <w:br/>
        <w:t>Sesiones del Tribunal, por lo que no participó en la  deliberación  y  firma</w:t>
        <w:br/>
        <w:t>de la presente Sentencia.</w:t>
        <w:br/>
        <w:br/>
        <w:t>[2]   De conformidad con la Resolución de la Corte de 13 de  marzo  de  2001</w:t>
        <w:br/>
        <w:t>sobre Disposiciones Transitorias al Reglamento  de  la  Corte,  la  presente</w:t>
        <w:br/>
        <w:t>Sentencia sobre excepciones  preliminares  se  dicta  en  los  términos  del</w:t>
        <w:br/>
        <w:t>Reglamento adoptado en la Resolución de la Corte  de  16  de  septiembre  de</w:t>
        <w:br/>
        <w:t>1996.</w:t>
        <w:br/>
        <w:t>[3]   La Ley de Sellos se refiere a los derechos de registro y timbre.</w:t>
        <w:br/>
        <w:t>[4]   La Ley de 15 de abril de 1969 que dispuso que 100  pesos  equivaldrían</w:t>
        <w:br/>
        <w:t>a 1 denominado “peso ley 18.188”.</w:t>
        <w:br/>
        <w:t>[5]   Mediante la nota de 15 de agosto de  2001,  CEJIL  informó  que  María</w:t>
        <w:br/>
        <w:t>Claudia Pulido no era parte del equipo de dicha organización.</w:t>
        <w:br/>
        <w:t>[6]   Cfr. Caso Constantine y otros, Excepciones Preliminares. Sentencia  de</w:t>
        <w:br/>
        <w:t>1 septiembre de 2001. Serie C No. 82,  párrs.  69  y  72;  Caso  Benjamin  y</w:t>
        <w:br/>
        <w:t>otros, Excepciones Preliminares. Sentencia de 1 septiembre de 2001. Serie  C</w:t>
        <w:br/>
        <w:t>No. 81, párrs. 70 y 73; Caso Hilaire,  Excepciones  Preliminares.  Sentencia</w:t>
        <w:br/>
        <w:t>de 1 septiembre de 2001. Serie C No. 80, párrs. 78 y 81; Caso  del  Tribunal</w:t>
        <w:br/>
        <w:t>Constitucional. Competencia. Sentencia de 24 de septiembre de 1999. Serie  C</w:t>
        <w:br/>
        <w:t>No. 55, párr. 35; y Caso Ivcher Bronstein. Competencia. Sentencia de  24  de</w:t>
        <w:br/>
        <w:t>septiembre de 1999. Serie C No. 54, párr.  36;  y  vid.  también  casos  del</w:t>
        <w:br/>
        <w:t>“Betsey”    (1797)   (La   Pradelle-Politis,    Recueil    des    Arbitrages</w:t>
        <w:br/>
        <w:t>Internationaux, 2ª. ed., Paris,  1957,  t.  I,  p.  51  y  siguientes),  del</w:t>
        <w:br/>
        <w:t>“Sally” (1797) (La Pradelle-Politis, op. cit., t. I, p. 127 y siguientes)  y</w:t>
        <w:br/>
        <w:t>del “Alabama” (1872) (La Pradelle-Politis, op. cit., t. II,  pp.  839,  840,</w:t>
        <w:br/>
        <w:t>889 y siguientes).</w:t>
        <w:br/>
        <w:t>[7]   Informe N° 10/91 del 22.II.1991, Banco de Lima – Perú considerandos  1</w:t>
        <w:br/>
        <w:t>y 2.</w:t>
        <w:br/>
        <w:br/>
        <w:t>[8]   Informe N° 39/99 del 11.III.1999, Mevopal, S.A.-Argentina, párr. 17.</w:t>
        <w:br/>
        <w:t>[9]   Cfr. Barcelona Traction, Light  and Power Company, Limited,  Judgment,</w:t>
        <w:br/>
        <w:t>I.C.J. Reports 1970, p. 36, para. 47.</w:t>
        <w:br/>
        <w:br/>
        <w:t>[10]   Cfr.,  entre   otros,   Caso   Constantine   y   otros,   Excepciones</w:t>
        <w:br/>
        <w:t>Preliminares, supra nota 6, párrs. 75; Caso Benjamin  y  otros,  Excepciones</w:t>
        <w:br/>
        <w:t>Preliminares,  supra  nota  6,   párr.   76;   Caso   Hilaire,   Excepciones</w:t>
        <w:br/>
        <w:t>Preliminares, supra nota 6, párr. 84; El Derecho a la Información  sobre  la</w:t>
        <w:br/>
        <w:t>Asistencia Consular en el marco de las Garantias del Debido  Proceso  Legal.</w:t>
        <w:br/>
        <w:t>Opinión Consultiva OC-16/99 de 1 de octubre de 1999. Serie A No. 16,  párrs.</w:t>
        <w:br/>
        <w:t>58, 114 y 128; Exigibilidad del derecho de rectificación o respuesta  (arts.</w:t>
        <w:br/>
        <w:t>14.1,  1.1  y  2  Convención  Americana  sobre  Derechos  Humanos).  Opinión</w:t>
        <w:br/>
        <w:t>Consultiva OC-7/86 del 29 de agosto de  1986.  Serie  A  No.  7,  párr.  21;</w:t>
        <w:br/>
        <w:t>Propuesta  de  modificación  a  la  Constitución  Política  de  Costa   Rica</w:t>
        <w:br/>
        <w:t>relacionada con la naturalización.  Opinión  Consultiva  OC-4/84  de  19  de</w:t>
        <w:br/>
        <w:t>enero de 1984. Serie A No. 4, párr. 21; y Restricciones a la pena de  muerte</w:t>
        <w:br/>
        <w:t>(Arts. 4.2 y 4.4  Convención  Americana  sobre  Derechos  Humanos),  Opinión</w:t>
        <w:br/>
        <w:t>Consultiva OC-3/83 de 8 de septiembre de 1983. Serie A No. 3., párr. 48.</w:t>
        <w:br/>
        <w:br/>
        <w:t>[11]  Cfr. Caso Ivcher Bronstein. Sentencia de 6 de febrero de  2001.  Serie</w:t>
        <w:br/>
        <w:t>C No. 74, párrs. 123, 125, 138 y 156. En  igual  sentido,  comunicación  del</w:t>
        <w:br/>
        <w:t>Comité de Derechos Humanos No. 502/1992, Barbados, 31 de marzo  de  1994;  y</w:t>
        <w:br/>
        <w:t>comunicación del Comité de Derechos Humanos No. 737/1997, Australia,  30  de</w:t>
        <w:br/>
        <w:t>abril de 1997. A su vez, la Corte Europea decidió en  su  caso  Pine  Valley</w:t>
        <w:br/>
        <w:t>Developments Ltd and Others  v.  Ireland,  que  pese  a  que  existían  tres</w:t>
        <w:br/>
        <w:t>peticionarios: la compañía “Pine  Valley”;  la  compañía  “Healy  Holdings”,</w:t>
        <w:br/>
        <w:t>dueña de “Pine Valley”; y el  señor  Healy,  las  primeras,  es  decir,  las</w:t>
        <w:br/>
        <w:t>personas jurídicas, no eran más que vehículos a  través  de  los  cuales  el</w:t>
        <w:br/>
        <w:t>señor Healy, en su condición de persona física desarrollaba una  determinada</w:t>
        <w:br/>
        <w:t>actividad económica. En todo caso, este Tribunal rechazó  el  argumento  del</w:t>
        <w:br/>
        <w:t>Estado  y  señaló  que  era  artificial   hacer   distinciones   entre   los</w:t>
        <w:br/>
        <w:t>peticionarios para efectos de ser considerados víctimas de una violación  de</w:t>
        <w:br/>
        <w:t>algún derecho consagrado en la Convención Europea.  Eur.  Court  H.R.,  Pine</w:t>
        <w:br/>
        <w:t>Valley Developments Ltd and Others Judgment of 29 November  1991,  Series  A</w:t>
        <w:br/>
        <w:t>no. 222.</w:t>
        <w:br/>
        <w:br/>
        <w:t>[12]  Cfr. Sentencia arbitral del 31.VII.1989 sobre la  delimitación  de  la</w:t>
        <w:br/>
        <w:t>frontera marítima entre Guinea-Bissau y Senegal,  Reports  of  International</w:t>
        <w:br/>
        <w:t>Arbitral Awards, vol. XX, pp. 135-136; y sentencia  arbitral  del  13.X.1995</w:t>
        <w:br/>
        <w:t>sobre la Laguna del Desierto, §§ 77 y 78.</w:t>
        <w:br/>
        <w:t>[13]  Cfr. Caso Constantine y otros, Excepciones  Preliminares,  supra  nota</w:t>
        <w:br/>
        <w:t>6, párr. 74; Caso Benjamin y otros, Excepciones Preliminares, supra nota  6,</w:t>
        <w:br/>
        <w:t>párr. 75; Caso Hilaire, Excepciones Preliminares, supra nota  6,  párr.  83;</w:t>
        <w:br/>
        <w:t>Caso del Tribunal Constitucional. Competencia, supra nota 6,   párrs.  35  y</w:t>
        <w:br/>
        <w:t>36; y Caso Ivcher Bronstein. Competencia, supra nota 6, párrs. 36 y 37.</w:t>
        <w:br/>
        <w:br/>
        <w:t>[14]   Esta  Corte  ha  señalado  que  "los  criterios   de   interpretación</w:t>
        <w:br/>
        <w:t>consagrados en la Convención de Viena  sobre  el  Derecho  de  los  Tratados</w:t>
        <w:br/>
        <w:t>pueden considerarse reglas de derecho internacional sobre  el  tema”.  (Cfr.</w:t>
        <w:br/>
        <w:t>El Derecho a la Información sobre la Asistencia Consular en el marco de  las</w:t>
        <w:br/>
        <w:t>Garantias del Debido Proceso Legal, supra nota 10, párr.  114;  Exigibilidad</w:t>
        <w:br/>
        <w:t>del derecho de rectificación o respuesta (arts. 14.1,  1.1  y  2  Convención</w:t>
        <w:br/>
        <w:t>Americana sobre Derechos Humanos), supra nota 10,  párr.  21;  Propuesta  de</w:t>
        <w:br/>
        <w:t>modificación a la Constitución Política de Costa  Rica  relacionada  con  la</w:t>
        <w:br/>
        <w:t>naturalización, supra nota 10,  párr. 21;  y  Restricciones  a  la  pena  de</w:t>
        <w:br/>
        <w:t>muerte (Arts. 4.2 y 4.4 Convención Americana sobre Derechos Humanos),  supra</w:t>
        <w:br/>
        <w:t>nota  10,  párr.  48).   A  la  vez,  la  Corte  ha   determinado   que   la</w:t>
        <w:br/>
        <w:t>interpretación de la Convención Americana, de acuerdo con la  Convención  de</w:t>
        <w:br/>
        <w:t>Viena  sobre  el  Derecho  de  los  Tratados  (art.  31.1;  buena  fe)  está</w:t>
        <w:br/>
        <w:t>subordinada a su objeto y fin que es la eficaz protección  de  los  derechos</w:t>
        <w:br/>
        <w:t>humanos  (Cfr.,  entre  otros,  Caso  Constantine   y   otros,   Excepciones</w:t>
        <w:br/>
        <w:t>Preliminares, supra nota 6, párr. 75; Caso  Benjamin  y  otros,  Excepciones</w:t>
        <w:br/>
        <w:t>Preliminares,  supra  nota  6,   párr.   76;   Caso   Hilaire,   Excepciones</w:t>
        <w:br/>
        <w:t>Preliminares, supra nota 6, párr. 84; El Derecho a la Información  sobre  la</w:t>
        <w:br/>
        <w:t>Asistencia Consular en el marco de las Garantias del Debido  Proceso  Legal,</w:t>
        <w:br/>
        <w:t>supra nota 10, párrs.  58  y  128;  y  Caso  Caballero  Delgado  y  Santana,</w:t>
        <w:br/>
        <w:t>Excepciones Preliminares, Sentencia de 21 de enero de 1994. Serie C No.  17,</w:t>
        <w:br/>
        <w:t>párr. 30).</w:t>
        <w:br/>
        <w:br/>
        <w:t>[15]  Cfr. Caso Blake, Excepciones Preliminares. Sentencia de 2 de julio  de</w:t>
        <w:br/>
        <w:t>1996. Serie C No. 27, párrs. 29 y ss.</w:t>
        <w:br/>
        <w:br/>
        <w:t>[16]  C.P.J.I., Série A/B, N° 74, p. 37.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