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  Caso Barrios Altos Vs. Perú</w:t>
        <w:br/>
        <w:br/>
        <w:br/>
        <w:t xml:space="preserve">                    Sentencia de 30 de noviembre de 2001</w:t>
        <w:br/>
        <w:t xml:space="preserve">                           (Reparaciones y Costas)</w:t>
        <w:br/>
        <w:br/>
        <w:br/>
        <w:br/>
        <w:br/>
        <w:t>En el caso Barrios Altos,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Juez; y</w:t>
        <w:br/>
        <w:t xml:space="preserve">      Carlos Vicente de Roux Rengifo, Juez;</w:t>
        <w:br/>
        <w:br/>
        <w:t>presentes, además: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con los artículos 29, 55, 56 y 57 del Reglamento  de  la  Corte**</w:t>
        <w:br/>
        <w:t>(en adelante “el Reglamento”), en  relación  con  el  artículo  63.1  de  la</w:t>
        <w:br/>
        <w:t>Convención Americana sobre Derechos Humanos (en adelante “la  Convención”  o</w:t>
        <w:br/>
        <w:t>“la Convención Americana”) y en  consideración  de  lo  establecido  en  los</w:t>
        <w:br/>
        <w:t>puntos resolutivos sexto y séptimo de la sentencia de 14 de marzo  de  2001,</w:t>
        <w:br/>
        <w:t>dicta la presente Sentencia.</w:t>
        <w:br/>
        <w:br/>
        <w:br/>
        <w:br/>
        <w:br/>
        <w:br/>
        <w:t xml:space="preserve">                                      I</w:t>
        <w:br/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conocer de las reparaciones en  el  presente  caso.   El</w:t>
        <w:br/>
        <w:t>Estado del Perú (en adelante “el Estado” o “el Perú”) es Estado parte en  la</w:t>
        <w:br/>
        <w:t>Convención  Americana  desde  el  28  de  julio  de  1978  y  reconoció   la</w:t>
        <w:br/>
        <w:t>competencia obligatoria de la Corte el 21 de enero de 1981.</w:t>
        <w:br/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8 de junio de 2000.</w:t>
        <w:br/>
        <w:br/>
        <w:t>3.    El 14 de marzo de 2001 la Corte dictó sentencia  sobre  el  fondo  del</w:t>
        <w:br/>
        <w:t>caso, en la cual, por unanimidad:</w:t>
        <w:br/>
        <w:br/>
        <w:t xml:space="preserve">      1.    Admiti[ó] el  reconocimiento  de  responsabilidad  internacional</w:t>
        <w:br/>
        <w:t xml:space="preserve">      efectuado por el Estado.</w:t>
        <w:br/>
        <w:br/>
        <w:br/>
        <w:t xml:space="preserve">      2.     Declar[ó],  conforme  a  los  términos  del  reconocimiento  de</w:t>
        <w:br/>
        <w:t xml:space="preserve">      responsabilidad internacional efectuado por el Estado, que éste violó:</w:t>
        <w:br/>
        <w:br/>
        <w:br/>
        <w:t xml:space="preserve">           a)    el derecho a la vida consagrado en el  artículo  4  de  la</w:t>
        <w:br/>
        <w:t xml:space="preserve">                 Convención Americana sobre Derechos Humanos,  en  perjuicio</w:t>
        <w:br/>
        <w:t xml:space="preserve">                 de Placentina Marcela Chumbipuma Aguirre, Luis Alberto Díaz</w:t>
        <w:br/>
        <w:t xml:space="preserve">                 Astovilca,  Octavio  Benigno  Huamanyauri   Nolazco,   Luis</w:t>
        <w:br/>
        <w:t xml:space="preserve">                 Antonio León Borja, Filomeno León León, Máximo  León  León,</w:t>
        <w:br/>
        <w:t xml:space="preserve">                 Lucio  Quispe  Huanaco,  Tito  Ricardo   Ramírez   Alberto,</w:t>
        <w:br/>
        <w:t xml:space="preserve">                 Teobaldo Ríos Lira, Manuel Isaías Ríos Pérez, Javier Manuel</w:t>
        <w:br/>
        <w:t xml:space="preserve">                 Ríos Rojas, Alejandro Rosales Alejandro, Nelly María Rubina</w:t>
        <w:br/>
        <w:t xml:space="preserve">                 Arquiñigo, Odar Mender Sifuentes Nuñez y  Benedicta  Yanque</w:t>
        <w:br/>
        <w:t xml:space="preserve">                 Churo;</w:t>
        <w:br/>
        <w:br/>
        <w:br/>
        <w:t xml:space="preserve">           B)    EL DERECHO A  LA  INTEGRIDAD  PERSONAL  CONSAGRADO  EN  EL</w:t>
        <w:br/>
        <w:t xml:space="preserve">                 ARTÍCULO  5  DE  LA  CONVENCIÓN  AMERICANA  SOBRE  DERECHOS</w:t>
        <w:br/>
        <w:t xml:space="preserve">                 HUMANOS, EN PERJUICIO DE NATIVIDAD  CONDORCAHUANA  CHICAÑA,</w:t>
        <w:br/>
        <w:t xml:space="preserve">                 FELIPE LEÓN LEÓN,  TOMÁS  LIVIAS  ORTEGA  Y  ALFONSO  RODAS</w:t>
        <w:br/>
        <w:t xml:space="preserve">                 ALVÍTEZ; Y</w:t>
        <w:br/>
        <w:br/>
        <w:br/>
        <w:t xml:space="preserve">           c)    el derecho a las garantías judiciales y  a  la  protección</w:t>
        <w:br/>
        <w:t xml:space="preserve">                 judicial  consagrados  en  los  artículos  8  y  25  de  la</w:t>
        <w:br/>
        <w:t xml:space="preserve">                 Convención Americana sobre Derechos Humanos,  en  perjuicio</w:t>
        <w:br/>
        <w:t xml:space="preserve">                 de los familiares de Placentina Marcela Chumbipuma Aguirre,</w:t>
        <w:br/>
        <w:t xml:space="preserve">                 Luis Alberto Díaz Astovilca,  Octavio  Benigno  Huamanyauri</w:t>
        <w:br/>
        <w:t xml:space="preserve">                 Nolazco, Luis  Antonio  León  Borja,  Filomeno  León  León,</w:t>
        <w:br/>
        <w:t xml:space="preserve">                 Máximo  León  León,  Lucio  Quispe  Huanaco,  Tito  Ricardo</w:t>
        <w:br/>
        <w:t xml:space="preserve">                 Ramírez Alberto, Teobaldo Ríos  Lira,  Manuel  Isaías  Ríos</w:t>
        <w:br/>
        <w:t xml:space="preserve">                 Pérez,  Javier  Manuel  Ríos   Rojas,   Alejandro   Rosales</w:t>
        <w:br/>
        <w:t xml:space="preserve">                 Alejandro,  Nelly  María  Rubina  Arquiñigo,  Odar   Mender</w:t>
        <w:br/>
        <w:t xml:space="preserve">                 Sifuentes Nuñez, Benedicta Yanque Churo, y en perjuicio  de</w:t>
        <w:br/>
        <w:t xml:space="preserve">                 Natividad Condorcahuana Chicaña, Felipe  León  León,  Tomás</w:t>
        <w:br/>
        <w:t xml:space="preserve">                 Livias Ortega y Alfonso Rodas Alvítez, como consecuencia de</w:t>
        <w:br/>
        <w:t xml:space="preserve">                 la promulgación y aplicación de las leyes  de  amnistía  Nº</w:t>
        <w:br/>
        <w:t xml:space="preserve">                 26479 y Nº 26492.</w:t>
        <w:br/>
        <w:br/>
        <w:br/>
        <w:t xml:space="preserve">      3.    Declarar[ó], conforme  a  los  términos  del  reconocimiento  de</w:t>
        <w:br/>
        <w:t xml:space="preserve">      responsabilidad efectuado  por  el  Estado,  que  éste  incumplió  los</w:t>
        <w:br/>
        <w:t xml:space="preserve">      artículos 1.1 y 2 de la Convención Americana  sobre  Derechos  Humanos</w:t>
        <w:br/>
        <w:t xml:space="preserve">      como consecuencia de la promulgación y  aplicación  de  las  leyes  de</w:t>
        <w:br/>
        <w:t xml:space="preserve">      amnistía Nº 26479 y Nº 26492 y de la violación a los artículos  de  la</w:t>
        <w:br/>
        <w:t xml:space="preserve">      Convención señalados en el punto resolutivo 2 de esta Sentencia.</w:t>
        <w:br/>
        <w:br/>
        <w:br/>
        <w:t xml:space="preserve">      4.    Declarar[ó] que las leyes de amnistía Nº 26479 y  Nº  26492  son</w:t>
        <w:br/>
        <w:t xml:space="preserve">      incompatibles con la Convención Americana sobre Derechos Humanos y, en</w:t>
        <w:br/>
        <w:t xml:space="preserve">      consecuencia, carecen de efectos jurídicos.</w:t>
        <w:br/>
        <w:br/>
        <w:br/>
        <w:t xml:space="preserve">      5.    DECLARAR[Ó] QUE EL ESTADO DEL PERÚ DEBE  INVESTIGAR  LOS  HECHOS</w:t>
        <w:br/>
        <w:t xml:space="preserve">      PARA DETERMINAR LAS PERSONAS RESPONSABLES DE LAS  VIOLACIONES  DE  LOS</w:t>
        <w:br/>
        <w:t xml:space="preserve">      DERECHOS HUMANOS A LOS QUE SE HA HECHO REFERENCIA EN  ESTA  SENTENCIA,</w:t>
        <w:br/>
        <w:t xml:space="preserve">      ASÍ COMO DIVULGAR PÚBLICAMENTE LOS RESULTADOS DE DICHA INVESTIGACIÓN Y</w:t>
        <w:br/>
        <w:t xml:space="preserve">      SANCIONAR A LOS RESPONSABLES.</w:t>
        <w:br/>
        <w:br/>
        <w:br/>
        <w:t xml:space="preserve">      6.    Disp[uso] que las reparaciones ser[ía]n fijadas de común acuerdo</w:t>
        <w:br/>
        <w:t xml:space="preserve">      por el Estado demandado, la Comisión Interamericana  y  las  víctimas,</w:t>
        <w:br/>
        <w:t xml:space="preserve">      sus familiares o sus representantes legales  debidamente  acreditados,</w:t>
        <w:br/>
        <w:t xml:space="preserve">      dentro de un plazo de tres meses contado a partir de  la  notificación</w:t>
        <w:br/>
        <w:t xml:space="preserve">      de la presente Sentencia.</w:t>
        <w:br/>
        <w:br/>
        <w:br/>
        <w:t xml:space="preserve">      7.    [SE R]ESERV[Ó] LA FACULTAD  DE  REVISAR  Y  APROBAR  EL  ACUERDO</w:t>
        <w:br/>
        <w:t xml:space="preserve">      SEÑALADO EN EL PUNTO RESOLUTIVO PRECEDENTE Y, EN CASO  DE  QUE  NO  SE</w:t>
        <w:br/>
        <w:t xml:space="preserve">      LLEG[ARE] A ÉL, CONTINUAR EL PROCEDIMIENTO DE REPARACIONES.</w:t>
        <w:br/>
        <w:br/>
        <w:t>4.    El 29 de marzo, el 3 de mayo y el  15  de  junio  de  2001  el  Estado</w:t>
        <w:br/>
        <w:t>presentó informes relativos al cumplimiento de la sentencia sobre  el  fondo</w:t>
        <w:br/>
        <w:t>en el presente caso.</w:t>
        <w:br/>
        <w:br/>
        <w:t>5.    El 18 de junio de 2001 la Embajada del Perú en Costa  Rica  remitió  a</w:t>
        <w:br/>
        <w:t>la Secretaría de la Corte  (en  adelante  “la  Secretaría”)  una  copia  del</w:t>
        <w:br/>
        <w:t>Decreto Supremo No. 065-2001-PCM de 2 de junio de 2001, mediante el cual  se</w:t>
        <w:br/>
        <w:t>creó la Comisión de la Verdad, establecida con el objeto de  esclarecer  los</w:t>
        <w:br/>
        <w:t>hechos y las  responsabilidades  de  violaciones  de  los  derechos  humanos</w:t>
        <w:br/>
        <w:t>producidos entre mayo de 1980 y noviembre de 2000.</w:t>
        <w:br/>
        <w:br/>
        <w:t>6.    El 20 de  junio  de  2001  la  Comisión  Interamericana  presentó,  de</w:t>
        <w:br/>
        <w:t>conformidad con el artículo 67 de la Convención Americana y el  artículo  58</w:t>
        <w:br/>
        <w:t>del Reglamento, una demanda de  interpretación  de  la  sentencia  sobre  el</w:t>
        <w:br/>
        <w:t>fondo.</w:t>
        <w:br/>
        <w:br/>
        <w:t>7.    El 3 de septiembre de 2001 la Corte dictó sentencia de  interpretación</w:t>
        <w:br/>
        <w:t>de la sentencia sobre el fondo emitida el 14 de marzo de 2001,  en  la  cual</w:t>
        <w:br/>
        <w:t>decidió, por unanimidad:</w:t>
        <w:br/>
        <w:br/>
        <w:t xml:space="preserve">      1.    Que es admisible la demanda de interpretación,  interpuesta  por</w:t>
        <w:br/>
        <w:t xml:space="preserve">      la Comisión Interamericana de Derechos Humanos, a la sentencia  de  14</w:t>
        <w:br/>
        <w:t xml:space="preserve">      de marzo de 2001 en el caso Barrios Altos.</w:t>
        <w:br/>
        <w:br/>
        <w:br/>
        <w:t xml:space="preserve">      2.    Que, dada la naturaleza de  la  violación  constituida  por  las</w:t>
        <w:br/>
        <w:t xml:space="preserve">      leyes de amnistía No. 26479 y No. 26492, lo resuelto en  la  sentencia</w:t>
        <w:br/>
        <w:t xml:space="preserve">      de fondo en el caso Barrios Altos tiene efectos generales.</w:t>
        <w:br/>
        <w:br/>
        <w:br/>
        <w:t xml:space="preserve">                                     III</w:t>
        <w:br/>
        <w:br/>
        <w:t xml:space="preserve">                  Procedimiento en la Etapa de Reparaciones</w:t>
        <w:br/>
        <w:br/>
        <w:br/>
        <w:t>8.    El 14 de marzo de 2001 la Corte dictó sentencia sobre el fondo, en  la</w:t>
        <w:br/>
        <w:t>cual, entre otros (supra párr. 3),</w:t>
        <w:br/>
        <w:br/>
        <w:t xml:space="preserve">      6.    Disp[uso] que las reparaciones ser[ía]n fijadas de común acuerdo</w:t>
        <w:br/>
        <w:t xml:space="preserve">      por el Estado demandado, la Comisión Interamericana  y  las  víctimas,</w:t>
        <w:br/>
        <w:t xml:space="preserve">      sus familiares o sus representantes legales  debidamente  acreditados,</w:t>
        <w:br/>
        <w:t xml:space="preserve">      dentro de un plazo de tres meses contado a partir de  la  notificación</w:t>
        <w:br/>
        <w:t xml:space="preserve">      de la presente Sentencia.</w:t>
        <w:br/>
        <w:br/>
        <w:br/>
        <w:t xml:space="preserve">      7.    [SE R]ESERV[Ó]  LA FACULTAD DE  REVISAR  Y  APROBAR  EL  ACUERDO</w:t>
        <w:br/>
        <w:t xml:space="preserve">      SEÑALADO EN EL PUNTO  RESOLUTIVO  PRECEDENTE  Y,  EN  CASO  DE  NO  SE</w:t>
        <w:br/>
        <w:t xml:space="preserve">      LLEG[ARE] A ÉL, CONTINUAR EL PROCEDIMIENTO DE REPARACIONES.</w:t>
        <w:br/>
        <w:br/>
        <w:t>9.    El 15 y 19 de junio de 2001  el  Estado  y  la  señora  Sofía  Macher,</w:t>
        <w:br/>
        <w:t>Secretaria  Ejecutiva  de  la  Coordinadora  Nacional  de  Derechos  Humanos</w:t>
        <w:br/>
        <w:t>(CNDDHH), en calidad de representante de  las  víctimas  y  sus  familiares,</w:t>
        <w:br/>
        <w:t>respectivamente, solicitaron a la Corte una prórroga de 30  días  del  plazo</w:t>
        <w:br/>
        <w:t>establecido en el punto resolutivo sexto de la sentencia de 14 de  marzo  de</w:t>
        <w:br/>
        <w:t>2001, con el  objeto  de  lograr  un  acuerdo  sobre  las  reparaciones  del</w:t>
        <w:br/>
        <w:t>presente caso.  La Secretaría, siguiendo instrucciones del Presidente de  la</w:t>
        <w:br/>
        <w:t>Corte (en adelante “el Presidente”), les informó  que  debido  a  que  dicho</w:t>
        <w:br/>
        <w:t>plazo fue establecido mediante sentencia, la solicitud solamente  podía  ser</w:t>
        <w:br/>
        <w:t>conocida y resuelta por el mismo Tribunal que dictó dicho fallo.</w:t>
        <w:br/>
        <w:br/>
        <w:t>10.   El 26 de julio de  2001  el  Perú  remitió  una  copia  del  “Acta  de</w:t>
        <w:br/>
        <w:t>compromiso de la Comisión de Alto Nivel para el caso Barrios  Altos”  y  del</w:t>
        <w:br/>
        <w:t>“Acuerdo de reparación integral a las  víctimas  y  los  familiares  de  las</w:t>
        <w:br/>
        <w:t>víctimas del caso Barrios Altos”, e informó  que  “atendiendo  al  inminente</w:t>
        <w:br/>
        <w:t>cambio de Gobierno, las Partes han  convenido  en  reservar  la  suscripción</w:t>
        <w:br/>
        <w:t>formal del acuerdo para cuando estén instaladas las nuevas  autoridades”[1].</w:t>
        <w:br/>
        <w:br/>
        <w:br/>
        <w:t>11.   El 17  de  septiembre  de  2001  el  Estado  remitió  el  “Acuerdo  de</w:t>
        <w:br/>
        <w:t>reparación integral a las víctimas y los  familiares  de  las  víctimas  del</w:t>
        <w:br/>
        <w:t>caso  Barrios  Altos”  (en  adelante  “el  acuerdo”  o  “el  acuerdo   sobre</w:t>
        <w:br/>
        <w:t>reparaciones”) formalmente  suscrito,  al  cual  adjuntó  4  anexos.   Dicho</w:t>
        <w:br/>
        <w:t>acuerdo había sido suscrito el 22 de agosto de 2001.</w:t>
        <w:br/>
        <w:br/>
        <w:t>12.   El 11 de octubre de 2001 la Secretaría,  siguiendo  instrucciones  del</w:t>
        <w:br/>
        <w:t>Presidente, solicitó al Estado, a la Comisión y a los representantes de  las</w:t>
        <w:br/>
        <w:t>víctimas y sus familiares que presentaran los anexos A y B  del  acuerdo,  a</w:t>
        <w:br/>
        <w:t>los cuales se hace referencia en las cláusulas sexta y  séptima  de  éste  y</w:t>
        <w:br/>
        <w:t>que no fueron aportados; solicitó asimismo que aclararan  la  razón  por  la</w:t>
        <w:br/>
        <w:t>cual no se expidió un cheque a favor de Norma Haydé Quispe  Valle,  señalada</w:t>
        <w:br/>
        <w:t>como beneficiaria de la víctima Lucio Quispe Huanaco, sino a favor  de  otra</w:t>
        <w:br/>
        <w:t>de las hijas de la víctima, Sonia Martha Quispe Valle, y  que  indicaran  el</w:t>
        <w:br/>
        <w:t>nombre de la víctima respecto de la cual son beneficiarios  de  reparaciones</w:t>
        <w:br/>
        <w:t>las siguientes  personas  -a  favor  de  las  cuales  se  giraron  cheques-:</w:t>
        <w:br/>
        <w:t>Clotilde Portella  Blas,  Celestina  Alejandro  Cristóbal,  Gregoria  Medina</w:t>
        <w:br/>
        <w:t>Caurino, Elías Cirilo Rosales Medina  (o  Caurino)  y  Gladys  Sonia  Rubina</w:t>
        <w:br/>
        <w:t>Arquiñigo.  Para la presentación de dicha información se otorgó plazo  hasta</w:t>
        <w:br/>
        <w:t>el 19 de octubre de 2001.</w:t>
        <w:br/>
        <w:br/>
        <w:t>13.   El 17 de octubre de 2001 la Fundación Ecuménica para el  Desarrollo  y</w:t>
        <w:br/>
        <w:t>la Paz (FEDEPAZ), representante de las víctimas y  sus  familiares,  remitió</w:t>
        <w:br/>
        <w:t>un escrito al cual adjuntó el anexo B y copia  del  Oficio  SA-DVM.N°  1538-</w:t>
        <w:br/>
        <w:t>2001 que es parte del anexo A del acuerdo sobre reparaciones.  Asimismo,  en</w:t>
        <w:br/>
        <w:t>dicho escrito se indicaron los nombres  de  los  familiares  de  la  víctima</w:t>
        <w:br/>
        <w:t>Lucio  Quispe  Huanaco  que  han  sido  propuestos  como  beneficiarios   de</w:t>
        <w:br/>
        <w:t>reparaciones y se aclaró que “[e]l  cheque  de  adelanto  de  la  reparación</w:t>
        <w:br/>
        <w:t>económica  que correspondía a Norma Haydee salió a  nombre  de  su  hermana,</w:t>
        <w:br/>
        <w:t>Sonia Martha, a petición de la primera, en vista  de  que  Norma  Quispe  ha</w:t>
        <w:br/>
        <w:t>viajado fuera del país”.  De igual manera,  FEDEPAZ  informó  que  se  había</w:t>
        <w:br/>
        <w:t>omitido indicar como familiares de la víctima Alejandro  Rosales  Alejandro,</w:t>
        <w:br/>
        <w:t>a su esposa, Gregoria Medina Caurino, y a  su  hijo,  Elías  Cirilo  Rosales</w:t>
        <w:br/>
        <w:t>Caurino (o Medina).  Además, se señaló que “Clotilde  Portella  Blas  en  su</w:t>
        <w:br/>
        <w:t>condición de tutora legal de Rocío  Rosales  Capillo,  recibió  y  cobró  el</w:t>
        <w:br/>
        <w:t>cheque en su representación”. Asimismo, se indicó que  se  omitió  consignar</w:t>
        <w:br/>
        <w:t>como beneficiarios de las reparaciones relacionadas  con  la  víctima  Nelly</w:t>
        <w:br/>
        <w:t>María Rubina Arquiñigo “a su hermana Gladis Sonia Rubina Arquiñigo  y  a  su</w:t>
        <w:br/>
        <w:t>tía Virgilia Arquiñigo Huerta”.   Por  último,  FEDEPAZ  informó  que  “[l]a</w:t>
        <w:br/>
        <w:t>identidad de las personas propuestas como beneficiarios de cada una  de  las</w:t>
        <w:br/>
        <w:t>víctimas representadas por  [dicha  entidad]  se  presentaron  oportunamente</w:t>
        <w:br/>
        <w:t>ante la Comisión de Alto Nivel  creada  por  el  Gobierno  a  través  de  la</w:t>
        <w:br/>
        <w:t>Coordinadora Nacional de Derechos Humanos”.</w:t>
        <w:br/>
        <w:br/>
        <w:t>14.   El 19 de octubre de 2001 la Comisión  Interamericana  no  presentó  la</w:t>
        <w:br/>
        <w:t>información solicitada por la Secretaría  (supra  párr.  13),  sino  que  se</w:t>
        <w:br/>
        <w:t>limitó a manifestar que dicha información sería  proporcionada  directamente</w:t>
        <w:br/>
        <w:t>por el peticionario.</w:t>
        <w:br/>
        <w:br/>
        <w:t>15.   Ese mismo día la Coordinadora Nacional de Derechos  Humanos  (CNDDHH),</w:t>
        <w:br/>
        <w:t>representante de las víctimas y sus familiares, remitió una  comunicación  a</w:t>
        <w:br/>
        <w:t>la cual adjuntó cuatro anexos, entre ellos el anexo B y copia del Oficio SA-</w:t>
        <w:br/>
        <w:t>DVM.N° 1538-2001 que es  parte  del  anexo  A  del  “Acuerdo  de  reparación</w:t>
        <w:br/>
        <w:t>integral a las víctimas y los familiares de las víctimas  del  caso  Barrios</w:t>
        <w:br/>
        <w:t>Altos”. En este escrito se indicó que “los familiares de  la  víctima  Lucio</w:t>
        <w:br/>
        <w:t>Quispe Huanaco que han sido  propuestos  figuran,  entre  otros,  sus  hijas</w:t>
        <w:br/>
        <w:t>Norma Haydee Quispe Valle y Sonia Martha Quispe  Valle”,  y  se  aclaró  que</w:t>
        <w:br/>
        <w:t>Norma Haydee Quispe Valle “autorizó y solicitó que el cheque de adelanto  de</w:t>
        <w:br/>
        <w:t>la reparación económica  que le correspondía saliera a nombre de su  hermana</w:t>
        <w:br/>
        <w:t>Sonia Martha Quispe”.  Además, se informó que  se  había  omitido  consignar</w:t>
        <w:br/>
        <w:t>como familiares de la víctima  Alejandro  Rosales  Alejandro,  a  su  madre,</w:t>
        <w:br/>
        <w:t>Celestina Alejandro Cristóbal, a su esposa, Gregoria Medina Caurino, y a  su</w:t>
        <w:br/>
        <w:t>hijo, Elías Cirilo Rosales Caurino (o Medina), que “Clotilde  Portella  Blas</w:t>
        <w:br/>
        <w:t>en su condición de tutora legal de Rocío Rosales Capillo,  recibió  y  cobró</w:t>
        <w:br/>
        <w:t>el cheque en su representación”, y  que  se  había  omitido  consignar  como</w:t>
        <w:br/>
        <w:t>beneficiarios de las reparaciones relacionadas con la  víctima  Nelly  María</w:t>
        <w:br/>
        <w:t>Rubina Arquiñigo “a su hermana Gladis Sonia Rubina  Arquiñigo  y  a  su  tía</w:t>
        <w:br/>
        <w:t>Virgilia Arquiñigo Huerta”.</w:t>
        <w:br/>
        <w:br/>
        <w:t>16.   El 20 de octubre de 2001 el Estado remitió un escrito al cual  adjuntó</w:t>
        <w:br/>
        <w:t>los anexos A  y  B  del  acuerdo.   Asimismo,  indicó  los  nombres  de  los</w:t>
        <w:br/>
        <w:t>familiares de la víctima Lucio Quispe Huanaco que han sido  propuestos  como</w:t>
        <w:br/>
        <w:t>beneficiarios de las reparaciones; aclaró  que  “a  pedido  de  la  señorita</w:t>
        <w:br/>
        <w:t>Norma Haydee Quispe [V]alle el  cheque  de  adelanto  de  reparación  salió,</w:t>
        <w:br/>
        <w:t>conforme a su petición, a nombre de su hermana Sonia Martha  Quispe  Valle”;</w:t>
        <w:br/>
        <w:t>señaló que Gregoria  Medina  Caurino  y  Elías  Cirilo  Rosales  Caurino  (o</w:t>
        <w:br/>
        <w:t>Medina) son beneficiarios de las reparaciones relacionadas  con  la  víctima</w:t>
        <w:br/>
        <w:t>Alejandro Rosales Alejandro, y que “Clotilde Portella Blas en  su  condición</w:t>
        <w:br/>
        <w:t>de tutora legal de Rocío Rosales Capillo, recibió y cobró el  cheque  en  su</w:t>
        <w:br/>
        <w:t>representación”;  y  expresó   que   se   había   omitido   consignar   como</w:t>
        <w:br/>
        <w:t>beneficiarios de las reparaciones relacionadas con la  víctima  Nelly  María</w:t>
        <w:br/>
        <w:t>Rubina Arquiñigo “a su hermana Gladis Sonia Rubina  Arquiñigo  y  a  su  tía</w:t>
        <w:br/>
        <w:t>Virgilia Arquiñigo Huerta”.</w:t>
        <w:br/>
        <w:br/>
        <w:t>17.   El 27 de noviembre de 2001 la Secretaría, siguiendo  instrucciones  de</w:t>
        <w:br/>
        <w:t>la Corte, informó a la Comisión que de los diversos escritos presentados  al</w:t>
        <w:br/>
        <w:t>Tribunal se desprende que la Comisión  no  compareció  a  la  suscripción  y</w:t>
        <w:br/>
        <w:t>firma  del  acuerdo,  así  como  tampoco  lo  remitió  a   la   Corte.    En</w:t>
        <w:br/>
        <w:t>consecuencia, y en  virtud  de  lo  dispuesto  en  la  cláusula  novena  del</w:t>
        <w:br/>
        <w:t>acuerdo, la Corte solicitó a la Comisión que en el  plazo  de  48  horas  le</w:t>
        <w:br/>
        <w:t>informara si está conforme con lo convenido por  el  Estado,  las  víctimas,</w:t>
        <w:br/>
        <w:t>sus familiares y sus representantes y señaló que, en el supuesto de  que  no</w:t>
        <w:br/>
        <w:t>se  recibiera  respuesta  dentro  del  plazo  indicado,  entendería  que  la</w:t>
        <w:br/>
        <w:t>Comisión está conforme con el acuerdo sobre reparaciones.</w:t>
        <w:br/>
        <w:br/>
        <w:t>18.   El 28 de noviembre de 2001 la Comisión presentó  un  escrito  mediante</w:t>
        <w:br/>
        <w:t>el cual manifestó al Tribunal su conformidad con el acuerdo  y  le  solicitó</w:t>
        <w:br/>
        <w:t>su “homologación […] en la sentencia de reparaciones”.</w:t>
        <w:br/>
        <w:br/>
        <w:br/>
        <w:t xml:space="preserve">                                     IV</w:t>
        <w:br/>
        <w:t xml:space="preserve">                            Obligación de Reparar</w:t>
        <w:br/>
        <w:t xml:space="preserve">                         Acuerdo sobre Reparaciones</w:t>
        <w:br/>
        <w:br/>
        <w:t>19.   En materia de reparaciones,  es  aplicable  el  artículo  63.1  de  la</w:t>
        <w:br/>
        <w:t>Convención Americana que prescribe:</w:t>
        <w:br/>
        <w:br/>
        <w:t xml:space="preserve">      1.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 a  la  parte  lesionada</w:t>
        <w:br/>
        <w:t xml:space="preserve">      (subrayado no es del original).</w:t>
        <w:br/>
        <w:br/>
        <w:t>20.   El artículo 56 del Reglamento establece que:</w:t>
        <w:br/>
        <w:br/>
        <w:t xml:space="preserve">      1.     Cuando  en  la  sentencia  de  fondo  no  se  hubiere  decidido</w:t>
        <w:br/>
        <w:t xml:space="preserve">      específicamente sobre reparaciones, la  Corte  fijará  la  oportunidad</w:t>
        <w:br/>
        <w:t xml:space="preserve">      para su posterior decisión y determinará el procedimiento.</w:t>
        <w:br/>
        <w:br/>
        <w:br/>
        <w:t xml:space="preserve">      2.    SI LA CORTE FUERE INFORMADA DE  QUE  EL  LESIONADO  Y  LA  PARTE</w:t>
        <w:br/>
        <w:t xml:space="preserve">      RESPONSABLE HAN LLEGADO A UN ACUERDO RESPECTO AL  CUMPLIMIENTO  DE  LA</w:t>
        <w:br/>
        <w:t xml:space="preserve">      SENTENCIA SOBRE EL FONDO,  VERIFICARÁ  QUE  EL  ACUERDO  SEA  JUSTO  Y</w:t>
        <w:br/>
        <w:t xml:space="preserve">      DISPONDRÁ LO CONDUCENTE.</w:t>
        <w:br/>
        <w:br/>
        <w:t>21.   En el punto resolutivo sexto de la sentencia sobre el fondo  del  caso</w:t>
        <w:br/>
        <w:t>emitida el 14 de marzo de 2001 (supra párrs. 3 y 8)  la  Corte  dispuso  que</w:t>
        <w:br/>
        <w:t>las reparaciones serían fijadas de común acuerdo por  el  Estado  demandado,</w:t>
        <w:br/>
        <w:t>la  Comisión  Interamericana  y  las  víctimas,   sus   familiares   o   sus</w:t>
        <w:br/>
        <w:t>representantes legales debidamente acreditados, dentro de un plazo  de  tres</w:t>
        <w:br/>
        <w:t>meses contado a  partir  de  la  notificación  de  la  sentencia.   En  este</w:t>
        <w:br/>
        <w:t>contexto,  el  17  de  septiembre  de  2001  el  Perú  remitió  el   acuerdo</w:t>
        <w:br/>
        <w:t>formalmente suscrito en Lima, Perú, el 22 de agosto de 2001.</w:t>
        <w:br/>
        <w:br/>
        <w:t>22.   En la sentencia sobre el fondo (supra  párr.  3,  8  y  21)  la  Corte</w:t>
        <w:br/>
        <w:t>otorgó un plazo para que las partes fijaran las  reparaciones.   El  acuerdo</w:t>
        <w:br/>
        <w:t>sobre las reparaciones se produjo después  de  dicho  plazo.   Sin  embargo,</w:t>
        <w:br/>
        <w:t>tomando en cuenta que no existe  controversia  sobre  las  reparaciones,  la</w:t>
        <w:br/>
        <w:t>Corte resuelve examinar el acuerdo mencionado.</w:t>
        <w:br/>
        <w:br/>
        <w:t>23.   A la luz de lo anterior, le corresponde  a  la  Corte  evaluar  si  el</w:t>
        <w:br/>
        <w:t>acuerdo sobre reparaciones es en un todo compatible  con  las  disposiciones</w:t>
        <w:br/>
        <w:t>relevantes de la Convención Americana, así como verificar  si  se  garantiza</w:t>
        <w:br/>
        <w:t>el pago de una justa indemnización a las víctimas  y,  en  su  caso,  a  sus</w:t>
        <w:br/>
        <w:t>familiares, y si se  reparan  las  consecuencias  de  la  situación  que  ha</w:t>
        <w:br/>
        <w:t>configurado la vulneración de sus derechos humanos.</w:t>
        <w:br/>
        <w:br/>
        <w:t>24. 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adecuadamente[2].</w:t>
        <w:br/>
        <w:br/>
        <w:t>25.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De no ser esto posible, cabe al  tribunal  internacional</w:t>
        <w:br/>
        <w:t>ordenar la adopción de medidas para  garantizar  los  derechos  conculcados,</w:t>
        <w:br/>
        <w:t>reparar  las  consecuencias  que  las  infracciones  produjeron,  así   como</w:t>
        <w:br/>
        <w:t>establecer el pago de una indemnización  como  compensación  por  los  daños</w:t>
        <w:br/>
        <w:t>ocasionados[3].</w:t>
        <w:br/>
        <w:br/>
        <w:br/>
        <w:br/>
        <w:br/>
        <w:br/>
        <w:t xml:space="preserve">                                      V</w:t>
        <w:br/>
        <w:br/>
        <w:t xml:space="preserve">                      Beneficiarios de las Reparaciones</w:t>
        <w:br/>
        <w:br/>
        <w:t>26.   En lo que se refiere a los beneficiarios de las  reparaciones,  en  la</w:t>
        <w:br/>
        <w:t>cláusula tercera  del  acuerdo  se  establece  que  lo  serán  las  víctimas</w:t>
        <w:br/>
        <w:t>sobrevivientes, es  decir:  Natividad  Condorcahuana  Chicaña,  Felipe  León</w:t>
        <w:br/>
        <w:t>León, Tomás Livias Ortega y Alfonso Rodas Alvítez  (o  Albitres,  Albites  o</w:t>
        <w:br/>
        <w:t>Alvitrez), y que en el caso de las víctimas fallecidas los beneficiarios  de</w:t>
        <w:br/>
        <w:t>las reparaciones serán  sus  herederos  legales,  “de  conformidad  con  los</w:t>
        <w:br/>
        <w:t>términos establecidos en las  correspondientes  Declaratorias  de  Herederos</w:t>
        <w:br/>
        <w:t>que se otorguen conforme a los procedimientos legales pertinentes”.</w:t>
        <w:br/>
        <w:br/>
        <w:t>27.   Asimismo, en el acuerdo  se  establece  que  no  se  logró  determinar</w:t>
        <w:br/>
        <w:t>quiénes son los beneficiarios de las  reparaciones  correspondientes  a  las</w:t>
        <w:br/>
        <w:t>siguientes víctimas: Tito Ricardo Ramírez Alberto, Odar  Mender  (o  Méndez)</w:t>
        <w:br/>
        <w:t>Sifuentes Nuñez y Benedicta Yanque Churo. En virtud de ello, en la  cláusula</w:t>
        <w:br/>
        <w:t>décima del mencionado acuerdo se estipuló que “[l]as  partes  harán  uso  de</w:t>
        <w:br/>
        <w:t>sus recursos para ubicar el paradero de los herederos legales de quienes  en</w:t>
        <w:br/>
        <w:t>vida fueron” las víctimas  anteriormente  referidas,  y  que  “[e]l  acuerdo</w:t>
        <w:br/>
        <w:t>quedará abierto para la firma de los mismos cuando sean encontrados”.</w:t>
        <w:br/>
        <w:br/>
        <w:t>28.    Además,  el  acuerdo  establece  que   también   serán   consideradas</w:t>
        <w:br/>
        <w:t>beneficiarias   “[a]quellas   personas    que,    adicionalmente    a    las</w:t>
        <w:br/>
        <w:t>indicadas[...], sean declaradas  como  beneficiarias  por  la  sentencia  de</w:t>
        <w:br/>
        <w:t>aprobación del presente  acuerdo  que  expida  la  Corte  Interamericana  de</w:t>
        <w:br/>
        <w:t>Derechos Humanos” (infra párrs. 29 y 30).</w:t>
        <w:br/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29.   La Corte homologa el acuerdo y considera que son beneficiarios de  las</w:t>
        <w:br/>
        <w:t>reparaciones las víctimas sobrevivientes y los  herederos  de  las  víctimas</w:t>
        <w:br/>
        <w:t>fallecidas.   De  las  diversas  informaciones  aportadas  por  las  partes,</w:t>
        <w:br/>
        <w:t>concluye la  Corte  que  las  siguientes  personas  deben  ser  consideradas</w:t>
        <w:br/>
        <w:t>beneficiarias de reparaciones, sin perjuicio de cualquier otra  persona  que</w:t>
        <w:br/>
        <w:t>pruebe su derecho de heredero -en el caso de las víctimas fallecidas-:</w:t>
        <w:br/>
        <w:br/>
        <w:br/>
        <w:br/>
        <w:t>|Víctima          |Beneficiarios de las Reparaciones                |</w:t>
        <w:br/>
        <w:t>|Víctimas de la   |Los herederos de las víctimas fallecidas         |</w:t>
        <w:br/>
        <w:t>|violación al     |                                                 |</w:t>
        <w:br/>
        <w:t>|artículo 4       |                                                 |</w:t>
        <w:br/>
        <w:t>|(Derecho a la    |                                                 |</w:t>
        <w:br/>
        <w:t>|Vida)            |                                                 |</w:t>
        <w:br/>
        <w:t>|1. Placentina    |a) Luis Angel Tolentino Chumbipuma (hijo)        |</w:t>
        <w:br/>
        <w:t>|Marcela          |b) Alfredo Roberto Tolentino Chumbipuma (hijo)   |</w:t>
        <w:br/>
        <w:t>|Chumbipuma       |c) Rocío Victoria Obando Chumbipuma (hija)       |</w:t>
        <w:br/>
        <w:t>|Aguirre          |                                                 |</w:t>
        <w:br/>
        <w:t>|2. Luis Alberto  |a) Caterin Díaz Ayarquispe (hija)                |</w:t>
        <w:br/>
        <w:t>|Díaz Astovilca   |b) Virginia Ayarquispe Larico (conviviente)      |</w:t>
        <w:br/>
        <w:t>|                 |c) María Astolvilca Tito de Díaz (madre)         |</w:t>
        <w:br/>
        <w:t>|                 |d) Albino Díaz Flores (padre)                    |</w:t>
        <w:br/>
        <w:t>|3. Octavio       |a) Félix Huamanyauri Nolazco (hermano)           |</w:t>
        <w:br/>
        <w:t>|Benigno          |                                                 |</w:t>
        <w:br/>
        <w:t>|Huamanyauri      |                                                 |</w:t>
        <w:br/>
        <w:t>|Nolazco          |                                                 |</w:t>
        <w:br/>
        <w:t>|4. Luis Antonio  |a)Luis Alvaro León Flores (hijo)                 |</w:t>
        <w:br/>
        <w:t>|León Borja       |b) Elizabeth Raquel Flores Huamán (conviviente)  |</w:t>
        <w:br/>
        <w:t>|                 |c) Estela Borja Rojas (madre)                    |</w:t>
        <w:br/>
        <w:t>|                 |d) Fausto León Ramírez (padre)                   |</w:t>
        <w:br/>
        <w:t>|5. Filomeno      |a) Severina Léon Luca (madre)                    |</w:t>
        <w:br/>
        <w:t>|León León        |* El señor Bernabé León León fue indicado como   |</w:t>
        <w:br/>
        <w:t>|                 |apoderado de la señora Severina Léon Luca; sin   |</w:t>
        <w:br/>
        <w:t>|                 |embargo, además del cheque a favor de ésta, el   |</w:t>
        <w:br/>
        <w:t>|                 |Estado entregó un cheque a favor del señor       |</w:t>
        <w:br/>
        <w:t>|                 |Bernabé León León.                               |</w:t>
        <w:br/>
        <w:t>|                 |* El Estado también entregó un cheque a favor de |</w:t>
        <w:br/>
        <w:t>|                 |la señora Melania León León sin indicar en qué   |</w:t>
        <w:br/>
        <w:t>|                 |calidad.                                         |</w:t>
        <w:br/>
        <w:t>|6. Máximo        |a) Maribel León Lunazco (hija)                   |</w:t>
        <w:br/>
        <w:t>|León León        |b) Sully León Lunazco (hijo)                     |</w:t>
        <w:br/>
        <w:t>|                 |c) Martín León Lunazco (hijo)                    |</w:t>
        <w:br/>
        <w:t>|                 |d) Eugenia Lunazco Andrade (esposa)              |</w:t>
        <w:br/>
        <w:t>|7. Lucio         |a) Norma Haydé Quispe Valle (hija)               |</w:t>
        <w:br/>
        <w:t>|Quispe Huanaco   |b) Sonia Martha Quispe Valle (hija)              |</w:t>
        <w:br/>
        <w:t>|                 |c) Walter Raúl Quispe Condori (hijo)             |</w:t>
        <w:br/>
        <w:t>|                 |d) Juan Fidel Quispe Condori (hijo)              |</w:t>
        <w:br/>
        <w:t>|                 |e) Amalia Condori Lara (esposa)                  |</w:t>
        <w:br/>
        <w:t>|                 |f) Crisosta Valle Chacmana (conviviente)         |</w:t>
        <w:br/>
        <w:t>|8. Tito Ricardo  |* No se ha encontrado a los beneficiarios de las |</w:t>
        <w:br/>
        <w:t>|Ramírez Alberto  |reparaciones. Ver párrafos 27, 31 y 32 de la     |</w:t>
        <w:br/>
        <w:t>|                 |presente Sentencia.                              |</w:t>
        <w:br/>
        <w:t>|9. Teobaldo      |a) Isabel Estelita Ríos Pérez (sobrina)          |</w:t>
        <w:br/>
        <w:t>|Ríos Lira        |                                                 |</w:t>
        <w:br/>
        <w:t>|10. Manuel Isaías|a)Cristina Ríos Rojas (hija)                     |</w:t>
        <w:br/>
        <w:t>|Ríos Pérez       |b)Ingrid Elizabeth Ríos Rojas (hija)             |</w:t>
        <w:br/>
        <w:t>|                 |c) Rosa Rojas Borda (esposa)                     |</w:t>
        <w:br/>
        <w:t>|11. Javier Manuel|a) Rosa Rojas Borda (madre)                      |</w:t>
        <w:br/>
        <w:t>|Ríos Rojas       |                                                 |</w:t>
        <w:br/>
        <w:t>|12. Alejandro    |a) Giovanna Rosales Capillo (hija)               |</w:t>
        <w:br/>
        <w:t>|Rosales Alejandro|b) Rocío Rosales Capillo (hija)                  |</w:t>
        <w:br/>
        <w:t>|                 |c) Elías Cirilo Rosales Medina (o Caurino) (hijo)|</w:t>
        <w:br/>
        <w:t>|                 |d) Gregoria Medina Caurino (esposa)              |</w:t>
        <w:br/>
        <w:t>|                 |e) Celestina Alejandro Cristóbal (madre)         |</w:t>
        <w:br/>
        <w:t>|13. Nelly María  |a) Leonarda Arquiñigo Huerta (madre)             |</w:t>
        <w:br/>
        <w:t>|Rubina Arquiñigo |b) Gladys Sonia Rubina Arquiñigo (hermana)       |</w:t>
        <w:br/>
        <w:t>|                 |c) Virgilia Arquiñigo Huerta (tía)               |</w:t>
        <w:br/>
        <w:t>|14. Odar Mender  |* No se ha encontrado a los beneficiarios de las |</w:t>
        <w:br/>
        <w:t>|(o Méndez)       |reparaciones. Ver párrafos 27, 31 y 32 de la     |</w:t>
        <w:br/>
        <w:t>|Sifuentes Nuñez  |presente Sentencia.                              |</w:t>
        <w:br/>
        <w:t>|15. Benedicta    |* No se ha encontrado a los beneficiarios de las |</w:t>
        <w:br/>
        <w:t>|Yanque Churo     |reparaciones. Ver párrafos 27, 31 y 32 de la     |</w:t>
        <w:br/>
        <w:t>|                 |presente Sentencia.                              |</w:t>
        <w:br/>
        <w:t>|Víctimas de la   |Víctimas sobrevivientes                          |</w:t>
        <w:br/>
        <w:t>|violación al     |                                                 |</w:t>
        <w:br/>
        <w:t>|artículo 5       |                                                 |</w:t>
        <w:br/>
        <w:t>|(Derecho a la    |                                                 |</w:t>
        <w:br/>
        <w:t>|Integridad       |                                                 |</w:t>
        <w:br/>
        <w:t>|Personal)        |                                                 |</w:t>
        <w:br/>
        <w:t>|16. Natividad    |Natividad Condorcahuana Chicaña                  |</w:t>
        <w:br/>
        <w:t>|Condorcahuana    |                                                 |</w:t>
        <w:br/>
        <w:t>|Chicaña          |                                                 |</w:t>
        <w:br/>
        <w:t>|17. Felipe León  |Felipe León León                                 |</w:t>
        <w:br/>
        <w:t>|León             |                                                 |</w:t>
        <w:br/>
        <w:t>|18. Tomás        |Tomás Livias Ortega                              |</w:t>
        <w:br/>
        <w:t>|Livias Ortega    |                                                 |</w:t>
        <w:br/>
        <w:t>|19. Alfonso Rodas|Alfonso Rodas Alvítez (o Albitres, Albites o     |</w:t>
        <w:br/>
        <w:t>|Alvítez (o       |Alvitrez)                                        |</w:t>
        <w:br/>
        <w:t>|Albitres, Albites|                                                 |</w:t>
        <w:br/>
        <w:t>|o Alvitrez)      |                                                 |</w:t>
        <w:br/>
        <w:br/>
        <w:t>30.   Tal y como fue indicado en el cuadro anterior, la Corte considera  que</w:t>
        <w:br/>
        <w:t>los familiares de la víctima Alejandro Rosales Alejandro, a saber, su  hijo,</w:t>
        <w:br/>
        <w:t>Elías  Cirilo  Rosales  Medina  (o  Caurino),  su  esposa,  Gregoria  Medina</w:t>
        <w:br/>
        <w:t>Caurino, y su madre, Celestina Alejandro Cristóbal, y  los familiares de  la</w:t>
        <w:br/>
        <w:t>víctima Nelly María Rubina Arquiñigo, a  saber,  su  hermana,  Gladys  Sonia</w:t>
        <w:br/>
        <w:t>Rubina Arquiñigo, y su tía, Virgilia Arquiñigo Huerta (supra párrs.  13,  15</w:t>
        <w:br/>
        <w:t>y  16),  deben  ser   considerados   beneficiarios   de   las   reparaciones</w:t>
        <w:br/>
        <w:t>relacionadas con dichas víctimas y reparados en  las  condiciones  indicadas</w:t>
        <w:br/>
        <w:t>en el acuerdo.</w:t>
        <w:br/>
        <w:br/>
        <w:t>31.    Además,  en  el  caso  de  los  beneficiarios  de  las   reparaciones</w:t>
        <w:br/>
        <w:t>relacionadas  con  tres  de  las  víctimas  fallecidas  que  no   han   sido</w:t>
        <w:br/>
        <w:t>localizados (supra párr. 27), la Corte considera necesario  que  el  Estado,</w:t>
        <w:br/>
        <w:t>al hacer uso de sus recursos para ubicar el paradero  de  los  herederos  de</w:t>
        <w:br/>
        <w:t>dichas víctimas, deberá, entre otras gestiones,  publicar  en  un  medio  de</w:t>
        <w:br/>
        <w:t>radiodifusión, un medio de televisión y un medio de  prensa  escrita,  todos</w:t>
        <w:br/>
        <w:t>ellos de cobertura nacional, un anuncio mediante el cual se indique  que  se</w:t>
        <w:br/>
        <w:t>están localizando a los familiares de Tito  Ricardo  Ramírez  Alberto,  Odar</w:t>
        <w:br/>
        <w:t>Mender (o Méndez) Sifuentes Nuñez y Benedicta Yanque Churo, para  otorgarles</w:t>
        <w:br/>
        <w:t>una reparación en relación con los hechos de este caso.   Dicha  publicación</w:t>
        <w:br/>
        <w:t>deberá efectuarse al menos en 3 días no consecutivos, y en el término de  30</w:t>
        <w:br/>
        <w:t>días siguientes a la notificación de la presente Sentencia.</w:t>
        <w:br/>
        <w:br/>
        <w:t>32.   Las grabaciones o, en su caso, las  copias  de  dichos  anuncios,  así</w:t>
        <w:br/>
        <w:t>como la indicación exacta de  los  medios  y  fechas  en  que  éstos  fueron</w:t>
        <w:br/>
        <w:t>publicados, deberán ser presentadas a la Corte para  que  sean  consideradas</w:t>
        <w:br/>
        <w:t>dentro de la supervisión del cumplimiento de esta Sentencia.</w:t>
        <w:br/>
        <w:br/>
        <w:br/>
        <w:t xml:space="preserve">                                     VI</w:t>
        <w:br/>
        <w:br/>
        <w:t xml:space="preserve">                          Reparaciones Pecuniarias</w:t>
        <w:br/>
        <w:br/>
        <w:br/>
        <w:t>33.    En  el  acuerdo  sobre  reparaciones,  en   el   acápite   denominado</w:t>
        <w:br/>
        <w:t>“Indemnización económica”, el Estado se compromete a pagar la  suma  de  US$</w:t>
        <w:br/>
        <w:t>175.000,00 (ciento setenta y cinco mil dólares  de  los  Estados  Unidos  de</w:t>
        <w:br/>
        <w:t>América) a cada una de las víctimas, con excepción  del  señor  Máximo  León</w:t>
        <w:br/>
        <w:t>León, a quien se le pagará una indemnización de US$  250.000,00  (doscientos</w:t>
        <w:br/>
        <w:t>cincuenta mil dólares de los  Estados  Unidos  de  América).   Asimismo,  se</w:t>
        <w:br/>
        <w:t>establece que dichos “montos constituyen el único pago directo  o  indirecto</w:t>
        <w:br/>
        <w:t>que el Estado asumirá con relación a los beneficiarios” de las  reparaciones</w:t>
        <w:br/>
        <w:t>y que la suscripción  del  acuerdo  “implica  la  renuncia  expresa  de  las</w:t>
        <w:br/>
        <w:t>víctimas, así  como  de  sus  representantes,  a  ejercer  cualquier  acción</w:t>
        <w:br/>
        <w:t>judicial o extrajudicial contra el Estado para el cobro de  cantidad  alguna</w:t>
        <w:br/>
        <w:t>adicional”.</w:t>
        <w:br/>
        <w:br/>
        <w:t>34.   A la fecha, el  Estado  ha  entregado  un  cheque  a  algunos  de  los</w:t>
        <w:br/>
        <w:t>beneficiarios de las reparaciones que, a criterio de  la  Corte,  constituye</w:t>
        <w:br/>
        <w:t>un adelanto simbólico de la totalidad de la reparación pecuniaria  acordada.</w:t>
        <w:br/>
        <w:t xml:space="preserve"> Los cheques entregados corresponden a los beneficiarios  y  cantidades  que</w:t>
        <w:br/>
        <w:t>se indican a continuación: Natividad Condorcahuana Chicaña (por un monto  de</w:t>
        <w:br/>
        <w:t>S/.7,194.32 -siete mil ciento noventa y cuatro nuevos soles  con  treinta  y</w:t>
        <w:br/>
        <w:t>dos centavos-); Felipe León León (por un monto  de  S/.7,194.32  -siete  mil</w:t>
        <w:br/>
        <w:t>ciento noventa y cuatro nuevos soles con treinta  y  dos  centavos-  y  otro</w:t>
        <w:br/>
        <w:t>cheque por  un  monto  de  S/.1,200.22  -mil  doscientos  nuevos  soles  con</w:t>
        <w:br/>
        <w:t>veintidós centavos-); Tomás Livias  Ortega  (por  un  monto  de  S/.7,194.32</w:t>
        <w:br/>
        <w:t>-siete mil ciento noventa y cuatro nuevos soles con treinta y dos  centavos-</w:t>
        <w:br/>
        <w:t>); Alfonso Rodas Alvítez (o Albitres, Albites o Alvitrez) (por un  monto  de</w:t>
        <w:br/>
        <w:t>S/.7,194.32 -siete mil ciento noventa y cuatro nuevos soles  con  treinta  y</w:t>
        <w:br/>
        <w:t>dos centavos-); por Placentina Marcela Chumbipuma Aguirre  a  favor  de  sus</w:t>
        <w:br/>
        <w:t>hijos Luis Angel Tolentino Chumbipuma (por un monto de S/.2,396.94 -dos  mil</w:t>
        <w:br/>
        <w:t>trescientos noventa y seis nuevos soles con  noventa  y  cuatro  centavos-),</w:t>
        <w:br/>
        <w:t>Alfredo Roberto Tolentino Chumbipuma (por un monto de S/.2,396.94  -dos  mil</w:t>
        <w:br/>
        <w:t>trescientos noventa y seis nuevos soles con noventa y cuatro  centavos-),  y</w:t>
        <w:br/>
        <w:t>Rocío Victoria Obando Chumbipuma (por  un  monto  de  S/.2,396.94  -dos  mil</w:t>
        <w:br/>
        <w:t>trescientos noventa y seis nuevos soles con  noventa  y  cuatro  centavos-);</w:t>
        <w:br/>
        <w:t>por Luis Alberto Díaz Astovilca a favor de su padre Albino Díaz Flores  (por</w:t>
        <w:br/>
        <w:t>un monto de S/.1,800.32 -mil ochocientos nuevos  soles  con  treinta  y  dos</w:t>
        <w:br/>
        <w:t>centavos-), su madre  María  Astolvilca  Tito  de  Díaz  (por  un  monto  de</w:t>
        <w:br/>
        <w:t>S/.1,800.32 -mil ochocientos nuevos soles con treinta y  dos  centavos-),  y</w:t>
        <w:br/>
        <w:t>su conviviente Virginia Ayarquispe  Larico  (por  un  monto  de  S/.3,597.16</w:t>
        <w:br/>
        <w:t>-tres mil quinientos noventa y siete nuevos soles con dieciséis  centavos-);</w:t>
        <w:br/>
        <w:t>por Octavio  Benigno  Huamanyauri  Nolazco  a  favor  de  su  hermano  Félix</w:t>
        <w:br/>
        <w:t>Huamanyauri Nolazco (por un monto de S/.7,194.32 -siete mil  ciento  noventa</w:t>
        <w:br/>
        <w:t>y cuatro nuevos soles con treinta y dos centavos-); por  Luis  Antonio  León</w:t>
        <w:br/>
        <w:t>Borja a favor de su conviviente  Elizabeth  Raquel  Flores  Huamán  (por  un</w:t>
        <w:br/>
        <w:t>monto de S/.4,797.38 -cuatro mil setecientos noventa y  siete  nuevos  soles</w:t>
        <w:br/>
        <w:t>con treinta y ocho centavos-), su padre Fausto León Ramírez  (por  un  monto</w:t>
        <w:br/>
        <w:t>de S/.1,200.22 -mil doscientos nuevos soles con veintidós centavos-),  y  su</w:t>
        <w:br/>
        <w:t>madre Estela Borja Rojas  (por  un  monto  de  S/.1,200.22  -mil  doscientos</w:t>
        <w:br/>
        <w:t>nuevos soles con veintidós centavos-); por Filomeno León León a favor de  su</w:t>
        <w:br/>
        <w:t>madre Severina León Luca (por un monto de S/.3,597.16 -tres  mil  quinientos</w:t>
        <w:br/>
        <w:t>noventa y siete nuevos soles  con  dieciséis  centavos-),  de  Melania  León</w:t>
        <w:br/>
        <w:t>León, sin indicar  en  qué  calidad,  (por  un  monto  de  S/.1,200.22  -mil</w:t>
        <w:br/>
        <w:t>doscientos veintidós nuevos soles con veintidós  centavos-),  y  de  Bernabé</w:t>
        <w:br/>
        <w:t>León León, apoderado de Severina León Luca, (por  un  monto  de  S/.1,200.22</w:t>
        <w:br/>
        <w:t>-mil doscientos veintidós nuevos soles con veintidós centavos-); por  Máximo</w:t>
        <w:br/>
        <w:t>León León a favor de su esposa Eugenia Lunazco  Andrade  (por  un  monto  de</w:t>
        <w:br/>
        <w:t>S/.7,194.32 -siete mil ciento noventa y cuatro nuevos soles  con  treinta  y</w:t>
        <w:br/>
        <w:t>dos centavos-); por Lucio  Quispe  Huanaco  a  favor  de  su  esposa  Amalia</w:t>
        <w:br/>
        <w:t>Condori Lara (por un monto de S/.1,200.22 -mil doscientos nuevos  soles  con</w:t>
        <w:br/>
        <w:t>veintidós centavos-), sus hijos Walter Raúl Quispe Condori (por un monto  de</w:t>
        <w:br/>
        <w:t>S/.1,200.22 -mil doscientos nuevos  soles  con  veintidós  centavos-),  Juan</w:t>
        <w:br/>
        <w:t>Fidel Quispe Condori (por un monto de  S/.1,200.22  -mil  doscientos  nuevos</w:t>
        <w:br/>
        <w:t>soles con  veintidós  centa-vos-),  Norma  Haydé  Quispe  Valle,  emitido  y</w:t>
        <w:br/>
        <w:t>entregado con su autorización a Sonia Martha Quispe Valle (por un  monto  de</w:t>
        <w:br/>
        <w:t>S/.1,200.22 -mil doscientos nuevos soles con veintidós centavos-),  y  Sonia</w:t>
        <w:br/>
        <w:t>Martha Quispe Valle (por un monto  de  S/.1,200.22  -mil  doscientos  nuevos</w:t>
        <w:br/>
        <w:t>soles con veintidós centavos-), y su  conviviente  Crisosta  Valle  Chacmana</w:t>
        <w:br/>
        <w:t>(por un monto de S/.1,200.22 -mil  doscientos  nuevos  soles  con  veintidós</w:t>
        <w:br/>
        <w:t>centavos-); por Teobaldo Ríos Lira a favor de  su  sobrina  Isabel  Estelita</w:t>
        <w:br/>
        <w:t>Ríos Pérez (por un monto de S/.7,194.32 -siete mil ciento noventa  y  cuatro</w:t>
        <w:br/>
        <w:t>nuevos soles con treinta y dos centavos-); por Manuel Isaías  Ríos  Pérez  a</w:t>
        <w:br/>
        <w:t>favor de su esposa Rosa Rojas Borda (por un monto de S/.7,194.32 -siete  mil</w:t>
        <w:br/>
        <w:t>ciento noventa y cuatro nuevos soles  con  treinta  y  dos  centavos-);  por</w:t>
        <w:br/>
        <w:t>Javier Manuel Ríos Rojas a favor de su madre Rosa Rojas Borda (por un  monto</w:t>
        <w:br/>
        <w:t>de S/.7,194.32 -siete mil ciento noventa y cuatro nuevos soles  con  treinta</w:t>
        <w:br/>
        <w:t>y dos centavos-); por Alejandro Rosales  Alejandro  a  favor  de  sus  hijos</w:t>
        <w:br/>
        <w:t>Giovanna Rosales Capillo (por un monto  de  S/.1,437.47  -mil  cuatrocientos</w:t>
        <w:br/>
        <w:t>treinta y siete nuevos soles con cuarenta y siete centavos-), Rocío  Rosales</w:t>
        <w:br/>
        <w:t>Capillo, emitido y entregado a su tutora legal Clotilde Portella  Blas  (por</w:t>
        <w:br/>
        <w:t>un monto de S/.1,437.47 -mil cuatrocientos treinta y siete nuevos soles  con</w:t>
        <w:br/>
        <w:t>cuarenta y siete centavos-) y Elías Cirilo Rosales Medina (o  Caurino)  (por</w:t>
        <w:br/>
        <w:t>un monto de S/.1,437.47 -mil cuatrocientos treinta y siete nuevos soles  con</w:t>
        <w:br/>
        <w:t>cuarenta y siete centavos-), su madre Celestina Alejandro Cristóbal (por  un</w:t>
        <w:br/>
        <w:t>monto de S/.1,437.47 -mil cuatrocientos treinta y  siete  nuevos  soles  con</w:t>
        <w:br/>
        <w:t>cuarenta y siete centavos-), su  esposa  Gregoria  Medina  Caurino  (por  un</w:t>
        <w:br/>
        <w:t>monto de S/.1,437.47 -mil cuatrocientos treinta y  siete  nuevos  soles  con</w:t>
        <w:br/>
        <w:t>cuarenta y siete centavos-); y por Nelly María Rubina Arquiñigo a  favor  de</w:t>
        <w:br/>
        <w:t>su madre Leonarda Arquiñigo Huerta (por un monto  de  S/.2,941.23  -dos  mil</w:t>
        <w:br/>
        <w:t>novecientos cuarenta  y  un  nuevos  soles  con  veintitrés  centavos-),  su</w:t>
        <w:br/>
        <w:t>hermana Gladys Sonia Rubina Arquiñigo (por un monto de S/.2,941.23 -dos  mil</w:t>
        <w:br/>
        <w:t>novecientos cuarenta y un nuevos soles con veintitrés centavos-), y  su  tía</w:t>
        <w:br/>
        <w:t>Virgilia Arquiñigo Huerta (por un  monto  de  S/.1,311.86  -mil  trescientos</w:t>
        <w:br/>
        <w:t>once nuevos soles con ochenta y seis centavos-).</w:t>
        <w:br/>
        <w:br/>
        <w:t>35.   En lo que respecta a la forma de  pago,  en  la  cláusula  quinta  del</w:t>
        <w:br/>
        <w:t>acuerdo se  conviene  que  el  Perú  iniciará  las  gestiones  que  resulten</w:t>
        <w:br/>
        <w:t>pertinentes  para  incluir  el  monto  correspondiente  a  la  indemnización</w:t>
        <w:br/>
        <w:t>pecuniaria en el Presupuesto General de la República del año fiscal 2002,  y</w:t>
        <w:br/>
        <w:t>que realizará el pago en el transcurso del primer  trimestre  de  dicho  año</w:t>
        <w:br/>
        <w:t>fiscal.  Asimismo, se señala que el pago se  realizará  directamente  a  las</w:t>
        <w:br/>
        <w:t>víctimas sobrevivientes y directamente a cada uno de  los  beneficiarios  de</w:t>
        <w:br/>
        <w:t>las reparaciones, “en  las  proporciones  señaladas  en  la  correspondiente</w:t>
        <w:br/>
        <w:t>Declaratoria de Herederos” y que, en el caso de  los  beneficiarios  de  las</w:t>
        <w:br/>
        <w:t>reparaciones menores de edad, el  Estado  les  depositará  el  monto  de  la</w:t>
        <w:br/>
        <w:t>indemnización en un “fideicomiso en las condiciones más favorables según  la</w:t>
        <w:br/>
        <w:t>práctica bancaria peruana”.</w:t>
        <w:br/>
        <w:br/>
        <w:t>36.   Además, el acuerdo dispone que el Estado incurrirá en mora si  en  ese</w:t>
        <w:br/>
        <w:t>plazo no ha cancelado el monto de las indemnizaciones,  “debiendo  pagar  la</w:t>
        <w:br/>
        <w:t>tasa de interés compensatorio y moratorio  prevista  y  establecida  por  el</w:t>
        <w:br/>
        <w:t>Banco Central de Reserva”.</w:t>
        <w:br/>
        <w:br/>
        <w:t>37.   Según lo establecido en la cláusula quinta del acuerdo,  el  monto  de</w:t>
        <w:br/>
        <w:t>la indemnización pecuniaria  estará  exento  de  todo  impuesto  actualmente</w:t>
        <w:br/>
        <w:t>existente o que pueda decretarse en el futuro.</w:t>
        <w:br/>
        <w:br/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38.   La Corte homologa la reparación pecuniaria  convenida  en  el  acuerdo</w:t>
        <w:br/>
        <w:t>sobre reparaciones, como forma de compensación por los daños  ocasionados  y</w:t>
        <w:br/>
        <w:t>estima que la misma representa un paso positivo del Perú en el  cumplimiento</w:t>
        <w:br/>
        <w:t>de  sus  obligaciones  convencionales  internacionales  de  buena  fe.    En</w:t>
        <w:br/>
        <w:t>consecuencia,  la  Corte  estima  que  el  Estado  debe  adoptar  todas  las</w:t>
        <w:br/>
        <w:t>providencias  necesarias  para  efectuar   la   totalidad   de   los   pagos</w:t>
        <w:br/>
        <w:t>correspondientes a las reparaciones pecuniarias durante el primer  trimestre</w:t>
        <w:br/>
        <w:t>del año fiscal 2002, tal y como fue acordado por las partes.</w:t>
        <w:br/>
        <w:br/>
        <w:t>39.   Asimismo, la Corte  aprueba  los  términos  señalados  respecto  a  la</w:t>
        <w:br/>
        <w:t>modalidad de cumplimiento de las reparaciones que fueron  propuestos  en  el</w:t>
        <w:br/>
        <w:t>acuerdo sobre reparaciones, al considerarlos  acordes  a  su  jurisprudencia</w:t>
        <w:br/>
        <w:t>constante[4].</w:t>
        <w:br/>
        <w:br/>
        <w:t>40.   Sin embargo, el Tribunal estima oportuno agregar  que,  si  por  algún</w:t>
        <w:br/>
        <w:t>motivo no fuese posible que los  beneficiarios  de  las  indemnizaciones  se</w:t>
        <w:br/>
        <w:t>presenten a recibirlas, el Estado deberá consignar los montos a su  favor  o</w:t>
        <w:br/>
        <w:t>de sus herederos en una cuenta o certificado de depósito en una  institución</w:t>
        <w:br/>
        <w:t>bancaria peruana solvente, en dólares estadounidenses o  su  equivalente  en</w:t>
        <w:br/>
        <w:t>moneda peruana, dentro de un plazo de  seis  meses,  y  en  las  condiciones</w:t>
        <w:br/>
        <w:t>financieras más  favorables  que  permitan  la  legislación  y  la  práctica</w:t>
        <w:br/>
        <w:t>bancarias. Si al término de cinco años la indemnización no es reclamada,  el</w:t>
        <w:br/>
        <w:t>capital y los intereses  devengados  pasaran  a  los  beneficiarios  de  las</w:t>
        <w:br/>
        <w:t>reparaciones a prorrata.</w:t>
        <w:br/>
        <w:br/>
        <w:br/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Otras Formas de Reparación</w:t>
        <w:br/>
        <w:br/>
        <w:br/>
        <w:br/>
        <w:t>41.   Además de  la  reparación  pecuniaria,  el  Estado  se  comprometió  a</w:t>
        <w:br/>
        <w:t>otorgar a las víctimas y, en su caso, a sus familiares, otras reparaciones.</w:t>
        <w:br/>
        <w:br/>
        <w:t>42.   Según lo estipulado en la cláusula sexta  –titulada  “Prestaciones  de</w:t>
        <w:br/>
        <w:t>salud”- y en el anexo A del acuerdo, el Perú  se  comprometió  a  cubrir,  a</w:t>
        <w:br/>
        <w:t>través  del Ministerio de Salud, los gastos de servicios  de  salud  de  los</w:t>
        <w:br/>
        <w:t>beneficiarios de las reparaciones,  brindándoles  atención  gratuita  en  el</w:t>
        <w:br/>
        <w:t>establecimiento de salud correspondiente a su domicilio y en el  hospital  o</w:t>
        <w:br/>
        <w:t>instituto especializado de referencia  correspondiente,  en  las  áreas  de:</w:t>
        <w:br/>
        <w:t>atención  de  consulta  externa,  procedimientos   de   ayuda   diagnóstica,</w:t>
        <w:br/>
        <w:t>medicamentos,   atención   especializada,    procedimientos    diagnósticos,</w:t>
        <w:br/>
        <w:t>hospitalización,   intervenciones   quirúrgicas,   partos,    rehabilitación</w:t>
        <w:br/>
        <w:t>traumatológica y salud mental.  Esta cláusula rige desde la suscripción  del</w:t>
        <w:br/>
        <w:t>acuerdo.</w:t>
        <w:br/>
        <w:br/>
        <w:t>43.   Además,  según  lo  estipulado  en  la  cláusula  séptima  –denominada</w:t>
        <w:br/>
        <w:t>“Prestaciones educativas”- y en el anexo B  del  acuerdo,  a  partir  de  la</w:t>
        <w:br/>
        <w:t>suscripción del acuerdo, el Ministerio de Educación del Perú  debe  conceder</w:t>
        <w:br/>
        <w:t>a  los  beneficiarios  de  las  reparaciones  las  siguientes   prestaciones</w:t>
        <w:br/>
        <w:t>educativas:</w:t>
        <w:br/>
        <w:br/>
        <w:t xml:space="preserve">      a)    Otorgamiento de becas por  el  Instituto  Nacional  de  Becas  y</w:t>
        <w:br/>
        <w:t xml:space="preserve">      Crédito Educativo con el fin de estudiar en  Academias,  Institutos  y</w:t>
        <w:br/>
        <w:t xml:space="preserve">      Centros de Ocupación Ocupacional (sic).  “Los requisitos generales que</w:t>
        <w:br/>
        <w:t xml:space="preserve">      se solicitan para acceder  a  una  beca  pueden  ser  adecuados  a  la</w:t>
        <w:br/>
        <w:t xml:space="preserve">      realidad [del] grupo de beneficiarios” de las reparaciones;</w:t>
        <w:br/>
        <w:br/>
        <w:br/>
        <w:t xml:space="preserve">      b)    “En los casos de requerimiento de apoyo al SENATI donde  existen</w:t>
        <w:br/>
        <w:t xml:space="preserve">      interesados en continuar estudios, el Ministerio  de  Educación  puede</w:t>
        <w:br/>
        <w:t xml:space="preserve">      apoyar a través de la Dirección Nacional  de  Educación  Secundaria  y</w:t>
        <w:br/>
        <w:t xml:space="preserve">      Superior Tecnológica, por ser miembro del Directorio”;</w:t>
        <w:br/>
        <w:br/>
        <w:br/>
        <w:t xml:space="preserve">      c)     Otorgamiento  de  materiales  educativos:  “el  Ministerio   de</w:t>
        <w:br/>
        <w:t xml:space="preserve">      Educación  por  intermedio  de  la  Dirección  Nacional  de  Educación</w:t>
        <w:br/>
        <w:t xml:space="preserve">      Primaria  y  Secundaria  otorga[rá]  cuadernos  de  trabajo   de   las</w:t>
        <w:br/>
        <w:t xml:space="preserve">      asignaturas de Lógico Matemática y Comunicación Integral del 1° al  6°</w:t>
        <w:br/>
        <w:t xml:space="preserve">      grado de Educación Primaria”;</w:t>
        <w:br/>
        <w:br/>
        <w:br/>
        <w:t xml:space="preserve">      d)    Gestionar la  donación  de  textos  oficiales  para  alumnos  de</w:t>
        <w:br/>
        <w:t xml:space="preserve">      educación primaria  y  secundaria.  En  “años  posteriores”  se  puede</w:t>
        <w:br/>
        <w:t xml:space="preserve">      gestionar esta donación “a  través  de  las  Editoriales  que  ofrecen</w:t>
        <w:br/>
        <w:t xml:space="preserve">      textos oficiales al Ministerio de Educación”; y</w:t>
        <w:br/>
        <w:t xml:space="preserve">      e)    Apoyo  de  uniformes,  útiles  escolares  y  otros  (“se  pueden</w:t>
        <w:br/>
        <w:t xml:space="preserve">      canalizar donaciones u otros apoyos solicitados  a través de las casas</w:t>
        <w:br/>
        <w:t xml:space="preserve">      comerciales o entidades relacionadas al sector”).</w:t>
        <w:br/>
        <w:br/>
        <w:t>44.   Por otra parte, en la cláusula segunda y en la octava del  acuerdo  se</w:t>
        <w:br/>
        <w:t>establecen otras medidas  de  reparación  que  el  Estado  se  compromete  a</w:t>
        <w:br/>
        <w:t>cumplir, a saber:</w:t>
        <w:br/>
        <w:br/>
        <w:t xml:space="preserve">       a)     acatar  lo  que  la  Corte  disponga  en   la   sentencia   de</w:t>
        <w:br/>
        <w:t xml:space="preserve">      interpretación de la sentencia de fondo “sobre el sentido  y  alcances</w:t>
        <w:br/>
        <w:t xml:space="preserve">      de la declaración de ineficacia de las Leyes Nº 26479 y [Nº]26492”[5];</w:t>
        <w:br/>
        <w:br/>
        <w:t xml:space="preserve">      b)    iniciar  el proceso por el cual se incorpore “la figura jurídica</w:t>
        <w:br/>
        <w:t xml:space="preserve">      que resulte más conveniente” para tipificar el delito  de  ejecuciones</w:t>
        <w:br/>
        <w:t xml:space="preserve">      extrajudiciales, dentro de los 30 días de suscrito el acuerdo;</w:t>
        <w:br/>
        <w:br/>
        <w:t xml:space="preserve">      c)     iniciar  “el  procedimiento  para  suscribir  y   promover   la</w:t>
        <w:br/>
        <w:t xml:space="preserve">      ratificación de la Convención Internacional sobre  Imprescriptibilidad</w:t>
        <w:br/>
        <w:t xml:space="preserve">      de Crímenes de Lesa Humanidad, [...]dentro de los 30 días de  suscrito</w:t>
        <w:br/>
        <w:t xml:space="preserve">      el acuerdo”;</w:t>
        <w:br/>
        <w:br/>
        <w:t xml:space="preserve">      d)    publicar la sentencia de  la  Corte  en  el  Diario  Oficial  El</w:t>
        <w:br/>
        <w:t xml:space="preserve">      Peruano, y difundir su contenido en otros medios de comunicación  “que</w:t>
        <w:br/>
        <w:t xml:space="preserve">      para tal efecto se estimen  apropiados,  dentro  de  los  30  días  de</w:t>
        <w:br/>
        <w:t xml:space="preserve">      suscrito el acuerdo”;</w:t>
        <w:br/>
        <w:br/>
        <w:t xml:space="preserve">      e)    incluir en la Resolución Suprema, mediante la cual  se  publique</w:t>
        <w:br/>
        <w:t xml:space="preserve">      el acuerdo, “una expresión  pública  de  solicitud  de  perdón  a  las</w:t>
        <w:br/>
        <w:t xml:space="preserve">      víctimas por los graves daños  causados”  y  una  ratificación  de  la</w:t>
        <w:br/>
        <w:t xml:space="preserve">      voluntad de que no vuelvan a ocurrir este tipo de hechos;  y</w:t>
        <w:br/>
        <w:br/>
        <w:t xml:space="preserve">      f)    erigir un monumento recordatorio.  El lugar será acordado  entre</w:t>
        <w:br/>
        <w:t xml:space="preserve">      las partes en coordinación con la Municipalidad Metropolitana de Lima,</w:t>
        <w:br/>
        <w:t xml:space="preserve">      y el “monumento será instalado dentro de los 60 días  de  suscrito  el</w:t>
        <w:br/>
        <w:t xml:space="preserve">      acuerdo.”</w:t>
        <w:br/>
        <w:br/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45.   La Corte  homologa  el  acuerdo  respecto  a  estas  otras  formas  de</w:t>
        <w:br/>
        <w:t>reparación convenidas entre las partes como modalidades de compensación  por</w:t>
        <w:br/>
        <w:t>los daños ocasionados.  Estas reparaciones representan  un  aporte  positivo</w:t>
        <w:br/>
        <w:t>del Perú en el cumplimiento de la obligación de reparar, de acuerdo  con  el</w:t>
        <w:br/>
        <w:t>artículo 63.1 de la Convención.  En consecuencia, el Estado debe cumplir,  a</w:t>
        <w:br/>
        <w:t>favor de los beneficiarios de las reparaciones,  todas  las  prestaciones  a</w:t>
        <w:br/>
        <w:t>que se comprometió, en los plazos estipulados en el acuerdo.</w:t>
        <w:br/>
        <w:br/>
        <w:br/>
        <w:br/>
        <w:t xml:space="preserve">                                    VIII</w:t>
        <w:br/>
        <w:br/>
        <w:br/>
        <w:t xml:space="preserve">                                Homologación</w:t>
        <w:br/>
        <w:br/>
        <w:t xml:space="preserve">                                      y</w:t>
        <w:br/>
        <w:t xml:space="preserve">                         Supervisión de Cumplimiento</w:t>
        <w:br/>
        <w:br/>
        <w:t>46.   De conformidad con las anteriores consideraciones, la  Corte  homologa</w:t>
        <w:br/>
        <w:t>el “Acuerdo de reparación integral a las víctimas y los  familiares  de  las</w:t>
        <w:br/>
        <w:t>víctimas del caso Barrios Altos” convenido por el  Estado  y  las  víctimas,</w:t>
        <w:br/>
        <w:t>sus familiares y sus representantes legales, por encontrarse ajustado  a  la</w:t>
        <w:br/>
        <w:t>Convención Americana sobre Derechos Humanos y contribuir  a  la  realización</w:t>
        <w:br/>
        <w:t>de su objeto y fin.</w:t>
        <w:br/>
        <w:br/>
        <w:t>47.   Para dar cumplimiento a dicho acuerdo,  el  Estado  debe  adoptar  las</w:t>
        <w:br/>
        <w:t>medidas de reparación anteriormente referidas, en los plazos  y  condiciones</w:t>
        <w:br/>
        <w:t>acordados en éste, y de conformidad con lo establecido por  el  Tribunal  en</w:t>
        <w:br/>
        <w:t>la presente Sentencia.</w:t>
        <w:br/>
        <w:br/>
        <w:t>48.   En la medida en que el acuerdo ha sido homologado por la Sentencia  de</w:t>
        <w:br/>
        <w:t>la  Corte,  cualquier  controversia  o  diferencia  que  se   suscite   será</w:t>
        <w:br/>
        <w:t>dilucidada por el Tribunal.</w:t>
        <w:br/>
        <w:br/>
        <w:t>49.   Finalmente, y conforme a su práctica constante, la  Corte  se  reserva</w:t>
        <w:br/>
        <w:t>la facultad de supervisar el cumplimiento íntegro de la presente  Sentencia.</w:t>
        <w:br/>
        <w:t>El caso se dará por  concluido  una  vez  que  el  Estado  haya  dado  cabal</w:t>
        <w:br/>
        <w:t>cumplimiento a lo dispuesto en ella.</w:t>
        <w:br/>
        <w:br/>
        <w:br/>
        <w:br/>
        <w:t xml:space="preserve">                                     IX</w:t>
        <w:br/>
        <w:br/>
        <w:t xml:space="preserve">                             Puntos Resolutivos</w:t>
        <w:br/>
        <w:br/>
        <w:br/>
        <w:t>50. 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Que aprueba, en los términos de  la  presente  Sentencia,  el  acuerdo</w:t>
        <w:br/>
        <w:t>sobre reparaciones suscrito el 22 de agosto de  2001  entre  el  Estado  del</w:t>
        <w:br/>
        <w:t>Perú y las víctimas, sus familiares y sus representantes.</w:t>
        <w:br/>
        <w:br/>
        <w:t>2.    QUE EL ESTADO DEL PERÚ DEBE PAGAR:</w:t>
        <w:br/>
        <w:br/>
        <w:t xml:space="preserve">      a)    la cantidad de US$175.000,00 (ciento setenta y cinco mil dólares</w:t>
        <w:br/>
        <w:t xml:space="preserve">      de los Estados Unidos  de  América)  a  cada  una  de  las  siguientes</w:t>
        <w:br/>
        <w:t xml:space="preserve">      víctimas sobrevivientes: Natividad Condorcahuana Chicaña, Felipe  León</w:t>
        <w:br/>
        <w:t xml:space="preserve">      León, Tomás Livias Ortega y Alfonso Rodas Alvítez (o Albitres, Albites</w:t>
        <w:br/>
        <w:t xml:space="preserve">      o Alvitrez);</w:t>
        <w:br/>
        <w:br/>
        <w:br/>
        <w:t xml:space="preserve">      b)    la cantidad de US$175.000,00 (ciento setenta y cinco mil dólares</w:t>
        <w:br/>
        <w:t xml:space="preserve">      de  los  Estados  Unidos  de  América)  a  los  beneficiarios  de  las</w:t>
        <w:br/>
        <w:t xml:space="preserve">      reparaciones relacionadas con cada  una  de  las  siguientes  víctimas</w:t>
        <w:br/>
        <w:t xml:space="preserve">      fallecidas (supra párr. 29): Placentina  Marcela  Chumbipuma  Aguirre,</w:t>
        <w:br/>
        <w:t xml:space="preserve">      Luis Alberto Díaz Astovilca, Octavio Benigno Huamanyauri Nolazco, Luis</w:t>
        <w:br/>
        <w:t xml:space="preserve">      Antonio León Borja, Filomeno León León,  Lucio  Quispe  Huanaco,  Tito</w:t>
        <w:br/>
        <w:t xml:space="preserve">      Ricardo Ramírez Alberto, Teobaldo Ríos Lira, Manuel Isaías Ríos Pérez,</w:t>
        <w:br/>
        <w:t xml:space="preserve">      Javier Manuel Ríos Rojas, Alejandro  Rosales  Alejandro,  Nelly  María</w:t>
        <w:br/>
        <w:t xml:space="preserve">      Rubina Arquiñigo, Odar Mender (o Méndez) Sifuentes Nuñez, y  Benedicta</w:t>
        <w:br/>
        <w:t xml:space="preserve">      Yanque Churo; y</w:t>
        <w:br/>
        <w:br/>
        <w:br/>
        <w:t xml:space="preserve">      c)    la cantidad de US$250.000,00 (doscientos cincuenta  mil  dólares</w:t>
        <w:br/>
        <w:t xml:space="preserve">      de  los  Estados  Unidos  de  América)  a  los  beneficiarios  de  las</w:t>
        <w:br/>
        <w:t xml:space="preserve">      reparaciones relacionadas con la víctima fallecida Máximo León León.</w:t>
        <w:br/>
        <w:br/>
        <w:t>El  Estado  del  Perú  deberá   efectuar   la   totalidad   de   los   pagos</w:t>
        <w:br/>
        <w:t>correspondientes a dichas reparaciones durante el primer trimestre  del  año</w:t>
        <w:br/>
        <w:t>fiscal 2002, de conformidad con lo expuesto en los párrafos 35 a  40  de  la</w:t>
        <w:br/>
        <w:t>presente Sentencia.</w:t>
        <w:br/>
        <w:br/>
        <w:t>3.    Que el Estado del  Perú  debe  otorgar  a  los  beneficiarios  de  las</w:t>
        <w:br/>
        <w:t>reparaciones  los  gastos  de  servicios  de  salud,  brindándoles  atención</w:t>
        <w:br/>
        <w:t>gratuita en el establecimiento de salud correspondiente a su domicilio y  en</w:t>
        <w:br/>
        <w:t>el hospital o instituto especializado de referencia correspondiente, en  las</w:t>
        <w:br/>
        <w:t>áreas  de:  atención  de   consulta   externa,   procedimientos   de   ayuda</w:t>
        <w:br/>
        <w:t>diagnóstica,   medicamentos,    atención    especializada,    procedimientos</w:t>
        <w:br/>
        <w:t>diagnósticos,   hospitalización,   intervenciones    quirúrgicas,    partos,</w:t>
        <w:br/>
        <w:t>rehabilitación  traumatológica  y  salud  mental,  de  conformidad  con   lo</w:t>
        <w:br/>
        <w:t>expuesto en los párrafos 42 y 45 de la presente Sentencia.</w:t>
        <w:br/>
        <w:br/>
        <w:t>4.    Que el Estado del Perú debe proporcionar a los  beneficiarios  de  las</w:t>
        <w:br/>
        <w:t>reparaciones las siguientes prestaciones educativas, de conformidad  con  lo</w:t>
        <w:br/>
        <w:t>expuesto en los párrafos 43 y 45 de la presente Sentencia:</w:t>
        <w:br/>
        <w:br/>
        <w:t xml:space="preserve">      a)    becas a  través  del  Instituto  Nacional  de  Becas  y  Crédito</w:t>
        <w:br/>
        <w:t xml:space="preserve">      Educativo con el fin de estudiar en Academias, Institutos y Centros de</w:t>
        <w:br/>
        <w:t xml:space="preserve">      Ocupación Ocupacional (sic) y apoyo a los beneficiarios interesados en</w:t>
        <w:br/>
        <w:t xml:space="preserve">      continuar estudios, “a través de la Dirección  Nacional  de  Educación</w:t>
        <w:br/>
        <w:t xml:space="preserve">      Secundaria y Superior Tecnológica”; y</w:t>
        <w:br/>
        <w:br/>
        <w:br/>
        <w:t xml:space="preserve">      b)     materiales  educativos;  textos  oficiales  para   alumnos   de</w:t>
        <w:br/>
        <w:t xml:space="preserve">      educación primaria y secundaria; uniformes; útiles escolares y otros.</w:t>
        <w:br/>
        <w:br/>
        <w:t>5.    Que el Estado del Perú debe efectuar, de conformidad con  lo  expuesto</w:t>
        <w:br/>
        <w:t>en  los  párrafos  44  y  45  de  la  presente  Sentencia,  las   siguientes</w:t>
        <w:br/>
        <w:t>reparaciones no pecuniarias:</w:t>
        <w:br/>
        <w:br/>
        <w:t xml:space="preserve">      a)    dar aplicación a lo que la Corte  dispuso  en  la  sentencia  de</w:t>
        <w:br/>
        <w:t xml:space="preserve">      interpretación de la sentencia de fondo “sobre el sentido  y  alcances</w:t>
        <w:br/>
        <w:t xml:space="preserve">      de la declaración de ineficacia de las Leyes Nº 26479 y [Nº]26492”;</w:t>
        <w:br/>
        <w:br/>
        <w:t xml:space="preserve">      b)    iniciar  el proceso por el cual se incorpore “la figura jurídica</w:t>
        <w:br/>
        <w:t xml:space="preserve">      que resulte más conveniente” para tipificar el delito  de  ejecuciones</w:t>
        <w:br/>
        <w:t xml:space="preserve">      extrajudiciales, dentro de los 30 días de suscrito el acuerdo”;</w:t>
        <w:br/>
        <w:br/>
        <w:t xml:space="preserve">      c)     iniciar  “el  procedimiento  para  suscribir  y   promover   la</w:t>
        <w:br/>
        <w:t xml:space="preserve">      ratificación de la Convención Internacional sobre  Imprescriptibilidad</w:t>
        <w:br/>
        <w:t xml:space="preserve">      de Crímenes de Lesa Humanidad, [...]dentro de los 30 días de  suscrito</w:t>
        <w:br/>
        <w:t xml:space="preserve">      el acuerdo”;</w:t>
        <w:br/>
        <w:br/>
        <w:br/>
        <w:t xml:space="preserve">      d)    publicar la sentencia de  la  Corte  en  el  Diario  Oficial  El</w:t>
        <w:br/>
        <w:t xml:space="preserve">      Peruano, y difundir su contenido en otros medios de comunicación  “que</w:t>
        <w:br/>
        <w:t xml:space="preserve">      para tal efecto se estimen  apropiados,  dentro  de  los  30  días  de</w:t>
        <w:br/>
        <w:t xml:space="preserve">      suscrito el acuerdo”;</w:t>
        <w:br/>
        <w:br/>
        <w:t xml:space="preserve">      e)    incluir en la Resolución Suprema que disponga la publicación del</w:t>
        <w:br/>
        <w:t xml:space="preserve">      acuerdo, “una expresión pública de solicitud de perdón a las  víctimas</w:t>
        <w:br/>
        <w:t xml:space="preserve">      por los graves daños causados” y una ratificación de  la  voluntad  de</w:t>
        <w:br/>
        <w:t xml:space="preserve">      que no vuelvan a ocurrir este tipo de hechos; y</w:t>
        <w:br/>
        <w:br/>
        <w:t xml:space="preserve">      f)    erigir un monumento  recordatorio  dentro  de  los  60  días  de</w:t>
        <w:br/>
        <w:t xml:space="preserve">      suscrito el acuerdo.</w:t>
        <w:br/>
        <w:br/>
        <w:t>6.    Requerir al Estado que publique en un medio de  radiodifusión,  en  un</w:t>
        <w:br/>
        <w:t>medio de televisión y  en  un  medio  de  prensa  escrita,  todos  ellos  de</w:t>
        <w:br/>
        <w:t>cobertura nacional, un anuncio mediante el  cual  se  indique  que  se  está</w:t>
        <w:br/>
        <w:t>localizando a los familiares de Tito Ricardo Ramírez  Alberto,  Odar  Mender</w:t>
        <w:br/>
        <w:t>(o Méndez) Sifuentes Nuñez y Benedicta Yanque  Churo,  para  otorgarles  una</w:t>
        <w:br/>
        <w:t>reparación en relación con los  hechos  de  este  caso.   Dicha  publicación</w:t>
        <w:br/>
        <w:t>deberá efectuarse al menos en 3 días no consecutivos, y en el término de  30</w:t>
        <w:br/>
        <w:t>días siguientes a  la  notificación  de  la  presente  Sentencia,  según  lo</w:t>
        <w:br/>
        <w:t>señalado en los párrafos 31 y 32 de esta última.</w:t>
        <w:br/>
        <w:br/>
        <w:t>7.    Que el Estado del Perú  debe  rendir  a  la  Corte  Interamericana  de</w:t>
        <w:br/>
        <w:t>Derechos Humanos  un informe  sobre  el  cumplimiento  de  las  reparaciones</w:t>
        <w:br/>
        <w:t>dentro del plazo de seis meses contado a partir de  la  notificación  de  la</w:t>
        <w:br/>
        <w:t>presente Sentencia.</w:t>
        <w:br/>
        <w:br/>
        <w:t>8.    Que supervisará el cumplimiento de las  obligaciones  establecidas  en</w:t>
        <w:br/>
        <w:t>la presente Sentencia y dará por concluido el presente caso una vez  que  el</w:t>
        <w:br/>
        <w:t>Estado del Perú haya dado cabal cumplimiento a lo dispuesto en ella.</w:t>
        <w:br/>
        <w:br/>
        <w:t>El Juez García Ramírez hizo conocer su Voto Concurrente, el cual acompaña  a</w:t>
        <w:br/>
        <w:t>esta Sentencia.</w:t>
        <w:br/>
        <w:br/>
        <w:t>Redactada en español e inglés, haciendo fe  el  texto  en  español,  en  San</w:t>
        <w:br/>
        <w:t>José, Costa Rica, el día 30 de noviembre de 2001.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Alirio Abreu Burelli   Sergio García Ramírez</w:t>
        <w:br/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VOTO CONCURRENTE RAZONADO DEL JUEZ SERGIO GARCÍA RAMÍREZ A LA SENTENCIA DE</w:t>
        <w:br/>
        <w:t xml:space="preserve">                         REPARACIONES DICTADA EN EL</w:t>
        <w:br/>
        <w:br/>
        <w:br/>
        <w:t xml:space="preserve">          CASO BARRIOS ALTOS (CHUMBIPUMA AGUIRRE Y OTROS VS. PERÚ)</w:t>
        <w:br/>
        <w:br/>
        <w:br/>
        <w:br/>
        <w:t>1.    Al unir mi voto al de los colegas que  aprobaron  la  sentencia  sobre</w:t>
        <w:br/>
        <w:t>reparaciones en el caso  Barrios  Altos  (Chumbipuma  Aguirre  y  Otros  vs.</w:t>
        <w:br/>
        <w:t>Perú), estimo pertinente formular en el presente Voto  concurrente  razonado</w:t>
        <w:br/>
        <w:t>algunas consideraciones y precisiones sobre los  fundamentos  y  el  alcance</w:t>
        <w:br/>
        <w:t>que tiene, a mi juicio, esta resolución de la Corte.</w:t>
        <w:br/>
        <w:br/>
        <w:t>2.    La sentencia que ahora se emite avanza en la solución de las  diversas</w:t>
        <w:br/>
        <w:t>cuestiones que suscitó este caso relevante, cuya decisión de fondo tiene  su</w:t>
        <w:br/>
        <w:t>raíz conceptual en las notables sentencias  dictadas  en  los  Casos  Loayza</w:t>
        <w:br/>
        <w:t>Tamayo (Corte IDH, Sentencia del 17 de septiembre de  1997.  Serie  C,  Núm.</w:t>
        <w:br/>
        <w:t>33) y Castillo Páez (Corte IDH, Sentencia del 3 de noviembre de 1997,  Serie</w:t>
        <w:br/>
        <w:t>C, Núm.  34),  que  introdujeron  novedades  de  gran  trascendencia  en  la</w:t>
        <w:br/>
        <w:t>apreciación de lo que he denominado “deber de  justicia  penal”  del  Estado</w:t>
        <w:br/>
        <w:t>(cfr. García Ramírez, “Las reparaciones  en  el  sistema  interamericano  de</w:t>
        <w:br/>
        <w:t>protección de los derechos humanos”, en  Estudios  jurídicos.  Instituto  de</w:t>
        <w:br/>
        <w:t>Investigaciones Jurídicas, UNAM, México, 2000,  pp.  438-440;  asimismo,  en</w:t>
        <w:br/>
        <w:t>Jornadas J. M. Domínguez Escovar en homenaje a la  memoria  del  R.  P.  Dr.</w:t>
        <w:br/>
        <w:t>Fernando Pérez-Llantada (S. J.):  Los  derechos  humanos  y  la  agenda  del</w:t>
        <w:br/>
        <w:t>tercer  milenio,  Caracas,  2000,  pp.  601  y  ss;  y  Varios,  El  sistema</w:t>
        <w:br/>
        <w:t>interamericano de protección de los derechos humanos en el umbral del  siglo</w:t>
        <w:br/>
        <w:t>XXI. Memoria del Seminario.  Noviembre  de  1999.  Corte  Interamericana  de</w:t>
        <w:br/>
        <w:t>Derechos Humanos, San José, Costa Rica, 2001, pp. 129  y  ss.),  contrariado</w:t>
        <w:br/>
        <w:t>por  las  leyes  de  “autoamnistía”  en  la  forma  que   manifiestan   esas</w:t>
        <w:br/>
        <w:t>resoluciones y que he abordado en mis Votos concurrentes razonados a  dichas</w:t>
        <w:br/>
        <w:t>sentencias.</w:t>
        <w:br/>
        <w:br/>
        <w:t>3.    En el presente caso, la Corte tuvo  a  la  vista  un  “Acuerdo”  sobre</w:t>
        <w:br/>
        <w:t>reparaciones  celebrado  entre  las  partes  materiales  (el  Estado  y  las</w:t>
        <w:br/>
        <w:t>víctimas o sus familiares), con intervención de la  Comisión  Interamericana</w:t>
        <w:br/>
        <w:t>de Derechos Humanos, parte formal o solamente procesal. Es evidente que  las</w:t>
        <w:br/>
        <w:t>reparaciones acordadas  --al igual que las que pudieran ser dictadas por  la</w:t>
        <w:br/>
        <w:t>Corte, en ausencia de acuerdo--  se proyectan  sobre  los  bienes  jurídicos</w:t>
        <w:br/>
        <w:t>(materiales o inmateriales) de las víctimas, como  lo  es  que  la  Comisión</w:t>
        <w:br/>
        <w:t>Interamericana tiene la atribución natural  e  indeclinable,  que  ejerce  a</w:t>
        <w:br/>
        <w:t>través de diversos actos procesales, de cuidar la observancia de las  normas</w:t>
        <w:br/>
        <w:t>tutelares de los  derechos  humanos,  en  beneficio  del  sistema  mismo  de</w:t>
        <w:br/>
        <w:t>protección  de  estos  derechos,  más  allá   --y  sin  perjuicio--   de  la</w:t>
        <w:br/>
        <w:t>satisfacción debida a los destinatarios directos de las medidas  reparadoras</w:t>
        <w:br/>
        <w:t>(víctimas y, en su caso, derechohabientes de éstas).</w:t>
        <w:br/>
        <w:br/>
        <w:t>4.    El Acuerdo entre las partes, presentado extemporáneamente,  constituye</w:t>
        <w:br/>
        <w:t>una fórmula autocompositiva bilateral sobre diversos extremos  concernientes</w:t>
        <w:br/>
        <w:t>a las reparaciones en este caso. Se encuentra integrado y apoyado por  actos</w:t>
        <w:br/>
        <w:t>sucesivos (primero, de las partes materiales, y  en  seguida,  de  la  parte</w:t>
        <w:br/>
        <w:t>formal o  solamente  procesal),  y  resuelve  la  potencial  controversia  a</w:t>
        <w:br/>
        <w:t>propósito de las obligaciones y los derechos concernientes a la  reparación,</w:t>
        <w:br/>
        <w:t>derivados de la violación de  derechos  humanos.  Por  ende,  desplaza  --en</w:t>
        <w:br/>
        <w:t>principio--  la  necesidad  de  ejercer  la  jurisdicción  contenciosa   del</w:t>
        <w:br/>
        <w:t>tribunal, que en esta etapa  tendría  sentido  condenatorio  a  prestaciones</w:t>
        <w:br/>
        <w:t>específicas, vinculadas a las declaraciones sobre violaciones  de  derechos,</w:t>
        <w:br/>
        <w:t>también específicas, que se recogen en la sentencia de fondo.</w:t>
        <w:br/>
        <w:t>5.    El hecho  de  que  ese  Acuerdo  se  hubiese  presentado,  como  dije,</w:t>
        <w:br/>
        <w:t>extemporáneamente, no impide su eficacia en  el  presente  caso.  Cuando  se</w:t>
        <w:br/>
        <w:t>integró a las actuaciones procesales, la Corte no  había  realizado  todavía</w:t>
        <w:br/>
        <w:t>acto alguno que  determinase  la  solución  del  punto.  Por  lo  demás,  la</w:t>
        <w:br/>
        <w:t>jurisprudencia de este Tribunal ha hecho notar  que  la  formalidad  de  los</w:t>
        <w:br/>
        <w:t>actos procesales no debe prevalecer  sobre  la  debida  solución  de  fondo.</w:t>
        <w:br/>
        <w:t>Aquella concierne a la seguridad jurídica,  ciertamente,  pero  ésta  no  se</w:t>
        <w:br/>
        <w:t>menoscaba si queda a salvo  el  equilibrio  entre  los  legítimos  intereses</w:t>
        <w:br/>
        <w:t>procesales y no se obstruye la oportunidad de  defensa  de  las  partes.  Es</w:t>
        <w:br/>
        <w:t>claro, por último, que la voluntad de éstas ha quedado  claramente  expuesta</w:t>
        <w:br/>
        <w:t>y documentada en el Acuerdo al que me he referido,  que  posteriormente  fue</w:t>
        <w:br/>
        <w:t>conocido y asumido por la Comisión Interamericana de  Derechos  Humanos.  El</w:t>
        <w:br/>
        <w:t>orden en la expresión de voluntades no altera la  naturaleza,  admisibilidad</w:t>
        <w:br/>
        <w:t>y eficacia del acto compositivo. De ahí que proceda asumir éste y  asignarle</w:t>
        <w:br/>
        <w:t>el valor que le corresponde.</w:t>
        <w:br/>
        <w:br/>
        <w:t>6.    Ahora bien, el desplazamiento  de  posibles  decisiones  condenatorias</w:t>
        <w:br/>
        <w:t>(supra, 4) no implica que la Corte se  abstenga  de  toda  consideración  de</w:t>
        <w:br/>
        <w:t>fondo sobre el acuerdo entre los interesados y se limite a  convalidarlo  en</w:t>
        <w:br/>
        <w:t>sus términos. Es preciso que ejerza  la  facultad  de  homologación  que  le</w:t>
        <w:br/>
        <w:t>atribuye el artículo 56.2 del Reglamento del Tribunal, de 16  de  septiembre</w:t>
        <w:br/>
        <w:t>de 1996 (que es el aplicable  a  este  proceso),  y  que  no  se  contrae  a</w:t>
        <w:br/>
        <w:t>verificar puntos de procedimiento y legitimación, sino  debe  abarcar  temas</w:t>
        <w:br/>
        <w:t>de fondo  para  que  efectivamente  resulte  “justo”,  concepto  que  en  el</w:t>
        <w:br/>
        <w:t>Reglamento del 24 de noviembre de 2000 se ha sustituido  por  “conforme  con</w:t>
        <w:br/>
        <w:t>la Convención”. Es así como se debe entender la disposición de que el  pacto</w:t>
        <w:br/>
        <w:t>entre partes tenga  aquella  característica,  es  decir,  que  sirva  a  una</w:t>
        <w:br/>
        <w:t>solución legítima, sin lesión ni abuso, reconociendo a cada quien lo que  en</w:t>
        <w:br/>
        <w:t>efecto le corresponde, o en otros términos, que se pliegue al objeto  y  fin</w:t>
        <w:br/>
        <w:t>de la Convención, que giran en torno al respeto a  los  derechos  humanos  y</w:t>
        <w:br/>
        <w:t>rechazan, por ende, cualquier indebido menoscabo  de  los  derechos  de  las</w:t>
        <w:br/>
        <w:t>víctimas, sus familiares o sus derechohabientes.</w:t>
        <w:br/>
        <w:br/>
        <w:t>7.    La legitimidad convencional del acuerdo  en  lo  que  respecta  a  las</w:t>
        <w:br/>
        <w:t>características  de  las  prestaciones  contempladas,  constituye  el   dato</w:t>
        <w:br/>
        <w:t>sustantivo de aquél (como de la propia sentencia), y  responde  a  la  misma</w:t>
        <w:br/>
        <w:t>idea  que  preside  la  promoción   y   aprobación   de   otras   soluciones</w:t>
        <w:br/>
        <w:t>autocompositivas en el curso del procedimiento desarrollado ante el  Sistema</w:t>
        <w:br/>
        <w:t>Interamericano de Protección de  los  Derechos  Humanos:  así,  la  solución</w:t>
        <w:br/>
        <w:t>amistosa de la controversia. No se trata de  lograr  “cualquier”  acuerdo  o</w:t>
        <w:br/>
        <w:t>“cualquier” solución, sino precisamente un acuerdo o  una  solución  justos,</w:t>
        <w:br/>
        <w:t>legítimos, satisfactorios desde la perspectiva de los derechos  humanos  que</w:t>
        <w:br/>
        <w:t>se  pretende  preservar.  Nada  de  esto  ocurriría,  desde  luego,  si   la</w:t>
        <w:br/>
        <w:t>autocomposición  se  viera  urgida  y  condicionada  por  la  debilidad,  la</w:t>
        <w:br/>
        <w:t>necesidad o la ignorancia de la víctima. En este  sentido  es  relevante  la</w:t>
        <w:br/>
        <w:t>tarea de la Comisión Interamericana, y en la misma  dirección  se  despliega</w:t>
        <w:br/>
        <w:t>la competencia homologadora del Tribunal.</w:t>
        <w:br/>
        <w:br/>
        <w:t>8.     Como  es  lógico,  el  principio  de  conciliación  que  rige  en  el</w:t>
        <w:br/>
        <w:t>procedimiento internacional por violación de derechos humanos  opera  cuando</w:t>
        <w:br/>
        <w:t>es  razonable  conciliar  a  los  contendientes,  no  así   cuando   resulta</w:t>
        <w:br/>
        <w:t>improcedente o inviable ese  método  alterno  de  la  solución  contenciosa,</w:t>
        <w:br/>
        <w:t>tomando en cuenta las características del asunto. Además, es  preciso  tener</w:t>
        <w:br/>
        <w:t>en cuenta la naturaleza de las prestaciones  (en  las  que  se  recogen  los</w:t>
        <w:br/>
        <w:t>deberes estatales de reparación), al igual que las fuentes de  éstas  y  sus</w:t>
        <w:br/>
        <w:t>manifestaciones o expresiones naturales, para  precisar  en  qué  casos  nos</w:t>
        <w:br/>
        <w:t>hallamos  ante  la   posibilidad    --y   la   conveniencia--    de   pactar</w:t>
        <w:br/>
        <w:t>reparaciones, y en qué hipótesis se hallan sustraídas  a  un  acuerdo  entre</w:t>
        <w:br/>
        <w:t>las partes, que supone facultades dispositivas de éstas  para  resolver  con</w:t>
        <w:br/>
        <w:t>cierta libertad lo que mejor convenga a sus intereses.</w:t>
        <w:br/>
        <w:br/>
        <w:t>9.    Ciertamente, todas las medidas reparatorias tienen su  fuente  en  las</w:t>
        <w:br/>
        <w:t>normas generales y objetivas (que existen independientemente  y  por  encima</w:t>
        <w:br/>
        <w:t>de la decisión de  los  participantes  en  un  caso  concreto:  sujetos  del</w:t>
        <w:br/>
        <w:t>litigio y del proceso), de carácter nacional e internacional, aplicables  al</w:t>
        <w:br/>
        <w:t>tema de los derechos humanos. Es decir, todas las medidas de aquel  carácter</w:t>
        <w:br/>
        <w:t>se  sustentan  en  las  disposiciones  domésticas   o   en   los   preceptos</w:t>
        <w:br/>
        <w:t>convencionales que fundan el deber de respetar los derechos de las  personas</w:t>
        <w:br/>
        <w:t>y la obligación de reparar cuando se infringe ese deber.  Sin  perjuicio  de</w:t>
        <w:br/>
        <w:t>esto, es posible y necesario distinguir: a) las hipótesis en que las  partes</w:t>
        <w:br/>
        <w:t>pueden  resolver  sobre  el  contenido  y  la  ejecución   de   reparaciones</w:t>
        <w:br/>
        <w:t>concretas, a través de un acto dispositivo posterior a la  norma  general  y</w:t>
        <w:br/>
        <w:t>objetiva, acto al que esta misma reconoce eficacia; y b)  los  supuestos  en</w:t>
        <w:br/>
        <w:t>los que esa resolución entre partes se  halla  necesariamente  excluida,  en</w:t>
        <w:br/>
        <w:t>atención a la naturaleza no disponible de las reparaciones pertinentes,  que</w:t>
        <w:br/>
        <w:t>operan por el simple imperativo de la norma general.</w:t>
        <w:br/>
        <w:br/>
        <w:t>10.   El acuerdo entre partes, homologable por la Corte, sólo  es  admisible</w:t>
        <w:br/>
        <w:t>y puede tener eficacia cuando es  legítimo   --en  el  sentido  que  indiqué</w:t>
        <w:br/>
        <w:t>supra, párrs. 5 y 6--  y aborda la segunda categoría de asuntos  mencionados</w:t>
        <w:br/>
        <w:t>en el párrafo anterior, que suelen tener carácter y contenido patrimonial  y</w:t>
        <w:br/>
        <w:t>traducirse  en  prestaciones  específicas  de  esta  índole.  Por  ello,  en</w:t>
        <w:br/>
        <w:t>principio es atendible  --y puede ser vinculante--  el acuerdo  en  torno  a</w:t>
        <w:br/>
        <w:t>indemnizaciones  relativas  a  daño  material  y  moral,  costas  y   gastos</w:t>
        <w:br/>
        <w:t>procesales. En este sentido, la sentencia a la que agrego el  presente  Voto</w:t>
        <w:br/>
        <w:t>concurrente razonado entiende que el acuerdo entre  partes,  correspondiente</w:t>
        <w:br/>
        <w:t>a puntos de esta naturaleza, resulta admisible y puede ser  homologado,  con</w:t>
        <w:br/>
        <w:t>lo que adquiere la firmeza de una  sentencia  y  trae  consigo  los  efectos</w:t>
        <w:br/>
        <w:t>inherentes a ésta.</w:t>
        <w:br/>
        <w:br/>
        <w:t>11.   En cambio, otras medidas de reparación se hallan fuera del  ámbito  de</w:t>
        <w:br/>
        <w:t>disposición  entre  partes;  son   inherentes   a   determinadas   funciones</w:t>
        <w:br/>
        <w:t>irrenunciables e intransigibles del Estado, que se ejercen en  los  términos</w:t>
        <w:br/>
        <w:t>de las atribuciones, deberes o cargas de  éste.  Existe  la  posibilidad  de</w:t>
        <w:br/>
        <w:t>aportar  --a través de expresiones unilaterales de voluntad,  correspondidas</w:t>
        <w:br/>
        <w:t>por admisiones de la misma naturaleza--  formas o  modalidades  prácticas  y</w:t>
        <w:br/>
        <w:t>convenientes para el cumplimiento de tales  obligaciones,  pero  ninguna  de</w:t>
        <w:br/>
        <w:t>aquéllas podría modificar, relevar, disminuir o suprimir los deberes que  el</w:t>
        <w:br/>
        <w:t>orden jurídico asigna al poder público de manera natural e inalterable.</w:t>
        <w:br/>
        <w:br/>
        <w:t>12.   Así las cosas, no es la voluntad de las partes, sino  la  voluntad  de</w:t>
        <w:br/>
        <w:t>la ley, lo que determina que exista a cargo del  Estado:  a)  un  “deber  de</w:t>
        <w:br/>
        <w:t>justicia  penal”  (investigar  los  hechos  violatorios,  procesar   a   los</w:t>
        <w:br/>
        <w:t>responsables, emitir las respectivas sentencias de condena  y  ejecutar  las</w:t>
        <w:br/>
        <w:t>penas  que  éstas  prevengan);  o  b)  una  obligación  de  adoptar  medidas</w:t>
        <w:br/>
        <w:t>legislativas o convencionales  (así, la celebración o la ratificación de  un</w:t>
        <w:br/>
        <w:t>tratado  internacional)  cuya  procedencia  se  desprende   de   la   propia</w:t>
        <w:br/>
        <w:t>Convención Americana sobre Derechos Humanos (artículo 2); o c)  la  decisión</w:t>
        <w:br/>
        <w:t>de abstenerse de incurrir en violaciones a los  derechos  humanos  (conducta</w:t>
        <w:br/>
        <w:t>que es inherente al Estado de Derecho y que se  halla  prevista  en  el  más</w:t>
        <w:br/>
        <w:t>alto nivel del ordenamiento  jurídico  nacional  e  internacional).  Por  lo</w:t>
        <w:br/>
        <w:t>demás, algunas de estas medidas se  hallan  previstas  en  la  Sentencia  de</w:t>
        <w:br/>
        <w:t>fondo dictada en el presente caso el 14 de marzo de 2001.</w:t>
        <w:br/>
        <w:br/>
        <w:t>13.   Las expresiones  de  las  partes  a  propósito  de  estas  cuestiones,</w:t>
        <w:br/>
        <w:t>reunidas en un “Acuerdo”, no crean ni modifican, y  mucho  menos  extinguen,</w:t>
        <w:br/>
        <w:t>deberes  y  derechos;  simplemente  reiteran  su  existencia,  o  bien,   la</w:t>
        <w:br/>
        <w:t>“conciencia de su existencia”, y en todo caso favorecen la buena y  expedita</w:t>
        <w:br/>
        <w:t>solución de los conflictos. Esta es su función --que no es  deleznable,  por</w:t>
        <w:br/>
        <w:t>supuesto--, no así la de constituir un auténtico  acto  autocompositivo  que</w:t>
        <w:br/>
        <w:t>defina o redefina  situaciones  y  relaciones  jurídicas  ya  definidas  por</w:t>
        <w:br/>
        <w:t>normas de alcance general.</w:t>
        <w:br/>
        <w:br/>
        <w:t>14.   Hay supuestos en  los  que  pueden  concurrir  deberes  estrictos  del</w:t>
        <w:br/>
        <w:t>Estado,  no  sujetos  a  acuerdos  entre  partes  (aunque   pudieran   verse</w:t>
        <w:br/>
        <w:t>encauzados  por  entendimientos  de  procedimiento),  con   nuevos   deberes</w:t>
        <w:br/>
        <w:t>asumidos  por  aquél  a  través  de  un  entendimiento  consensual  con  las</w:t>
        <w:br/>
        <w:t>víctimas. Es así que el Estado tiene deberes educativos o de atención  a  la</w:t>
        <w:br/>
        <w:t>salud de todos los individuos, inclusive --por supuesto--  las  víctimas  de</w:t>
        <w:br/>
        <w:t>violación a  derechos humanos. Estos deberes constituyen el  mínimo  de  las</w:t>
        <w:br/>
        <w:t>obligaciones públicas del Estado, no se hallan sujetos a pactos y deben  ser</w:t>
        <w:br/>
        <w:t>observados puntualmente en todos los casos. Ahora bien, es  posible  que  en</w:t>
        <w:br/>
        <w:t>un caso concreto se resuelva otorgar a las víctimas ciertas prestaciones  de</w:t>
        <w:br/>
        <w:t>la misma  naturaleza  prevista  para  la  universalidad  de  los  ciudadanos</w:t>
        <w:br/>
        <w:t>(educativas o sanitarias, verbi gratia), en  forma,  términos  o  intensidad</w:t>
        <w:br/>
        <w:t>superiores a los ordinarios, que son, al mismo  tiempo,  obligatorios.  Esta</w:t>
        <w:br/>
        <w:t>nueva circunstancia, que implica un plus con  respecto  a  las  prestaciones</w:t>
        <w:br/>
        <w:t>generales  e inmodificables, hallaría su fundamento inmediato en el  acuerdo</w:t>
        <w:br/>
        <w:t>entre las partes.</w:t>
        <w:br/>
        <w:br/>
        <w:t>15.   Entre los puntos  contemplados  por  el  Acuerdo  y  la  Sentencia  de</w:t>
        <w:br/>
        <w:t>reparaciones a la que  corresponde  mi  Voto,  y  que  han  sido  objeto  de</w:t>
        <w:br/>
        <w:t>resolución en diversos casos sujetos al conocimiento de la Corte, figura  el</w:t>
        <w:br/>
        <w:t>relativo a la exclusión de tributos, creados o por crearse, que  graven  las</w:t>
        <w:br/>
        <w:t>indemnizaciones previstas.  Esta  exclusión  pudiera  abarcar   --aunque  no</w:t>
        <w:br/>
        <w:t>ocurre en el asunto sujeto  a  juicio--   prestaciones  en  numerario  o  en</w:t>
        <w:br/>
        <w:t>especie. En realidad, lo que interesa es que se respete el monto  de  éstas,</w:t>
        <w:br/>
        <w:t>conforme a lo dispuesto por el Tribunal, y queden a salvo de gravámenes  que</w:t>
        <w:br/>
        <w:t>pudieran traer consigo reducciones  de  la  indemnización  respectiva.  Para</w:t>
        <w:br/>
        <w:t>este efecto, es decir, para preservar la cuantía  de  las  prestaciones,  no</w:t>
        <w:br/>
        <w:t>siempre  resultará  necesario  excluirlas  del  sistema  fiscal   ordinario,</w:t>
        <w:br/>
        <w:t>solución que pudiera ser, en casos concretos, inequitativa  o  inconsecuente</w:t>
        <w:br/>
        <w:t>con el principio de igualdad ante  la  ley.  El  resultado  necesario   --la</w:t>
        <w:br/>
        <w:t>integridad de la indemnización--  puede alcanzarse por medios diferentes  de</w:t>
        <w:br/>
        <w:t>la exención tributaria, que se hallan al alcance del Estado.</w:t>
        <w:br/>
        <w:br/>
        <w:t>16.   Si bien es cierto que las partes acordaron  que  el  Estado  iniciaría</w:t>
        <w:br/>
        <w:t>las gestiones   pertinentes para incluir el monto de las indemnizaciones  en</w:t>
        <w:br/>
        <w:t>el Presupuesto General de la República del año fiscal 2002,  también  lo  es</w:t>
        <w:br/>
        <w:t>que la satisfacción de los derechos de  las  víctimas,  acreditados  por  la</w:t>
        <w:br/>
        <w:t>Corte Interamericana, no podría quedar sujeta a la suerte que  corran  estos</w:t>
        <w:br/>
        <w:t>trámites. De ahí que el  Tribunal  se  limite  a  establecer  la  obligación</w:t>
        <w:br/>
        <w:t>indemnizatoria y queden en manos del Estado la  vía  y  la  forma  adecuadas</w:t>
        <w:br/>
        <w:t>para cumplirla dentro del plazo señalado.</w:t>
        <w:br/>
        <w:br/>
        <w:t>17.   El Acuerdo previene que el Estado se someterá a  lo  que  disponga  la</w:t>
        <w:br/>
        <w:t>Corte respecto a la demanda de interpretación interpuesta  por  la  Comisión</w:t>
        <w:br/>
        <w:t>Interamericana a propósito de la  ineficacia  de  las  Leyes  Nos.  26479  y</w:t>
        <w:br/>
        <w:t>26492, en la que se plantea de nueva cuenta el  problema  de  las  leyes  de</w:t>
        <w:br/>
        <w:t>“autoamnistía” frente al deber de justicia penal  del  Estado,  que  suscitó</w:t>
        <w:br/>
        <w:t>diversos  pronunciamientos  de  la  Corte   (cfr.   García   Ramírez,   “Una</w:t>
        <w:br/>
        <w:t>controversia sobre la competencia de la  Corte  Interamericana  de  Derechos</w:t>
        <w:br/>
        <w:t>Humanos”, en Estudios jurídicos, cit., pp. 389 y  ss.).  En  la  especie  se</w:t>
        <w:br/>
        <w:t>trata  de  precisar  el  alcance  de  las  resoluciones  adversas  a   estos</w:t>
        <w:br/>
        <w:t>ordenamientos. Cabe recordar que la  Corte  ya  se  ha  pronunciado  a  este</w:t>
        <w:br/>
        <w:t>respecto en Sentencia de 3  de  septiembre  de  2001  (Caso  Barrios  Altos.</w:t>
        <w:br/>
        <w:t>(Chumbipuma Aguirre y Otros vs. El Perú). Interpretación de la Sentencia  de</w:t>
        <w:br/>
        <w:t>fondo (art. 67 Convención Americana sobre Derechos Humanos), en  el  sentido</w:t>
        <w:br/>
        <w:t>de que “dada la naturaleza de la violación constituida por (esas)  leyes  de</w:t>
        <w:br/>
        <w:t>amnistía (...) lo resuelto en la sentencia  de  fondo  en  el  caso  Barrios</w:t>
        <w:br/>
        <w:t>Altos tiene efectos generales” (resolutivo 2). Por  otra  parte,  el  efecto</w:t>
        <w:br/>
        <w:t>que esa interpretación tiene para el Estado no deriva del Acuerdo,  sino  de</w:t>
        <w:br/>
        <w:t>la naturaleza misma de las obligaciones de aquél en el cumplimiento  de  sus</w:t>
        <w:br/>
        <w:t>compromisos internacionales.</w:t>
        <w:br/>
        <w:br/>
        <w:t>18.   Asimismo, el Acuerdo  contiene  una  cláusula  de  interpretación,  en</w:t>
        <w:br/>
        <w:t>cuyos términos se atribuye a las partes, por convención entre estas  mismas,</w:t>
        <w:br/>
        <w:t>la facultad de  interpretar  conjuntamente  las  disposiciones  del  Acuerdo</w:t>
        <w:br/>
        <w:t>mediante diálogo directo, en  la  inteligencia  de  que  si  no  es  posible</w:t>
        <w:br/>
        <w:t>arribar a una solución satisfactoria de esta manera, cualquiera de  aquéllas</w:t>
        <w:br/>
        <w:t>podrá solicitar a la Corte la interpretación  correspondiente.  Ahora  bien,</w:t>
        <w:br/>
        <w:t>el Acuerdo ha quedado recogido en la resolución de la  Corte  a  la  que  se</w:t>
        <w:br/>
        <w:t>refiere este Voto  concurrente,  y  por  ello  la  eficacia  vinculante  con</w:t>
        <w:br/>
        <w:t>respecto a las partes no reside en el Acuerdo mismo, sino en  la  resolución</w:t>
        <w:br/>
        <w:t>del Tribunal que lo homologa. Por demás está decir  que  las  facultades  de</w:t>
        <w:br/>
        <w:t>interpretación de la Corte provienen de la  Convención  Americana  (artículo</w:t>
        <w:br/>
        <w:t>67), no de un pacto entre partes, que no podría  suprimir  esa  facultad  ni</w:t>
        <w:br/>
        <w:t>incorporar  en  ella  modalidades  extrañas  al  régimen  previsto   en   la</w:t>
        <w:br/>
        <w:t>Convención y en las normas que derivan de ésta.</w:t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    El Juez Oliver Jackman informó a la Corte que, por motivos de fuerza</w:t>
        <w:br/>
        <w:t>mayor, no podía estar presente en el LIII Período Ordinario de Sesiones del</w:t>
        <w:br/>
        <w:t>Tribunal, por lo que no participó en la deliberación y firma de esta</w:t>
        <w:br/>
        <w:t>Sentencia.</w:t>
        <w:br/>
        <w:br/>
        <w:t>**    De conformidad con la Resolución de la Corte de 13 de  marzo  de  2001</w:t>
        <w:br/>
        <w:t>sobre Disposiciones Transitorias al Reglamento de la Corte vigente desde  el</w:t>
        <w:br/>
        <w:t>1 de junio de 2001, la presente Sentencia sobre  reparaciones  se  dicta  en</w:t>
        <w:br/>
        <w:t>los términos del Reglamento adoptado en la Resolución de la Corte de  16  de</w:t>
        <w:br/>
        <w:t>septiembre de 1996.</w:t>
        <w:br/>
        <w:t>[1]   El 27 de agosto de 2001 el  Estado  remitió  10  anexos  del  acta  de</w:t>
        <w:br/>
        <w:t>compromiso de la Comisión de Alto Nivel arriba mencionada.  El 3  de  agosto</w:t>
        <w:br/>
        <w:t>de 2001 la señora Sofía Macher,  Secretaria  Ejecutiva  de  la  Coordinadora</w:t>
        <w:br/>
        <w:t>Nacional de Derechos Humanos (CNDDHH), en calidad de  representante  de  las</w:t>
        <w:br/>
        <w:t>víctimas y sus familiares, remitió una copia del “Acta de compromiso  de  la</w:t>
        <w:br/>
        <w:t>Comisión de Alto Nivel para el caso Barrios Altos” y 10 anexos, entre  ellos</w:t>
        <w:br/>
        <w:t>el “Acuerdo de reparación integral a las víctimas y los  familiares  de  las</w:t>
        <w:br/>
        <w:t>víctimas del caso Barrios Altos”.</w:t>
        <w:br/>
        <w:t>[2]   Cfr. Caso de  la Comunidad Mayagna (Sumo) Awas  Tingni.  Sentencia  de</w:t>
        <w:br/>
        <w:t>31 de agosto de 2001. Serie  C  No.  79,  párr.  163;  Caso  Cesti  Hurtado.</w:t>
        <w:br/>
        <w:t>Reparaciones  (art.  63.1  Convención  Americana  sobre  Derechos  Humanos).</w:t>
        <w:br/>
        <w:t>Sentencia de 31 de mayo de 2001. Serie C No.  78,  párr.  32;  Caso  de  los</w:t>
        <w:br/>
        <w:t>“Niños de la Calle” (Villagrán Morales y  otros).  Reparaciones  (art.  63.1</w:t>
        <w:br/>
        <w:t>Convención Americana sobre Derechos Humanos). Sentencia de  26  de  mayo  de</w:t>
        <w:br/>
        <w:t>2001. Serie C No. 77, párr. 59; Caso de la “Panel Blanca” (Paniagua  Morales</w:t>
        <w:br/>
        <w:t>y otros).  Reparaciones  (art.  63.1  Convención  Americana  sobre  Derechos</w:t>
        <w:br/>
        <w:t>Humanos). Sentencia de 25 de mayo de 2001. Serie C No. 76,  párr.  75;  Caso</w:t>
        <w:br/>
        <w:t>Ivcher Bronstein. Sentencia de 6 de febrero de 2001. Serie C No.  74,  párr.</w:t>
        <w:br/>
        <w:t>177; Caso Baena Ricardo y otros. Sentencia de 2 de febrero de 2001. Serie  C</w:t>
        <w:br/>
        <w:t>No. 72, párr. 201; Caso del Tribunal  Constitucional.  Sentencia  de  31  de</w:t>
        <w:br/>
        <w:t>enero de 2001. Serie C No. 71, párr. 118; Caso Suárez  Rosero.  Reparaciones</w:t>
        <w:br/>
        <w:t>(art. 63.1 Convención Americana sobre Derechos Humanos). Sentencia de 20  de</w:t>
        <w:br/>
        <w:t>enero de 1999. Serie C No. 44, párr. 40; Caso  Loayza  Tamayo.  Reparaciones</w:t>
        <w:br/>
        <w:t>(art. 63.1 Convención Americana sobre Derechos Humanos). Sentencia de 27  de</w:t>
        <w:br/>
        <w:t>noviembre de 1998. Serie C No.  42,  párr.  84;  Caso  Caballero  Delgado  y</w:t>
        <w:br/>
        <w:t>Santana.  Reparaciones  (art.  63.1  Convención  Americana  sobre   Derechos</w:t>
        <w:br/>
        <w:t>Humanos). Sentencia de 29 de enero de 1997. Serie C No. 31, párr.  15;  Caso</w:t>
        <w:br/>
        <w:t>Neira Alegría y Otros. Reparaciones (art. 63.1  Convención  Americana  sobre</w:t>
        <w:br/>
        <w:t>Derechos Humanos). Sentencia de 19 de septiembre de 1996. Serie  C  No.  29,</w:t>
        <w:br/>
        <w:t>párr. 36; Caso El  Amparo.  Reparaciones  (art.  63.1  Convención  Americana</w:t>
        <w:br/>
        <w:t>sobre Derechos Humanos). Sentencia de 14 de septiembre de 1996. Serie C  No.</w:t>
        <w:br/>
        <w:t>28, párr. 14; y Caso Aloeboetoe y Otros. Reparaciones (art. 63.1  Convención</w:t>
        <w:br/>
        <w:t>Americana sobre Derechos Humanos). Sentencia de 10 de  septiembre  de  1993.</w:t>
        <w:br/>
        <w:t>Serie C No. 15, párr. 43.  En igual sentido, Cfr.  Reparation  for  injuries</w:t>
        <w:br/>
        <w:t>suffered in the service of the  United  Nations,  Advisory  Opinion:  I.C.J.</w:t>
        <w:br/>
        <w:t>Reports 1949, p. 184; Factory  at  Chorzów,  Claim  for  Indemnity,  Merits,</w:t>
        <w:br/>
        <w:t>Judgment No. 13, 1928, P.C.I.J., Series A, No.  17,  p.  29;  y  Factory  at</w:t>
        <w:br/>
        <w:t>Chorzów, Claim for Indemnity, Jurisdiction, Judgment No. 8, 1927,  P.C.I.J.,</w:t>
        <w:br/>
        <w:t>Series A, No. 8, p. 21.</w:t>
        <w:br/>
        <w:br/>
        <w:t>[3]   Cfr. Caso Cesti Hurtado. Reparaciones, supra nota 3,  párr.  33;  Caso</w:t>
        <w:br/>
        <w:t>de los “Niños de la Calle” (Villagrán Morales y otros). Reparaciones,  supra</w:t>
        <w:br/>
        <w:t>nota 3, párr. 60; y Caso de la “Panel Blanca” (Paniagua  Morales  y  otros).</w:t>
        <w:br/>
        <w:t>Reparaciones, supra nota 3, párr. 76.</w:t>
        <w:br/>
        <w:t>[4]   Cfr. Caso Cesti Hurtado. Reparaciones, supra nota 3, párrs. 76,  77  y</w:t>
        <w:br/>
        <w:t>78; Caso de  los  “Niños  de  la  Calle”  (Villagrán  Morales  y  otros  vs.</w:t>
        <w:br/>
        <w:t>Guatemala). Reparaciones, supra nota 3, párrs. 119, 120 y 121; y Caso de  la</w:t>
        <w:br/>
        <w:t>“Panel Blanca” (Paniagua  Morales  y  otros  vs.  Guatemala).  Reparaciones,</w:t>
        <w:br/>
        <w:t>supra nota 3, párrs. 225, 226 y 227.</w:t>
        <w:br/>
        <w:t>[5]   En el punto resolutivo segundo de la sentencia  de  interpretación  de</w:t>
        <w:br/>
        <w:t>la sentencia sobre el fondo en el caso Barrios Altos la Corte resolvió  que,</w:t>
        <w:br/>
        <w:t>“dada la naturaleza de la violación constituida por las  leyes  de  amnistía</w:t>
        <w:br/>
        <w:t>No. 26479 y No. 26492, lo resuelto en la  sentencia  de  fondo  en  el  caso</w:t>
        <w:br/>
        <w:t>Barrios Altos tiene efectos generales.”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