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Caso Durand y Ugarte Vs. Perú</w:t>
        <w:br/>
        <w:br/>
        <w:br/>
        <w:t xml:space="preserve">                     Sentencia de 3 de diciembre de 2001</w:t>
        <w:br/>
        <w:t xml:space="preserve">                               (Reparaciones)</w:t>
        <w:br/>
        <w:br/>
        <w:br/>
        <w:br/>
        <w:t>En el caso Durand y Ugarte,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jueces(:</w:t>
        <w:br/>
        <w:br/>
        <w:t xml:space="preserve">      Antônio A. Cançado Trindade, Presidente;</w:t>
        <w:br/>
        <w:t xml:space="preserve">      Máximo Pacheco Gómez, Vicepresidente;</w:t>
        <w:br/>
        <w:t xml:space="preserve">      Hernán Salgado Pesantes, Juez;</w:t>
        <w:br/>
        <w:t xml:space="preserve">      Alirio Abreu Burelli, Juez;</w:t>
        <w:br/>
        <w:t xml:space="preserve">      Sergio García Ramírez, Juez;</w:t>
        <w:br/>
        <w:t xml:space="preserve">      Carlos Vicente de Roux Rengifo, Juez; y</w:t>
        <w:br/>
        <w:t xml:space="preserve">      Fernando Vidal Ramírez, Juez ad hoc;</w:t>
        <w:br/>
        <w:br/>
        <w:t>presentes, además:</w:t>
        <w:br/>
        <w:br/>
        <w:t xml:space="preserve">      Manuel E. Ventura Robles, Secretario; y</w:t>
        <w:br/>
        <w:t xml:space="preserve">      Pablo Saavedra Alessandri, Secretario adjunto;</w:t>
        <w:br/>
        <w:br/>
        <w:br/>
        <w:t>de acuerdo con los artículos 29, 55, 56 y 57 del Reglamento de la Corte  (en</w:t>
        <w:br/>
        <w:t>adelante “el  Reglamento”)((,  en  relación  con  el  artículo  63.1  de  la</w:t>
        <w:br/>
        <w:t>Convención Americana sobre Derechos Humanos (en adelante “la  Convención”  o</w:t>
        <w:br/>
        <w:t>“la Convención Americana”) y  en  consideración  a  lo  establecido  en  los</w:t>
        <w:br/>
        <w:t>puntos resolutivos octavo y noveno de la Sentencia de 16 de agosto de  2000,</w:t>
        <w:br/>
        <w:t>dicta la presente Sentencia.</w:t>
        <w:br/>
        <w:br/>
        <w:br/>
        <w:br/>
        <w:t xml:space="preserve">                                      I</w:t>
        <w:br/>
        <w:br/>
        <w:br/>
        <w:t xml:space="preserve">                                 Competencia</w:t>
        <w:br/>
        <w:br/>
        <w:br/>
        <w:t>1.    La Corte es competente, en los términos de los artículos 62 y 63.1  de</w:t>
        <w:br/>
        <w:t>la Convención, para conocer de las reparaciones en  el  presente  caso.   El</w:t>
        <w:br/>
        <w:t>Estado del Perú (en adelante “el Estado” o “el Perú”) es Estado Parte en  la</w:t>
        <w:br/>
        <w:t>Convención desde  el  28  de  julio  de  1978  y  reconoció  la  competencia</w:t>
        <w:br/>
        <w:t>contenciosa de la Corte el 21 de enero de 1981.</w:t>
        <w:br/>
        <w:br/>
        <w:br/>
        <w:t xml:space="preserve">                                     II</w:t>
        <w:br/>
        <w:br/>
        <w:t xml:space="preserve">                                Antecedentes</w:t>
        <w:br/>
        <w:br/>
        <w:t>2.    El presente caso  fue  sometido  por  la  Comisión  Interamericana  de</w:t>
        <w:br/>
        <w:t>Derechos Humanos (en adelante “la Comisión” o “la Comisión  Interamericana”)</w:t>
        <w:br/>
        <w:t>mediante demanda de 8 de agosto de 1996.   El 20 de septiembre  de  1996  el</w:t>
        <w:br/>
        <w:t>Estado interpuso siete excepciones preliminares, y el 28 de mayo de 1999  la</w:t>
        <w:br/>
        <w:t>Corte dictó la sentencia correspondiente[1].  El 16 de  agosto  de  2000  la</w:t>
        <w:br/>
        <w:t>Corte emitió sentencia sobre el fondo del caso, en la cual:</w:t>
        <w:br/>
        <w:br/>
        <w:t xml:space="preserve">      por unanimidad,</w:t>
        <w:br/>
        <w:br/>
        <w:br/>
        <w:t xml:space="preserve">      1.    declara[ó] que el Estado violó, en perjuicio de Nolberto  Durand</w:t>
        <w:br/>
        <w:t xml:space="preserve">      Ugarte y Gabriel Pablo Ugarte Rivera, el artículo 4.1 de la Convención</w:t>
        <w:br/>
        <w:t xml:space="preserve">      Americana sobre Derechos Humanos.</w:t>
        <w:br/>
        <w:br/>
        <w:br/>
        <w:t xml:space="preserve">      por seis votos contra uno,</w:t>
        <w:br/>
        <w:br/>
        <w:br/>
        <w:t xml:space="preserve">      2.    declara[ó] que no se ha  comprobado  que  el  Estado  violó,  en</w:t>
        <w:br/>
        <w:t xml:space="preserve">      perjuicio de Nolberto Durand Ugarte y Gabriel Pablo Ugarte Rivera,  el</w:t>
        <w:br/>
        <w:t xml:space="preserve">      artículo 5.2 de la Convención Americana sobre Derechos Humanos.</w:t>
        <w:br/>
        <w:br/>
        <w:br/>
        <w:t xml:space="preserve">      DISI[NTIÓ] EL JUEZ CARLOS VICENTE DE ROUX RENGIFO.</w:t>
        <w:br/>
        <w:br/>
        <w:br/>
        <w:t xml:space="preserve">      por unanimidad,</w:t>
        <w:br/>
        <w:br/>
        <w:br/>
        <w:t xml:space="preserve">      3.    declara[ó] que el Estado violó, en perjuicio de Nolberto  Durand</w:t>
        <w:br/>
        <w:t xml:space="preserve">      Ugarte y Gabriel Pablo Ugarte Rivera, el artículo  7.1  y  7.5  de  la</w:t>
        <w:br/>
        <w:t xml:space="preserve">      Convención Americana sobre Derechos Humanos.</w:t>
        <w:br/>
        <w:br/>
        <w:br/>
        <w:t xml:space="preserve">      por unanimidad,</w:t>
        <w:br/>
        <w:br/>
        <w:br/>
        <w:t xml:space="preserve">      4.    declara[ó] que el Estado violó, en perjuicio de Nolberto  Durand</w:t>
        <w:br/>
        <w:t xml:space="preserve">      Ugarte y Gabriel Pablo Ugarte Rivera,  los artículos 7.6 y 25.1 de  la</w:t>
        <w:br/>
        <w:t xml:space="preserve">      Convención Americana sobre Derechos Humanos.</w:t>
        <w:br/>
        <w:br/>
        <w:br/>
        <w:t xml:space="preserve">      por unanimidad,</w:t>
        <w:br/>
        <w:br/>
        <w:br/>
        <w:t xml:space="preserve">      5.    declara[ó] que el Estado violó, en perjuicio de Nolberto  Durand</w:t>
        <w:br/>
        <w:t xml:space="preserve">      Ugarte y Gabriel Pablo Ugarte Rivera, así como de sus familiares,  los</w:t>
        <w:br/>
        <w:t xml:space="preserve">      artículos 8.1  y  25.1  de  la  Convención  Americana  sobre  Derechos</w:t>
        <w:br/>
        <w:t xml:space="preserve">      Humanos.</w:t>
        <w:br/>
        <w:br/>
        <w:br/>
        <w:t xml:space="preserve">      por unanimidad,</w:t>
        <w:br/>
        <w:br/>
        <w:br/>
        <w:t xml:space="preserve">      6.     declara[ó]  que  el  Estado  ha  incumplido  las   obligaciones</w:t>
        <w:br/>
        <w:t xml:space="preserve">      generales de los artículos 1.1 y 2 de la  Convención  Americana  sobre</w:t>
        <w:br/>
        <w:t xml:space="preserve">      Derechos Humanos en conexión  con  las  violaciones  de  los  derechos</w:t>
        <w:br/>
        <w:t xml:space="preserve">      sustantivos señalados en los puntos resolutivos anteriores en  [dicha]</w:t>
        <w:br/>
        <w:t xml:space="preserve">      sentencia.</w:t>
        <w:br/>
        <w:br/>
        <w:br/>
        <w:t xml:space="preserve">      por unanimidad,</w:t>
        <w:br/>
        <w:br/>
        <w:br/>
        <w:t xml:space="preserve">      7.    decid[ió] que el Estado está obligado a hacer todo  el  esfuerzo</w:t>
        <w:br/>
        <w:t xml:space="preserve">      posible para localizar e identificar los  restos  de  las  víctimas  y</w:t>
        <w:br/>
        <w:t xml:space="preserve">      entregarlos a sus familiares, así como para investigar  los  hechos  y</w:t>
        <w:br/>
        <w:t xml:space="preserve">      procesar y sancionar a los responsables.</w:t>
        <w:br/>
        <w:br/>
        <w:br/>
        <w:t xml:space="preserve">      por unanimidad,</w:t>
        <w:br/>
        <w:br/>
        <w:br/>
        <w:t xml:space="preserve">      8.    decid[ió] que el Estado debe reparar los daños causados por  las</w:t>
        <w:br/>
        <w:t xml:space="preserve">      violaciones.</w:t>
        <w:br/>
        <w:br/>
        <w:br/>
        <w:t xml:space="preserve">      por unanimidad,</w:t>
        <w:br/>
        <w:br/>
        <w:br/>
        <w:t xml:space="preserve">      9.     decid[ió]  abrir  la  etapa  de  reparaciones,  a  cuyo  efecto</w:t>
        <w:br/>
        <w:t xml:space="preserve">      comision[ó] a su Presidente  para  que  oportunamente  adopt[ara]  las</w:t>
        <w:br/>
        <w:t xml:space="preserve">      medidas que fuesen necesarias.</w:t>
        <w:br/>
        <w:br/>
        <w:br/>
        <w:br/>
        <w:t xml:space="preserve">                                     III</w:t>
        <w:br/>
        <w:br/>
        <w:br/>
        <w:t xml:space="preserve">                  procedimiento en la etapa de reparaciones</w:t>
        <w:br/>
        <w:br/>
        <w:br/>
        <w:t>3.    El 13 de septiembre de 2000 el Presidente de  la  Corte  (en  adelante</w:t>
        <w:br/>
        <w:t>“el Presidente”), en cumplimiento de lo  ordenado  en  el  punto  resolutivo</w:t>
        <w:br/>
        <w:t>noveno de la sentencia de fondo, resolvió:</w:t>
        <w:br/>
        <w:br/>
        <w:t xml:space="preserve">      1.    Otorgar a los representantes de las víctimas o, en su  caso,  de</w:t>
        <w:br/>
        <w:t xml:space="preserve">      sus familiares, plazo hasta el  13  de  noviembre  de  2000  para  que</w:t>
        <w:br/>
        <w:t xml:space="preserve">      presenten sus argumentos y  las  pruebas  de  que  dispongan  para  la</w:t>
        <w:br/>
        <w:t xml:space="preserve">      determinación de las reparaciones y costas.</w:t>
        <w:br/>
        <w:br/>
        <w:br/>
        <w:t xml:space="preserve">      2.    Instruir a la Secretaría de la Corte para que, una  vez  vencido</w:t>
        <w:br/>
        <w:t xml:space="preserve">      el plazo a que hace referencia el párrafo  anterior,  transmita  todos</w:t>
        <w:br/>
        <w:t xml:space="preserve">      los escritos y las pruebas recibidos a la Comisión  Interamericana  de</w:t>
        <w:br/>
        <w:t xml:space="preserve">      Derechos Humanos.</w:t>
        <w:br/>
        <w:br/>
        <w:br/>
        <w:t xml:space="preserve">      3.    Otorgar a la Comisión  Interamericana  de  Derechos  Humanos  un</w:t>
        <w:br/>
        <w:t xml:space="preserve">      plazo de un mes, que se contará a partir de la fecha en que reciba los</w:t>
        <w:br/>
        <w:t xml:space="preserve">      referidos escritos y pruebas para que presente las  observaciones  que</w:t>
        <w:br/>
        <w:t xml:space="preserve">      considere pertinentes en materia de reparaciones y costas.</w:t>
        <w:br/>
        <w:br/>
        <w:br/>
        <w:t xml:space="preserve">      4.    Instruir a la Secretaría de la Corte para que, una  vez  vencido</w:t>
        <w:br/>
        <w:t xml:space="preserve">      el plazo a que hace referencia el punto resolutivo anterior, transmita</w:t>
        <w:br/>
        <w:t xml:space="preserve">      al Estado del Perú todos los escritos y las pruebas presentados.</w:t>
        <w:br/>
        <w:br/>
        <w:br/>
        <w:t xml:space="preserve">      5.    Otorgar al Estado del Perú un plazo de dos meses, que se contará</w:t>
        <w:br/>
        <w:t xml:space="preserve">      a partir de la fecha en que reciba los escritos y las  pruebas  a  que</w:t>
        <w:br/>
        <w:t xml:space="preserve">      hace referencia el punto resolutivo anterior, para  que  presente  sus</w:t>
        <w:br/>
        <w:t xml:space="preserve">      observaciones y las pruebas de que disponga para la  determinación  de</w:t>
        <w:br/>
        <w:t xml:space="preserve">      las reparaciones y costas en el presente caso.</w:t>
        <w:br/>
        <w:br/>
        <w:br/>
        <w:t xml:space="preserve">      6.    CONVOCAR A LOS REPRESENTANTES DE LAS VÍCTIMAS O, EN SU CASO,  DE</w:t>
        <w:br/>
        <w:t xml:space="preserve">      SUS FAMILIARES, A LA COMISIÓN INTERAMERICANA DE DERECHOS HUMANOS Y  AL</w:t>
        <w:br/>
        <w:t xml:space="preserve">      ESTADO  DEL  PERÚ,  UNA  VEZ   FINALIZADA   LA   ETAPA   ESCRITA   DEL</w:t>
        <w:br/>
        <w:t xml:space="preserve">      PROCEDIMIENTO, A UNA AUDIENCIA PÚBLICA, EN FECHA QUE  SERÁ  COMUNICADA</w:t>
        <w:br/>
        <w:t xml:space="preserve">      OPORTUNAMENTE.</w:t>
        <w:br/>
        <w:br/>
        <w:br/>
        <w:t>4.    El 9 de noviembre de 2001 los representantes de los familiares de  las</w:t>
        <w:br/>
        <w:t>víctimas solicitaron a la Corte prorrogar por 40 días el  plazo  fijado  por</w:t>
        <w:br/>
        <w:t>este Tribunal para presentar el escrito relativo a las reparaciones.</w:t>
        <w:br/>
        <w:br/>
        <w:t>5.    El 13 de noviembre de 2000, siguiendo  instrucciones  del  Presidente,</w:t>
        <w:br/>
        <w:t>la  Secretaría  amplió  el  plazo  otorgado  a  los  representantes  de  los</w:t>
        <w:br/>
        <w:t>familiares de las víctimas hasta el 5 de enero de 2001.</w:t>
        <w:br/>
        <w:br/>
        <w:t>6.    El 5 de enero de 2001 los representantes  de  los  familiares  de  las</w:t>
        <w:br/>
        <w:t>víctimas presentaron su escrito sobre reparaciones. Con  éste  aportaron  un</w:t>
        <w:br/>
        <w:t>poder en el que los familiares de aquéllas nombraron a María Claudia  Pulido</w:t>
        <w:br/>
        <w:t>y Viviana Krsticevic, del Centro por la Justicia y el Derecho  Internacional</w:t>
        <w:br/>
        <w:t>(en adelante “CEJIL”), y a Ronald Gamarra Herrera, del Instituto de  Defensa</w:t>
        <w:br/>
        <w:t>Legal (en adelante “IDL”), apoderados generales  para  que  los  representen</w:t>
        <w:br/>
        <w:t>ante la Corte Interamericana.</w:t>
        <w:br/>
        <w:br/>
        <w:t>7.    El 9 de febrero de 2001 el Estado informó a la  Corte  la  designación</w:t>
        <w:br/>
        <w:t>del señor Patricio Marcial Rubio Correa como agente para este caso.</w:t>
        <w:br/>
        <w:br/>
        <w:t>8.    El 10 de febrero de  2001  la  Comisión  Interamericana  presentó  sus</w:t>
        <w:br/>
        <w:t>observaciones en materia de reparaciones.</w:t>
        <w:br/>
        <w:br/>
        <w:t>9.    El 17 de abril de 2001 el Estado solicitó a la  Corte  una  ampliación</w:t>
        <w:br/>
        <w:t>para  la  presentación  de  sus   observaciones   a   los   escritos   sobre</w:t>
        <w:br/>
        <w:t>reparaciones. Ese mismo  día  la  Secretaría,  siguiendo  instrucciones  del</w:t>
        <w:br/>
        <w:t>Presidente, amplió el plazo otorgado al Estado  hasta  el  25  de  abril  de</w:t>
        <w:br/>
        <w:t>2001.</w:t>
        <w:br/>
        <w:br/>
        <w:t>10.   El 25 de abril de 2001 el Estado  presentó  sus  observaciones  a  los</w:t>
        <w:br/>
        <w:t>escritos de la Comisión  Interamericana  y  de  los  representantes  de  los</w:t>
        <w:br/>
        <w:t>familiares de las víctimas.</w:t>
        <w:br/>
        <w:br/>
        <w:t>11.   El 26 de abril de 2001 el Presidente de la Corte resolvió  convocar  a</w:t>
        <w:br/>
        <w:t>los representantes  de  los  familiares  de  las  víctimas,  a  la  Comisión</w:t>
        <w:br/>
        <w:t>Interamericana y al Estado a una audiencia  pública  por  celebrarse  en  la</w:t>
        <w:br/>
        <w:t>sede de la Corte el 25 de mayo  de  2001,  para  escuchar  las  conclusiones</w:t>
        <w:br/>
        <w:t>sobre reparaciones en el presente caso.</w:t>
        <w:br/>
        <w:br/>
        <w:t>12.   El 9 de mayo de 2001 los familiares de  las  víctimas  presentaron  un</w:t>
        <w:br/>
        <w:t>nuevo escrito en el que comunicaron que designaban a Viviana Krsticevic,  de</w:t>
        <w:br/>
        <w:t>CEJIL, y a Degnis Robert Meza Rivera, del IDL, como sus representantes.</w:t>
        <w:br/>
        <w:br/>
        <w:t>13.   El 25 de mayo de 2001 la Corte celebró  una  audiencia  pública  sobre</w:t>
        <w:br/>
        <w:t>reparaciones.</w:t>
        <w:br/>
        <w:br/>
        <w:t>Comparecieron ante la Corte:</w:t>
        <w:br/>
        <w:br/>
        <w:t>Por el Estado del Perú:</w:t>
        <w:br/>
        <w:br/>
        <w:t xml:space="preserve">      Patricio Marcial Rubio Correa, agente;</w:t>
        <w:br/>
        <w:t xml:space="preserve">      Fernando Rojas, Embajador del Perú en Costa Rica; y</w:t>
        <w:br/>
        <w:t xml:space="preserve">      Jorge Lázaro, Ministro de la Embajada del  Perú  en  San  José,  Costa</w:t>
        <w:br/>
        <w:t>Rica.</w:t>
        <w:br/>
        <w:br/>
        <w:t>Por la Comisión Interamericana de Derechos Humanos:</w:t>
        <w:br/>
        <w:br/>
        <w:t xml:space="preserve">      Domingo E. Acevedo, Delegado.</w:t>
        <w:br/>
        <w:br/>
        <w:t>Por los familiares de las víctimas:</w:t>
        <w:br/>
        <w:br/>
        <w:t xml:space="preserve">      Viviana Krsticevic; y</w:t>
        <w:br/>
        <w:t xml:space="preserve">      Degnis Robert Meza Rivera.</w:t>
        <w:br/>
        <w:br/>
        <w:t>14.   Durante la audiencia pública el Estado  manifestó  que  se  encontraba</w:t>
        <w:br/>
        <w:t>abocado a preparar una “propuesta reparatoria” para los  familiares  de  las</w:t>
        <w:br/>
        <w:t>víctimas, acorde con las circunstancias  de  éstas  y  con  los  hechos  que</w:t>
        <w:br/>
        <w:t>generaron la responsabilidad del Estado.  Agregó  que  aún  no  tenía  dicha</w:t>
        <w:br/>
        <w:t>propuesta, pero la concluiría y sometería en  las  próximas  semanas  a  los</w:t>
        <w:br/>
        <w:t>representantes de los familiares de las víctimas y al Tribunal.</w:t>
        <w:br/>
        <w:br/>
        <w:t>15.   El 25 de mayo de 2001 los representantes  de  los  familiares  de  las</w:t>
        <w:br/>
        <w:t>víctimas presentaron un escrito en  el  que  manifestaron  su  posición  con</w:t>
        <w:br/>
        <w:t>respecto a la  solicitud  formulada  por  el  Estado  durante  la  audiencia</w:t>
        <w:br/>
        <w:t>pública, en el sentido de que se  extendiera  el  plazo  para  plantear  una</w:t>
        <w:br/>
        <w:t>propuesta sobre reparaciones, y señalaron que “dado que será imposible  para</w:t>
        <w:br/>
        <w:t>el Estado cumplir [con] la formulación de la propuesta en el plazo  previsto</w:t>
        <w:br/>
        <w:t>por  los  representantes  de  las  víctimas,  y  considerando   las   serias</w:t>
        <w:br/>
        <w:t>divergencias  en  materia  de  reparaciones   pecuniarias   y   medidas   de</w:t>
        <w:br/>
        <w:t>satisfacción que aún separan la posición  de  las  partes,  sería  altamente</w:t>
        <w:br/>
        <w:t>inconveniente  postergar   la   determinación   de   la   reparación”.    En</w:t>
        <w:br/>
        <w:t>consecuencia,  solicitaron  a  la  Corte  la  pronta  determinación  de  las</w:t>
        <w:br/>
        <w:t>reparaciones.</w:t>
        <w:br/>
        <w:br/>
        <w:t>16.   El 22 de agosto y el  5  de  noviembre  de  2001  el  Estado  presentó</w:t>
        <w:br/>
        <w:t>información respecto a los  avances  obtenidos  en  el  cumplimiento  de  la</w:t>
        <w:br/>
        <w:t>Sentencia de fondo dictada en el presente  caso,  así  como  acerca  de  las</w:t>
        <w:br/>
        <w:t>diligencias conducentes a cumplir el compromiso de presentar  una  propuesta</w:t>
        <w:br/>
        <w:t>de reparaciones, conforme a lo  que  indicara  el  Estado  en  la  audiencia</w:t>
        <w:br/>
        <w:t>pública.</w:t>
        <w:br/>
        <w:br/>
        <w:t>17.   El 26 de noviembre de 2001 el Estado remitió a la  Corte  el  “Acuerdo</w:t>
        <w:br/>
        <w:t>de reparación integral a los familiares de las víctimas en el caso Durand  y</w:t>
        <w:br/>
        <w:t>Ugarte” (en adelante “el  acuerdo”   o  “el  acuerdo  sobre  reparaciones”),</w:t>
        <w:br/>
        <w:t>formalmente celebrado entre el Estado, los familiares de las víctimas y  sus</w:t>
        <w:br/>
        <w:t>representantes, suscrito el mismo día en Lima, Perú.</w:t>
        <w:br/>
        <w:br/>
        <w:t>18.   El 28 de noviembre de 2001 la Secretaría, siguiendo  instrucciones  de</w:t>
        <w:br/>
        <w:t>la Corte, informó a la Comisión Interamericana que  del  acuerdo  presentado</w:t>
        <w:br/>
        <w:t>al Tribunal se desprende que la Comisión no participó en la suscripción  del</w:t>
        <w:br/>
        <w:t>mismo ni en su remisión a la Corte.  Por ello, y en virtud de  lo  dispuesto</w:t>
        <w:br/>
        <w:t>en la cláusula décima primera del propio acuerdo, el Tribunal solicitó a  la</w:t>
        <w:br/>
        <w:t>Comisión su punto de vista sobre ese convenio.  Asimismo,  la  Corte  señaló</w:t>
        <w:br/>
        <w:t>que, en el supuesto de que  no  recibiera  respuesta  dentro  de  48  horas,</w:t>
        <w:br/>
        <w:t>entendería que la Comisión está conforme con el acuerdo sobre reparaciones.</w:t>
        <w:br/>
        <w:br/>
        <w:t>19.   El 30 de noviembre de 2001 la Comisión presentó  un  escrito  mediante</w:t>
        <w:br/>
        <w:t>el  cual  manifestó  al  Tribunal  su  conformidad  con  el  acuerdo   sobre</w:t>
        <w:br/>
        <w:t>reparaciones celebrado entre el Estado, los familiares  de  las  víctimas  y</w:t>
        <w:br/>
        <w:t>sus representantes.</w:t>
        <w:br/>
        <w:br/>
        <w:br/>
        <w:br/>
        <w:t xml:space="preserve">                                     IV</w:t>
        <w:br/>
        <w:br/>
        <w:br/>
        <w:t xml:space="preserve">                            Obligación de Reparar</w:t>
        <w:br/>
        <w:br/>
        <w:br/>
        <w:t xml:space="preserve">                         Acuerdo sobre Reparaciones</w:t>
        <w:br/>
        <w:br/>
        <w:br/>
        <w:br/>
        <w:t>20.   En materia de reparaciones,  es  aplicable  el  artículo  63.1  de  la</w:t>
        <w:br/>
        <w:t>Convención Americana, que prescribe:</w:t>
        <w:br/>
        <w:br/>
        <w:t xml:space="preserve">      Cuando decida que hubo violación de un derecho o  libertad 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  (subrayado</w:t>
        <w:br/>
        <w:t xml:space="preserve">      no es del original)</w:t>
        <w:br/>
        <w:br/>
        <w:t>21.   El artículo 56 del Reglamento establece que:</w:t>
        <w:br/>
        <w:br/>
        <w:br/>
        <w:t xml:space="preserve">      1.     Cuando  en  la  sentencia  de  fondo  no  se  hubiere  decidido</w:t>
        <w:br/>
        <w:t xml:space="preserve">      específicamente sobre reparaciones, la  Corte  fijará  la  oportunidad</w:t>
        <w:br/>
        <w:t xml:space="preserve">      para su posterior decisión y determinará el procedimiento.</w:t>
        <w:br/>
        <w:br/>
        <w:br/>
        <w:t xml:space="preserve">      2.    SI LA CORTE FUERE INFORMADA DE  QUE  EL  LESIONADO  Y  LA  PARTE</w:t>
        <w:br/>
        <w:t xml:space="preserve">      RESPONSABLE  EN  EL  CASO  HAN  LLEGADO  A  UN  ACUERDO  RESPECTO   AL</w:t>
        <w:br/>
        <w:t xml:space="preserve">      CUMPLIMIENTO DE LA SENTENCIA SOBRE EL FONDO, VERIFICARÁ QUE EL ACUERDO</w:t>
        <w:br/>
        <w:t xml:space="preserve">      SEA JUSTO Y DISPONDRÁ LO CONDUCENTE.</w:t>
        <w:br/>
        <w:br/>
        <w:br/>
        <w:t>22.   El acuerdo entre el Estado, los  familiares  de  las  víctimas  y  sus</w:t>
        <w:br/>
        <w:t>representantes  fue  presentado  ante  la  Corte   durante   la   etapa   de</w:t>
        <w:br/>
        <w:t>reparaciones,  cuando  los  autos  se  encontraban  listos  para  dictar  la</w:t>
        <w:br/>
        <w:t>sentencia correspondiente. En virtud de que  no  existe  controversia  sobre</w:t>
        <w:br/>
        <w:t>las reparaciones, la Corte resuelve examinar el acuerdo mencionado.</w:t>
        <w:br/>
        <w:br/>
        <w:t>23.   Corresponde a la Corte evaluar si el  acuerdo  sobre  reparaciones  es</w:t>
        <w:br/>
        <w:t>compatible con las disposiciones pertinentes  de  la  Convención  Americana,</w:t>
        <w:br/>
        <w:t>así como verificar si se garantiza el pago de una justa indemnización a  los</w:t>
        <w:br/>
        <w:t>familiares de las víctimas, y se reparan las diversas consecuencias  de  las</w:t>
        <w:br/>
        <w:t>violaciones de los derechos humanos cometidas en el presente caso.</w:t>
        <w:br/>
        <w:br/>
        <w:t>24.   Este Tribunal ha  reiterado  el  principio  de  derecho  internacional</w:t>
        <w:br/>
        <w:t>aplicable a esta materia, en  el  sentido  de  que  toda  violación  de  una</w:t>
        <w:br/>
        <w:t>obligación internacional que ha producido daño  trae  consigo  el  deber  de</w:t>
        <w:br/>
        <w:t>repararlo adecuadamente [2].</w:t>
        <w:br/>
        <w:br/>
        <w:t>a) La reparación del daño ocasionado por la  infracción  de  una  obligación</w:t>
        <w:br/>
        <w:t xml:space="preserve">   internacional requiere, siempre que sea  posible,  la  plena  restitución</w:t>
        <w:br/>
        <w:t xml:space="preserve">   (restitutio in integrum), la cual consiste en el restablecimiento  de  la</w:t>
        <w:br/>
        <w:t xml:space="preserve">   situación anterior a la violación cometida. De no ser esto  factible,  el</w:t>
        <w:br/>
        <w:t xml:space="preserve">   tribunal  internacional  puede  ordenar  la  adopción  de  medidas   para</w:t>
        <w:br/>
        <w:t xml:space="preserve">   garantizar los derechos conculcados y reparar las consecuencias  que  las</w:t>
        <w:br/>
        <w:t xml:space="preserve">   infracciones produjeron,  entre  ellas,  el  pago  de  una  indemnización</w:t>
        <w:br/>
        <w:t xml:space="preserve">   compensatoria por los daños ocasionados [3].</w:t>
        <w:br/>
        <w:br/>
        <w:br/>
        <w:br/>
        <w:br/>
        <w:br/>
        <w:t xml:space="preserve">                                      V</w:t>
        <w:br/>
        <w:t xml:space="preserve">                      Beneficiarios de las Reparaciones</w:t>
        <w:br/>
        <w:br/>
        <w:t>26.   En la cláusula tercera del acuerdo se establece que los  beneficiarios</w:t>
        <w:br/>
        <w:t>de las reparaciones serán Virginia  Bonifacia  Ugarte  Rivera  de  Durand  y</w:t>
        <w:br/>
        <w:t>Nolberto Durand Vargas, padres de  Nolberto  Durand  Ugarte  y,  a  la  vez,</w:t>
        <w:br/>
        <w:t>hermana y cuñado, respectivamente,  de  Gabriel  Pablo  Ugarte  Rivera.   El</w:t>
        <w:br/>
        <w:t>acuerdo señala también que ninguna otra persona  natural  o  jurídica  podrá</w:t>
        <w:br/>
        <w:t>reclamar beneficios directos o indirectos fundados en este convenio.</w:t>
        <w:br/>
        <w:br/>
        <w:t xml:space="preserve">                                      *</w:t>
        <w:br/>
        <w:t xml:space="preserve">                                  *       *</w:t>
        <w:br/>
        <w:br/>
        <w:t>27.   La Corte observa que no existe controversia respecto a la  calidad  de</w:t>
        <w:br/>
        <w:t>beneficiarios de las personas mencionadas, cuyo  reconocimiento  como  tales</w:t>
        <w:br/>
        <w:t>es acorde con la jurisprudencia del Tribunal[4], y homologa  el  acuerdo  en</w:t>
        <w:br/>
        <w:t>este punto. Este Tribunal entiende que dichas  personas  deben  ser  tenidas</w:t>
        <w:br/>
        <w:t>como beneficiarias de reparación en su calidad de  derechohabientes  de  sus</w:t>
        <w:br/>
        <w:t>parientes fallecidos, por un lado, y en  su  condición  de  víctimas  de  la</w:t>
        <w:br/>
        <w:t>violación de los artículos 8.1 y 25.1 de la Convención, según lo declaró  la</w:t>
        <w:br/>
        <w:t>sentencia de fondo, por el otro.   En  consecuencia,  la  Corte  estima  que</w:t>
        <w:br/>
        <w:t>Virginia Bonifacia Ugarte Rivera de Durand y Nolberto  Durand  Vargas  deben</w:t>
        <w:br/>
        <w:t>ser considerados  como  beneficiarios  de  las  reparaciones,  en  la  doble</w:t>
        <w:br/>
        <w:t>condición mencionada.</w:t>
        <w:br/>
        <w:br/>
        <w:br/>
        <w:t xml:space="preserve">                                     VI</w:t>
        <w:br/>
        <w:br/>
        <w:t xml:space="preserve">                          Reparaciones Pecuniarias</w:t>
        <w:br/>
        <w:br/>
        <w:br/>
        <w:t>28.    En  el  acuerdo  de  reparaciones,   bajo   el   acápite   denominado</w:t>
        <w:br/>
        <w:t>“Indemnización económica”, el Estado se compromete a pagar  la  cantidad  de</w:t>
        <w:br/>
        <w:t>US$125,000.00 (ciento veinticinco mil  dólares  de  los  Estados  Unidos  de</w:t>
        <w:br/>
        <w:t>América) a  los  señores  Virginia  Bonifacia  Ugarte  Rivera  de  Durand  y</w:t>
        <w:br/>
        <w:t>Nolberto Durand Vargas.  Asimismo, se establece que dicho monto  “constituye</w:t>
        <w:br/>
        <w:t>el único pago directo o indirecto que el Estado asumirá con relación  a  los</w:t>
        <w:br/>
        <w:t>beneficiarios de la reparación derivada de  la  sentencia  de  fecha  16  de</w:t>
        <w:br/>
        <w:t>agosto de 2000”, dictada por la Corte Interamericana, y que  la  suscripción</w:t>
        <w:br/>
        <w:t>del presente acuerdo “implica la renuncia expresa de los  herederos  de  las</w:t>
        <w:br/>
        <w:t>víctimas,  así  como  de  sus  representantes  a  ejercer  cualquier  acción</w:t>
        <w:br/>
        <w:t>judicial o extrajudicial contra el Estado para el cobro de  cantidad  alguna</w:t>
        <w:br/>
        <w:t>adicional”.  Además, el Perú se reserva el derecho  de  repetir  contra  los</w:t>
        <w:br/>
        <w:t>que resulten responsables judicialmente de los hechos materia  del  presente</w:t>
        <w:br/>
        <w:t>acuerdo, de conformidad con las disposiciones legales aplicables.</w:t>
        <w:br/>
        <w:br/>
        <w:t>29.   En lo que respecta a la forma de pago,  en  la  cláusula  séptima  del</w:t>
        <w:br/>
        <w:t>acuerdo se conviene que el Estado iniciará las  gestiones  pertinentes  para</w:t>
        <w:br/>
        <w:t>hacer efectivo un pago parcial en el  presente  año  fiscal;  y  de  no  ser</w:t>
        <w:br/>
        <w:t>posible, incluir en el Presupuesto General de la República  del  año  Fiscal</w:t>
        <w:br/>
        <w:t>2002  el  monto  señalado  en  la  cláusula  referente  a  la  indemnización</w:t>
        <w:br/>
        <w:t>económica.  El pago se realizará en el transcurso del segundo  trimestre  de</w:t>
        <w:br/>
        <w:t>dicho  año  fiscal,  de   conformidad   con   la   asignación   presupuestal</w:t>
        <w:br/>
        <w:t>correspondiente, directa  y  conjuntamente  a  ambos  beneficiarios  de  las</w:t>
        <w:br/>
        <w:t>reparaciones.</w:t>
        <w:br/>
        <w:br/>
        <w:t>30.   A su vez, la misma  cláusula  del  acuerdo  dispone  que  la  cantidad</w:t>
        <w:br/>
        <w:t>indicada (supra párr. 29) no estará afecta a tributo alguno,  creado  o  por</w:t>
        <w:br/>
        <w:t>crearse.</w:t>
        <w:br/>
        <w:br/>
        <w:t>31.   Por último, el acuerdo también dispone en dicha cláusula  séptima  que</w:t>
        <w:br/>
        <w:t>“[t]ranscurrido el plazo de pago […], el Estado incurrirá en  mora  debiendo</w:t>
        <w:br/>
        <w:t>pagar la tasa de interés compensatorio y moratorio  prevista  por  el  Banco</w:t>
        <w:br/>
        <w:t>Central de Reserva”.</w:t>
        <w:br/>
        <w:br/>
        <w:br/>
        <w:br/>
        <w:t xml:space="preserve">                                      *</w:t>
        <w:br/>
        <w:br/>
        <w:br/>
        <w:t xml:space="preserve">                                 *        *</w:t>
        <w:br/>
        <w:br/>
        <w:br/>
        <w:t>32.   La Corte homologa el acuerdo  en  lo  que  respecta  a  la  reparación</w:t>
        <w:br/>
        <w:t>pecuniaria convenida, como forma de compensación por los daños  ocasionados,</w:t>
        <w:br/>
        <w:t>y considera que la  misma  representa  un  paso  positivo  del  Perú  en  el</w:t>
        <w:br/>
        <w:t>cumplimiento,   de   buena   fe,   de   sus   obligaciones    convencionales</w:t>
        <w:br/>
        <w:t>internacionales.  La Corte  estima  pertinente  que  el  Estado  adopte  las</w:t>
        <w:br/>
        <w:t>providencias necesarias para adelantar un pago parcial de  la  indemnización</w:t>
        <w:br/>
        <w:t>en el presente año fiscal, o, en su defecto, cubrir la  indemnización  total</w:t>
        <w:br/>
        <w:t>durante el segundo trimestre del año fiscal 2002, como fue acordado por  las</w:t>
        <w:br/>
        <w:t>partes.</w:t>
        <w:br/>
        <w:br/>
        <w:t>33.   Igualmente, la Corte aprueba  los  términos  pactados  respecto  a  la</w:t>
        <w:br/>
        <w:t>modalidad de cumplimiento de las reparaciones pecuniarias que figuran en  el</w:t>
        <w:br/>
        <w:t>acuerdo, los cuales son acordes con la jurisprudencia del Tribunal[5].</w:t>
        <w:br/>
        <w:br/>
        <w:t>34.   La Corte estima oportuno agregar que  si  no  fuese  posible  que  los</w:t>
        <w:br/>
        <w:t>beneficiarios de las indemnizaciones se presenten a  recibirlas,  el  Estado</w:t>
        <w:br/>
        <w:t>deberá consignar los montos a favor  de  aquéllos  o  de  sus  herederos  en</w:t>
        <w:br/>
        <w:t>certificado de depósito o cuenta constituidos en  una  institución  bancaria</w:t>
        <w:br/>
        <w:t>peruana solvente, en dólares de los Estados Unidos de América, dentro de  un</w:t>
        <w:br/>
        <w:t>plazo de seis meses, y en las más  favorables  condiciones  financieras  que</w:t>
        <w:br/>
        <w:t>permitan la legislación y la práctica bancarias.</w:t>
        <w:br/>
        <w:br/>
        <w:br/>
        <w:t xml:space="preserve">                                     VII</w:t>
        <w:br/>
        <w:br/>
        <w:t xml:space="preserve">                         Otras formas de Reparación</w:t>
        <w:br/>
        <w:br/>
        <w:br/>
        <w:t>35.   Además de  la  reparación  pecuniaria,  el  Estado  se  comprometió  a</w:t>
        <w:br/>
        <w:t>otorgar reparaciones de otra naturaleza a los familiares de las víctimas.</w:t>
        <w:br/>
        <w:br/>
        <w:t>36.   De conformidad con lo establecido  en  la  cláusula  octava  –titulada</w:t>
        <w:br/>
        <w:t>“Prestaciones de salud”– el  Estado  se  obligó  a  cubrir,  por  medio  del</w:t>
        <w:br/>
        <w:t>Ministerio de Salud, los costos relacionados  con  servicios  de  salud  que</w:t>
        <w:br/>
        <w:t>brinden a  los  beneficiarios  los  centros  de  atención  correspondientes,</w:t>
        <w:br/>
        <w:t>incluyendo el precio de los medicamentos.   Este  deber  regirá  durante  la</w:t>
        <w:br/>
        <w:t>vida de aquéllos y empezará a aplicarse desde el momento de  la  suscripción</w:t>
        <w:br/>
        <w:t>del acuerdo.</w:t>
        <w:br/>
        <w:br/>
        <w:t>37.   Asimismo, en la cláusula novena  –denominada  “Prestaciones  de  apoyo</w:t>
        <w:br/>
        <w:t>psicológico y desarrollo interpersonal”– se estipula  que  el  Estado,  “por</w:t>
        <w:br/>
        <w:t>medio del Programa de Apoyo  al  Repoblamiento  y  Desarrollo  de  Zonas  de</w:t>
        <w:br/>
        <w:t>Emergencia del Ministerio de Promoción de  la  Mujer  y  Desarrollo  Humanos</w:t>
        <w:br/>
        <w:t>(PROMUDEH), incorporará en los programas vigentes a  los  beneficiarios,  de</w:t>
        <w:br/>
        <w:t>acuerdo con sus necesidades.”</w:t>
        <w:br/>
        <w:br/>
        <w:t>38.   Además, según lo estipulado en la cláusula décima –llamada  “Apoyo  en</w:t>
        <w:br/>
        <w:t>la construcción de inmueble”– el Estado se compromete, por medio  del  Fondo</w:t>
        <w:br/>
        <w:t>de Apoyo Social (FONAS)  del  Banco  de  Materiales  del  Ministerio  de  la</w:t>
        <w:br/>
        <w:t>Presidencia, conforme a los alcances de la Ley No. 27205 y a  las  reglas  y</w:t>
        <w:br/>
        <w:t>procedimientos establecidos al efecto, a sufragar el costo de  parte  de  la</w:t>
        <w:br/>
        <w:t>construcción  del  inmueble  perteneciente  a  los  beneficiarios   de   las</w:t>
        <w:br/>
        <w:t>reparaciones,  ubicado  en  el  Jirón  Hanancusco  No.   942,   Urbanización</w:t>
        <w:br/>
        <w:t>Tahuantinsuyo, Cuarta Zona, Distrito de Independencia, Lima.</w:t>
        <w:br/>
        <w:br/>
        <w:t>39.   En las cláusulas segunda, cuarta y quinta del  acuerdo  se  establecen</w:t>
        <w:br/>
        <w:t>medidas de reparación adicionales, de satisfacción y de no  repetición,  que</w:t>
        <w:br/>
        <w:t>el Estado se compromete a cumplir, a saber:</w:t>
        <w:br/>
        <w:br/>
        <w:t xml:space="preserve">   a) publicar la sentencia de la Corte dictada el 16 de agosto de  2000  en</w:t>
        <w:br/>
        <w:t xml:space="preserve">      el Diario Oficial El Peruano, y difundir su contenido en otros  medios</w:t>
        <w:br/>
        <w:t xml:space="preserve">      de comunicación que para tal efecto se estimen apropiados,  dentro  de</w:t>
        <w:br/>
        <w:t xml:space="preserve">      los 30 días siguientes a la suscripción del acuerdo;</w:t>
        <w:br/>
        <w:br/>
        <w:br/>
        <w:t xml:space="preserve">   b) incluir en la Resolución Suprema,  que  disponga  la  publicación  del</w:t>
        <w:br/>
        <w:t xml:space="preserve">      acuerdo, “una expresión pública de solicitud de perdón a las  víctimas</w:t>
        <w:br/>
        <w:t xml:space="preserve">      por los graves daños causados” y una ratificación de  la  voluntad  de</w:t>
        <w:br/>
        <w:t xml:space="preserve">      que no volverán a ocurrir hechos de este género;</w:t>
        <w:br/>
        <w:br/>
        <w:br/>
        <w:t xml:space="preserve">   c) investigar y sancionar a los responsables de los hechos, en virtud del</w:t>
        <w:br/>
        <w:t xml:space="preserve">      punto resolutivo séptimo de la sentencia de fondo dictada por la Corte</w:t>
        <w:br/>
        <w:t xml:space="preserve">      el 16 de agosto de 2000, y seguir impulsando la investigación  que  se</w:t>
        <w:br/>
        <w:t xml:space="preserve">      tramita ante la 41 Fiscalía Penal de Lima, por el delito de  homicidio</w:t>
        <w:br/>
        <w:t xml:space="preserve">      en perjuicio de 30 personas, entre las cuales se  encuentran  Nolberto</w:t>
        <w:br/>
        <w:t xml:space="preserve">      Durand Ugarte y Gabriel Pablo Ugarte Rivera; y</w:t>
        <w:br/>
        <w:br/>
        <w:br/>
        <w:t xml:space="preserve">   d) realizar las diligencias concretas tendientes a localizar el  paradero</w:t>
        <w:br/>
        <w:t xml:space="preserve">      e identificar los cadáveres de Nolberto Durand Ugarte y Gabriel  Pablo</w:t>
        <w:br/>
        <w:t xml:space="preserve">      Ugarte Rivera para entregarlos a sus familiares, de conformidad con el</w:t>
        <w:br/>
        <w:t xml:space="preserve">      punto resolutivo séptimo de la sentencia de fondo dictada por la Corte</w:t>
        <w:br/>
        <w:t xml:space="preserve">      el 16 de agosto de 2000.</w:t>
        <w:br/>
        <w:br/>
        <w:br/>
        <w:br/>
        <w:t xml:space="preserve">                                      *</w:t>
        <w:br/>
        <w:br/>
        <w:br/>
        <w:t xml:space="preserve">                                  *      *</w:t>
        <w:br/>
        <w:br/>
        <w:br/>
        <w:t>40.   La Corte  homologa  el  acuerdo  respecto  a  estas  otras  formas  de</w:t>
        <w:br/>
        <w:t>reparación como modalidad de compensación por los daños ocasionados.   Estas</w:t>
        <w:br/>
        <w:t>reparaciones representan un aporte positivo del Estado para el  cumplimiento</w:t>
        <w:br/>
        <w:t>de la obligación de reparar, conforme al  artículo  63.1  de  la  Convención</w:t>
        <w:br/>
        <w:t>Americana.   En  consecuencia,  el   Estado   deberá   cumplir   todas   las</w:t>
        <w:br/>
        <w:t>prestaciones correspondientes a las reparaciones no pecuniarias  a  las  que</w:t>
        <w:br/>
        <w:t>se comprometió, dentro de los plazos estipulados en el acuerdo, en favor  de</w:t>
        <w:br/>
        <w:t>los beneficiarios de las reparaciones.</w:t>
        <w:br/>
        <w:br/>
        <w:br/>
        <w:t xml:space="preserve">                                    VIII</w:t>
        <w:br/>
        <w:br/>
        <w:br/>
        <w:t xml:space="preserve">                                Homologación</w:t>
        <w:br/>
        <w:br/>
        <w:t xml:space="preserve">                                      y</w:t>
        <w:br/>
        <w:t xml:space="preserve">                         Supervisión de Cumplimiento</w:t>
        <w:br/>
        <w:br/>
        <w:t>41.   De conformidad con las anteriores consideraciones,  la  Corte  aprueba</w:t>
        <w:br/>
        <w:t>el “Acuerdo de reparación integral a los  familiares  de  las  víctimas  del</w:t>
        <w:br/>
        <w:t>caso Durand y Ugarte” celebrado entre el Estado  y  los  familiares  de  las</w:t>
        <w:br/>
        <w:t>víctimas y sus representantes, y que cuenta con el parecer favorable  de  la</w:t>
        <w:br/>
        <w:t>Comisión Interamericana, por encontrarse ajustado a la Convención  Americana</w:t>
        <w:br/>
        <w:t>y contribuir a la realización del objeto y fin de ésta en el caso  sujeto  a</w:t>
        <w:br/>
        <w:t>examen.</w:t>
        <w:br/>
        <w:br/>
        <w:t>42.   Para dar cumplimiento a dicho acuerdo, es  pertinente  que  el  Estado</w:t>
        <w:br/>
        <w:t>adopte las medidas de reparación anteriormente referidas, en  los  plazos  y</w:t>
        <w:br/>
        <w:t>condiciones acordados en aquél, y de conformidad con lo establecido  por  el</w:t>
        <w:br/>
        <w:t>Tribunal en la presente Sentencia.</w:t>
        <w:br/>
        <w:br/>
        <w:t>43.   La Corte se reserva la facultad de supervisar el cumplimiento  íntegro</w:t>
        <w:br/>
        <w:t>de la presente Sentencia. El caso se dará  por  concluido  una  vez  que  el</w:t>
        <w:br/>
        <w:t>Estado haya dado cabal cumplimiento a lo dispuesto en ella.</w:t>
        <w:br/>
        <w:br/>
        <w:t>44.   En la medida en que el acuerdo ha  sido  homologado  por  la  presente</w:t>
        <w:br/>
        <w:t>Sentencia de la Corte, cualquier problema de interpretación, controversia  o</w:t>
        <w:br/>
        <w:t>diferencia que se suscite serán resueltos por el Tribunal.</w:t>
        <w:br/>
        <w:br/>
        <w:br/>
        <w:br/>
        <w:br/>
        <w:br/>
        <w:t xml:space="preserve">                                     IX</w:t>
        <w:br/>
        <w:br/>
        <w:br/>
        <w:t xml:space="preserve">                             Puntos Resolutivos</w:t>
        <w:br/>
        <w:br/>
        <w:br/>
        <w:t>45.   Por tanto,</w:t>
        <w:br/>
        <w:br/>
        <w:t>LA CORTE,</w:t>
        <w:br/>
        <w:br/>
        <w:t>DECIDE:</w:t>
        <w:br/>
        <w:br/>
        <w:t>por unanimidad,</w:t>
        <w:br/>
        <w:br/>
        <w:t>1.    Que aprueba el acuerdo, en los  términos  de  la  presente  Sentencia,</w:t>
        <w:br/>
        <w:t>sobre reparaciones suscrito el 26 de noviembre de 2001  entre  el  Estado  y</w:t>
        <w:br/>
        <w:t>los familiares de las víctimas y sus representantes legales.</w:t>
        <w:br/>
        <w:br/>
        <w:t>2.    QUE  EL  ESTADO  DEBE  PAGAR  LA  CANTIDAD  DE  US$125.000,00  (CIENTO</w:t>
        <w:br/>
        <w:t>VEINTICINCO MIL DÓLARES  DE  LOS  ESTADOS  UNIDOS  DE  AMÉRICA)  A  VIRGINIA</w:t>
        <w:br/>
        <w:t>BONIFACIA UGARTE RIVERA DE  DURAND  Y  NOLBERTO  DURAND  VARGAS,  PADRES  DE</w:t>
        <w:br/>
        <w:t>NOLBERTO DURAND UGARTE Y A LA VEZ, HERMANA  Y  CUÑADO,  RESPECTIVAMENTE,  DE</w:t>
        <w:br/>
        <w:t>GABRIEL PABLO UGARTE RIVERA, A EFECTOS DE LO CUAL ADOPTARÁ LAS  PROVIDENCIAS</w:t>
        <w:br/>
        <w:t>NECESARIAS PARA  ADELANTAR  UN  PAGO  PARCIAL  DE  LA  INDEMNIZACIÓN  EN  EL</w:t>
        <w:br/>
        <w:t>PRESENTE  AÑO  FISCAL,  O,  EN  SU  DEFECTO,  HACER  EL  PAGO  TOTAL  DE  LA</w:t>
        <w:br/>
        <w:t>INDEMNIZACIÓN  DURANTE  EL  SEGUNDO  TRIMESTRE  DEL  AÑO  FISCAL  2002,   DE</w:t>
        <w:br/>
        <w:t>CONFORMIDAD CON LO EXPUESTO EN LOS PÁRRAFOS 32,  33  Y  34  DE  LA  PRESENTE</w:t>
        <w:br/>
        <w:t>SENTENCIA.  LA  CANTIDAD  SERÁ  DISTRIBUIDA  EN  PARTES  IGUALES  ENTRE  LOS</w:t>
        <w:br/>
        <w:t>BENEFICIARIOS.</w:t>
        <w:br/>
        <w:br/>
        <w:t>3.     Que  el  Estado  debe  proporcionar  a  los  beneficiarios   de   las</w:t>
        <w:br/>
        <w:t>reparaciones las prestaciones de salud, de apoyo  psicológico  y  desarrollo</w:t>
        <w:br/>
        <w:t>interpersonal y de apoyo en la construcción de un  inmueble  a  las  que  se</w:t>
        <w:br/>
        <w:t>refieren los párrafos 36, 37, 38 y 40 de esta Sentencia.</w:t>
        <w:br/>
        <w:br/>
        <w:t>4.    Que el Estado debe efectuar, de conformidad con  lo  expuesto  en  los</w:t>
        <w:br/>
        <w:t>párrafos 39 y 40 de la presente Sentencia, las  siguientes  reparaciones  no</w:t>
        <w:br/>
        <w:t>pecuniarias:</w:t>
        <w:br/>
        <w:br/>
        <w:t xml:space="preserve">        a) publicar la sentencia de la Corte dictada el  16  de  agosto  de</w:t>
        <w:br/>
        <w:t xml:space="preserve">           2000 en el Diario Oficial El Peruano, y difundir su contenido en</w:t>
        <w:br/>
        <w:t xml:space="preserve">           otros medios de comunicación que  para  tal  efecto  se  estimen</w:t>
        <w:br/>
        <w:t xml:space="preserve">           apropiados, dentro de los 30 días siguientes  a  la  suscripción</w:t>
        <w:br/>
        <w:t xml:space="preserve">           del acuerdo;</w:t>
        <w:br/>
        <w:br/>
        <w:br/>
        <w:t xml:space="preserve">        b) incluir en la Resolución Suprema, que  disponga  la  publicación</w:t>
        <w:br/>
        <w:t xml:space="preserve">           del acuerdo, “una expresión pública de solicitud de perdón a las</w:t>
        <w:br/>
        <w:t xml:space="preserve">           víctimas por los graves daños causados” y una ratificación de la</w:t>
        <w:br/>
        <w:t xml:space="preserve">           voluntad de que no volverán a ocurrir hechos de este género;</w:t>
        <w:br/>
        <w:br/>
        <w:br/>
        <w:t xml:space="preserve">        c) investigar y sancionar a los  responsables  de  los  hechos,  en</w:t>
        <w:br/>
        <w:t xml:space="preserve">           virtud del punto resolutivo séptimo de  la  sentencia  de  fondo</w:t>
        <w:br/>
        <w:t xml:space="preserve">           dictada por  la  Corte  el  16  de  agosto  de  2000,  y  seguir</w:t>
        <w:br/>
        <w:t xml:space="preserve">           impulsando la investigación que se tramita ante la  41  Fiscalía</w:t>
        <w:br/>
        <w:t xml:space="preserve">           Penal de Lima, por el delito de homicidio  en  perjuicio  de  30</w:t>
        <w:br/>
        <w:t xml:space="preserve">           personas, entre las cuales se encuentran Nolberto Durand  Ugarte</w:t>
        <w:br/>
        <w:t xml:space="preserve">           y Gabriel Pablo Ugarte Rivera; y</w:t>
        <w:br/>
        <w:br/>
        <w:br/>
        <w:t xml:space="preserve">        d) realizar las diligencias concretas tendientes  a  establecer  el</w:t>
        <w:br/>
        <w:t xml:space="preserve">           lugar e identificar los cadáveres de Nolberto  Durand  Ugarte  y</w:t>
        <w:br/>
        <w:t xml:space="preserve">           Gabriel Pablo Ugarte Rivera para entregarlos a  sus  familiares,</w:t>
        <w:br/>
        <w:t xml:space="preserve">           de conformidad con el punto resolutivo séptimo de  la  sentencia</w:t>
        <w:br/>
        <w:t xml:space="preserve">           de fondo dictada por la Corte el 16 de agosto de 2000.</w:t>
        <w:br/>
        <w:br/>
        <w:t>5.    Que el Estado debe  rendir  a  la  Corte  Interamericana  de  Derechos</w:t>
        <w:br/>
        <w:t>Humanos  un informe sobre el cumplimiento de  las  reparaciones  dentro  del</w:t>
        <w:br/>
        <w:t>plazo de seis meses contados a partir de  la  notificación  de  la  presente</w:t>
        <w:br/>
        <w:t>Sentencia.</w:t>
        <w:br/>
        <w:br/>
        <w:t>6.    Que supervisará el cumplimiento de las  obligaciones  establecidas  en</w:t>
        <w:br/>
        <w:t>la presente Sentencia y dará por concluido este caso una vez que  el  Estado</w:t>
        <w:br/>
        <w:t>haya dado cabal cumplimiento a lo dispuesto en aquélla.</w:t>
        <w:br/>
        <w:br/>
        <w:t>Redactada en español y en inglés, haciendo fe el texto en  español,  en  San</w:t>
        <w:br/>
        <w:t>José, Costa Rica, el día 3 de diciembre de 2001.</w:t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t>Máximo Pacheco Gómez   Hernán Salgado Pesantes</w:t>
        <w:br/>
        <w:br/>
        <w:br/>
        <w:br/>
        <w:t xml:space="preserve">    Alirio Abreu Burelli     Sergio García Ramírez</w:t>
        <w:br/>
        <w:br/>
        <w:br/>
        <w:br/>
        <w:br/>
        <w:br/>
        <w:br/>
        <w:t xml:space="preserve">                       Carlos Vicente de Roux Rengifo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                         -----------------------</w:t>
        <w:br/>
        <w:t>(     El Juez Oliver Jackman informó a la Corte que, por motivos  de  fuerza</w:t>
        <w:br/>
        <w:t>mayor, no podía estar presente en el LIII Período Ordinario de Sesiones  del</w:t>
        <w:br/>
        <w:t>Tribunal, por lo que no  participó  en  la  deliberación  y  firma  de  esta</w:t>
        <w:br/>
        <w:t>Sentencia.</w:t>
        <w:br/>
        <w:br/>
        <w:t>((    De conformidad con la Resolución de la Corte de 13 de marzo  de  2001,</w:t>
        <w:br/>
        <w:t>sobre Disposiciones Transitorias al Reglamento de la Corte vigente desde  el</w:t>
        <w:br/>
        <w:t>1 de junio de 2001, la presente Sentencia acerca de  reparaciones  se  dicta</w:t>
        <w:br/>
        <w:t>en los términos del Reglamento adoptado en la Resolución de la Corte  de  16</w:t>
        <w:br/>
        <w:t>de septiembre de 1996.</w:t>
        <w:br/>
        <w:t>[1]   cfr. Caso Durand y Ugarte, Excepciones Preliminares. Sentencia  de  28</w:t>
        <w:br/>
        <w:t>de mayo de 1999. Serie C No. 50.</w:t>
        <w:br/>
        <w:t>[2]   Cfr. Caso de  la Comunidad Mayagna (Sumo) Awas  Tingni.  Sentencia  de</w:t>
        <w:br/>
        <w:t>31 de agosto de 2001. Serie  C  No.  79,  párr.  163;  Caso  Cesti  Hurtado.</w:t>
        <w:br/>
        <w:t>Reparaciones  (art.  63.1  Convención  Americana  sobre  Derechos  Humanos).</w:t>
        <w:br/>
        <w:t>Sentencia de 31 de mayo de 2001. Serie C No. 78, párr.  32  y  Caso  de  los</w:t>
        <w:br/>
        <w:t>“Niños de la Calle” (Villagrán Morales y otros vs. Guatemala).  Reparaciones</w:t>
        <w:br/>
        <w:t>(art. 63.1 Convención Americana sobre Derechos Humanos). Sentencia de 26  de</w:t>
        <w:br/>
        <w:t>mayo de 2001. Serie C No. 77, párr. 59.  En igual sentido,  Cfr.  Reparation</w:t>
        <w:br/>
        <w:t>for injuries suffered  in  the  service  of  the  United  Nations,  Advisory</w:t>
        <w:br/>
        <w:t>Opinion: I.C.J.  Reports  1949,  p.  184;  Factory  at  Chorzów,  Claim  for</w:t>
        <w:br/>
        <w:t>Indemnity, Merits, Judgment No. 13, 1928, P.C.I.J., Series  A,  No.  17,  p.</w:t>
        <w:br/>
        <w:t>29; y Factory at Chorzów, Claim for Indemnity,  Jurisdiction,  Judgment  No.</w:t>
        <w:br/>
        <w:t>8, 1927, P.C.I.J., Series A, No. 8, p. 21.</w:t>
        <w:br/>
        <w:t>[3]   Cfr. Caso Cesti Hurtado. Reparaciones, supra nota 2,  párr.  33;  Caso</w:t>
        <w:br/>
        <w:t>de los “Niños de la  Calle”  (Villagrán  Morales  y  otros  vs.  Guatemala).</w:t>
        <w:br/>
        <w:t>Reparaciones, supra nota 2, párr. 60; y Caso de la “Panel Blanca”  (Paniagua</w:t>
        <w:br/>
        <w:t>Morales  y  otros  vs.  Guatemala).  Reparaciones  (art.   63.1   Convención</w:t>
        <w:br/>
        <w:t>Americana sobre Derechos Humanos). Sentencia de 25 de mayo de 2001. Serie  C</w:t>
        <w:br/>
        <w:t>No. 76, párr. 76.</w:t>
        <w:br/>
        <w:br/>
        <w:t>[4]   Cfr. Caso de los “Niños de la Calle” (Villagrán Morales  y  otros  vs.</w:t>
        <w:br/>
        <w:t>Guatemala). Reparaciones, supra nota 2, párr. 67; Caso de la “Panel  Blanca”</w:t>
        <w:br/>
        <w:t>(Paniagua Morales y otros vs. Guatemala). Reparaciones, supra nota 3,  párr.</w:t>
        <w:br/>
        <w:t>84 y Caso Castillo Páez. Reparaciones (art. 63.1 Convención Americana  sobre</w:t>
        <w:br/>
        <w:t>Derechos Humanos). Sentencia de 27 de noviembre de 1998.  Serie  C  No.  43,</w:t>
        <w:br/>
        <w:t>párr. 86.</w:t>
        <w:br/>
        <w:t>[5]   Cfr. Caso Cesti Hurtado. Reparaciones, supra nota 2, párrs. 76,  77  y</w:t>
        <w:br/>
        <w:t>78; Caso de  los  “Niños  de  la  Calle”  (Villagrán  Morales  y  otros  vs.</w:t>
        <w:br/>
        <w:t>Guatemala). Reparaciones, supra nota 2, párrs. 119, 120 y 121; y Caso de  la</w:t>
        <w:br/>
        <w:t>“Panel Blanca” (Paniagua  Morales  y  otros  vs.  Guatemala).  Reparaciones,</w:t>
        <w:br/>
        <w:t>supra nota 3, párrs. 225, 226 y 227.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