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Caso de los 19 Comerciantes Vs. Colombia</w:t>
        <w:br/>
        <w:br/>
        <w:br/>
        <w:t xml:space="preserve">                      Sentencia de 12 de junio de 2002</w:t>
        <w:br/>
        <w:t xml:space="preserve">                           (Excepción Preliminar)</w:t>
        <w:br/>
        <w:br/>
        <w:br/>
        <w:br/>
        <w:br/>
        <w:t>En el caso de los 19 Comerciantes,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Antônio A. Cançado Trindade, Presidente;</w:t>
        <w:br/>
        <w:t xml:space="preserve">      Alirio Abreu Burelli, Vicepresidente;</w:t>
        <w:br/>
        <w:t xml:space="preserve">      Hernán Salgado Pesantes, Juez;</w:t>
        <w:br/>
        <w:t xml:space="preserve">      Oliver Jackman, Juez;</w:t>
        <w:br/>
        <w:t xml:space="preserve">      Sergio García Ramírez, Juez; y</w:t>
        <w:br/>
        <w:t xml:space="preserve">      Rafael Nieto Navia, Juez ad hoc;</w:t>
        <w:br/>
        <w:br/>
        <w:t>presentes, además,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con el artículo 36 del Reglamento de la Corte  (en  adelante  “el</w:t>
        <w:br/>
        <w:t>Reglamento”)**, dicta la presente Sentencia sobre  la  excepción  preliminar</w:t>
        <w:br/>
        <w:t>interpuesta  por  el  Estado  de  Colombia  (en  adelante  “el   Estado”   o</w:t>
        <w:br/>
        <w:t>“Colombia”).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 El  presente  caso  fue  sometido  a  la  Corte   por   la   Comisión</w:t>
        <w:br/>
        <w:t>Interamericana  de  Derechos  Humanos  (en  adelante  “la  Comisión”  o  “la</w:t>
        <w:br/>
        <w:t>Comisión Interamericana”) el  24  de  enero  de  2001.   La  demanda  de  la</w:t>
        <w:br/>
        <w:t>Comisión tiene  su  origen  en  la  denuncia  No.  11.603,  recibida  en  su</w:t>
        <w:br/>
        <w:t>Secretaría el 6 de marzo de 1996.</w:t>
        <w:br/>
        <w:br/>
        <w:br/>
        <w:br/>
        <w:br/>
        <w:t xml:space="preserve">                                     II</w:t>
        <w:br/>
        <w:br/>
        <w:br/>
        <w:t xml:space="preserve">                       Hechos Expuestos en la Demanda</w:t>
        <w:br/>
        <w:br/>
        <w:br/>
        <w:t>2.    La Comisión Interamericana expuso en su demanda que alrededor  de  las</w:t>
        <w:br/>
        <w:t>once horas del 6 de octubre de 1987 los comerciantes  Alvaro  Lobo  Pacheco,</w:t>
        <w:br/>
        <w:t>Gerson Rodríguez,  Israel  Pundor,  Angel  Barrera,  Antonio  Flores  Ochoa,</w:t>
        <w:br/>
        <w:t>Carlos Arturo Riatiga, Victor Ayala, Alirio Chaparro,  Huber  Pérez,  Alvaro</w:t>
        <w:br/>
        <w:t>Camargo,  Rubén  Pineda,  Gilberto  Ortiz,  Reinaldo  Corso  Vargas,  Hernán</w:t>
        <w:br/>
        <w:t>Jáuregui, Juan Bautista, Alberto Gómez y Luis Sauza  fueron  requisados  por</w:t>
        <w:br/>
        <w:t>el Ejército cuando pasaron por el caserío de Puerto  Araujo.   Esta  requisa</w:t>
        <w:br/>
        <w:t>constituye la última indicación oficial sobre  su  paradero,  antes  de  que</w:t>
        <w:br/>
        <w:t>ingresaran al Municipio de Boyacá (sic) y a la finca El Diamante,  zona  que</w:t>
        <w:br/>
        <w:t>supuestamente se encontraba en ese momento  bajo  el  control  total  de  un</w:t>
        <w:br/>
        <w:t>grupo paramilitar.  Hacia el anochecer de ese  mismo  día  los  comerciantes</w:t>
        <w:br/>
        <w:t>fueron retenidos por un grupo paramilitar que operaba  en  el  Municipio  de</w:t>
        <w:br/>
        <w:t>Boyacá (sic), y fueron ejecutados esa misma noche o al  día  siguiente.   La</w:t>
        <w:br/>
        <w:t>detención, desaparición  y  posterior  ejecución  de  los  comerciantes  fue</w:t>
        <w:br/>
        <w:t>planeada conjuntamente por el grupo paramilitar que operaba  en  la  zona  y</w:t>
        <w:br/>
        <w:t>miembros de la V Brigada del Ejército.  Posteriormente, el 18 de octubre  de</w:t>
        <w:br/>
        <w:t>1987 Juan Montero y Ferney Fernández, quienes se encontraban recorriendo  la</w:t>
        <w:br/>
        <w:t>zona en busca de los  17  comerciantes  desaparecidos,  fueron  detenidos  y</w:t>
        <w:br/>
        <w:t>asesinados  por  el  grupo  paramilitar  que  operaba  en  la   zona.    Con</w:t>
        <w:br/>
        <w:t>posterioridad a la ejecución de las presuntas víctimas, sus  cuerpos  fueron</w:t>
        <w:br/>
        <w:t>destruidos de manera brutal con el objeto de impedir su identificación.</w:t>
        <w:br/>
        <w:br/>
        <w:t>Asimismo, la Comisión señaló que “la actividad judicial emprendida  por  los</w:t>
        <w:br/>
        <w:t>órganos del Estado, concretamente las jurisdicciones  ordinaria  y  militar,</w:t>
        <w:br/>
        <w:t>durante más de una década[,] no satisface los estándares establecidos en  la</w:t>
        <w:br/>
        <w:t>Convención Americana en materia de protección judicial”.  A  la  luz  de  lo</w:t>
        <w:br/>
        <w:t>anterior, la Comisión hizo notar que “[e]l juzgamiento de los oficiales  del</w:t>
        <w:br/>
        <w:t>Ejército, presuntos autores intelectuales de la masacre,  ante  la  justicia</w:t>
        <w:br/>
        <w:t>militar  […]  culminó  con  la  cesación  de  procedimiento”,  y   que   “el</w:t>
        <w:br/>
        <w:t>juzgamiento de los civiles responsables  por  la  autoría  material  de  los</w:t>
        <w:br/>
        <w:t>hechos aun se encuentra pendiente”.</w:t>
        <w:br/>
        <w:br/>
        <w:t>A raíz de lo anterior, la Comisión presentó este caso con el objeto  de  que</w:t>
        <w:br/>
        <w:t>la Corte decida si el Estado violó los artículos 4 (Derecho a la Vida)  y  7</w:t>
        <w:br/>
        <w:t>(Derecho  a  la  Libertad  Personal)  de  la  Convención  Americana  por  la</w:t>
        <w:br/>
        <w:t>detención,  desaparición  y  ejecución  de  los  comerciantes  Alvaro   Lobo</w:t>
        <w:br/>
        <w:t>Pacheco, Gerson Rodríguez, Israel  Pundor,  Angel  Barrera,  Antonio  Flores</w:t>
        <w:br/>
        <w:t>Ochoa, Carlos Arturo Riatiga, Victor Ayala, Alirio  Chaparro,  Huber  Pérez,</w:t>
        <w:br/>
        <w:t>Alvaro Camargo, Rubén Pineda, Gilberto Ortiz, Reinaldo Corso Vargas,  Hernán</w:t>
        <w:br/>
        <w:t>Jáuregui, Juan Bautista, Alberto Gómez y Luis Sauza,  el  6  de  octubre  de</w:t>
        <w:br/>
        <w:t>1987, y de Juan Montero y Ferney Fernández, el 18 de octubre de 1987, en  el</w:t>
        <w:br/>
        <w:t>municipio de Puerto Boyacá, departamento de  Boyacá,  región  del  Magdalena</w:t>
        <w:br/>
        <w:t>Medio (sic).  Asimismo, la Comisión solicitó al Tribunal que  decida  si  el</w:t>
        <w:br/>
        <w:t>Estado es responsable por la violación de los  artículos  5  (Derecho  a  la</w:t>
        <w:br/>
        <w:t>Integridad Personal), 8.1 (Garantías Judiciales) y 25 (Protección  Judicial)</w:t>
        <w:br/>
        <w:t>de la Convención  Americana,  en  perjuicio  de  las  mencionadas  presuntas</w:t>
        <w:br/>
        <w:t>víctimas  y  sus  familiares;  así  como  por  el  incumplimiento   de   las</w:t>
        <w:br/>
        <w:t>disposiciones del artículo 1.1 (Obligación  de  Respetar  los  Derechos)  de</w:t>
        <w:br/>
        <w:t>dicho tratado.</w:t>
        <w:br/>
        <w:br/>
        <w:br/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3.    El 6 de marzo de 1996 la Comisión Colombiana de Juristas presentó  una</w:t>
        <w:br/>
        <w:t>denuncia a la Comisión Interamericana basada  en  la  supuesta  desaparición</w:t>
        <w:br/>
        <w:t>forzada de los diecinueve comerciantes (supra  párr.  2)  por  miembros  del</w:t>
        <w:br/>
        <w:t>Ejército Nacional e integrantes de un grupo paramilitar en el  municipio  de</w:t>
        <w:br/>
        <w:t>Puerto Boyacá, departamento de Boyacá, región del Magdalena Medio (sic).</w:t>
        <w:br/>
        <w:br/>
        <w:t>4.    El 29 de marzo de 1996 la Comisión procedió a abrir el  caso  bajo  el</w:t>
        <w:br/>
        <w:t>No. 11.603.  El 27 de septiembre de 1999 la Comisión lo  declaró  admisible.</w:t>
        <w:br/>
        <w:t>En el Informe de Admisibilidad la Comisión se  puso  a  disposición  de  las</w:t>
        <w:br/>
        <w:t>partes con el objeto de alcanzar una solución amistosa.</w:t>
        <w:br/>
        <w:br/>
        <w:t>5.    El 16  de  diciembre  de  1999  los  peticionarios  presentaron  a  la</w:t>
        <w:br/>
        <w:t>Comisión una propuesta de solución amistosa,  la  cual  fue  transmitida  al</w:t>
        <w:br/>
        <w:t>Estado para que presentara sus observaciones.  El 21 de  enero  de  2000  el</w:t>
        <w:br/>
        <w:t>Estado remitió un escrito mediante el cual hizo  referencia  al  Informe  de</w:t>
        <w:br/>
        <w:t>Admisibilidad, escrito que fue transmitido a los peticionarios.</w:t>
        <w:br/>
        <w:br/>
        <w:t>6.    El 2 de marzo de  2000  la  Comisión  celebró  una  audiencia  con  el</w:t>
        <w:br/>
        <w:t>propósito de analizar la posibilidad  de  que  se  llegara  a  una  solución</w:t>
        <w:br/>
        <w:t>amistosa.  Según la Comisión, el Estado expresó que no  podía  reconocer  su</w:t>
        <w:br/>
        <w:t>responsabilidad debido  a  que  las  decisiones  firmes  de  los  tribunales</w:t>
        <w:br/>
        <w:t>internos no demostraban la responsabilidad de agentes  del  Estado  por  los</w:t>
        <w:br/>
        <w:t>hechos denunciados.  Además, el Estado señaló  que  los  familiares  de  las</w:t>
        <w:br/>
        <w:t>presuntas víctimas recibirían una reparación si los tribunales  contencioso-</w:t>
        <w:br/>
        <w:t>administrativos lo disponían.  Por su parte,  los  peticionarios  decidieron</w:t>
        <w:br/>
        <w:t>dar por concluido el intento de solución amistosa.</w:t>
        <w:br/>
        <w:br/>
        <w:t>7.    Mediante escrito de 31 de marzo de 2000 los peticionarios  presentaron</w:t>
        <w:br/>
        <w:t>“una exposición escrita de los argumentos”  expuestos  durante  la  referida</w:t>
        <w:br/>
        <w:t>audiencia.  El anterior escrito fue transmitido al Estado, el cual  presentó</w:t>
        <w:br/>
        <w:t>sus observaciones el 30 de junio de 2000.</w:t>
        <w:br/>
        <w:br/>
        <w:t>8.    El 4 de octubre de 2000 la  Comisión  aprobó  el  Informe  No.  76/00,</w:t>
        <w:br/>
        <w:t>mediante el cual recomendó al Estado:</w:t>
        <w:br/>
        <w:br/>
        <w:t xml:space="preserve">    1.           Llevar a cabo  una  investigación  completa,  imparcial  y</w:t>
        <w:br/>
        <w:t xml:space="preserve">    efectiva en la jurisdicción ordinaria con el fin de juzgar y  sancionar</w:t>
        <w:br/>
        <w:t xml:space="preserve">    a los  responsables  de  la  ejecución  extrajudicial  de  Alvaro  Lobo</w:t>
        <w:br/>
        <w:t xml:space="preserve">    Pacheco, Gerson Rodríguez, Israel Pundor, Angel Barrera, Antonio Flores</w:t>
        <w:br/>
        <w:t xml:space="preserve">    Ochoa, Carlos Arturo Riatiga,  Victor  Ayala,  Alirio  Chaparro,  Huber</w:t>
        <w:br/>
        <w:t xml:space="preserve">    Pérez, Alvaro Camargo, Rubén Pineda,  Gilberto  Ortíz,  Reinaldo  Corso</w:t>
        <w:br/>
        <w:t xml:space="preserve">    Vargas, Hernán Jáuregui, Juan Bautista, Alberto Gómez, Luis Sauza, Juan</w:t>
        <w:br/>
        <w:t xml:space="preserve">    Montero y Ferney Fernández.</w:t>
        <w:br/>
        <w:br/>
        <w:br/>
        <w:t xml:space="preserve">    2.           Adoptar las medidas necesarias para que los familiares  de</w:t>
        <w:br/>
        <w:t xml:space="preserve">    las víctimas reciban [una]  adecuada  y  oportuna  reparación  por  las</w:t>
        <w:br/>
        <w:t xml:space="preserve">    violaciones […] establecidas.</w:t>
        <w:br/>
        <w:br/>
        <w:br/>
        <w:t xml:space="preserve">    3.     Adoptar las  medidas  necesarias  para  dar  cumplimiento  a  la</w:t>
        <w:br/>
        <w:t xml:space="preserve">    doctrina desarrollada por la Corte Constitucional colombiana y por esta</w:t>
        <w:br/>
        <w:t xml:space="preserve">    Comisión en materia de investigación y juzgamiento de  casos  similares</w:t>
        <w:br/>
        <w:t xml:space="preserve">    por la justicia penal ordinaria.</w:t>
        <w:br/>
        <w:br/>
        <w:t>9.     El  24  de  octubre  de  2000  la  Comisión  transmitió  el   informe</w:t>
        <w:br/>
        <w:t>anteriormente señalado al Estado y le otorgó un plazo de dos meses,  contado</w:t>
        <w:br/>
        <w:t>a partir de la  fecha  de  transmisión  del  mencionado  informe,  para  que</w:t>
        <w:br/>
        <w:t>informara sobre las medidas adoptadas para cumplir con  las  recomendaciones</w:t>
        <w:br/>
        <w:t>realizadas.  El 22 de diciembre de 2000 el Estado solicitó una prórroga  con</w:t>
        <w:br/>
        <w:t>el objeto de dar respuesta al Informe No. 76/00, la cual fue otorgada  hasta</w:t>
        <w:br/>
        <w:t>el 19 de enero de 2001, día en que el Estado  presentó  su  respuesta  a  la</w:t>
        <w:br/>
        <w:t>Comisión, y en el que la Comisión decidió someter  el  presente  caso  a  la</w:t>
        <w:br/>
        <w:t>jurisdicción de la Corte.</w:t>
        <w:br/>
        <w:br/>
        <w:t xml:space="preserve">                                     IV</w:t>
        <w:br/>
        <w:t xml:space="preserve">                         Procedimiento ante la Corte</w:t>
        <w:br/>
        <w:br/>
        <w:t>10.   El 24 de enero de 2001 la Comisión Interamericana presentó su  demanda</w:t>
        <w:br/>
        <w:t>en los siguientes términos:</w:t>
        <w:br/>
        <w:br/>
        <w:t xml:space="preserve">      […L]a Comisión solicita a la Honorable Corte que  concluya  y  declare</w:t>
        <w:br/>
        <w:t xml:space="preserve">      que</w:t>
        <w:br/>
        <w:br/>
        <w:t xml:space="preserve">      1.    El Estado es responsable por la violación de los derechos  a  la</w:t>
        <w:br/>
        <w:t xml:space="preserve">      vida, la integridad y la libertad personales en  perjuicio  de  Alvaro</w:t>
        <w:br/>
        <w:t xml:space="preserve">      Lobo Pacheco, Gerson Rodríguez, Israel Pundor, Angel Barrera,  Antonio</w:t>
        <w:br/>
        <w:t xml:space="preserve">      Flores Ochoa, Carlos Arturo Riatiga, Victor  Ayala,  Alirio  Chaparro,</w:t>
        <w:br/>
        <w:t xml:space="preserve">      Huber Pérez, Alvaro Camargo, Rubén Pineda,  Gilberto  Ortiz,  Reinaldo</w:t>
        <w:br/>
        <w:t xml:space="preserve">      Corso Vargas, Hernán Jáuregui,  Juan  Bautista,  Alberto  Gómez,  Juan</w:t>
        <w:br/>
        <w:t xml:space="preserve">      Montero[, Luis Sausa,][1] y Ferney  Fernández,  protegido[s]  por  los</w:t>
        <w:br/>
        <w:t xml:space="preserve">      artículos 4 y 7 de la Convención Americana.</w:t>
        <w:br/>
        <w:br/>
        <w:t xml:space="preserve">      2.    El Estado es responsable de violar el derecho  a  la  integridad</w:t>
        <w:br/>
        <w:t xml:space="preserve">      psíquica y moral de los familiares de las  víctimas,  previsto  en  el</w:t>
        <w:br/>
        <w:t xml:space="preserve">      artículo 5 de la Convención Americana.</w:t>
        <w:br/>
        <w:br/>
        <w:t xml:space="preserve">      3.    El Estado es responsable por la violación del derecho al  acceso</w:t>
        <w:br/>
        <w:t xml:space="preserve">      a la  justicia  y  la  protección  judicial  de  las  víctimas  y  sus</w:t>
        <w:br/>
        <w:t xml:space="preserve">      familiares consagrados en los artículos 8(1) y  25  de  la  Convención</w:t>
        <w:br/>
        <w:t xml:space="preserve">      Americana así como de incumplir su obligación de asegurar  el  respeto</w:t>
        <w:br/>
        <w:t xml:space="preserve">      de los derechos previstos en ella conforme [a] su artículo 1(1).</w:t>
        <w:br/>
        <w:br/>
        <w:br/>
        <w:t xml:space="preserve">      Con base en estas conclusiones la Comisión  solicita  a  la  Honorable</w:t>
        <w:br/>
        <w:t xml:space="preserve">      Corte que ordene al Ilustre Estado</w:t>
        <w:br/>
        <w:br/>
        <w:t xml:space="preserve">      1.    Llevar a cabo una investigación completa, imparcial  y  efectiva</w:t>
        <w:br/>
        <w:t xml:space="preserve">      en la jurisdicción ordinaria con el fin de juzgar y  sancionar  a  los</w:t>
        <w:br/>
        <w:t xml:space="preserve">      responsables de la ejecución extrajudicial  de  Alvaro  Lobo  Pacheco,</w:t>
        <w:br/>
        <w:t xml:space="preserve">      Gerson Rodríguez, Israel Pundor, Angel Barrera, Antonio Flores  Ochoa,</w:t>
        <w:br/>
        <w:t xml:space="preserve">      Carlos Arturo Riatiga, Victor Ayala,  Alirio  Chaparro,  Huber  Pérez,</w:t>
        <w:br/>
        <w:t xml:space="preserve">      Alvaro Camargo, Rubén Pineda, Gilberto Ortíz, Reinaldo  Corso  Vargas,</w:t>
        <w:br/>
        <w:t xml:space="preserve">      Hernán Jáuregui,  Juan  Bautista,  Alberto  Gómez,  Luis  Sauza,  Juan</w:t>
        <w:br/>
        <w:t xml:space="preserve">      Montero y Ferney Fernández.</w:t>
        <w:br/>
        <w:br/>
        <w:t xml:space="preserve">      2.    Adoptar las medidas necesarias para que los  familiares  de  las</w:t>
        <w:br/>
        <w:t xml:space="preserve">      víctimas reciban [una] adecuada y oportuna reparación e  indemnización</w:t>
        <w:br/>
        <w:t xml:space="preserve">      por las violaciones […] establecidas.</w:t>
        <w:br/>
        <w:br/>
        <w:t xml:space="preserve">      3.    Se imponga al Estado Colombiano el pago de las costas  y  gastos</w:t>
        <w:br/>
        <w:t xml:space="preserve">      en que han incurrido los familiares de las víctimas para litigar  este</w:t>
        <w:br/>
        <w:t xml:space="preserve">      caso en el ámbito interno así como ante la Comisión y la Corte, y  los</w:t>
        <w:br/>
        <w:t xml:space="preserve">      honorarios razonables de sus abogados.</w:t>
        <w:br/>
        <w:br/>
        <w:t>11.   De conformidad con el artículo 22 del Reglamento, la Comisión  designó</w:t>
        <w:br/>
        <w:t>en la demanda, como delegados, a los señores Robert K.  Goldman  y  Juan  E.</w:t>
        <w:br/>
        <w:t>Méndez, y como asesora jurídica, a la señora Verónica Gómez.   Asimismo,  la</w:t>
        <w:br/>
        <w:t>Comisión  acreditó  en  calidad  de  asistentes,  a  las   señoras   Viviana</w:t>
        <w:br/>
        <w:t>Krsticevic y Roxanna Althoz,  del  Centro  por  la  Justicia  y  el  Derecho</w:t>
        <w:br/>
        <w:t>Internacional (CEJIL), y como representantes de  las  presuntas  víctimas  y</w:t>
        <w:br/>
        <w:t>sus familiares a los señores Gustavo Gallón Giraldo, Carlos Rodríguez  Mejía</w:t>
        <w:br/>
        <w:t>y Luz Marina Monzón, miembros de la Comisión Colombiana de Juristas.</w:t>
        <w:br/>
        <w:br/>
        <w:t>12.   El 20 de marzo de 2001 la Secretaría de  la  Corte  (en  adelante  “la</w:t>
        <w:br/>
        <w:t>Secretaría”), previo examen  preliminar  de  la  demanda  realizado  por  el</w:t>
        <w:br/>
        <w:t>Presidente, la notificó, junto con sus  anexos,  al  Estado,  y  le  informó</w:t>
        <w:br/>
        <w:t>sobre los plazos  para  contestarla  y  designar  su  representación  en  el</w:t>
        <w:br/>
        <w:t>proceso.</w:t>
        <w:br/>
        <w:br/>
        <w:t>13.   El 11 de abril de 2001 el Estado designó como agente a la  señora  Luz</w:t>
        <w:br/>
        <w:t>Marina Gil García.</w:t>
        <w:br/>
        <w:br/>
        <w:t>14.   El 16 de mayo de 2001 el Estado presentó un escrito mediante  el  cual</w:t>
        <w:br/>
        <w:t>interpuso la excepción preliminar  de  “violación  del  debido  proceso  por</w:t>
        <w:br/>
        <w:t>omisión de los procedimientos adoptados de buena fe para  cumplir  en  mejor</w:t>
        <w:br/>
        <w:t>forma los propósitos de la Convención Americana sobre Derechos Humanos”.</w:t>
        <w:br/>
        <w:br/>
        <w:t>15.   El 16 de  mayo  de  2001  la  Secretaría  notificó  el  escrito  sobre</w:t>
        <w:br/>
        <w:t>excepciones preliminares a  la  Comisión  y  a  los  representantes  de  las</w:t>
        <w:br/>
        <w:t>presuntas víctimas y sus familiares, de conformidad  con  el  artículo  36.3</w:t>
        <w:br/>
        <w:t>del Reglamento.  El 12 de junio de 2001 la Comisión  solicitó  una  prórroga</w:t>
        <w:br/>
        <w:t>de 15 días para la presentación  de  sus  observaciones  al  escrito  arriba</w:t>
        <w:br/>
        <w:t>indicado.  El 13 de junio de 2001  la  Secretaría,  siguiendo  instrucciones</w:t>
        <w:br/>
        <w:t>del Presidente, informó a la Comisión que  la  prórroga  se  había  otorgado</w:t>
        <w:br/>
        <w:t>hasta el 2 de julio de 2001, fecha en que ésta  presentó  sus  observaciones</w:t>
        <w:br/>
        <w:t>al escrito de excepciones preliminares.</w:t>
        <w:br/>
        <w:br/>
        <w:t>16.   El 25 de mayo de  2001  la  Secretaría,  siguiendo  instrucciones  del</w:t>
        <w:br/>
        <w:t>Presidente, informó al Estado de su derecho a designar un juez  ad  hoc,  en</w:t>
        <w:br/>
        <w:t>virtud de que el Presidente aceptó la excusa de  conocer  el  presente  caso</w:t>
        <w:br/>
        <w:t>presentada por el Juez Carlos  Vicente  de  Roux  Rengifo,  de  nacionalidad</w:t>
        <w:br/>
        <w:t>colombiana, con fundamento en los artículos 19 del Estatuto de  la  Corte  y</w:t>
        <w:br/>
        <w:t>19 de su Reglamento.  El 27 de junio de 2001 el Estado designó como Juez  ad</w:t>
        <w:br/>
        <w:t>hoc al señor Rafael Nieto Navia.</w:t>
        <w:br/>
        <w:br/>
        <w:t>17.   El 6 de julio de 2001 el Estado solicitó una prórroga  para  presentar</w:t>
        <w:br/>
        <w:t>el escrito de contestación  a  la  demanda.   El  9  de  julio  de  2001  el</w:t>
        <w:br/>
        <w:t>Presidente otorgó la prórroga solicitada hasta el 6 de agosto de 2001.</w:t>
        <w:br/>
        <w:br/>
        <w:t>18.   El 6 de agosto de 2001 el Estado solicitó una prórroga hasta el 10  de</w:t>
        <w:br/>
        <w:t>agosto de 2001 para presentar el escrito de contestación a la demanda.   Ese</w:t>
        <w:br/>
        <w:t>mismo día el Presidente otorgó la prórroga solicitada.</w:t>
        <w:br/>
        <w:br/>
        <w:t>19.   El 10 de agosto de 2001  el  Estado  presentó  la  contestación  a  la</w:t>
        <w:br/>
        <w:t>demanda.</w:t>
        <w:br/>
        <w:br/>
        <w:t>20.   Mediante Resolución de 12 de abril de 2002  el  Presidente  convocó  a</w:t>
        <w:br/>
        <w:t>las partes a una audiencia pública que se celebraría en la sede de la  Corte</w:t>
        <w:br/>
        <w:t>el 11 de junio de 2002, con  el  propósito  de  escuchar  los  alegatos  del</w:t>
        <w:br/>
        <w:t>Estado y de la Comisión respecto de la excepción preliminar interpuesta  por</w:t>
        <w:br/>
        <w:t>el primero.</w:t>
        <w:br/>
        <w:br/>
        <w:t>21.   La audiencia pública tuvo lugar en la sede de la  Corte  en  la  fecha</w:t>
        <w:br/>
        <w:t>prevista.</w:t>
        <w:br/>
        <w:br/>
        <w:t>Comparecieron ante la Corte:</w:t>
        <w:br/>
        <w:br/>
        <w:t xml:space="preserve">      por el Estado de Colombia:</w:t>
        <w:br/>
        <w:br/>
        <w:br/>
        <w:t xml:space="preserve">           Luz Marina Gil García, agente; y</w:t>
        <w:br/>
        <w:t xml:space="preserve">           Mónica Jiménez González.</w:t>
        <w:br/>
        <w:br/>
        <w:t xml:space="preserve">      por la Comisión Interamericana:</w:t>
        <w:br/>
        <w:br/>
        <w:t xml:space="preserve">           Robert K. Goldman, delegado;</w:t>
        <w:br/>
        <w:t xml:space="preserve">           Verónica Gómez, asesora jurídica;</w:t>
        <w:br/>
        <w:t xml:space="preserve">           Gustavo Gallón Giraldo, asistente;</w:t>
        <w:br/>
        <w:t xml:space="preserve">           Luz Marina Monzón, asistente; y</w:t>
        <w:br/>
        <w:t xml:space="preserve">           Roxanna Althoz, asistente.</w:t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br/>
        <w:t>22.   La Corte es competente, en  los  términos  del  artículo  62.3  de  la</w:t>
        <w:br/>
        <w:t>Convención, para conocer la excepción preliminar planteada por el Estado  en</w:t>
        <w:br/>
        <w:t>el presente caso, en razón de que Colombia es Estado parte en la  Convención</w:t>
        <w:br/>
        <w:t>Americana  desde  el  31  de  julio  de  1973  y  reconoció  la  competencia</w:t>
        <w:br/>
        <w:t>contenciosa de la Corte el 21 de junio de 1985.</w:t>
        <w:br/>
        <w:br/>
        <w:br/>
        <w:br/>
        <w:t xml:space="preserve">                                     VI</w:t>
        <w:br/>
        <w:br/>
        <w:t xml:space="preserve">                            Excepción Preliminar</w:t>
        <w:br/>
        <w:br/>
        <w:t>23.   El Estado opuso la  excepción  preliminar  de  “violación  del  debido</w:t>
        <w:br/>
        <w:t>proceso por omisión  de  los  procedimientos  adoptados  de  buena  fe  para</w:t>
        <w:br/>
        <w:t>cumplir en mejor forma los  propósitos  de  la  Convención  Americana  sobre</w:t>
        <w:br/>
        <w:t>Derechos Humanos”.  Colombia sostuvo que la Corte debe  rechazar  in  limine</w:t>
        <w:br/>
        <w:t>la demanda en el presente caso en virtud de que:</w:t>
        <w:br/>
        <w:br/>
        <w:t xml:space="preserve">      La Honorable Comisión Interamericana de Derechos  Humanos  […]  omitió</w:t>
        <w:br/>
        <w:t xml:space="preserve">      antes de la  presentación  de  la  demanda  ante  la  Honorable  Corte</w:t>
        <w:br/>
        <w:t xml:space="preserve">      Interamericana de Derechos Humanos […], precluir el procedimiento  del</w:t>
        <w:br/>
        <w:t xml:space="preserve">      artículo 50 de la Convención.</w:t>
        <w:br/>
        <w:br/>
        <w:br/>
        <w:t xml:space="preserve">      Dicha omisión rompe el equilibrio procesal y afecta la  situación  del</w:t>
        <w:br/>
        <w:t xml:space="preserve">      Estado Colombiano frente a la Honorable Corte,  como  quiera  que  los</w:t>
        <w:br/>
        <w:t xml:space="preserve">      instrumentos otorgados por la Comisión al Estado  para  cumplir  mejor</w:t>
        <w:br/>
        <w:t xml:space="preserve">      con los propósitos de [la] Convención Americana sobre Derechos Humanos</w:t>
        <w:br/>
        <w:t xml:space="preserve">      […], le fueron desconocidos, sin valoración que permitiera  determinar</w:t>
        <w:br/>
        <w:t xml:space="preserve">      el alcance de la  intención  del  Estado  Colombiano  de  cumplir  las</w:t>
        <w:br/>
        <w:t xml:space="preserve">      recomendaciones del Informe 76/00.</w:t>
        <w:br/>
        <w:br/>
        <w:br/>
        <w:t>Alegatos del Estado</w:t>
        <w:br/>
        <w:br/>
        <w:br/>
        <w:t>24.   En el escrito de excepciones preliminares  el  Estado  solicitó  a  la</w:t>
        <w:br/>
        <w:t>Corte que rechace in  limine  la  demanda  interpuesta  por  la  Comisión  y</w:t>
        <w:br/>
        <w:t>devuelva el expediente a  la  Comisión  para  que  restablezca  el  proceso,</w:t>
        <w:br/>
        <w:t>“mientras no se agoten todas las actuaciones procesales para ambas  partes”.</w:t>
        <w:br/>
        <w:t xml:space="preserve"> Respecto de la interposición de esta excepción preliminar, Colombia  indicó</w:t>
        <w:br/>
        <w:t>que:</w:t>
        <w:br/>
        <w:br/>
        <w:t xml:space="preserve">      a)    en su Informe No. 76/00 la Comisión otorgó al Estado un plazo de</w:t>
        <w:br/>
        <w:t xml:space="preserve">      dos meses para que cumpliera con las recomendaciones  formuladas.   El</w:t>
        <w:br/>
        <w:t xml:space="preserve">      informe fue notificado al Estado  el  24  de  octubre  de  2000  y,  a</w:t>
        <w:br/>
        <w:t xml:space="preserve">      solicitud de Colombia, la Comisión le otorgó una prórroga hasta el  19</w:t>
        <w:br/>
        <w:t xml:space="preserve">      de enero de 2001;</w:t>
        <w:br/>
        <w:br/>
        <w:br/>
        <w:t xml:space="preserve">      b)    el 19 de enero de 2001 el Estado  presentó  a  la  Comisión  “un</w:t>
        <w:br/>
        <w:t xml:space="preserve">      proyecto dentro del cual se esperaba atender  los  requerimientos  del</w:t>
        <w:br/>
        <w:t xml:space="preserve">      Informe Confidencial 76/00”.  Sin embargo, ese mismo día  la  Comisión</w:t>
        <w:br/>
        <w:t xml:space="preserve">      decidió someter el caso a la jurisdicción de la Corte;</w:t>
        <w:br/>
        <w:br/>
        <w:br/>
        <w:t xml:space="preserve">      c)    concedida la prórroga por la Comisión y acatado el  nuevo  plazo</w:t>
        <w:br/>
        <w:t xml:space="preserve">      por el Estado, la Comisión tenía la obligación de cumplir de buena  fe</w:t>
        <w:br/>
        <w:t xml:space="preserve">      los propósitos de la Convención y evaluar la propuesta presentada  por</w:t>
        <w:br/>
        <w:t xml:space="preserve">      el  Estado.   Asimismo,  Colombia  consideró  que  la  Comisión  debía</w:t>
        <w:br/>
        <w:t xml:space="preserve">      “examinar la validez y seriedad de la propuesta  como  mecanismo  para</w:t>
        <w:br/>
        <w:t xml:space="preserve">      salvaguardar los derechos humanos”;</w:t>
        <w:br/>
        <w:br/>
        <w:br/>
        <w:t xml:space="preserve">      d)    la propuesta presentada a la Comisión  contiene  “un  compromiso</w:t>
        <w:br/>
        <w:t xml:space="preserve">      explícito y de buena fe de atender las  recomendaciones”  del  Informe</w:t>
        <w:br/>
        <w:t xml:space="preserve">      Confidencial No. 76/00.  En cuanto a la  elaboración  de  la  referida</w:t>
        <w:br/>
        <w:t xml:space="preserve">      propuesta el Estado indicó que, en virtud de los obstáculos  jurídicos</w:t>
        <w:br/>
        <w:t xml:space="preserve">      que presenta el derecho interno y con el fin de dar cumplimiento a los</w:t>
        <w:br/>
        <w:t xml:space="preserve">      informes de la Comisión, se solicitó al Defensor del Pueblo un Informe</w:t>
        <w:br/>
        <w:t xml:space="preserve">      Especial que buscara el cumplimiento  de  las  recomendaciones  de  la</w:t>
        <w:br/>
        <w:t xml:space="preserve">      Comisión, dentro del marco normativo vigente en Colombia;</w:t>
        <w:br/>
        <w:br/>
        <w:br/>
        <w:t xml:space="preserve">      e)    la propuesta presentada por el Estado a la  Comisión  tenía  por</w:t>
        <w:br/>
        <w:t xml:space="preserve">      objeto “potenciar  el  papel  del  Defensor  del  Pueblo”,  agotar  un</w:t>
        <w:br/>
        <w:t xml:space="preserve">      instrumento constitucional de consolidación democrática y de respeto a</w:t>
        <w:br/>
        <w:t xml:space="preserve">      los derechos humanos, y resolver las dificultades  jurídicas  para  la</w:t>
        <w:br/>
        <w:t xml:space="preserve">      implementación de algunas de  las  recomendaciones  contenidas  en  el</w:t>
        <w:br/>
        <w:t xml:space="preserve">      informe de la Comisión, tales como los principios de  cosa  juzgada  y</w:t>
        <w:br/>
        <w:t xml:space="preserve">      non bis in idem aplicables  a  casos  que  han  sido  fallados  en  la</w:t>
        <w:br/>
        <w:t xml:space="preserve">      jurisdicción interna.  Al respecto,  manifestó  que  no  comprende  la</w:t>
        <w:br/>
        <w:t xml:space="preserve">      razón por la cual la Comisión no valoró la propuesta  estatal,  cuando</w:t>
        <w:br/>
        <w:t xml:space="preserve">      en otras oportunidades “ha destacado la gestión y credibilidad que  le</w:t>
        <w:br/>
        <w:t xml:space="preserve">      merece la Defensoría del Pueblo” de Colombia, tal como lo hizo  en  el</w:t>
        <w:br/>
        <w:t xml:space="preserve">      “Tercer informe sobre la situación de derechos humanos en Colombia”;</w:t>
        <w:br/>
        <w:br/>
        <w:br/>
        <w:t xml:space="preserve">      f)    la primera vez que  la  Comisión  hizo  referencia  al  proyecto</w:t>
        <w:br/>
        <w:t xml:space="preserve">      presentado por Colombia con el fin de cumplir las  recomendaciones  de</w:t>
        <w:br/>
        <w:t xml:space="preserve">      ésta fue en la demanda presentada ante la Corte,  únicamente  en  “dos</w:t>
        <w:br/>
        <w:t xml:space="preserve">      renglones”[2], cuando señaló: “El 19  de  enero  de  2001  el  Ilustre</w:t>
        <w:br/>
        <w:t xml:space="preserve">      Estado presentó su respuesta a la Comisión.  En esa  misma  fecha,  la</w:t>
        <w:br/>
        <w:t xml:space="preserve">      Comisión decidió referir el presente caso  a  la  jurisdicción  de  la</w:t>
        <w:br/>
        <w:t xml:space="preserve">      Honorable Corte.”;</w:t>
        <w:br/>
        <w:br/>
        <w:t xml:space="preserve">      g)    la Comisión ha vulnerado el debido proceso porque omitió valorar</w:t>
        <w:br/>
        <w:t xml:space="preserve">      la propuesta del Estado “de instrumentación de las recomendaciones del</w:t>
        <w:br/>
        <w:t xml:space="preserve">      Informe Confidencial 76/00 y en consecuencia  impide  a  la  Honorable</w:t>
        <w:br/>
        <w:t xml:space="preserve">      Corte decidir sobre  este  asunto  por  omisión  en  el  procedimiento</w:t>
        <w:br/>
        <w:t xml:space="preserve">      [c]onvencional”.   Asimismo,  el  Estado  manifestó  que  la  Comisión</w:t>
        <w:br/>
        <w:t xml:space="preserve">      “tampoco valoró la buena fe del Gobierno Colombiano al renunciar a los</w:t>
        <w:br/>
        <w:t xml:space="preserve">      términos previstos en el artículo 50 de la Convención para  enviar  el</w:t>
        <w:br/>
        <w:t xml:space="preserve">      caso a la Honorable Corte”;</w:t>
        <w:br/>
        <w:br/>
        <w:br/>
        <w:t xml:space="preserve">      h)    se le ha limitado el ejercicio de los derechos contenidos en  la</w:t>
        <w:br/>
        <w:t xml:space="preserve">      Convención y se ha resquebrajado el equilibrio procesal; e</w:t>
        <w:br/>
        <w:br/>
        <w:br/>
        <w:t xml:space="preserve">      i)    la Corte, de conformidad con los artículos 61.2  y  62.3  de  la</w:t>
        <w:br/>
        <w:t xml:space="preserve">      Convención, tiene competencia para conocer de cualquier caso  relativo</w:t>
        <w:br/>
        <w:t xml:space="preserve">      a la interpretación y aplicación de las disposiciones de la Convención</w:t>
        <w:br/>
        <w:t xml:space="preserve">      “y por lo tanto del análisis de los  presupuestos  procesales  de  los</w:t>
        <w:br/>
        <w:t xml:space="preserve">      asuntos  sometidos  a  su  consideración”.    En   consecuencia,   las</w:t>
        <w:br/>
        <w:t xml:space="preserve">      cuestiones planteadas como excepciones preliminares entran  dentro  de</w:t>
        <w:br/>
        <w:t xml:space="preserve">      la competencia y estudio obligado del Tribunal, en aras de  garantizar</w:t>
        <w:br/>
        <w:t xml:space="preserve">      el debido proceso contenido en la Convención.</w:t>
        <w:br/>
        <w:br/>
        <w:br/>
        <w:t>Alegatos de la Comisión</w:t>
        <w:br/>
        <w:br/>
        <w:t>25.   En relación con la excepción preliminar  planteada  por  Colombia,  la</w:t>
        <w:br/>
        <w:t>Comisión  Interamericana  solicitó  a  la  Corte  que  “reafirme  en   forma</w:t>
        <w:br/>
        <w:t>inmediata su jurisdicción sobre el presente  caso,  sin  hacer  lugar  a  la</w:t>
        <w:br/>
        <w:t>apertura del  procedimiento  oral  o,  conforme  al  espíritu  de  su  nuevo</w:t>
        <w:br/>
        <w:t>Reglamento, se incline en  este  caso  particular  por  tratar  la  objeción</w:t>
        <w:br/>
        <w:t>planteada por el Estado junto con el fondo del asunto”,  y  que  rechace  la</w:t>
        <w:br/>
        <w:t>objeción  a  la  competencia  interpuesta  por  el  Estado  por  carecer  de</w:t>
        <w:br/>
        <w:t>fundamento, “sin  hacer  lugar  a  la  apertura  del  procedimiento  oral  y</w:t>
        <w:br/>
        <w:t>continúe  con  el  procedimiento  sobre  el   fondo   o   que,   dadas   las</w:t>
        <w:br/>
        <w:t>características del presente caso, trate la cuestión junto con la fase  oral</w:t>
        <w:br/>
        <w:t>del fondo del caso y  eventualmente  la  deseche”.   Asimismo,  la  Comisión</w:t>
        <w:br/>
        <w:t>indicó que:</w:t>
        <w:br/>
        <w:br/>
        <w:t xml:space="preserve">      a)    en relación con el procedimiento ante ella, el Estado dispuso de</w:t>
        <w:br/>
        <w:t xml:space="preserve">      casi tres meses para presentar información sobre  el  cumplimiento  de</w:t>
        <w:br/>
        <w:t xml:space="preserve">      las recomendaciones de la Comisión, y que esta última decidió  aplazar</w:t>
        <w:br/>
        <w:t xml:space="preserve">      su decisión de someter el caso a la jurisdicción de la Corte  -“y  por</w:t>
        <w:br/>
        <w:t xml:space="preserve">      lo tanto la preparación de su demanda, la cual debió ser redactada  en</w:t>
        <w:br/>
        <w:t xml:space="preserve">      cuatro días”-  hasta  encontrarse  en  condiciones  de  ponderar  esta</w:t>
        <w:br/>
        <w:t xml:space="preserve">      información y adoptar dicha decisión, conforme al artículo  50  de  la</w:t>
        <w:br/>
        <w:t xml:space="preserve">      Convención Americana.  Asimismo, manifestó que el expediente  ante  la</w:t>
        <w:br/>
        <w:t xml:space="preserve">      Comisión  prueba  que  en  el  presente  caso  se  dio   un   estricto</w:t>
        <w:br/>
        <w:t xml:space="preserve">      cumplimiento de las etapas procesales previstas en los artículos 44  a</w:t>
        <w:br/>
        <w:t xml:space="preserve">      50 de la Convención y en el Reglamento de la Comisión;</w:t>
        <w:br/>
        <w:br/>
        <w:br/>
        <w:t xml:space="preserve">      b)    la propuesta presentada por el Estado en  respuesta  al  Informe</w:t>
        <w:br/>
        <w:t xml:space="preserve">      No.76/00 indica que el  Defensor  del  Pueblo  elaboraría  un  informe</w:t>
        <w:br/>
        <w:t xml:space="preserve">      teniendo  en  consideración  la  opinión  de  la  Comisión,   de   las</w:t>
        <w:br/>
        <w:t xml:space="preserve">      autoridades judiciales y administrativas que conocieron  los  procesos</w:t>
        <w:br/>
        <w:t xml:space="preserve">      correspondientes y de las personas  e  instituciones  que  considerare</w:t>
        <w:br/>
        <w:t xml:space="preserve">      pertinente.  Asimismo, la propuesta indica que el Defensor del  Pueblo</w:t>
        <w:br/>
        <w:t xml:space="preserve">      fijaría  los  plazos  y  las  modalidades  de  cumplimiento   de   las</w:t>
        <w:br/>
        <w:t xml:space="preserve">      recomendaciones de su informe final.  Dicha propuesta del Estado  pone</w:t>
        <w:br/>
        <w:t xml:space="preserve">      de manifiesto su intención de  cumplir  con  las  recomendaciones  que</w:t>
        <w:br/>
        <w:t xml:space="preserve">      eventualmente emitiera el Defensor del Pueblo, en lugar de acatar  las</w:t>
        <w:br/>
        <w:t xml:space="preserve">      recomendaciones de  la  Comisión.   Además,  según  la  Comisión,  las</w:t>
        <w:br/>
        <w:t xml:space="preserve">      recomendaciones del Defensor del Pueblo podrían no coincidir  con  sus</w:t>
        <w:br/>
        <w:t xml:space="preserve">      recomendaciones;</w:t>
        <w:br/>
        <w:br/>
        <w:br/>
        <w:t xml:space="preserve">      c)    en virtud de que la propuesta del Estado no refleja la  adopción</w:t>
        <w:br/>
        <w:t xml:space="preserve">      de medidas concretas ni de un compromiso expreso en  relación  con  el</w:t>
        <w:br/>
        <w:t xml:space="preserve">      cumplimiento de las recomendaciones emitidas mediante el  Informe  No.</w:t>
        <w:br/>
        <w:t xml:space="preserve">      76/00, la Comisión consideró agotado el procedimiento previsto en  los</w:t>
        <w:br/>
        <w:t xml:space="preserve">      artículos 48 a 50 de la Convención y decidió  someter  el  caso  a  la</w:t>
        <w:br/>
        <w:t xml:space="preserve">      jurisdicción de la Corte;</w:t>
        <w:br/>
        <w:br/>
        <w:br/>
        <w:t xml:space="preserve">      d)    las expresiones del Estado en relación  con  la  posibilidad  de</w:t>
        <w:br/>
        <w:t xml:space="preserve">      atender las recomendaciones de uno de sus órganos de control, dictadas</w:t>
        <w:br/>
        <w:t xml:space="preserve">      de conformidad con el derecho interno,  “no  se  relacionan  en  forma</w:t>
        <w:br/>
        <w:t xml:space="preserve">      evidente” con las garantías del  debido  proceso  contempladas  en  la</w:t>
        <w:br/>
        <w:t xml:space="preserve">      Convención Americana y busca retardar la consideración de  los  graves</w:t>
        <w:br/>
        <w:t xml:space="preserve">      hechos materia del presente caso y la determinación de  su  reparación</w:t>
        <w:br/>
        <w:t xml:space="preserve">      por la Corte;</w:t>
        <w:br/>
        <w:br/>
        <w:t xml:space="preserve">      e)    la objeción a la competencia de  la  Corte  interpuesta  por  el</w:t>
        <w:br/>
        <w:t xml:space="preserve">      Estado tampoco hace referencia alguna  a  la  adopción  específica  de</w:t>
        <w:br/>
        <w:t xml:space="preserve">      medidas para dar cumplimiento a las recomendaciones emitidas  mediante</w:t>
        <w:br/>
        <w:t xml:space="preserve">      el Informe No. 76/00; y</w:t>
        <w:br/>
        <w:br/>
        <w:t xml:space="preserve">      f)    el objeto de la queja interpuesta por el Estado  no  afecta  las</w:t>
        <w:br/>
        <w:t xml:space="preserve">      normas que rigen la competencia de la Corte para conocer del  presente</w:t>
        <w:br/>
        <w:t xml:space="preserve">      caso, por lo que no debe ser considerada como una excepción preliminar</w:t>
        <w:br/>
        <w:t xml:space="preserve">      propiamente dicha.</w:t>
        <w:br/>
        <w:br/>
        <w:br/>
        <w:t>Consideraciones de la Corte</w:t>
        <w:br/>
        <w:br/>
        <w:br/>
        <w:t>26.   Este Tribunal examinará las cuestiones  procesales  que  le  han  sido</w:t>
        <w:br/>
        <w:t>sometidas, con el objeto de definir si existen vicios tales  en  el  trámite</w:t>
        <w:br/>
        <w:t>que ameriten el rechazo in limine de la consideración del fondo del caso.</w:t>
        <w:br/>
        <w:br/>
        <w:t>27.    La  Corte  reitera  el  criterio   seguido   en   su   jurisprudencia</w:t>
        <w:br/>
        <w:t>constante[3], en el sentido  de  que  en  el  ejercicio  de  su  competencia</w:t>
        <w:br/>
        <w:t>contenciosa, está facultada “para conocer de cualquier caso  relativo  a  la</w:t>
        <w:br/>
        <w:t>interpretación y aplicación de las disposiciones de [la]  Convención”  (art.</w:t>
        <w:br/>
        <w:t>62.3).  Los términos amplios en que está  redactada  la  Convención  indican</w:t>
        <w:br/>
        <w:t>que la Corte ejerce  una  jurisdicción  plena  sobre  todas  las  cuestiones</w:t>
        <w:br/>
        <w:t>relativas a un caso.  Ella es competente, por lo tanto, para decidir  si  se</w:t>
        <w:br/>
        <w:t>ha  producido  una  violación  a  alguno  de  los  derechos   y   libertades</w:t>
        <w:br/>
        <w:t>reconocidos por la Convención y para adoptar  las  disposiciones  apropiadas</w:t>
        <w:br/>
        <w:t>derivadas de semejante situación; pero lo es igualmente  para  juzgar  sobre</w:t>
        <w:br/>
        <w:t>los presupuestos procesales en que se fundamenta su posibilidad  de  conocer</w:t>
        <w:br/>
        <w:t>del caso y para verificar el cumplimiento de toda norma de procedimiento  en</w:t>
        <w:br/>
        <w:t>la que esté envuelta la “interpretación o aplicación  de  [la]  Convención”.</w:t>
        <w:br/>
        <w:t>En el ejercicio de esas atribuciones la Corte no está vinculada con  lo  que</w:t>
        <w:br/>
        <w:t>previamente haya  decidido  la  Comisión,  sino  que  está  habilitada  para</w:t>
        <w:br/>
        <w:t>sentenciar libremente, de acuerdo con su propia apreciación.</w:t>
        <w:br/>
        <w:br/>
        <w:t>28.   De acuerdo con el contexto de aplicación de la Convención y el  objeto</w:t>
        <w:br/>
        <w:t>y fin de la misma, las normas relativas al procedimiento  se  deben  aplicar</w:t>
        <w:br/>
        <w:t>con  base  en  un  criterio  de  razonabilidad,  pues  de  lo  contrario  se</w:t>
        <w:br/>
        <w:t>ocasionaría  un  desequilibrio  entre  las  partes  y  se  comprometería  la</w:t>
        <w:br/>
        <w:t>realización de la justicia[4].  Tal como lo ha  indicado  la  Corte,  en  la</w:t>
        <w:br/>
        <w:t>jurisdicción internacional lo esencial es que se preserven  las  condiciones</w:t>
        <w:br/>
        <w:t>necesarias  para  que  los  derechos  procesales  de  las  partes  no   sean</w:t>
        <w:br/>
        <w:t>disminuidos o desequilibrados, y para que se alcancen  los  fines  para  los</w:t>
        <w:br/>
        <w:t>cuales han sido diseñados los distintos procedimientos[5].</w:t>
        <w:br/>
        <w:br/>
        <w:t>29.   La Corte debe analizar el trámite ante la Comisión, a  la  luz  de  lo</w:t>
        <w:br/>
        <w:t>dispuesto en los artículos  50  y  51.1  de  la  Convención  Americana.   El</w:t>
        <w:br/>
        <w:t>artículo 50 de la Convención señala que: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 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br/>
        <w:t>El artículo 51.1 de la Convención Americana prescribe que:</w:t>
        <w:br/>
        <w:br/>
        <w:t xml:space="preserve">      1.    Si en el plazo de tres meses, a partir  de 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br/>
        <w:t>30.   Al respecto, la Corte  ha  señalado  anteriormente[6],  en  cuanto  al</w:t>
        <w:br/>
        <w:t>procedimiento establecido en el artículo 51 de la Convención, que:</w:t>
        <w:br/>
        <w:br/>
        <w:br/>
        <w:t xml:space="preserve">      […] si en el plazo de tres meses el asunto no ha sido solucionado  por</w:t>
        <w:br/>
        <w:t xml:space="preserve">      el Estado al cual se ha dirigido el informe preliminar atendiendo  las</w:t>
        <w:br/>
        <w:t xml:space="preserve">      proposiciones formuladas en el  mismo,  la  Comisión  está  facultada,</w:t>
        <w:br/>
        <w:t xml:space="preserve">      dentro de dicho período, para decidir si somete el caso a la Corte por</w:t>
        <w:br/>
        <w:t xml:space="preserve">      medio de la demanda respectiva o bien si continúa con el  conocimiento</w:t>
        <w:br/>
        <w:t xml:space="preserve">      del asunto.  Esta decisión no es discrecional, sino que debe  apoyarse</w:t>
        <w:br/>
        <w:t xml:space="preserve">      en la alternativa que sea más favorable para la tutela de los derechos</w:t>
        <w:br/>
        <w:t xml:space="preserve">      establecidos en la Convención.</w:t>
        <w:br/>
        <w:br/>
        <w:br/>
        <w:t>31.   La Corte estima que la  valoración  que  hace  la  Comisión  sobre  la</w:t>
        <w:br/>
        <w:t>conveniencia o no del envío de un caso a la  Corte  debe  ser  fruto  de  un</w:t>
        <w:br/>
        <w:t>ejercicio colectivo de carácter propio  y  autónomo  que  hace  ésta  en  su</w:t>
        <w:br/>
        <w:t>condición de  órgano  de  supervisión  de  la  Convención  Americana  y,  en</w:t>
        <w:br/>
        <w:t>consecuencia, los motivos que tuvo para su envío no  pueden  ser  objeto  de</w:t>
        <w:br/>
        <w:t>una excepción preliminar.  Sin embargo, lo que sí puede ser  objeto  de  una</w:t>
        <w:br/>
        <w:t>excepción preliminar es la omisión o violación de  todos  o  alguno  de  los</w:t>
        <w:br/>
        <w:t>pasos procesales indicados en los artículos 50 y 51  de  la  Convención,  de</w:t>
        <w:br/>
        <w:t>manera que se provoque un desequilibrio procesal o la indefensión de  alguna</w:t>
        <w:br/>
        <w:t>de las partes del caso ante la Corte.</w:t>
        <w:br/>
        <w:br/>
        <w:br/>
        <w:t>32.   En este sentido,  es  importante  mencionar  que  no  hay  disposición</w:t>
        <w:br/>
        <w:t>alguna en la Convención ni en los Reglamentos de la Corte y de  la  Comisión</w:t>
        <w:br/>
        <w:t>que  regule  de  manera  expresa  los  aspectos  relativos  al  análisis   o</w:t>
        <w:br/>
        <w:t>valoración que debe realizar la Comisión de la respuesta del  Estado  a  las</w:t>
        <w:br/>
        <w:t>recomendaciones formuladas en el informe del artículo 50 de  la  Convención,</w:t>
        <w:br/>
        <w:t>así como tampoco se encuentra establecido que  deba  transcurrir  un  tiempo</w:t>
        <w:br/>
        <w:t>mínimo desde que el Estado presenta  la  referida  respuesta,  para  que  la</w:t>
        <w:br/>
        <w:t>Comisión decida someter el caso al conocimiento de la Corte.</w:t>
        <w:br/>
        <w:br/>
        <w:br/>
        <w:t>33.    Además,  la  Corte  reitera  que   la   Comisión   posee   facultades</w:t>
        <w:br/>
        <w:t>discrecionales, pero de ninguna manera arbitrarias, para  decidir,  en  cada</w:t>
        <w:br/>
        <w:t>caso, si resulta conveniente o adecuada la respuesta del Estado  al  informe</w:t>
        <w:br/>
        <w:t>adoptado de conformidad con el artículo 50 de la Convención.   Al  tomar  la</w:t>
        <w:br/>
        <w:t>decisión de someter o no el caso al conocimiento de la  Corte,  la  Comisión</w:t>
        <w:br/>
        <w:t>debe escoger la alternativa más favorable para la  tutela  de  los  derechos</w:t>
        <w:br/>
        <w:t>protegidos en la Convención[7].</w:t>
        <w:br/>
        <w:br/>
        <w:br/>
        <w:t>34.   La  Comisión  Interamericana  decidió  someter  el  presente  caso  al</w:t>
        <w:br/>
        <w:t>conocimiento de la Corte el mismo día que Colombia presentó su  respuesta  a</w:t>
        <w:br/>
        <w:t>las recomendaciones adoptadas por la Comisión en el  Informe  No.  76/00,  y</w:t>
        <w:br/>
        <w:t>presentó la demanda  ante  la  Corte  cinco  días  después.   Es  decir,  la</w:t>
        <w:br/>
        <w:t>Comisión esperó a que el Estado informara si había  o  no  adoptado  medidas</w:t>
        <w:br/>
        <w:t>específicas con el objeto de  cumplir  con  las  recomendaciones,  antes  de</w:t>
        <w:br/>
        <w:t>decidir si era conveniente someter el caso al conocimiento de la Corte;   de</w:t>
        <w:br/>
        <w:t>hecho, fue sometido a la Corte el 24 de enero de 2001, día en que vencía  el</w:t>
        <w:br/>
        <w:t>plazo convencional de tres meses para  la  presentación  del  caso  ante  el</w:t>
        <w:br/>
        <w:t>Tribunal.</w:t>
        <w:br/>
        <w:br/>
        <w:br/>
        <w:t>35.   Es un principio comúnmente aceptado que  el  sistema  procesal  es  un</w:t>
        <w:br/>
        <w:t>medio para realizar la justicia y que ésta no puede ser sacrificada en  aras</w:t>
        <w:br/>
        <w:t>de meras formalidades[8].  Sin embargo, la seguridad jurídica exige que  los</w:t>
        <w:br/>
        <w:t>Estados sepan a qué atenerse[9].  En consecuencia, si la Comisión otorga  un</w:t>
        <w:br/>
        <w:t>plazo al Estado para que cumpla con las recomendaciones  del  informe,  debe</w:t>
        <w:br/>
        <w:t>esperar a que éste remita su respuesta dentro del plazo fijado  y  valorarla</w:t>
        <w:br/>
        <w:t>con el objeto de decidir si someter el caso al conocimiento de la  Corte  es</w:t>
        <w:br/>
        <w:t>la alternativa más favorable para la tutela de los derechos contemplados  en</w:t>
        <w:br/>
        <w:t>la Convención, o si, por el contrario, las medidas adoptadas por  el  Estado</w:t>
        <w:br/>
        <w:t>para  cumplir  las  recomendaciones   de   la   Comisión   constituyen   una</w:t>
        <w:br/>
        <w:t>contribución positiva al desarrollo del proceso y  al  cumplimiento  de  las</w:t>
        <w:br/>
        <w:t>obligaciones establecidas en la  Convención  Americana,  de  manera  que  se</w:t>
        <w:br/>
        <w:t>investiguen las violaciones a los derechos humanos que se le  atribuyen,  se</w:t>
        <w:br/>
        <w:t>sancione  a  los  responsables  de  dichas  violaciones  y  se  reparen  sus</w:t>
        <w:br/>
        <w:t>consecuencias.</w:t>
        <w:br/>
        <w:br/>
        <w:br/>
        <w:t>36.   Si bien la Convención no estipula que la  Comisión  deba  analizar  la</w:t>
        <w:br/>
        <w:t>respuesta del Estado  durante  un  tiempo  determinado  antes  de  tomar  la</w:t>
        <w:br/>
        <w:t>decisión de remitir el caso a la Corte (supra párr. 32), la Comisión  indicó</w:t>
        <w:br/>
        <w:t>que tomó esa decisión porque, al analizar  dicha  respuesta,  consideró  que</w:t>
        <w:br/>
        <w:t>ésta “no refleja[ba] la adopción de  medidas  concretas  o  la  asunción  de</w:t>
        <w:br/>
        <w:t>compromisos  ciertos  y  expresos  con  relación  al  cumplimiento  con  las</w:t>
        <w:br/>
        <w:t>recomendaciones emitidas en el Informe  76/00.”   Esto,  en  opinión  de  la</w:t>
        <w:br/>
        <w:t>Corte, no constituye objeto de excepción preliminar[10].</w:t>
        <w:br/>
        <w:br/>
        <w:br/>
        <w:t>37.   El Estado hizo referencia en varias oportunidades a la buena fe,  pero</w:t>
        <w:br/>
        <w:t>la Corte considera que no se ha acreditado que la Comisión no  haya  actuado</w:t>
        <w:br/>
        <w:t>de buena fe en el presente caso.</w:t>
        <w:br/>
        <w:br/>
        <w:br/>
        <w:t>38.   Con base en las anteriores consideraciones, esta Corte estima  que  la</w:t>
        <w:br/>
        <w:t>conducta de la Comisión no afectó el derecho a un debido  procedimiento  que</w:t>
        <w:br/>
        <w:t>corresponde a Colombia, de conformidad con los  artículos  50  y  51  de  la</w:t>
        <w:br/>
        <w:t>Convención, ni le impidió ejercer  cualquiera  de  los  otros  derechos  que</w:t>
        <w:br/>
        <w:t>dicho tratado le reconoce.</w:t>
        <w:br/>
        <w:br/>
        <w:br/>
        <w:t>39.   La excepción preliminar que se acaba de examinar es la única a que  se</w:t>
        <w:br/>
        <w:t>hizo referencia, como tal, en el escrito  de  excepciones  preliminares  del</w:t>
        <w:br/>
        <w:t>Estado, en el de observaciones de la Comisión, y  en  la  audiencia  pública</w:t>
        <w:br/>
        <w:t>celebrada al respecto.</w:t>
        <w:br/>
        <w:br/>
        <w:br/>
        <w:t>40.   Por todo lo anterior,  la  Corte  desestima  la  excepción  preliminar</w:t>
        <w:br/>
        <w:t>interpuesta por el Estado.</w:t>
        <w:br/>
        <w:br/>
        <w:br/>
        <w:br/>
        <w:t xml:space="preserve">                                     VII</w:t>
        <w:br/>
        <w:br/>
        <w:br/>
        <w:br/>
        <w:t>41.   Por tanto,</w:t>
        <w:br/>
        <w:br/>
        <w:br/>
        <w:t xml:space="preserve">      La Corte,</w:t>
        <w:br/>
        <w:br/>
        <w:br/>
        <w:t xml:space="preserve">      Decide:</w:t>
        <w:br/>
        <w:br/>
        <w:br/>
        <w:t>por unanimidad,</w:t>
        <w:br/>
        <w:br/>
        <w:br/>
        <w:t>Desestimar la excepción preliminar interpuesta por el Estado de  Colombia  y</w:t>
        <w:br/>
        <w:t>continuar con el conocimiento del presente caso.</w:t>
        <w:br/>
        <w:br/>
        <w:br/>
        <w:t>Redactada en español y en inglés, haciendo fe el texto en  español,  en  San</w:t>
        <w:br/>
        <w:t>José, Costa Rica, el día 12 de junio de 2002.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t xml:space="preserve">  Alirio Abreu Burelli                                        Hernán Salgado</w:t>
        <w:br/>
        <w:t xml:space="preserve">                                                                    Pesantes</w:t>
        <w:br/>
        <w:br/>
        <w:br/>
        <w:br/>
        <w:br/>
        <w:t xml:space="preserve">   Oliver Jackman                                      Sergio García Ramírez</w:t>
        <w:br/>
        <w:br/>
        <w:br/>
        <w:br/>
        <w:br/>
        <w:br/>
        <w:t xml:space="preserve">                             Rafael Nieto Navia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br/>
        <w:br/>
        <w:br/>
        <w:br/>
        <w:br/>
        <w:br/>
        <w:t>Manuel E. Ventura Robles</w:t>
        <w:br/>
        <w:t xml:space="preserve">        Secretario</w:t>
        <w:br/>
        <w:t>-----------------------</w:t>
        <w:br/>
        <w:t>*     El Juez Carlos Vicente de Roux Rengifo,  de  nacionalidad  colombiana,</w:t>
        <w:br/>
        <w:t>se excusó de conocer el presente caso.  Asimismo,  el  Juez  Máximo  Pacheco</w:t>
        <w:br/>
        <w:t>Gómez informó a la Corte que, por motivos de fuerza mayor,  no  podía  estar</w:t>
        <w:br/>
        <w:t>presente en el LV Período Ordinario de Sesiones del Tribunal, por lo que  no</w:t>
        <w:br/>
        <w:t>participó en la deliberación y firma de la presente Sentencia.</w:t>
        <w:br/>
        <w:br/>
        <w:t>**    De conformidad con la Resolución de la Corte de 13 de  marzo  de  2001</w:t>
        <w:br/>
        <w:t>sobre Disposiciones Transitorias al Reglamento de la Corte vigente desde  el</w:t>
        <w:br/>
        <w:t>1 de junio de 2001, la presente Sentencia sobre la excepción  preliminar  se</w:t>
        <w:br/>
        <w:t>dicta en los términos del Reglamento aprobado en la Resolución de  la  Corte</w:t>
        <w:br/>
        <w:t>de 16 de septiembre de 1996.</w:t>
        <w:br/>
        <w:br/>
        <w:t>[1]   Mediante escrito de 8 de marzo de 2001 la  Comisión  informó  que  “el</w:t>
        <w:br/>
        <w:t>señor Luis Sauza, quien aparece citado en [el] cuerpo de la  demanda  [,  …]</w:t>
        <w:br/>
        <w:t>fue omitido del petitorio por un error administrativo involuntario, [por  lo</w:t>
        <w:br/>
        <w:t>que] se cuenta entre las 19 víctimas del presente caso”.</w:t>
        <w:br/>
        <w:br/>
        <w:t>[2]   Según lo manifestado por el  Estado  en  la  audiencia  pública  sobre</w:t>
        <w:br/>
        <w:t>excepciones preliminares celebrada en la sede de la Corte el 11 de junio  de</w:t>
        <w:br/>
        <w:t>2002.</w:t>
        <w:br/>
        <w:br/>
        <w:t>[3]   Cfr. Caso Constantine y otros. Excepciones Preliminares. Sentencia  de</w:t>
        <w:br/>
        <w:t>1 de septiembre de 2001. Serie C No. 82, párr. 71; Caso  Benjamín  y  otros.</w:t>
        <w:br/>
        <w:t>Excepciones Preliminares. Sentencia de 1 de septiembre de 2001. Serie C  No.</w:t>
        <w:br/>
        <w:t>81, párr. 71; Caso Hilaire. Excepciones  Preliminares.  Sentencia  de  1  de</w:t>
        <w:br/>
        <w:t>septiembre  de  2001.  Serie  C  No.  80,  párr.  80;  Caso  Las   Palmeras.</w:t>
        <w:br/>
        <w:t>Excepciones Preliminares. Sentencia de 4 de febrero de  2000.  Serie  C  No.</w:t>
        <w:br/>
        <w:t>67, párr. 32; Caso Cesti Hurtado. Excepciones Preliminares. Sentencia de  26</w:t>
        <w:br/>
        <w:t>de enero de 1999. Serie C No. 49, párrs. 44 y 52; Caso  Cantoral  Benavides.</w:t>
        <w:br/>
        <w:t>Excepciones Preliminares. Sentencia de 3 de septiembre de 1998. Serie C  No.</w:t>
        <w:br/>
        <w:t>40, párr. 46; Caso Godínez Cruz. Excepciones Preliminares. Sentencia  de  26</w:t>
        <w:br/>
        <w:t>de junio de 1987. Serie C No.  3,  párr.  32;  Caso  Fairén  Garbi  y  Solís</w:t>
        <w:br/>
        <w:t>Corrales. Excepciones Preliminares. Sentencia de 26 de junio de 1987.  Serie</w:t>
        <w:br/>
        <w:t>C No. 2, párr. 34; y Caso  Velásquez  Rodríguez.  Excepciones  Preliminares.</w:t>
        <w:br/>
        <w:t>Sentencia de 26 de junio de 1987. Serie C No. 1, párr. 29.</w:t>
        <w:br/>
        <w:br/>
        <w:t>[4]    Cfr.  Caso  de  la  “Panel  Blanca”  (Paniagua  Morales   y   otros).</w:t>
        <w:br/>
        <w:t>Excepciones Preliminares. Sentencia de 25 de enero de 1996. Serie C No.  23,</w:t>
        <w:br/>
        <w:t>párr. 40.</w:t>
        <w:br/>
        <w:br/>
        <w:t>[5]   Cfr. Caso Baena Ricardo y otros. Excepciones  Preliminares.  Sentencia</w:t>
        <w:br/>
        <w:t>de 18 de noviembre de 1999. Serie C No. 61, párr.  41;  Caso  de  la  “Panel</w:t>
        <w:br/>
        <w:t>Blanca” (Paniagua Morales y otros). Excepciones Preliminares, supra nota  4,</w:t>
        <w:br/>
        <w:t>párr. 42; y Caso Gangaram Panday. Excepciones Preliminares. Sentencia  de  4</w:t>
        <w:br/>
        <w:t>de diciembre de 1991. Serie C No. 12, párr. 18.</w:t>
        <w:br/>
        <w:br/>
        <w:t>[6]   Cfr. Caso Baena Ricardo y otros. Excepciones Preliminares, supra  nota</w:t>
        <w:br/>
        <w:t>5, párr. 37; Caso Caballero Delgado  y  Santana.  Excepciones  Preliminares.</w:t>
        <w:br/>
        <w:t>Sentencia de 21 de enero de 1994. Serie  C  No.  17,  párr.  49;  y  Ciertas</w:t>
        <w:br/>
        <w:t>atribuciones de la Comisión Interamericana de Derechos  Humanos  (arts.  41,</w:t>
        <w:br/>
        <w:t>42, 44, 46, 47, 50 y 51 de la Convención Americana sobre Derechos  Humanos),</w:t>
        <w:br/>
        <w:t>Opinión Consultiva OC-13/93 del 16 de julio de 1993.  Serie A No. 13,  párr.</w:t>
        <w:br/>
        <w:t>50.</w:t>
        <w:br/>
        <w:br/>
        <w:t>[7]   Cfr. Caso Baena Ricardo y otros. Excepciones Preliminares, supra  nota</w:t>
        <w:br/>
        <w:t>5, párr. 37; Caso Caballero Delgado  y  Santana.  Excepciones  Preliminares,</w:t>
        <w:br/>
        <w:t>supra nota 6, párrs.  26  y  49;  y  Ciertas  atribuciones  de  la  Comisión</w:t>
        <w:br/>
        <w:t>Interamericana de Derechos Humanos (arts. 41, 42, 44, 46, 47, 50 y 51 de  la</w:t>
        <w:br/>
        <w:t>Convención Americana sobre Derechos Humanos),  Opinión  Consultiva  OC-13/93</w:t>
        <w:br/>
        <w:t>del 16 de julio de 1993, supra nota 6, párr. 50.</w:t>
        <w:br/>
        <w:br/>
        <w:t>[8]   Cfr. Caso Baena Ricardo y otros. Excepciones Preliminares, supra  nota</w:t>
        <w:br/>
        <w:t>5, párr. 43; Caso Loayza Tamayo. Excepciones Preliminares. Sentencia  de  31</w:t>
        <w:br/>
        <w:t>de enero de  1996.  Serie  C  No.  25,  párr.  33;  y  Caso  Castillo  Páez.</w:t>
        <w:br/>
        <w:t>Excepciones Preliminares. Sentencia de 30 de enero de 1996. Serie C No.  24,</w:t>
        <w:br/>
        <w:t>parr. 34.</w:t>
        <w:br/>
        <w:br/>
        <w:t>[9]   Cfr. Caso Cayara. Excepciones Preliminares. Sentencia de 3 de  febrero</w:t>
        <w:br/>
        <w:t>de 1993. Serie C No. 14, párr. 38.</w:t>
        <w:br/>
        <w:br/>
        <w:t>[10]  Cfr. Caso Genie Lacayo. Excepciones Preliminares. Sentencia de  27  de</w:t>
        <w:br/>
        <w:t>enero de 1995. Serie C No. 21, párr. 46.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