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Caso Hilaire, Constantine y Benjamin y otros Vs. Trinidad y Tobago</w:t>
        <w:br/>
        <w:br/>
        <w:br/>
        <w:t xml:space="preserve">                      Sentencia de 21 de junio de 2002</w:t>
        <w:br/>
        <w:t xml:space="preserve">                       (Fondo, Reparaciones y Costas)</w:t>
        <w:br/>
        <w:br/>
        <w:br/>
        <w:t>En el Caso Hilaire, Constantine y Benjamin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Antônio A. Cançado Trindade, Presidente;</w:t>
        <w:br/>
        <w:t xml:space="preserve">      Alirio Abreu Burelli, Vicepresidente;</w:t>
        <w:br/>
        <w:t xml:space="preserve">      Hernán Salgado Pesantes, Juez;</w:t>
        <w:br/>
        <w:t xml:space="preserve">      Oliver Jackman, Juez;</w:t>
        <w:br/>
        <w:t xml:space="preserve">      Sergio García Ramírez, Juez, y</w:t>
        <w:br/>
        <w:t xml:space="preserve">      Carlos Vicente de Roux Rengifo, Juez;</w:t>
        <w:br/>
        <w:br/>
        <w:t>presentes, además,</w:t>
        <w:br/>
        <w:br/>
        <w:t xml:space="preserve">      Manuel E. Ventura Robles, Secretario, y</w:t>
        <w:br/>
        <w:t xml:space="preserve">      Pablo Saavedra Alessandri, Secretario Adjunto;</w:t>
        <w:br/>
        <w:br/>
        <w:t>de acuerdo con los artículos 29, 55 y 57 del  Reglamento  de  la  Corte  (en</w:t>
        <w:br/>
        <w:t>adelante  “el  Reglamento”)  [1],  dicta  la  presente  Sentencia   que   se</w:t>
        <w:br/>
        <w:t>estructura en el siguiente orden:</w:t>
        <w:br/>
        <w:br/>
        <w:t xml:space="preserve">   I. Introducción de la Causa                                 párrs. 1-11</w:t>
        <w:br/>
        <w:t xml:space="preserve">  II. Competencia de la Corte                                  párrs. 12-20</w:t>
        <w:br/>
        <w:t xml:space="preserve"> III. Procedimiento ante la Comisión                           párrs. 21-25</w:t>
        <w:br/>
        <w:t xml:space="preserve">  IV. Medidas Provisionales                                    párrs. 26-33</w:t>
        <w:br/>
        <w:t xml:space="preserve">   V. Procedimiento ante la Corte                              párrs. 34-59</w:t>
        <w:br/>
        <w:t xml:space="preserve">    VI. Hechos expuestos                                      párr. 60</w:t>
        <w:br/>
        <w:t xml:space="preserve"> VII. Prueba                                                   párrs. 61-83</w:t>
        <w:br/>
        <w:t xml:space="preserve">     a) Prueba documental                               párrs. 70-76</w:t>
        <w:br/>
        <w:t xml:space="preserve">     b) Prueba pericial                                       párr. 77</w:t>
        <w:br/>
        <w:t xml:space="preserve">     c) Valoración de la Prueba                               párrs. 78-83</w:t>
        <w:br/>
        <w:t>VIII. Hechos probados                                    párr. 84</w:t>
        <w:br/>
        <w:t xml:space="preserve">  IX. Violación del artículo 4.1 y 4.2 en relación con los</w:t>
        <w:br/>
        <w:t xml:space="preserve">        artículos 1.1 y 2 de la Convención Americana</w:t>
        <w:br/>
        <w:t xml:space="preserve">        (Pena de Muerte Obligatoria)                                 párrs.</w:t>
        <w:br/>
        <w:t xml:space="preserve">      85-118</w:t>
        <w:br/>
        <w:t xml:space="preserve">   X. Violación de los artículos 7.5, 8 y 25 en relación con los</w:t>
        <w:br/>
        <w:t xml:space="preserve">        artículos 1.1 y 2 de la Convención Americana (Derecho al</w:t>
        <w:br/>
        <w:t xml:space="preserve">        Plazo  Razonable,  Garantías  Judiciales  y  Protección   Judicial)</w:t>
        <w:br/>
        <w:t xml:space="preserve">                  párrs. 119-152</w:t>
        <w:br/>
        <w:t>XI. Violación del artículo 5.1 y 5.2 en relación con el artículo 1.1</w:t>
        <w:br/>
        <w:t xml:space="preserve">        de   la   Convención   Americana   (Condiciones    de    Detención)</w:t>
        <w:br/>
        <w:t xml:space="preserve">          párrs. 153-172</w:t>
        <w:br/>
        <w:t>XII. Violación de los artículos 4.6 y 8 en relación con el</w:t>
        <w:br/>
        <w:t xml:space="preserve">        artículo 1.1 de la Convención Americana</w:t>
        <w:br/>
        <w:t xml:space="preserve">        (Amnistía,    Indulto     o     Conmutación     de     la     Pena)</w:t>
        <w:br/>
        <w:t xml:space="preserve">          párrs. 173-189</w:t>
        <w:br/>
        <w:t>XIII. Violación del artículo 4 de la Convención Americana</w:t>
        <w:br/>
        <w:t xml:space="preserve">        (Incumplimiento de las Medidas Provisionales ordenadas por</w:t>
        <w:br/>
        <w:t xml:space="preserve">        la   Corte   respecto   de   Joey   Ramiah,   Caso   No.    12.129)</w:t>
        <w:br/>
        <w:t xml:space="preserve">           párrs. 190-200</w:t>
        <w:br/>
        <w:t>XIV.        Reparaciones (Aplicación del artículo 63.1 de la</w:t>
        <w:br/>
        <w:t xml:space="preserve">        Convención Americana)</w:t>
        <w:br/>
        <w:t xml:space="preserve">          párrs. 201-222</w:t>
        <w:br/>
        <w:t>XV.         Puntos Resolutivos</w:t>
        <w:br/>
        <w:t xml:space="preserve">    párr. 223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presente Caso es producto de la acumulación de los  Casos  Hilaire,</w:t>
        <w:br/>
        <w:t>Constantine  y  otros  y  Benjamin  y   otros[2],   que   fueron   sometidos</w:t>
        <w:br/>
        <w:t>separadamente a la Corte por la Comisión Interamericana de Derechos  Humanos</w:t>
        <w:br/>
        <w:t>(en adelante “la Comisión Interamericana” o “la  Comisión”)  en  contra  del</w:t>
        <w:br/>
        <w:t>Estado de Trinidad y Tobago (en adelante “el Estado” o “Trinidad y  Tobago”)</w:t>
        <w:br/>
        <w:t>el 25 de mayo de 1999, 22 de febrero  de  2000  y  5  de  octubre  de  2000,</w:t>
        <w:br/>
        <w:t>respectivamente.</w:t>
        <w:br/>
        <w:br/>
        <w:t>2.    Las demandas de la Comisión tienen su origen en las  denuncias  número</w:t>
        <w:br/>
        <w:t>11.816 (Haniff Hilaire), 11.787  (George  Constantine),  11.814  (Wenceslaus</w:t>
        <w:br/>
        <w:t>James), 11.840 (Denny Baptiste), 11.851 (Clarence Charles),  11.853  (Keiron</w:t>
        <w:br/>
        <w:t>Thomas), 11.855 (Anthony Garcia), 12.005  (Wilson  Prince),  12.021  (Darrin</w:t>
        <w:br/>
        <w:t>Roger Thomas), 12.042 (Mervyn Edmund), 12.043  (Samuel  Winchester),  12.052</w:t>
        <w:br/>
        <w:t>(Martin Reid), 12.072 (Rodney Davis),  12.073  (Gangadeen  Tahaloo),  12.075</w:t>
        <w:br/>
        <w:t>(Noel  Seepersad),  12.076  (Wayne  Matthews),  12.082  (Alfred  Frederick),</w:t>
        <w:br/>
        <w:t>12.093  (Natasha  De  Leon),  12.111  (Vijay   Mungroo),   12.112   (Phillip</w:t>
        <w:br/>
        <w:t>Chotalal), 12.129 (Naresh Boodram  y  Joey  Ramiah),  12.137  (Nigel  Mark),</w:t>
        <w:br/>
        <w:t>12.140  (Wilberforce  Bernard),  12.141  (Steve  Mungroo),   12.148   (Peter</w:t>
        <w:br/>
        <w:t>Benjamin), 12.149 (Krishendath Seepersad), 12.151  (Allan  Phillip),  12.152</w:t>
        <w:br/>
        <w:t>(Narine Sooklal), 12.153 (Amir Mowlah),  12.156  (Mervyn  Parris)  y  12.157</w:t>
        <w:br/>
        <w:t>(Francis Mansingh), recibidas en su Secretaría entre julio de  1997  y  mayo</w:t>
        <w:br/>
        <w:t>de 1999.</w:t>
        <w:br/>
        <w:br/>
        <w:t>3.     La  Corte  expone  a   continuación   de   manera   esquemática   los</w:t>
        <w:br/>
        <w:t>planteamientos formulados por la Comisión en sus demandas  en  relación  con</w:t>
        <w:br/>
        <w:t>los derechos de la Convención Americana supuestamente violados  a  cada  una</w:t>
        <w:br/>
        <w:t>de las presuntas víctimas:</w:t>
        <w:br/>
        <w:br/>
        <w:br/>
        <w:t>|    |Supuesta   |No. de |Violaciones alegadas                    |</w:t>
        <w:br/>
        <w:t>|    |víctima    |caso   |                                        |</w:t>
        <w:br/>
        <w:t>|1   |Haniff     |11.816 |Pena de muerte obligatoria (Arts. 1.1,  |</w:t>
        <w:br/>
        <w:t>|    |Hilaire    |       |4.1, 5.1, 5.2, 5.6)                     |</w:t>
        <w:br/>
        <w:t>|    |           |       |Demora (Arts. 1.1, 2, 7.5, 25)          |</w:t>
        <w:br/>
        <w:t>|2   |George     |11.787 |Pena de muerte obligatoria (Arts. 1.1,  |</w:t>
        <w:br/>
        <w:t>|    |Constantine|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|3   |Wenceslaus |11.814 |Pena de muerte obligatoria (Arts. 1.1,  |</w:t>
        <w:br/>
        <w:t>|    |James      |       |4.1, 5.1, 5.2, 8.1)                     |</w:t>
        <w:br/>
        <w:t>|    |           |       |Facultad del indulto (Arts. 1.1, 4.6)   |</w:t>
        <w:br/>
        <w:t>|4   |Denny      |11.840 |Pena de muerte obligatoria (Arts. 1.1,  |</w:t>
        <w:br/>
        <w:t>|    |Baptiste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|5   |Clarence   |11.851 |Pena de muerte obligatoria (Arts. 1.1,  |</w:t>
        <w:br/>
        <w:t>|    |Charles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|6   |Keiron     |11.853 |Pena de muerte obligatoria (Arts. 1.1,  |</w:t>
        <w:br/>
        <w:t>|    |Thomas     |       |4.1, 5.1, 5.2, 8.1)                     |</w:t>
        <w:br/>
        <w:t>|    |           |       |Facultad del indulto (Arts. 1.1, 4.6)   |</w:t>
        <w:br/>
        <w:t>|    |           |       |Condiciones de detención (Arts. 1.1,    |</w:t>
        <w:br/>
        <w:t>|    |           |       |5.1, 5.2)                               |</w:t>
        <w:br/>
        <w:t>|    |           |       |Juicio justo (Arts. 1.1, 8.2(d), 8.2(e))|</w:t>
        <w:br/>
        <w:t>|7   |Anthony    |11.855 |Pena de muerte obligatoria (Arts. 1.1,  |</w:t>
        <w:br/>
        <w:t>|    |Garcia     |       |4.1, 5.1, 5.2, 8.1)                     |</w:t>
        <w:br/>
        <w:t>|    |           |       |Facultad del indulto (Arts. 1.1, 4.6)   |</w:t>
        <w:br/>
        <w:t>|    |           |       |Condiciones de detención (Arts. 1.1,    |</w:t>
        <w:br/>
        <w:t>|    |           |       |5.1, 5.2)                               |</w:t>
        <w:br/>
        <w:t>|8   |Wilson     |12.005 |Pena de muerte obligatoria (Arts. 1.1,  |</w:t>
        <w:br/>
        <w:t>|    |Prince 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|9   |Darrin     |12.021 |Pena de muerte obligatoria (Arts. 1.1,  |</w:t>
        <w:br/>
        <w:t>|    |Roger      |       |4.1, 5.1, 5.2, 8.1)                     |</w:t>
        <w:br/>
        <w:t>|    |Thomas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|10  |Mervyn     |12.042 |Pena de muerte obligatoria (Arts. 1.1,  |</w:t>
        <w:br/>
        <w:t>|    |Edmund 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|11  |Samuel     |12.043 |Pena de muerte obligatoria (Arts. 1.1,  |</w:t>
        <w:br/>
        <w:t>|    |Winchester |       |4.1, 5.1, 5.2, 8.1)                     |</w:t>
        <w:br/>
        <w:t>|    |           |       |Facultad del indulto (Arts. 1.1, 4.6)   |</w:t>
        <w:br/>
        <w:t>|    |           |       |Condiciones de detención (Arts. 1.1,    |</w:t>
        <w:br/>
        <w:t>|    |           |       |5.1, 5.2)                               |</w:t>
        <w:br/>
        <w:t>|12  |Martin Reid|12.052 |Pena de muerte obligatoria (Arts. 1.1,  |</w:t>
        <w:br/>
        <w:t>|    |           |       |4.1, 5.1, 5.2, 8.1)                     |</w:t>
        <w:br/>
        <w:t>|    |           |       |Facultad del indulto (Arts. 1.1, 4.6)   |</w:t>
        <w:br/>
        <w:t>|    |           |       |Juicio justo (Arts. 1.1, 8.2(c))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|13  |Rodney     |12.072 |Pena de muerte obligatoria (Arts. 1.1,  |</w:t>
        <w:br/>
        <w:t>|    |Davis  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|14  |Gangadeen  |12.073 |Pena de muerte obligatoria (Arts. 1.1,  |</w:t>
        <w:br/>
        <w:t>|    |Tahaloo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|15  |Noel       |12.075 |Pena de muerte obligatoria (Arts. 1.1,  |</w:t>
        <w:br/>
        <w:t>|    |Seepersad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|16  |Wayne      |12.076 |Pena de muerte obligatoria (Arts. 1.1,  |</w:t>
        <w:br/>
        <w:t>|    |Matthews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|17  |Alfred     |12.082 |Pena de muerte obligatoria (Arts. 1.1,  |</w:t>
        <w:br/>
        <w:t>|    |Frederick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|18  |Natasha De |12.093 |Pena de muerte obligatoria (Arts. 1.1,  |</w:t>
        <w:br/>
        <w:t>|    |Leon   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|19  |Vijay      |12.111 |Pena de muerte obligatoria (Arts. 1.1,  |</w:t>
        <w:br/>
        <w:t>|    |Mungroo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|20  |Phillip    |12.112 |Pena de muerte obligatoria (Arts. 1.1,  |</w:t>
        <w:br/>
        <w:t>|    |Chotalal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|21  |Naresh     |12.129 |Pena de muerte obligatoria (Arts. 1.1,  |</w:t>
        <w:br/>
        <w:t>|    |Boodram    |       |4.1, 5.1, 5.2, 8.1)                     |</w:t>
        <w:br/>
        <w:t>|    |           |       |Facultad del indulto (Arts. 1.1, 4.6)   |</w:t>
        <w:br/>
        <w:t>|    |           |       |Condiciones de detención (Arts. 1.1,    |</w:t>
        <w:br/>
        <w:t>|    |           |       |5.1, 5.2)                               |</w:t>
        <w:br/>
        <w:t>|22  |Joey Ramiah|12.129 |Pena de muerte obligatoria (Arts. 1.1,  |</w:t>
        <w:br/>
        <w:t>|    |           |       |4.1, 5.1, 5.2, 8.1)                     |</w:t>
        <w:br/>
        <w:t>|    |           |       |Facultad del indulto (Arts. 1.1, 4.6)   |</w:t>
        <w:br/>
        <w:t>|    |           |       |Condiciones de detención (Arts. 1.1,    |</w:t>
        <w:br/>
        <w:t>|    |           |       |5.1, 5.2)                               |</w:t>
        <w:br/>
        <w:t>|23  |Nigel Mark |12.137 |Pena de muerte obligatoria (Arts. 1.1,  |</w:t>
        <w:br/>
        <w:t>|    |       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|24  |Wilberforce|12.140 |Pena de muerte obligatoria (Arts. 1.1,  |</w:t>
        <w:br/>
        <w:t>|    |Bernard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|25  |Steve      |12.141 |Pena de muerte obligatoria (Arts. 1.1,  |</w:t>
        <w:br/>
        <w:t>|    |Mungroo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|26  |Peter      |12.148 |Pena de muerte obligatoria (Arts. 1.1,  |</w:t>
        <w:br/>
        <w:t>|    |Benjamin   |       |4.1, 5.1, 5.2, 8.1)                     |</w:t>
        <w:br/>
        <w:t>|    |           |       |Facultad del indulto (Arts. 1.1, 4.6)   |</w:t>
        <w:br/>
        <w:t>|    |           |       |Juicio justo (Arts. 1.1, 8.1)           |</w:t>
        <w:br/>
        <w:t>|27  |Krishendath|12.149 |Pena de muerte obligatoria (Arts. 1.1,  |</w:t>
        <w:br/>
        <w:t>|    |Seepersad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5.2, 5.6)                          |</w:t>
        <w:br/>
        <w:t>|28  |Allan      |12.151 |Pena de muerte obligatoria (Arts. 1.1,  |</w:t>
        <w:br/>
        <w:t>|    |Phillip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|29  |Narine     |12.152 |Pena de muerte obligatoria (Arts. 1.1,  |</w:t>
        <w:br/>
        <w:t>|    |Sooklal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8.2(d), 25)                   |</w:t>
        <w:br/>
        <w:t>|    |           |       |Condiciones de detención (Arts. 1.1,    |</w:t>
        <w:br/>
        <w:t>|    |           |       |5.1, 5.2)                               |</w:t>
        <w:br/>
        <w:t>|30  |Amir Mowlah|12.153 |Pena de muerte obligatoria (Arts. 1.1,  |</w:t>
        <w:br/>
        <w:t>|    |       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|31  |Mervyn     |12.156 |Pena de muerte obligatoria (Arts. 1.1,  |</w:t>
        <w:br/>
        <w:t>|    |Parris  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5.2)                               |</w:t>
        <w:br/>
        <w:t>|    |           |       |Indisponibilidad de asistencia letrada  |</w:t>
        <w:br/>
        <w:t>|    |           |       |para recursos constitucionales (Arts.   |</w:t>
        <w:br/>
        <w:t>|    |           |       |1.1, 8, 25)                             |</w:t>
        <w:br/>
        <w:t>|32  |Francis    |12.157 |Pena de muerte obligatoria (Arts. 1.1,  |</w:t>
        <w:br/>
        <w:t>|    |Mansingh   |       |4.1, 5.1, 5.2, 8.1)                     |</w:t>
        <w:br/>
        <w:t>|    |           |       |Facultad del indulto (Arts. 1.1, 4.6)   |</w:t>
        <w:br/>
        <w:t>|    |           |       |Demora y juicio justo (Arts. 1.1, 2,    |</w:t>
        <w:br/>
        <w:t>|    |           |       |7.5, 8.1, 25)                           |</w:t>
        <w:br/>
        <w:t>|    |           |       |Condiciones de detención (Arts. 1.1,    |</w:t>
        <w:br/>
        <w:t>|    |           |       |5.1, 5.2, 5.4)                          |</w:t>
        <w:br/>
        <w:br/>
        <w:br/>
        <w:t>4.     En  sus  alegatos  finales  la  Comisión  Interamericana  agrupó  los</w:t>
        <w:br/>
        <w:t>argumentos de sus demandas en seis temas principales, que se relacionan  con</w:t>
        <w:br/>
        <w:t>los procesos penales de todas o de algunas de las supuestas  víctimas,  como</w:t>
        <w:br/>
        <w:t>resultado de su condena por el delito de homicidio intencional  en  Trinidad</w:t>
        <w:br/>
        <w:t>y Tobago[3].  Dichos temas son: la “naturaleza obligatoria  de  la  pena  de</w:t>
        <w:br/>
        <w:t>muerte”; el proceso para otorgar la amnistía, el perdón o la conmutación  de</w:t>
        <w:br/>
        <w:t>la pena en Trinidad y  Tobago;  las  demoras  en  los  procesos  penales  de</w:t>
        <w:br/>
        <w:t>algunas de las supuestas víctimas; las  deficiencias  en  el  tratamiento  y</w:t>
        <w:br/>
        <w:t>condiciones de detención de ciertas presuntas víctimas; las  violaciones  al</w:t>
        <w:br/>
        <w:t>debido proceso previo al juicio, durante éste y en la etapa de apelación  y,</w:t>
        <w:br/>
        <w:t>finalmente, la falta  de  disponibilidad  de  asistencia  letrada  para  que</w:t>
        <w:br/>
        <w:t>algunas supuestas víctimas tuvieran acceso a recursos internos tendientes  a</w:t>
        <w:br/>
        <w:t>alegar la violación de sus derechos.</w:t>
        <w:br/>
        <w:br/>
        <w:t>5.    La Comisión solicitó asimismo, en sus alegatos finales, que  la  Corte</w:t>
        <w:br/>
        <w:t>declare la responsabilidad internacional del Estado de Trinidad y Tobago  en</w:t>
        <w:br/>
        <w:t>virtud de lo siguiente:</w:t>
        <w:br/>
        <w:br/>
        <w:t xml:space="preserve">     a) la violación de los artículos 4.1, 5.1, 5.2 y 8.1, en relación  con</w:t>
        <w:br/>
        <w:t xml:space="preserve">        la violación del artículo 1.1, todos de  la  Convención  Americana,</w:t>
        <w:br/>
        <w:t xml:space="preserve">        por condenar a las supuestas víctimas[4]  a  una  “pena  de  muerte</w:t>
        <w:br/>
        <w:t xml:space="preserve">        obligatoria”;</w:t>
        <w:br/>
        <w:br/>
        <w:br/>
        <w:t xml:space="preserve">     b) la violación de los derechos  de  Joey  Ramiah  (Caso  No.  12.129)</w:t>
        <w:br/>
        <w:t xml:space="preserve">        protegidos por los artículos 4.1, 5.1 y 5.2 de  la  Convención,  en</w:t>
        <w:br/>
        <w:t xml:space="preserve">        relación con la violación del artículo 1.1 de la misma, al ejecutar</w:t>
        <w:br/>
        <w:t xml:space="preserve">        a Joey Ramiah en aplicación de la “pena de  muerte  obligatoria”  y</w:t>
        <w:br/>
        <w:t xml:space="preserve">        estando su petición de  obtener  la  protección  de  sus  derechos,</w:t>
        <w:br/>
        <w:t xml:space="preserve">        pendiente ante el sistema interamericano de derechos humanos;</w:t>
        <w:br/>
        <w:br/>
        <w:t xml:space="preserve">     c) la violación del artículo 4.6, en relación  con  el  artículo  1.1,</w:t>
        <w:br/>
        <w:t xml:space="preserve">        ambos de la Convención, por  no  respetar  de  manera  efectiva  el</w:t>
        <w:br/>
        <w:t xml:space="preserve">        derecho de las 32 presuntas víctimas[5] a solicitar la amnistía, el</w:t>
        <w:br/>
        <w:t xml:space="preserve">        perdón o la conmutación de la pena;</w:t>
        <w:br/>
        <w:br/>
        <w:t xml:space="preserve">     d) la violación de los derechos a ser  procesados  en  un  período  de</w:t>
        <w:br/>
        <w:t xml:space="preserve">        tiempo razonable y a un juicio justo, establecidos en los artículos</w:t>
        <w:br/>
        <w:t xml:space="preserve">        7.5 y 8.1 de la Convención, en relación con el artículo 1.1  de  la</w:t>
        <w:br/>
        <w:t xml:space="preserve">        misma, debido a las demoras en los procesos penales en el  caso  de</w:t>
        <w:br/>
        <w:t xml:space="preserve">        veinticuatro de las supuestas víctimas;[6]</w:t>
        <w:br/>
        <w:br/>
        <w:t xml:space="preserve">     e) la violación  de  los  derechos  de  veintitrés  de  las  supuestas</w:t>
        <w:br/>
        <w:t xml:space="preserve">        víctimas[7], establecidos en los  artículos  25,  2  y  1.1  de  la</w:t>
        <w:br/>
        <w:t xml:space="preserve">        Convención, por no adoptar  las  medidas  legislativas  o  de  otro</w:t>
        <w:br/>
        <w:t xml:space="preserve">        carácter que hubieren sido necesarias para dar efecto al derecho  a</w:t>
        <w:br/>
        <w:t xml:space="preserve">        ser  juzgado  dentro  de  un  plazo  razonable,  protegido  en  los</w:t>
        <w:br/>
        <w:t xml:space="preserve">        artículos 7.5 y 8.1 de la Convención;</w:t>
        <w:br/>
        <w:br/>
        <w:t xml:space="preserve">     f) la violación de los derechos protegidos en el artículo 5.1 y 5.2 de</w:t>
        <w:br/>
        <w:t xml:space="preserve">        la Convención en relación con el artículo 1.1 de la misma, en razón</w:t>
        <w:br/>
        <w:t xml:space="preserve">        del tratamiento y las condiciones de detención  a  los  que  fueron</w:t>
        <w:br/>
        <w:t xml:space="preserve">        sometidas  veintiuna  de  las  presuntas  víctimas[8]  durante  sus</w:t>
        <w:br/>
        <w:t xml:space="preserve">        procesos penales;</w:t>
        <w:br/>
        <w:br/>
        <w:t xml:space="preserve">     g) la violación del derecho de Francis Mansingh (Caso  No.  12.157)  a</w:t>
        <w:br/>
        <w:t xml:space="preserve">        estar separado, en su condición de procesado, de los condenados, de</w:t>
        <w:br/>
        <w:t xml:space="preserve">        acuerdo con los artículos 5.4 y 1.1 de la Convención, así como  del</w:t>
        <w:br/>
        <w:t xml:space="preserve">        derecho de Krishendath Seepersad (Caso No. 12.149) y Haniff Hilaire</w:t>
        <w:br/>
        <w:t xml:space="preserve">        (Caso No. 11.816) a que la pena a que fueron sometidos tuviera como</w:t>
        <w:br/>
        <w:t xml:space="preserve">        finalidad su reforma y readaptación  social,  de  acuerdo  con  los</w:t>
        <w:br/>
        <w:t xml:space="preserve">        artículos 5.6 y 1.1, ambos de la Convención;</w:t>
        <w:br/>
        <w:br/>
        <w:t xml:space="preserve">     h) la violación de los derechos  de  Martin  Reid  (Caso  No.  12.052)</w:t>
        <w:br/>
        <w:t xml:space="preserve">        protegidos por los artículos 8.1, 8.2(c) y 1.1,  así  como  los  de</w:t>
        <w:br/>
        <w:t xml:space="preserve">        Peter Benjamin (Caso No. 12.148) establecidos en los artículos  8.1</w:t>
        <w:br/>
        <w:t xml:space="preserve">        y 1.1, todos de la Convención, debido a los defectos relativos a la</w:t>
        <w:br/>
        <w:t xml:space="preserve">        falta de  imparcialidad  en  la  tramitación  de  los  juicios  que</w:t>
        <w:br/>
        <w:t xml:space="preserve">        llevaron a sus condenas;</w:t>
        <w:br/>
        <w:br/>
        <w:t xml:space="preserve">     i) la violación de los derechos de Keiron Thomas (Caso No.  11.853)  y</w:t>
        <w:br/>
        <w:t xml:space="preserve">        Narine Sooklal (Caso No. 12.152) establecidos en el artículo 8.1  y</w:t>
        <w:br/>
        <w:t xml:space="preserve">        8.2, en relación con la violación del artículo  1.1,  todos  de  la</w:t>
        <w:br/>
        <w:t xml:space="preserve">        Convención, basada en errores  cometidos  en  la  etapa  previa  al</w:t>
        <w:br/>
        <w:t xml:space="preserve">        juicio y en los procesos de apelación, y</w:t>
        <w:br/>
        <w:br/>
        <w:t xml:space="preserve">     j) la violación de los derechos de once de las  supuestas  víctimas[9]</w:t>
        <w:br/>
        <w:t xml:space="preserve">        establecidos en los artículos 8 y 25 de la Convención, en  relación</w:t>
        <w:br/>
        <w:t xml:space="preserve">        con el artículo 1.1 de la misma, por no proporcionarles  asistencia</w:t>
        <w:br/>
        <w:t xml:space="preserve">        letrada  efectiva  para  presentar  acciones  constitucionales   de</w:t>
        <w:br/>
        <w:t xml:space="preserve">        protección de sus derechos.</w:t>
        <w:br/>
        <w:br/>
        <w:t>6.    En su escrito de alegatos finales sobre  el  fondo  y  las  eventuales</w:t>
        <w:br/>
        <w:t>reparaciones, la Comisión reiteró  la  solicitud  de  que  se  declarara  la</w:t>
        <w:br/>
        <w:t>responsabilidad internacional del Estado por las  presuntas  violaciones  de</w:t>
        <w:br/>
        <w:t>que trata el párrafo anterior  y  solicitó  que  se  ordenaran  como  “otras</w:t>
        <w:br/>
        <w:t>formas de reparación” las siguientes:</w:t>
        <w:br/>
        <w:br/>
        <w:t xml:space="preserve">     i. que Trinidad y Tobago conmute la pena de muerte  de  veintiocho  de</w:t>
        <w:br/>
        <w:t xml:space="preserve">        las supuestas víctimas[10]  y  verifique  que  la  pena  de  muerte</w:t>
        <w:br/>
        <w:t xml:space="preserve">        dictada  contra  Wayne  Matthews  (Caso  No.  12.076)   haya   sido</w:t>
        <w:br/>
        <w:t xml:space="preserve">        efectivamente conmutada, de conformidad con el compromiso adquirido</w:t>
        <w:br/>
        <w:t xml:space="preserve">        por el propio Estado;</w:t>
        <w:br/>
        <w:br/>
        <w:br/>
        <w:t xml:space="preserve">    ii. que Trinidad y Tobago otorgue a Martin Reid (Caso No. 12.052)  y  a</w:t>
        <w:br/>
        <w:t xml:space="preserve">        Peter Benjamin (Caso No. 12.148), medios efectivos para remitir sus</w:t>
        <w:br/>
        <w:t xml:space="preserve">        casos ante la  Corte  de  Apelaciones,  con  el  fin  de  que  sean</w:t>
        <w:br/>
        <w:t xml:space="preserve">        considerados por esta última con plena aplicación de las  garantías</w:t>
        <w:br/>
        <w:t xml:space="preserve">        del debido proceso;</w:t>
        <w:br/>
        <w:br/>
        <w:br/>
        <w:t xml:space="preserve">   iii. que Trinidad y Tobago proporcione una compensación adecuada  a  los</w:t>
        <w:br/>
        <w:t xml:space="preserve">        familiares de Joey Ramiah (Caso No. 12.129) por razón de haber sido</w:t>
        <w:br/>
        <w:t xml:space="preserve">        éste ejecutado el 4 de junio de 1999;</w:t>
        <w:br/>
        <w:br/>
        <w:br/>
        <w:t xml:space="preserve">    iv. que el Estado adopte las medidas legislativas o de otra índole  que</w:t>
        <w:br/>
        <w:t xml:space="preserve">        sean necesarias para asegurar el respeto de  las  garantías  de  la</w:t>
        <w:br/>
        <w:t xml:space="preserve">        Convención en la imposición de la pena  de  muerte;  el  derecho  a</w:t>
        <w:br/>
        <w:t xml:space="preserve">        solicitar efectivamente la amnistía, el perdón o la conmutación  de</w:t>
        <w:br/>
        <w:t xml:space="preserve">        la pena; el respeto de los estándares mínimos de tratamiento humano</w:t>
        <w:br/>
        <w:t xml:space="preserve">        de los prisioneros; el derecho a ser juzgado  dentro  de  un  plazo</w:t>
        <w:br/>
        <w:t xml:space="preserve">        razonable; el derecho a las garantías propias de un juicio justo  y</w:t>
        <w:br/>
        <w:t xml:space="preserve">        el derecho a la protección judicial, y</w:t>
        <w:br/>
        <w:br/>
        <w:t xml:space="preserve">     v. que Trinidad y  Tobago  pague  una  compensación  razonable  a  los</w:t>
        <w:br/>
        <w:t xml:space="preserve">        representantes  de  las  supuestas  víctimas  (en   adelante   “los</w:t>
        <w:br/>
        <w:t xml:space="preserve">        representantes de las presuntas víctimas” o  “los  representantes”)</w:t>
        <w:br/>
        <w:t xml:space="preserve">        por  los  gastos  generados  con  ocasión  de  la  presentación   y</w:t>
        <w:br/>
        <w:t xml:space="preserve">        tramitación del caso ante la Corte Interamericana.</w:t>
        <w:br/>
        <w:br/>
        <w:t>7.    Finalmente, tanto en su demanda como  en  su  escrito  sobre  alegatos</w:t>
        <w:br/>
        <w:t>finales, la Comisión solicitó que se condenara al Estado a pagar las  costas</w:t>
        <w:br/>
        <w:t>del proceso.</w:t>
        <w:br/>
        <w:br/>
        <w:br/>
        <w:t>Representantes de las supuestas víctimas</w:t>
        <w:br/>
        <w:br/>
        <w:br/>
        <w:t>8.    En su escrito de alegatos finales los representantes de las  supuestas</w:t>
        <w:br/>
        <w:t>víctimas alegaron que el Estado no ha respetado los  derechos  y  libertades</w:t>
        <w:br/>
        <w:t>de aquellas personas incluidas en el presente Caso y que  están  reconocidos</w:t>
        <w:br/>
        <w:t>por  la  Convención  Americana.   En  términos   generales,   los   aludidos</w:t>
        <w:br/>
        <w:t>representantes  adujeron  violaciones  relacionadas   con   las   siguientes</w:t>
        <w:br/>
        <w:t>materias: a) “pena de muerte obligatoria”; b)  clasificación  en  grados  de</w:t>
        <w:br/>
        <w:t>culpabilidad penal;  c)  individualización  de  las  penas;  d)  proceso  de</w:t>
        <w:br/>
        <w:t>conmutación de la pena o clemencia; e)  demora  en  la  tramitación  de  los</w:t>
        <w:br/>
        <w:t>procesos; f) condiciones de detención y g) garantías del debido proceso.</w:t>
        <w:br/>
        <w:br/>
        <w:t>9.    Los representantes informaron, además, que estaban de acuerdo con  los</w:t>
        <w:br/>
        <w:t>alegatos presentados por la Comisión en sus demandas y  solicitaron  que  en</w:t>
        <w:br/>
        <w:t>el caso de Joey Ramiah (supra párr. 5.b), la Corte  declare  que  ha  habido</w:t>
        <w:br/>
        <w:t>una grave violación a  sus  derechos  y  ordene  una  compensación  justa  y</w:t>
        <w:br/>
        <w:t>apropiada a sus familiares.</w:t>
        <w:br/>
        <w:br/>
        <w:t>10.   En cuanto a eventuales reparaciones, la  solicitud  principal  de  los</w:t>
        <w:br/>
        <w:t>representantes de las supuestas víctimas es la conmutación de las  penas  de</w:t>
        <w:br/>
        <w:t>muerte  por  la  naturaleza  “obligatoria”  de  su  imposición  y/o  por  la</w:t>
        <w:br/>
        <w:t>naturaleza “obligatoria” de su imposición junto con otras violaciones  a  la</w:t>
        <w:br/>
        <w:t>Convención Americana, tales como la demora del Estado en llevar  a  aquellas</w:t>
        <w:br/>
        <w:t>presuntas víctimas a  juicio  y  las  “pésimas”  condiciones  de  detención,</w:t>
        <w:br/>
        <w:t>previas y posteriores a sus condenas, a que las ha sometido.</w:t>
        <w:br/>
        <w:br/>
        <w:t>11.   Tanto la Comisión como los representantes de  las  supuestas  víctimas</w:t>
        <w:br/>
        <w:t>alegaron, como fundamento de hecho  de  sus  pretensiones,  un  conjunto  de</w:t>
        <w:br/>
        <w:t>omisiones y actuaciones del  Estado  de  Trinidad  y  Tobago  que  la  Corte</w:t>
        <w:br/>
        <w:t>expondrá, y cuyos fundamentos probatorios evaluará más adelante.</w:t>
        <w:br/>
        <w:br/>
        <w:br/>
        <w:t xml:space="preserve">                                     II</w:t>
        <w:br/>
        <w:t xml:space="preserve">                           COMPETENCIA DE LA CORTE</w:t>
        <w:br/>
        <w:br/>
        <w:t>12.   Trinidad y Tobago depositó  su  instrumento  de  ratificación  de  la</w:t>
        <w:br/>
        <w:t>Convención Americana el 28 de mayo  de  1991.   Ese  mismo  día  el  Estado</w:t>
        <w:br/>
        <w:t>reconoció la competencia contenciosa de la Corte.</w:t>
        <w:br/>
        <w:br/>
        <w:br/>
        <w:t>13.   El 26 de mayo de 1998 Trinidad y Tobago denunció la Convención y,  de</w:t>
        <w:br/>
        <w:t>acuerdo con el artículo 78 de la misma, esta denuncia pasó a tener  efectos</w:t>
        <w:br/>
        <w:t>un año más tarde, a partir del 26 de mayo de 1999.  Los hechos a los que se</w:t>
        <w:br/>
        <w:t>refiere el presente Caso ocurrieron con anterioridad a la fecha en  que  la</w:t>
        <w:br/>
        <w:t>denuncia efectuada por el Estado empezó a generar efectos.</w:t>
        <w:br/>
        <w:br/>
        <w:br/>
        <w:t>14.   El Estado de Trinidad y Tobago cuestionó la competencia  de  la  Corte</w:t>
        <w:br/>
        <w:t>para conocer los hechos de  este  caso  mediante  la  interposición  de  una</w:t>
        <w:br/>
        <w:t>excepción preliminar en los Casos Hilaire, Constantine y otros y Benjamin  y</w:t>
        <w:br/>
        <w:t>otros, que se tramitaban separadamente en  ese  momento  (infra  párr.  37).</w:t>
        <w:br/>
        <w:t>Dicha excepción preliminar fue desestimada en su totalidad por la  Corte  en</w:t>
        <w:br/>
        <w:t>sus sentencias de 1 de septiembre de 2001 (infra párr. 40).</w:t>
        <w:br/>
        <w:br/>
        <w:t>15.   De esta forma, la Corte decidió  en  sus  referidas  sentencias  sobre</w:t>
        <w:br/>
        <w:t>excepciones preliminares que:</w:t>
        <w:br/>
        <w:br/>
        <w:t xml:space="preserve">      […]  Trinidad  y  Tobago  no  puede  prevalerse  de  las  limitaciones</w:t>
        <w:br/>
        <w:t xml:space="preserve">      formuladas en su instrumento de aceptación de la cláusula  facultativa</w:t>
        <w:br/>
        <w:t xml:space="preserve">      de la jurisdicción obligatoria de la Corte Interamericana de  Derechos</w:t>
        <w:br/>
        <w:t xml:space="preserve">      Humanos, en  virtud  de  lo  establecido  en  el  artículo  62  de  la</w:t>
        <w:br/>
        <w:t xml:space="preserve">      Convención Americana, por cuanto dicha limitación es incompatible  con</w:t>
        <w:br/>
        <w:t xml:space="preserve">      el objeto y fin de la Convención[11].</w:t>
        <w:br/>
        <w:br/>
        <w:t>16.   A pesar de que la Corte Interamericana es plenamente  competente  para</w:t>
        <w:br/>
        <w:t>conocer los hechos  del  presente  Caso,  tal  como  lo  estableció  en  las</w:t>
        <w:br/>
        <w:t>sentencias sobre excepciones preliminares antes indicadas (supra párr.  14),</w:t>
        <w:br/>
        <w:t>el Estado de Trinidad y Tobago desconoció la competencia  de  este  Tribunal</w:t>
        <w:br/>
        <w:t>para continuar la tramitación del mismo.  Así, el 8 de febrero  de  2002  el</w:t>
        <w:br/>
        <w:t>Estado informó que no asistiría a la  audiencia  pública  convocada  por  la</w:t>
        <w:br/>
        <w:t>Corte (infra párrs. 47 y 49) e indicó lo siguiente:</w:t>
        <w:br/>
        <w:br/>
        <w:br/>
        <w:t xml:space="preserve">      El Gobierno de la República de Trinidad  y  Tobago  debe  declinar  la</w:t>
        <w:br/>
        <w:t xml:space="preserve">      invitación de la Corte para participar en la audiencia  pública  y  la</w:t>
        <w:br/>
        <w:t xml:space="preserve">      reunión previa a celebrarse el 20 y 21 de febrero de 2002 […]   En  la</w:t>
        <w:br/>
        <w:t xml:space="preserve">      toma de esta decisión el Gobierno de Trinidad  y  Tobago  no  pretende</w:t>
        <w:br/>
        <w:t xml:space="preserve">      descortesía  alguna  hacia  la  Corte  o  su  distinguido  Presidente.</w:t>
        <w:br/>
        <w:t xml:space="preserve">      Refleja la creencia del Estado de que, en ausencia de acuerdo especial</w:t>
        <w:br/>
        <w:t xml:space="preserve">      alguno por parte de la República de Trinidad y Tobago reconociendo  la</w:t>
        <w:br/>
        <w:t xml:space="preserve">      competencia de la Corte en este asunto,  la  Corte  Interamericana  de</w:t>
        <w:br/>
        <w:t xml:space="preserve">      Derechos Humanos no tiene competencia en relación con estos casos[12].</w:t>
        <w:br/>
        <w:br/>
        <w:br/>
        <w:br/>
        <w:br/>
        <w:t>17.   La Corte Interamericana no comparte la razón  alegada  por  el  Estado</w:t>
        <w:br/>
        <w:t>para no comparecer ante este Tribunal y no realizar actos procesales  (infra</w:t>
        <w:br/>
        <w:t>párrs. 38, 46, 49, 53 y 83); como bien se ha establecido en  este  caso,  es</w:t>
        <w:br/>
        <w:t>la Corte, como todo órgano  internacional  con  funciones  jurisdiccionales,</w:t>
        <w:br/>
        <w:t>quien tiene el poder  inherente  de  determinar  el  alcance  de  su  propia</w:t>
        <w:br/>
        <w:t>competencia (compétence de la compétence/Kompetenz-Kompetenz)[13].</w:t>
        <w:br/>
        <w:br/>
        <w:t>18.   Como este mismo Tribunal lo ha  mencionado  en  las  sentencias  sobre</w:t>
        <w:br/>
        <w:t>competencia en los Casos del Tribunal Constitucional e Ivcher Bronstein,</w:t>
        <w:br/>
        <w:br/>
        <w:t xml:space="preserve">      [l]a competencia de la Corte no puede estar  condicionada  por  hechos</w:t>
        <w:br/>
        <w:t xml:space="preserve">      distintos a sus propias actuaciones.  Los instrumentos  de  aceptación</w:t>
        <w:br/>
        <w:t xml:space="preserve">      de la cláusula facultativa de la  jurisdicción  obligatoria  (artículo</w:t>
        <w:br/>
        <w:t xml:space="preserve">      62.1 de la Convención) presuponen la admisión, por los Estados que  la</w:t>
        <w:br/>
        <w:t xml:space="preserve">      presentan, del derecho de la Corte a resolver  cualquier  controversia</w:t>
        <w:br/>
        <w:t xml:space="preserve">      relativa a su  jurisdicción.   Una  objeción  o  cualquier  otro  acto</w:t>
        <w:br/>
        <w:t xml:space="preserve">      interpuesto por el Estado con el propósito de afectar  la  competencia</w:t>
        <w:br/>
        <w:t xml:space="preserve">      de la Corte es inocuo, pues en cualesquiera  circunstancias  la  Corte</w:t>
        <w:br/>
        <w:t xml:space="preserve">      retiene la  compétence  de  la  compétence,  por  ser  maestra  de  su</w:t>
        <w:br/>
        <w:t xml:space="preserve">      jurisdicción[14].</w:t>
        <w:br/>
        <w:br/>
        <w:t>19.   Asimismo, la Corte  Interamericana  reitera  que,  al  interpretar  la</w:t>
        <w:br/>
        <w:t>Convención Americana de conformidad con la regla general  de  interpretación</w:t>
        <w:br/>
        <w:t>de los tratados, consagrada en el artículo 31.1 de la  Convención  de  Viena</w:t>
        <w:br/>
        <w:t>sobre el Derecho de los Tratados (en adelante “la Convención de  Viena”),  y</w:t>
        <w:br/>
        <w:t>teniendo presentes el objeto y fin de la Convención Americana, el  Tribunal,</w:t>
        <w:br/>
        <w:t>en el ejercicio de las funciones que le atribuye el artículo  62.3  de  esta</w:t>
        <w:br/>
        <w:t>última, debe actuar  de  tal  manera  que  se  preserve  la  integridad  del</w:t>
        <w:br/>
        <w:t>mecanismo previsto en el artículo 62.1 de la Convención.  Sería  inadmisible</w:t>
        <w:br/>
        <w:t>subordinar tal mecanismo a restricciones que  hagan  inoperante  la  función</w:t>
        <w:br/>
        <w:t>jurisdiccional de la Corte y, por  lo  tanto,  el  sistema  tutelar  de  los</w:t>
        <w:br/>
        <w:t>derechos humanos  consagrado  en  la  Convención[15].   La  Corte  tiene  la</w:t>
        <w:br/>
        <w:t>competencia, que le es inherente y que atiende a un imperativo de  seguridad</w:t>
        <w:br/>
        <w:t>jurídica, de determinar el alcance de su propia jurisdicción.</w:t>
        <w:br/>
        <w:br/>
        <w:t>20.   En razón de que ya fueron resueltos definitivamente por la Corte,  en</w:t>
        <w:br/>
        <w:t>el momento procesal oportuno[16] (infra párr. 40), los alegatos presentados</w:t>
        <w:br/>
        <w:t>por Trinidad y Tobago en los Casos Hilaire, Constantine y otros y  Benjamin</w:t>
        <w:br/>
        <w:t>y otros en cuanto a la competencia de ese Tribunal para conocer de cada uno</w:t>
        <w:br/>
        <w:t>de dichos casos, y de que los hechos objeto de las  demandas  que  componen</w:t>
        <w:br/>
        <w:t>este caso son anteriores a la fecha en que la denuncia del  Estado  pasó  a</w:t>
        <w:br/>
        <w:t>generar efectos (supra párr. 13), y teniendo en cuenta las  consideraciones</w:t>
        <w:br/>
        <w:t>expuestas en los párrafos anteriores, la Corte reafirma que  es  plenamente</w:t>
        <w:br/>
        <w:t>competente, en los términos de los artículos 62.3 y 78.2 de la  Convención,</w:t>
        <w:br/>
        <w:t>para conocer el presente Caso y dictar sentencia.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21.   Entre julio de 1997 y mayo de  1999  la  Comisión  recibió  de  varias</w:t>
        <w:br/>
        <w:t>firmas británicas de abogados, las 31 denuncias que  conforman  el  presente</w:t>
        <w:br/>
        <w:t>Caso (supra párr. 2).  La Comisión inició  el  conocimiento  de  los  hechos</w:t>
        <w:br/>
        <w:t>materia de las peticiones en diversas fechas comprendidas  entre  agosto  de</w:t>
        <w:br/>
        <w:t>1997 y junio de 1999, tras lo cual abrió los casos y remitió al  Estado  las</w:t>
        <w:br/>
        <w:t>partes pertinentes para que presentara sus observaciones.</w:t>
        <w:br/>
        <w:br/>
        <w:br/>
        <w:t>22.   Entre diciembre de 1997 y septiembre de 1999 la Comisión  recibió  las</w:t>
        <w:br/>
        <w:t>respuestas del Estado  en  relación  con  algunos  de  los  casos[17].   Las</w:t>
        <w:br/>
        <w:t>respuestas  recibidas  y  sus  réplicas  y   dúplicas   fueron   debidamente</w:t>
        <w:br/>
        <w:t>transmitidas a las partes correspondientes.</w:t>
        <w:br/>
        <w:br/>
        <w:t>23.   El 21 de abril de 1999 la Comisión aprobó el Informe  sobre  el  fondo</w:t>
        <w:br/>
        <w:t>No. 66/99 en el Caso Hilaire, el cual transmitió al Estado el  26  de  abril</w:t>
        <w:br/>
        <w:t>del mismo año.  El 18 de mayo de 1999 el Estado envió la respuesta  a  dicho</w:t>
        <w:br/>
        <w:t>informe a la Comisión y ésta, de  conformidad  con  el  artículo  51  de  la</w:t>
        <w:br/>
        <w:t>Convención Americana, decidió el 23 de mayo del mismo año presentar el  caso</w:t>
        <w:br/>
        <w:t>ante la Corte.</w:t>
        <w:br/>
        <w:br/>
        <w:t>24.   El 19 de noviembre de 1999 la Comisión aprobó el  Informe  No.  128/99</w:t>
        <w:br/>
        <w:t>en relación con los veintitrés casos que conformaban el Caso  Constantine  y</w:t>
        <w:br/>
        <w:t>otros[18].  Dicho informe fue transmitido al Estado el 22  de  noviembre  de</w:t>
        <w:br/>
        <w:t>1999.  El 22 de enero de 2000 el Estado envió  la  respectiva  respuesta  al</w:t>
        <w:br/>
        <w:t>informe y el 22 de febrero del mismo año,  la  Comisión  Interamericana,  de</w:t>
        <w:br/>
        <w:t>conformidad con el artículo 51 de la Convención, decidió presentar  el  caso</w:t>
        <w:br/>
        <w:t>ante la Corte.</w:t>
        <w:br/>
        <w:br/>
        <w:t>25.   El 13 de junio de 2000 la Comisión aprobó  el  Informe  No.  53/00  en</w:t>
        <w:br/>
        <w:t>relación con los siete casos que conformaban el Caso Benjamin  y  otros[19],</w:t>
        <w:br/>
        <w:t>el cual transmitió al Estado el 5 de julio del  mismo  año.   El  Estado  no</w:t>
        <w:br/>
        <w:t>envió a la  Comisión  respuesta  alguna  ni  le  suministró  información  en</w:t>
        <w:br/>
        <w:t>relación con las medidas que pudiera haber adoptado para dar cumplimiento  a</w:t>
        <w:br/>
        <w:t>las recomendaciones  de  ésta  y  el  4  de  octubre  de  2000  la  Comisión</w:t>
        <w:br/>
        <w:t>Interamericana, de conformidad con el artículo 51 de la Convención,  decidió</w:t>
        <w:br/>
        <w:t>presentar el caso ante la Corte.</w:t>
        <w:br/>
        <w:br/>
        <w:br/>
        <w:t xml:space="preserve">                                     IV</w:t>
        <w:br/>
        <w:t xml:space="preserve">                            MEDIDAS PROVISIONALES</w:t>
        <w:br/>
        <w:br/>
        <w:t>26.   El 22 de mayo de 1998 la Comisión solicitó a la Corte la  adopción  de</w:t>
        <w:br/>
        <w:t>medidas provisionales para preservar la  vida  y  la  integridad  física  de</w:t>
        <w:br/>
        <w:t>Wenceslaus James y Anthony Garcia, entre otros[20], quienes  se  encontraban</w:t>
        <w:br/>
        <w:t>detenidos en espera de ejecución en Trinidad y Tobago.   Esta  solicitud  se</w:t>
        <w:br/>
        <w:t>basó en que la ejecución de estas personas antes de que la Comisión  tuviera</w:t>
        <w:br/>
        <w:t>la oportunidad de dictaminar respecto de sus  peticiones,  les  causaría  un</w:t>
        <w:br/>
        <w:t>daño irreparable y tornaría ineficaces las eventuales decisiones  que  dicho</w:t>
        <w:br/>
        <w:t>organismo adoptara al respecto.</w:t>
        <w:br/>
        <w:br/>
        <w:t>27.   Por Resolución de 27 de mayo de 1998 el Presidente  de  la  Corte  (en</w:t>
        <w:br/>
        <w:t>adelante “el Presidente”) ordenó la adopción de medidas urgentes en  lo  que</w:t>
        <w:br/>
        <w:t>posteriormente se denominó el asunto James y otros y  el  14  de  junio  del</w:t>
        <w:br/>
        <w:t>mismo año, la Corte ratificó la decisión del Presidente, otorgó las  medidas</w:t>
        <w:br/>
        <w:t>provisionales solicitadas y convocó a las partes a  una  audiencia  pública,</w:t>
        <w:br/>
        <w:t>por realizarse el 28 de agosto de 1998.  Dicha audiencia se llevó a cabo  en</w:t>
        <w:br/>
        <w:t>la fecha indicada y el Estado no compareció.</w:t>
        <w:br/>
        <w:br/>
        <w:t>28.   El 29 de agosto de 1998 la Corte amplió las medidas provisionales  del</w:t>
        <w:br/>
        <w:t>asunto James y otros a fin de incluir a Darrin Roger Thomas, Haniff  Hilaire</w:t>
        <w:br/>
        <w:t>y Denny Baptiste[21].</w:t>
        <w:br/>
        <w:br/>
        <w:t>29.   El 25 de mayo de 1999 la Corte ordenó la  ampliación  de  las  medidas</w:t>
        <w:br/>
        <w:t>provisionales de referencia, a efectos de  incluir  a  Wilberforce  Bernard,</w:t>
        <w:br/>
        <w:t>Naresh Boodram, Joey Ramiah,  Clarence  Charles,  Phillip  Chotalal,  George</w:t>
        <w:br/>
        <w:t>Constantine,  Rodney  Davis,  Natasha  De  Leon,   Mervyn   Edmund,   Alfred</w:t>
        <w:br/>
        <w:t>Frederick, Nigel Mark, Wayne Matthews, Steve Mungroo, Vijay Mungroo,  Wilson</w:t>
        <w:br/>
        <w:t>Prince, Martin Reid, Noel Seepersad,  Gangadeen  Tahaloo,  Keiron  Thomas  y</w:t>
        <w:br/>
        <w:t>Samuel Winchester[22].</w:t>
        <w:br/>
        <w:br/>
        <w:t>30.   El 27 de mayo de 1999 la Corte  ordenó  al  Estado,  inter  alia,  que</w:t>
        <w:br/>
        <w:t>tomara todas  las  medidas  necesarias  para  preservar  la  vida  de  Peter</w:t>
        <w:br/>
        <w:t>Benjamin, Krishendath  Seepersad,  Allan  Phillip,  Narine  Sooklal  y  Amir</w:t>
        <w:br/>
        <w:t>Mowlah, entre otros, con el fin de no obstaculizar el trámite de  sus  casos</w:t>
        <w:br/>
        <w:t>ante el sistema interamericano[23].</w:t>
        <w:br/>
        <w:br/>
        <w:t>31.   El 25 de septiembre de 1999 la Corte  ordenó,  al  igual  que  en  los</w:t>
        <w:br/>
        <w:t>casos  anteriores  (supra  párrs.  28-30)  la  ampliación  de  las   medidas</w:t>
        <w:br/>
        <w:t>provisionales  y  ordenó  al  Estado,  inter  alia,  que  tomara  todas  las</w:t>
        <w:br/>
        <w:t>providencias necesarias para preservar la vida de Mervyn  Parris  y  Francis</w:t>
        <w:br/>
        <w:t>Mansingh[24].</w:t>
        <w:br/>
        <w:br/>
        <w:t>32.   A pesar de las múltiples ocasiones en que se ha solicitado  al  Estado</w:t>
        <w:br/>
        <w:t>el envío de información relativa a las medidas  provisionales[25],  Trinidad</w:t>
        <w:br/>
        <w:t>y Tobago no  ha  presentado  información  acerca  de  la  situación  de  las</w:t>
        <w:br/>
        <w:t>supuestas víctimas.</w:t>
        <w:br/>
        <w:br/>
        <w:t>33.   El 4 de junio de 1999 Trinidad y Tobago ejecutó al señor Joey  Ramiah,</w:t>
        <w:br/>
        <w:t>quien se encontraba protegido por las medidas  provisionales  ordenadas  por</w:t>
        <w:br/>
        <w:t>este Tribunal (supra párrs. 5.b y 6.iii, infra párrs. 190-200).</w:t>
        <w:br/>
        <w:br/>
        <w:br/>
        <w:t xml:space="preserve">                                      V</w:t>
        <w:br/>
        <w:t xml:space="preserve">                         PROCEDIMIENTO ANTE LA CORTE</w:t>
        <w:br/>
        <w:br/>
        <w:t>34.   Las demandas correspondientes  a  los  Casos  Hilaire,  Constantine  y</w:t>
        <w:br/>
        <w:t>otros y Benjamin y otros fueron presentadas por la Comisión el  25  de  mayo</w:t>
        <w:br/>
        <w:t>de 1999, 22 de febrero de 2000 y  5  de  octubre  de  2000,  respectivamente</w:t>
        <w:br/>
        <w:t>(supra párr. 1).</w:t>
        <w:br/>
        <w:br/>
        <w:t>35.   En las tres  demandas,  la  Comisión  designó  como  delegados  a  los</w:t>
        <w:br/>
        <w:t>señores Robert K. Goldman y Nicholas  Blake  y,  en  relación  con  el  Caso</w:t>
        <w:br/>
        <w:t>Hilaire incluyó además al señor Jean Joseph Exumé.   Asimismo,  la  Comisión</w:t>
        <w:br/>
        <w:t>acreditó como asesores jurídicos respecto de los tres casos  a  los  señores</w:t>
        <w:br/>
        <w:t>David J. Padilla y Brian D. Tittemore.  En  el  Caso  Hilaire  designó  como</w:t>
        <w:br/>
        <w:t>asistentes a los señores Peter Carter, Owen Davies  y  Andrea  Dahlberg;  en</w:t>
        <w:br/>
        <w:t>los Casos Constantine y otros y Benjamin y otros,  el  mencionado  organismo</w:t>
        <w:br/>
        <w:t>designó como asistentes a los señores Julian  Knowles,  Keir  Starmer,  Saul</w:t>
        <w:br/>
        <w:t>Lehrfreund, Belinda Moffat, Yasmin Waljee y James Oury y, respecto  al  Caso</w:t>
        <w:br/>
        <w:t>Benjamin y otros, agregó en tal calidad a Ivan Krolick (infra párr. 41).</w:t>
        <w:br/>
        <w:br/>
        <w:br/>
        <w:t>36.   La Secretaría de  la  Corte  (en  adelante  “la  Secretaría”),  previo</w:t>
        <w:br/>
        <w:t>examen preliminar de las demandas en los Casos Hilaire, Constantine y  otros</w:t>
        <w:br/>
        <w:t>y Benjamin y otros, las notificó al Estado en fechas 11 de  junio  de  1999,</w:t>
        <w:br/>
        <w:t>14 de abril de 2000 y 19 de octubre de  2000,  respectivamente.   En  dichas</w:t>
        <w:br/>
        <w:t>notificaciones  lo  informó  sobre  los  plazos  para  contestarlas,  oponer</w:t>
        <w:br/>
        <w:t>excepciones preliminares y nombrar su representación.  Asimismo,  se  invitó</w:t>
        <w:br/>
        <w:t>al Estado a designar juez ad hoc en cada caso, en virtud  de  los  artículos</w:t>
        <w:br/>
        <w:t>18 del Reglamento vigente en ese momento y 10.3 del  Estatuto  de  la  Corte</w:t>
        <w:br/>
        <w:t>(en adelante “el Estatuto”).</w:t>
        <w:br/>
        <w:br/>
        <w:br/>
        <w:t>37.   En fechas 16 de agosto de 1999, 14 de junio de 2000 y 9  de  diciembre</w:t>
        <w:br/>
        <w:t>de  2000,  Trinidad  y  Tobago  interpuso  una  excepción  preliminar  a  la</w:t>
        <w:br/>
        <w:t>competencia contenciosa de la Corte en los Casos Hilaire[26], Constantine  y</w:t>
        <w:br/>
        <w:t>otros y Benjamin y otros, respectivamente.</w:t>
        <w:br/>
        <w:br/>
        <w:t>38.   Cabe señalar que en cuanto al procedimiento ante la Corte,  el  Estado</w:t>
        <w:br/>
        <w:t>no contestó las demandas, no nombró representantes ni designó  tampoco  juez</w:t>
        <w:br/>
        <w:t>ad hoc.</w:t>
        <w:br/>
        <w:br/>
        <w:t>39.   La Comisión presentó sus observaciones a las excepciones  preliminares</w:t>
        <w:br/>
        <w:t>interpuestas por el Estado el 19 de noviembre de 1999 en  el  Caso  Hilaire,</w:t>
        <w:br/>
        <w:t>el 15 de julio de 2000 en el Caso Constantine y otros y el 11  de  enero  de</w:t>
        <w:br/>
        <w:t>2001 en el Caso Benjamin y otros.</w:t>
        <w:br/>
        <w:br/>
        <w:t>40.         El 1 de septiembre de 2001, durante su LII Período Ordinario  de</w:t>
        <w:br/>
        <w:t>Sesiones, la Corte deliberó y dictó sentencia sobre la excepción  preliminar</w:t>
        <w:br/>
        <w:t>presentada en cada uno de los tres casos[27].</w:t>
        <w:br/>
        <w:br/>
        <w:t>41.   Mediante comunicaciones de 31 de mayo de 2000  y  2  de  noviembre  de</w:t>
        <w:br/>
        <w:t>2001,  los  representantes  de  las  supuestas   víctimas   comunicaron   la</w:t>
        <w:br/>
        <w:t>designación de la señora Yasmin  Waljee,  como  representante  única  en  el</w:t>
        <w:br/>
        <w:t>presente Caso.</w:t>
        <w:br/>
        <w:br/>
        <w:t>42.   El 16 de noviembre de 2001 la Secretaría, siguiendo instrucciones  del</w:t>
        <w:br/>
        <w:t>Presidente  de  la  Corte  y  de  conformidad  con  el  artículo  44  de  su</w:t>
        <w:br/>
        <w:t>Reglamento, solicitó a la Comisión Interamericana y a los representantes  de</w:t>
        <w:br/>
        <w:t>las presuntas víctimas la presentación de sus alegatos  sobre  reparaciones,</w:t>
        <w:br/>
        <w:t>costas y gastos para ser tenidos en cuenta en  la  eventualidad  de  que  la</w:t>
        <w:br/>
        <w:t>Corte encontrara violaciones de la Convención en los tres casos.</w:t>
        <w:br/>
        <w:br/>
        <w:t>43.   El 30 de noviembre de 2001 la  Corte  ordenó  la  acumulación  de  los</w:t>
        <w:br/>
        <w:t>Casos Hilaire, Constantine y otros y Benjamin y otros, y de sus  respectivos</w:t>
        <w:br/>
        <w:t>procedimientos  y  estableció  que  el  caso  así  integrado   se   seguiría</w:t>
        <w:br/>
        <w:t>denominando Caso Hilaire, Constantine y Benjamin  y  otros  vs.  Trinidad  y</w:t>
        <w:br/>
        <w:t>Tobago[28].</w:t>
        <w:br/>
        <w:br/>
        <w:t>44.   El 14 de diciembre de 2001 la  Comisión  Interamericana  presentó  sus</w:t>
        <w:br/>
        <w:t>alegatos sobre  eventuales  reparaciones  en  el  caso  recién  acumulado  y</w:t>
        <w:br/>
        <w:t>proporcionó a la Corte la lista definitiva de peritos que  participarían  en</w:t>
        <w:br/>
        <w:t>una eventual audiencia pública sobre el caso[29].</w:t>
        <w:br/>
        <w:br/>
        <w:t>45.   El 17 de  diciembre  de  2001  los  representantes  de  las  supuestas</w:t>
        <w:br/>
        <w:t>víctimas presentaron sus alegatos sobre eventuales reparaciones.</w:t>
        <w:br/>
        <w:br/>
        <w:t>46.   El 28 de diciembre de 2001 la Corte  solicitó  al  Estado  que  en  un</w:t>
        <w:br/>
        <w:t>plazo  de  treinta  días  presentara  sus  observaciones  a   los   alegatos</w:t>
        <w:br/>
        <w:t>formulados por la  Comisión  y  por  los  representantes  de  las  supuestas</w:t>
        <w:br/>
        <w:t>víctimas sobre  las  eventuales  reparaciones.   El  Estado  nunca  presentó</w:t>
        <w:br/>
        <w:t>observaciones a los escritos indicados.</w:t>
        <w:br/>
        <w:br/>
        <w:t>47.   El 18  de  enero  de  2002  el  Presidente  de  la  Corte  emitió  una</w:t>
        <w:br/>
        <w:t>Resolución convocando a las partes a la audiencia pública sobre el  fondo  y</w:t>
        <w:br/>
        <w:t>eventuales reparaciones en el Caso Hilaire, Constantine y Benjamin y  otros.</w:t>
        <w:br/>
        <w:br/>
        <w:br/>
        <w:t>48.   El 22 de enero de 2002 la Corte recibió los informes escritos  de  los</w:t>
        <w:br/>
        <w:t>peritos Desmond Allum (infra  párr.  77.a),  Gaietry  Pargass  (infra  párr.</w:t>
        <w:br/>
        <w:t>77.c) y Vivien Stern y Andrew Coyle (infra párr. 76.b).  Asimismo, el 23  de</w:t>
        <w:br/>
        <w:t>enero de 2002 la Corte recibió el  informe  escrito  de  Scharlette  Holdman</w:t>
        <w:br/>
        <w:t>(infra párr. 76.c).</w:t>
        <w:br/>
        <w:br/>
        <w:t>49.   El 8 de febrero de 2002 el  Estado  informó  que  no  asistiría  a  la</w:t>
        <w:br/>
        <w:t>audiencia convocada por la Corte (supra párr. 16).</w:t>
        <w:br/>
        <w:br/>
        <w:t>50.   El 11 de febrero de 2002 la  Corte  recibió  el  peritaje  escrito  de</w:t>
        <w:br/>
        <w:t>Nigel Eastman (infra párr. 77.b).</w:t>
        <w:br/>
        <w:br/>
        <w:t>51.   El 19 de febrero de 2002 los señores Vaughan Lowe y  Guy  Goodwin-Gill</w:t>
        <w:br/>
        <w:t>presentaron conjuntamente un escrito en calidad de amicus curiae.</w:t>
        <w:br/>
        <w:br/>
        <w:t>52.   Los días 20 y 21 de febrero de 2002 la Corte celebró en  su  sede  una</w:t>
        <w:br/>
        <w:t>audiencia pública y recibió  los informes de tres peritos propuestos por  la</w:t>
        <w:br/>
        <w:t>Comisión Interamericana de Derechos Humanos, así como los  alegatos  finales</w:t>
        <w:br/>
        <w:t>de ésta y de los representantes de las supuestas víctimas, sobre el fondo  y</w:t>
        <w:br/>
        <w:t>eventuales reparaciones en este caso.</w:t>
        <w:br/>
        <w:br/>
        <w:br/>
        <w:t>Comparecieron ante la Corte:</w:t>
        <w:br/>
        <w:br/>
        <w:br/>
        <w:t>por las supuestas víctimas:</w:t>
        <w:br/>
        <w:br/>
        <w:br/>
        <w:t xml:space="preserve">      Julian Knowles, representante;</w:t>
        <w:br/>
        <w:t xml:space="preserve">      Keir Starmer, representante;</w:t>
        <w:br/>
        <w:t xml:space="preserve">      Yasmin Waljee, representante;</w:t>
        <w:br/>
        <w:t xml:space="preserve">      Parvais Jabber, representante;</w:t>
        <w:br/>
        <w:t xml:space="preserve">      Julie Morris, representante;</w:t>
        <w:br/>
        <w:br/>
        <w:br/>
        <w:br/>
        <w:br/>
        <w:t>por la Comisión Interamericana de Derechos Humanos:</w:t>
        <w:br/>
        <w:br/>
        <w:br/>
        <w:t xml:space="preserve">      Robert Goldman, delegado;</w:t>
        <w:br/>
        <w:t xml:space="preserve">      Nicholas Blake, delegado;</w:t>
        <w:br/>
        <w:t xml:space="preserve">      Brian Tittemore, asesor, y</w:t>
        <w:br/>
        <w:br/>
        <w:br/>
        <w:br/>
        <w:br/>
        <w:t>peritos ofrecidos por la Comisión Interamericana de Derechos Humanos:</w:t>
        <w:br/>
        <w:br/>
        <w:br/>
        <w:t xml:space="preserve">      Desmond Allum;</w:t>
        <w:br/>
        <w:t xml:space="preserve">      Nigel Eastman, y</w:t>
        <w:br/>
        <w:t xml:space="preserve">      Gaietry Pargass.</w:t>
        <w:br/>
        <w:br/>
        <w:t xml:space="preserve"> 53.  Según lo había señalado con anterioridad (supra párrs. 16  y  49),  el</w:t>
        <w:br/>
        <w:t xml:space="preserve"> Estado no compareció a la audiencia pública.   Ésta  se  llevó  a  cabo  de</w:t>
        <w:br/>
        <w:t xml:space="preserve"> conformidad con el artículo 27 del Reglamento  de  la  Corte,  al  cual  el</w:t>
        <w:br/>
        <w:t xml:space="preserve"> Presidente dio lectura al  inicio  de  la  audiencia  y  que  establece  lo</w:t>
        <w:br/>
        <w:t xml:space="preserve"> siguiente:</w:t>
        <w:br/>
        <w:br/>
        <w:br/>
        <w:t xml:space="preserve">      Artículo 27.  Procedimiento por incomparecencia o falta de actuación</w:t>
        <w:br/>
        <w:br/>
        <w:br/>
        <w:t xml:space="preserve">      1.    Cuando una parte no compareciere o se abstuviere de  actuar,  la</w:t>
        <w:br/>
        <w:t xml:space="preserve">      Corte, de oficio, impulsará el proceso hasta su finalización.</w:t>
        <w:br/>
        <w:br/>
        <w:br/>
        <w:t xml:space="preserve">      2.    Cuando una parte se apersone tardíamente tomará el procedimiento</w:t>
        <w:br/>
        <w:t xml:space="preserve">      en el estado en que se encuentre.</w:t>
        <w:br/>
        <w:br/>
        <w:t>54.    Durante  la  audiencia  pública,  la  Comisión  aportó  documentación</w:t>
        <w:br/>
        <w:t>adicional[30].   Dicha  documentación  se  transmitió  al  Estado  y  a  los</w:t>
        <w:br/>
        <w:t>representantes de las presuntas víctimas el 4 de marzo de 2002.</w:t>
        <w:br/>
        <w:br/>
        <w:t>55.   El 21 de febrero de 2002 la Corte solicitó a las partes  el  envío  de</w:t>
        <w:br/>
        <w:t>sus alegatos finales escritos sobre el fondo y  eventuales  reparaciones  en</w:t>
        <w:br/>
        <w:t>el presente Caso.</w:t>
        <w:br/>
        <w:br/>
        <w:t>56.   El 15 de marzo de 2002 la Comisión Interamericana presentó  copias  de</w:t>
        <w:br/>
        <w:t>varias sentencias emitidas por el Comité Judicial del Privy Council[31],  de</w:t>
        <w:br/>
        <w:t>fecha 11 de marzo de 2002[32].</w:t>
        <w:br/>
        <w:br/>
        <w:t>57.   El 22 de marzo de  2002  la  Comisión  y  los  representantes  de  las</w:t>
        <w:br/>
        <w:t>presuntas  víctimas,  presentaron,  por  separado,  sus   alegatos   finales</w:t>
        <w:br/>
        <w:t>escritos.</w:t>
        <w:br/>
        <w:br/>
        <w:t>58.   El 8 de abril de 2002 la Corte solicitó a la  Comisión  Interamericana</w:t>
        <w:br/>
        <w:t>y a los representantes de las presuntas víctimas que  le  hicieran  claridad</w:t>
        <w:br/>
        <w:t>sobre las fechas de arresto y condena y  le  proporcionara  otros  datos  en</w:t>
        <w:br/>
        <w:t>relación con las 32 supuestas víctimas en el presente Caso.</w:t>
        <w:br/>
        <w:br/>
        <w:t>59.    Los  representantes  de  las  supuestas  víctimas   y   la   Comisión</w:t>
        <w:br/>
        <w:t>presentaron, el 17 de abril y 19 de abril de 2002,  respectivamente,  sendas</w:t>
        <w:br/>
        <w:t>notas con las clarificaciones solicitadas por la Corte (supra párr. 58).</w:t>
        <w:br/>
        <w:br/>
        <w:br/>
        <w:br/>
        <w:t xml:space="preserve">                                     VI</w:t>
        <w:br/>
        <w:br/>
        <w:t xml:space="preserve">                              HECHOS EXPUESTOS</w:t>
        <w:br/>
        <w:br/>
        <w:br/>
        <w:t>60.   La Comisión alegó que todas las supuestas  víctimas  (supra  párr.  2)</w:t>
        <w:br/>
        <w:t>fueron juzgadas y sentenciadas  por  homicidio  intencional  en  Trinidad  y</w:t>
        <w:br/>
        <w:t>Tobago de acuerdo con la Ley de Delitos contra la Persona[33] y que  además,</w:t>
        <w:br/>
        <w:t>fueron condenadas a morir en la horca.  A continuación la Corte presenta  un</w:t>
        <w:br/>
        <w:t>resumen descriptivo de las actuaciones que llevaron a cada condena:</w:t>
        <w:br/>
        <w:br/>
        <w:t xml:space="preserve">   a. Haniff Hilaire (Caso No. 11.816) fue acusado, conjuntamente con sus co-</w:t>
        <w:br/>
        <w:t xml:space="preserve">      imputados  Denny  Baptiste  e  Indravani  Ramjattan,   del   homicidio</w:t>
        <w:br/>
        <w:t xml:space="preserve">      intencional de Alexander Jordan, ocurrido entre  el  12  y  el  13  de</w:t>
        <w:br/>
        <w:t xml:space="preserve">      febrero de 1991.  Haniff Hilaire fue arrestado el 14  de  febrero  del</w:t>
        <w:br/>
        <w:t xml:space="preserve">      mismo año y fue juzgado, declarado culpable y condenado a muerte el 29</w:t>
        <w:br/>
        <w:t xml:space="preserve">      de mayo de 1995.  El mismo día solicitó  venia  para  apelar  ante  la</w:t>
        <w:br/>
        <w:t xml:space="preserve">      Corte de Apelaciones de Trinidad y Tobago, recurso que  fue  rechazado</w:t>
        <w:br/>
        <w:t xml:space="preserve">      el 10 de marzo de 1997.  El 30  de  octubre  de  1997  Haniff  Hilaire</w:t>
        <w:br/>
        <w:t xml:space="preserve">      solicitó venia especial para apelar su condena ante el Comité Judicial</w:t>
        <w:br/>
        <w:t xml:space="preserve">      del Privy Council y el 6 de noviembre del mismo año  la  solicitud  de</w:t>
        <w:br/>
        <w:t xml:space="preserve">      venia fue desestimada[34].</w:t>
        <w:br/>
        <w:br/>
        <w:t xml:space="preserve">   b. George  Constantine  (Caso  No.  11.787)  fue  acusado  del  homicidio</w:t>
        <w:br/>
        <w:t xml:space="preserve">      intencional de su madre, Elsa Constantine, cometido  en  diciembre  de</w:t>
        <w:br/>
        <w:t xml:space="preserve">      1991.  George Constantine fue arrestado el 25 de diciembre  del  mismo</w:t>
        <w:br/>
        <w:t xml:space="preserve">      año y fue juzgado, declarado culpable y condenado a muerte  el  17  de</w:t>
        <w:br/>
        <w:t xml:space="preserve">      febrero de 1995.  Posteriormente, apeló su sentencia condenatoria ante</w:t>
        <w:br/>
        <w:t xml:space="preserve">      la Corte de  Apelaciones  de  Trinidad  y  Tobago  y  el  recurso  fue</w:t>
        <w:br/>
        <w:t xml:space="preserve">      rechazado el 1º de noviembre de 1996.  Solicitó al Comité Judicial del</w:t>
        <w:br/>
        <w:t xml:space="preserve">      Privy Council venia especial para apelar la sentencia de la  Corte  de</w:t>
        <w:br/>
        <w:t xml:space="preserve">      Apelaciones y la solicitud de venia fue rechazada el 29  de  julio  de</w:t>
        <w:br/>
        <w:t xml:space="preserve">      1997[35].</w:t>
        <w:br/>
        <w:br/>
        <w:br/>
        <w:t xml:space="preserve">   c. Wenceslaus James (Caso No. 11.814) fue acusado, conjuntamente  con  su</w:t>
        <w:br/>
        <w:t xml:space="preserve">      co-imputado Anthony Briggs,  del  homicidio  intencional  de  Siewdath</w:t>
        <w:br/>
        <w:t xml:space="preserve">      Ramkissoon, cometido el 5 de agosto de  1992.   Wenceslaus  James  fue</w:t>
        <w:br/>
        <w:t xml:space="preserve">      arrestado el 21 de agosto del  mismo  año  y  fue  juzgado,  declarado</w:t>
        <w:br/>
        <w:t xml:space="preserve">      culpable y condenado a muerte el 21 de junio de 1996.  Posteriormente,</w:t>
        <w:br/>
        <w:t xml:space="preserve">      apeló su sentencia  condenatoria  ante  la  Corte  de  Apelaciones  de</w:t>
        <w:br/>
        <w:t xml:space="preserve">      Trinidad y Tobago y el recurso fue rechazado el 6 de  marzo  de  1997.</w:t>
        <w:br/>
        <w:t xml:space="preserve">      James solicitó al Comité Judicial del  Privy  Council  venia  especial</w:t>
        <w:br/>
        <w:t xml:space="preserve">      para apelar la sentencia de la Corte de Apelaciones y la solicitud  de</w:t>
        <w:br/>
        <w:t xml:space="preserve">      venia fue rechazada el 2 de octubre de 1997[36].</w:t>
        <w:br/>
        <w:br/>
        <w:t xml:space="preserve">   d. Denny Baptiste (Caso No. 11.840) fue acusado, conjuntamente con sus co-</w:t>
        <w:br/>
        <w:t xml:space="preserve">      imputados Haniff Hilaire (supra párr. 60.a) e Indravani Ramjattan,  de</w:t>
        <w:br/>
        <w:t xml:space="preserve">      haber privado intencionalmente de la vida a Alexander Jordan,  lo  que</w:t>
        <w:br/>
        <w:t xml:space="preserve">      tuvo lugar entre el 12 y el 13 de febrero de 1991.  Denny Baptiste fue</w:t>
        <w:br/>
        <w:t xml:space="preserve">      arrestado el 16 de febrero del mismo  año  y  fue  juzgado,  declarado</w:t>
        <w:br/>
        <w:t xml:space="preserve">      culpable y condenado a muerte  el  29  de  mayo  de  1995.   Apeló  su</w:t>
        <w:br/>
        <w:t xml:space="preserve">      sentencia condenatoria ante la Corte  de  Apelaciones  de  Trinidad  y</w:t>
        <w:br/>
        <w:t xml:space="preserve">      Tobago y el recurso fue rechazado el 10 de marzo de 1997.  Solicitó al</w:t>
        <w:br/>
        <w:t xml:space="preserve">      Comité Judicial del  Privy  Council  venia  especial  para  apelar  la</w:t>
        <w:br/>
        <w:t xml:space="preserve">      sentencia de la Corte de Apelaciones  y  la  solicitud  de  venia  fue</w:t>
        <w:br/>
        <w:t xml:space="preserve">      rechazada el 7 de noviembre de 1997[37].</w:t>
        <w:br/>
        <w:br/>
        <w:t xml:space="preserve">   e.  Clarence  Charles  (Caso  No.  11.851)  fue  acusado  del   homicidio</w:t>
        <w:br/>
        <w:t xml:space="preserve">      intencional de Roger Charles, que tuvo lugar el 26 de abril  de  1986.</w:t>
        <w:br/>
        <w:t xml:space="preserve">      Clarence Charles fue arrestado el 5 de  junio  del  mismo  año  y  fue</w:t>
        <w:br/>
        <w:t xml:space="preserve">      juzgado, declarado culpable y condenado a muerte el  16  de  marzo  de</w:t>
        <w:br/>
        <w:t xml:space="preserve">      1989.  El 8  de  diciembre  de  1993  apeló  con  éxito  su  sentencia</w:t>
        <w:br/>
        <w:t xml:space="preserve">      condenatoria.  Con fecha 4 de abril de 1995, se dispuso la realización</w:t>
        <w:br/>
        <w:t xml:space="preserve">      de un nuevo juicio.  El 19 de abril del  mismo  año  Clarence  Charles</w:t>
        <w:br/>
        <w:t xml:space="preserve">      volvió a  ser  declarado  culpable  de  homicidio  intencional  y  fue</w:t>
        <w:br/>
        <w:t xml:space="preserve">      sentenciado a muerte.  Clarence Charles volvió a apelar  su  sentencia</w:t>
        <w:br/>
        <w:t xml:space="preserve">      condenatoria ante la Corte de Apelaciones de Trinidad y  Tobago  y  el</w:t>
        <w:br/>
        <w:t xml:space="preserve">      recurso fue rechazado el 5  de  noviembre  de  1996.   Posteriormente,</w:t>
        <w:br/>
        <w:t xml:space="preserve">      solicitó al Comité Judicial del  Privy  Council  venia  especial  para</w:t>
        <w:br/>
        <w:t xml:space="preserve">      apelar la sentencia de la Corte de Apelaciones y la solicitud de venia</w:t>
        <w:br/>
        <w:t xml:space="preserve">      fue rechazada el 4 de diciembre de 1997[38].</w:t>
        <w:br/>
        <w:br/>
        <w:t xml:space="preserve">   f. Keiron Thomas (Caso No. 11.853) fue acusado del homicidio  intencional</w:t>
        <w:br/>
        <w:t xml:space="preserve">      de Wayne Gerry Williams, que tuvo lugar el 7 de agosto de  1991.   Fue</w:t>
        <w:br/>
        <w:t xml:space="preserve">      arrestado el 9 de agosto  del  mismo  año  y  fue  juzgado,  declarado</w:t>
        <w:br/>
        <w:t xml:space="preserve">      culpable y condenado a muerte el  27  de  julio  de  1994.   Apeló  su</w:t>
        <w:br/>
        <w:t xml:space="preserve">      sentencia condenatoria ante la Corte  de  Apelaciones  de  Trinidad  y</w:t>
        <w:br/>
        <w:t xml:space="preserve">      Tobago  y  el  recurso  fue  rechazado  el  9   de   mayo   de   1996.</w:t>
        <w:br/>
        <w:t xml:space="preserve">      Posteriormente, solicitó al Comité Judicial del  Privy  Council  venia</w:t>
        <w:br/>
        <w:t xml:space="preserve">      especial para apelar la sentencia de la  Corte  de  Apelaciones  y  la</w:t>
        <w:br/>
        <w:t xml:space="preserve">      solicitud de venia fue rechazada el 6 de noviembre de 1997[39].</w:t>
        <w:br/>
        <w:br/>
        <w:br/>
        <w:t xml:space="preserve">   g. Anthony Garcia (Caso No. 11.855) fue acusado del homicidio intencional</w:t>
        <w:br/>
        <w:t xml:space="preserve">      de Cyril Roberts.  Fue arrestado el 14 de septiembre  de  1994  y  fue</w:t>
        <w:br/>
        <w:t xml:space="preserve">      juzgado, declarado culpable y condenado a muerte el 30 de  octubre  de</w:t>
        <w:br/>
        <w:t xml:space="preserve">      1996.  Apeló su sentencia condenatoria ante la Corte de Apelaciones de</w:t>
        <w:br/>
        <w:t xml:space="preserve">      Trinidad y Tobago y el recurso fue rechazado el 22 de  mayo  de  1997.</w:t>
        <w:br/>
        <w:t xml:space="preserve">      Anthony Garcia solicitó al Comité Judicial  del  Privy  Council  venia</w:t>
        <w:br/>
        <w:t xml:space="preserve">      especial para apelar la sentencia de la  Corte  de  Apelaciones  y  la</w:t>
        <w:br/>
        <w:t xml:space="preserve">      solicitud de venia fue rechazada el 4 de diciembre de 1997[40].</w:t>
        <w:br/>
        <w:br/>
        <w:br/>
        <w:t xml:space="preserve">   h. Wilson Prince (Caso No. 12.005) fue acusado del homicidio  intencional</w:t>
        <w:br/>
        <w:t xml:space="preserve">      de Ida Sebastien Richardson, que tuvo lugar el 6 de noviembre de 1993.</w:t>
        <w:br/>
        <w:t xml:space="preserve">       Fue arrestado el 24  de  diciembre  del  mismo  año  y  fue  juzgado,</w:t>
        <w:br/>
        <w:t xml:space="preserve">      declarado culpable y condenado a muerte el 25 de  noviembre  de  1996.</w:t>
        <w:br/>
        <w:t xml:space="preserve">      Posteriormente, apeló su  sentencia  condenatoria  ante  la  Corte  de</w:t>
        <w:br/>
        <w:t xml:space="preserve">      Apelaciones de Trinidad y Tobago y el recurso fue rechazado el  14  de</w:t>
        <w:br/>
        <w:t xml:space="preserve">      octubre de 1997.  Wilson Prince solicitó al Comité Judicial del  Privy</w:t>
        <w:br/>
        <w:t xml:space="preserve">      Council venia especial  para  apelar  la  sentencia  de  la  Corte  de</w:t>
        <w:br/>
        <w:t xml:space="preserve">      Apelaciones y la solicitud de venia fue rechazada el 11  de  marzo  de</w:t>
        <w:br/>
        <w:t xml:space="preserve">      1998[41].</w:t>
        <w:br/>
        <w:br/>
        <w:t xml:space="preserve">   i. Darrin Roger Thomas (Caso No. 12.021) fue acusado,  conjuntamente  con</w:t>
        <w:br/>
        <w:t xml:space="preserve">      su  esposa,  Natasha  De  Leon  (infra  párr.  60.r),  del   homicidio</w:t>
        <w:br/>
        <w:t xml:space="preserve">      intencional de Chandranath Maharaj, que tuvo lugar  en  algún  momento</w:t>
        <w:br/>
        <w:t xml:space="preserve">      entre el 6 y el 12 de febrero de 1993.  Fue arrestado el 12  de  marzo</w:t>
        <w:br/>
        <w:t xml:space="preserve">      del mismo año y fue juzgado, declarado culpable y condenado  a  muerte</w:t>
        <w:br/>
        <w:t xml:space="preserve">      el  9  de  noviembre  de  1995.   Más  adelante,  apeló  su  sentencia</w:t>
        <w:br/>
        <w:t xml:space="preserve">      condenatoria ante la Corte de Apelaciones de Trinidad y  Tobago  y  el</w:t>
        <w:br/>
        <w:t xml:space="preserve">      recurso fue rechazado el 20 de junio de 1997.  Solicitó venia especial</w:t>
        <w:br/>
        <w:t xml:space="preserve">      al Comité Judicial del Privy Council para apelar la  sentencia  de  la</w:t>
        <w:br/>
        <w:t xml:space="preserve">      Corte de Apelaciones y la solicitud de venia fue rechazada  el  11  de</w:t>
        <w:br/>
        <w:t xml:space="preserve">      marzo de 1998[42].</w:t>
        <w:br/>
        <w:br/>
        <w:t xml:space="preserve">   j. Mervyn Edmund (Caso No. 12.042) fue acusado del homicidio  intencional</w:t>
        <w:br/>
        <w:t xml:space="preserve">      de Minerva Sampson, que tuvo lugar el 28 de diciembre  de  1987.   Fue</w:t>
        <w:br/>
        <w:t xml:space="preserve">      arrestado el 30 de diciembre del mismo año y  fue  juzgado,  declarado</w:t>
        <w:br/>
        <w:t xml:space="preserve">      culpable  y  condenado  a  muerte  el  10  de   diciembre   de   1990.</w:t>
        <w:br/>
        <w:t xml:space="preserve">      Posteriormente, apeló con éxito  su  sentencia  condenatoria  ante  la</w:t>
        <w:br/>
        <w:t xml:space="preserve">      Corte de Apelaciones de Trinidad y Tobago, quien  ordenó  realizar  un</w:t>
        <w:br/>
        <w:t xml:space="preserve">      nuevo juicio.  Fue juzgado por segunda vez a partir del 14 de marzo de</w:t>
        <w:br/>
        <w:t xml:space="preserve">      1995 y el 21 de marzo del mismo año volvió a ser declarado culpable de</w:t>
        <w:br/>
        <w:t xml:space="preserve">      homicidio intencional y sentenciado a muerte.  Mervyn Edmund volvió  a</w:t>
        <w:br/>
        <w:t xml:space="preserve">      apelar su sentencia condenatoria y el recurso fue rechazado el  17  de</w:t>
        <w:br/>
        <w:t xml:space="preserve">      septiembre de 1996.  Finalmente, solicitó al Comité Judicial del Privy</w:t>
        <w:br/>
        <w:t xml:space="preserve">      Council venia especial  para  apelar  la  sentencia  de  la  Corte  de</w:t>
        <w:br/>
        <w:t xml:space="preserve">      Apelaciones y la solicitud de venia fue rechazada el 16  de  julio  de</w:t>
        <w:br/>
        <w:t xml:space="preserve">      1998[43].</w:t>
        <w:br/>
        <w:br/>
        <w:t xml:space="preserve">   k.  Samuel  Winchester  (Caso  No.  12.043)  fue  acusado  del  homicidio</w:t>
        <w:br/>
        <w:t xml:space="preserve">      intencional de Esma Darlington, que tuvo lugar el 15 de septiembre  de</w:t>
        <w:br/>
        <w:t xml:space="preserve">      1995.  Fue arrestado el 23 de septiembre del mismo año y fue  juzgado,</w:t>
        <w:br/>
        <w:t xml:space="preserve">      declarado culpable y condenado  a  muerte  el  4  de  marzo  de  1997.</w:t>
        <w:br/>
        <w:t xml:space="preserve">      Posteriormente, apeló su  sentencia  condenatoria  ante  la  Corte  de</w:t>
        <w:br/>
        <w:t xml:space="preserve">      Apelaciones de Trinidad y Tobago y el recurso fue rechazado el  22  de</w:t>
        <w:br/>
        <w:t xml:space="preserve">      octubre de 1997.  Solicitó al Comité Judicial del Privy Council  venia</w:t>
        <w:br/>
        <w:t xml:space="preserve">      especial para apelar la sentencia de la  Corte  de  Apelaciones  y  la</w:t>
        <w:br/>
        <w:t xml:space="preserve">      solicitud de venia fue rechazada el 4 de junio de 1998[44].</w:t>
        <w:br/>
        <w:br/>
        <w:t xml:space="preserve">   l. Martin Reid (Caso No. 12.052) fue acusado del homicidio intencional de</w:t>
        <w:br/>
        <w:t xml:space="preserve">      Fabrina Alleyne, que tuvo lugar el 13 de abril de 1994.  Fue arrestado</w:t>
        <w:br/>
        <w:t xml:space="preserve">      el 13 de junio del mismo año  y  fue  juzgado,  declarado  culpable  y</w:t>
        <w:br/>
        <w:t xml:space="preserve">      condenado a muerte el 15 de noviembre de  1995.   Apeló  su  sentencia</w:t>
        <w:br/>
        <w:t xml:space="preserve">      condenatoria ante la Corte de Apelaciones de Trinidad y  Tobago  y  el</w:t>
        <w:br/>
        <w:t xml:space="preserve">      recurso fue rechazado el 27 de noviembre de 1996. Solicitó  al  Comité</w:t>
        <w:br/>
        <w:t xml:space="preserve">      Judicial del Privy Council venia especial para apelar la sentencia  de</w:t>
        <w:br/>
        <w:t xml:space="preserve">      la Corte de Apelaciones y la solicitud de venia fue rechazada el 30 de</w:t>
        <w:br/>
        <w:t xml:space="preserve">      julio de 1998[45].</w:t>
        <w:br/>
        <w:br/>
        <w:t xml:space="preserve">   m. Rodney Davis (Caso No. 12.072) fue acusado del  homicidio  intencional</w:t>
        <w:br/>
        <w:t xml:space="preserve">      de Nicole Bristol, que tuvo lugar el 20 de marzo de 1992.  Se  entregó</w:t>
        <w:br/>
        <w:t xml:space="preserve">      voluntariamente a la policía el 26  de  marzo  del  mismo  año  y  fue</w:t>
        <w:br/>
        <w:t xml:space="preserve">      juzgado, declarado culpable y condenado a muerte el  31  de  enero  de</w:t>
        <w:br/>
        <w:t xml:space="preserve">      1997.  Posteriormente, apeló su sentencia condenatoria ante  la  Corte</w:t>
        <w:br/>
        <w:t xml:space="preserve">      de Apelaciones de Trinidad y Tobago y el recurso fue rechazado el 2 de</w:t>
        <w:br/>
        <w:t xml:space="preserve">      diciembre de 1997.  Rodney Davis solicitó al Comité Judicial del Privy</w:t>
        <w:br/>
        <w:t xml:space="preserve">      Council venia especial  para  apelar  la  sentencia  de  la  Corte  de</w:t>
        <w:br/>
        <w:t xml:space="preserve">      Apelaciones y la solicitud de venia fue rechazada el 2 de noviembre de</w:t>
        <w:br/>
        <w:t xml:space="preserve">      1998[46].</w:t>
        <w:br/>
        <w:br/>
        <w:br/>
        <w:t xml:space="preserve">   n.  Gangadeen  Tahaloo  (Caso  No.  12.073)  fue  acusado  del  homicidio</w:t>
        <w:br/>
        <w:t xml:space="preserve">      intencional de su esposa, Janetta Peters, que  tuvo  lugar  el  10  de</w:t>
        <w:br/>
        <w:t xml:space="preserve">      noviembre de  1991.   Fue  arrestado  el  mismo  día  y  fue  juzgado,</w:t>
        <w:br/>
        <w:t xml:space="preserve">      declarado culpable y condenado a muerte el 26 de mayo de 1995.   Apeló</w:t>
        <w:br/>
        <w:t xml:space="preserve">      con éxito ante la Corte de Apelaciones de Trinidad y Tobago, pues ésta</w:t>
        <w:br/>
        <w:t xml:space="preserve">      dispuso la realización de un nuevo juicio.  El 19 de noviembre de 1997</w:t>
        <w:br/>
        <w:t xml:space="preserve">      volvió a ser declarado culpable de homicidio intencional y sentenciado</w:t>
        <w:br/>
        <w:t xml:space="preserve">      a muerte.  Posteriormente, apeló su  sentencia  condenatoria  ante  la</w:t>
        <w:br/>
        <w:t xml:space="preserve">      Corte de Apelaciones de Trinidad y Tobago y su recurso  fue  rechazado</w:t>
        <w:br/>
        <w:t xml:space="preserve">      el 4 de febrero de  1998.   Solicitó  al  Comité  Judicial  del  Privy</w:t>
        <w:br/>
        <w:t xml:space="preserve">      Council venia especial  para  apelar  la  sentencia  de  la  Corte  de</w:t>
        <w:br/>
        <w:t xml:space="preserve">      Apelaciones y la solicitud de venia fue rechazada el  2  de  noviembre</w:t>
        <w:br/>
        <w:t xml:space="preserve">      del mismo año[47].</w:t>
        <w:br/>
        <w:br/>
        <w:br/>
        <w:t xml:space="preserve">   o. Noel Seepersad (Caso No. 12.075) y su co-imputado, Chuck Attin, fueron</w:t>
        <w:br/>
        <w:t xml:space="preserve">      acusados de los homicidios intencionales de Candace Scott y  Karen  Sa</w:t>
        <w:br/>
        <w:t xml:space="preserve">      Gomes, que tuvieron lugar el 11 de julio de 1994.  Noel Seepersad  fue</w:t>
        <w:br/>
        <w:t xml:space="preserve">      arrestado el mismo día y fue juzgado, declarado culpable y condenado a</w:t>
        <w:br/>
        <w:t xml:space="preserve">      muerte el 7 de febrero de 1997.  Posteriormente,  apeló  su  sentencia</w:t>
        <w:br/>
        <w:t xml:space="preserve">      condenatoria ante la Corte de Apelaciones de Trinidad y  Tobago  y  su</w:t>
        <w:br/>
        <w:t xml:space="preserve">      recurso fue rechazado el 25 de noviembre de 1997.  Solicitó al  Comité</w:t>
        <w:br/>
        <w:t xml:space="preserve">      Judicial del Privy Council venia especial para apelar la sentencia  de</w:t>
        <w:br/>
        <w:t xml:space="preserve">      la Corte de Apelaciones y la solicitud de venia fue rechazada el 10 de</w:t>
        <w:br/>
        <w:t xml:space="preserve">      diciembre de 1998[48].</w:t>
        <w:br/>
        <w:br/>
        <w:br/>
        <w:t xml:space="preserve">   p. Wayne Matthews (Caso No. 12.076) fue acusado del homicidio intencional</w:t>
        <w:br/>
        <w:t xml:space="preserve">      de Norris Yorke, ocurrido entre el 3 y el 4 de febrero de  1987.   Fue</w:t>
        <w:br/>
        <w:t xml:space="preserve">      arrestado el 6 de febrero del  mismo  año  y  fue  juzgado,  declarado</w:t>
        <w:br/>
        <w:t xml:space="preserve">      culpable y condenado a muerte el 16 de noviembre de 1988.   Apeló  con</w:t>
        <w:br/>
        <w:t xml:space="preserve">      éxito ante la Corte de Apelaciones  de  Trinidad  y  Tobago,  la  cual</w:t>
        <w:br/>
        <w:t xml:space="preserve">      dispuso que se llevara a cabo un nuevo juicio.  El 29  de  octubre  de</w:t>
        <w:br/>
        <w:t xml:space="preserve">      1993 Wayne Matthews volvió  a  ser  declarado  culpable  de  homicidio</w:t>
        <w:br/>
        <w:t xml:space="preserve">      intencional y sentenciado a muerte.  Apeló su  sentencia  condenatoria</w:t>
        <w:br/>
        <w:t xml:space="preserve">      ante la Corte de Apelaciones de Trinidad y Tobago  y  su  recurso  fue</w:t>
        <w:br/>
        <w:t xml:space="preserve">      rechazado el 25 de enero de 1996.  Wayne Matthews solicitó  al  Comité</w:t>
        <w:br/>
        <w:t xml:space="preserve">      Judicial del Privy Council venia especial para apelar la sentencia  de</w:t>
        <w:br/>
        <w:t xml:space="preserve">      la Corte de Apelaciones y la solicitud de venia fue rechazada el 26 de</w:t>
        <w:br/>
        <w:t xml:space="preserve">      noviembre de 1998[49].</w:t>
        <w:br/>
        <w:br/>
        <w:br/>
        <w:t xml:space="preserve">   q.  Alfred  Frederick  (Caso  No.  12.082)  fue  acusado  del   homicidio</w:t>
        <w:br/>
        <w:t xml:space="preserve">      intencional de Rahiman Gopaul, ocurrido en algún momento entre el 11 y</w:t>
        <w:br/>
        <w:t xml:space="preserve">      el 14 de enero de 1991.  Fue arrestado el 17 de enero del mismo año  y</w:t>
        <w:br/>
        <w:t xml:space="preserve">      fue juzgado,  declarado  culpable  y  condenado  a  muerte  el  29  de</w:t>
        <w:br/>
        <w:t xml:space="preserve">      septiembre de 1997.  Posteriormente, apeló su  sentencia  condenatoria</w:t>
        <w:br/>
        <w:t xml:space="preserve">      ante la Corte de Apelaciones de Trinidad y Tobago  y  su  recurso  fue</w:t>
        <w:br/>
        <w:t xml:space="preserve">      rechazado el 31 de marzo de 1998.  Solicitó  al  Comité  Judicial  del</w:t>
        <w:br/>
        <w:t xml:space="preserve">      Privy Council venia especial para apelar la sentencia de la  Corte  de</w:t>
        <w:br/>
        <w:t xml:space="preserve">      Apelaciones y la solicitud de venia fue rechazada el 17  de  diciembre</w:t>
        <w:br/>
        <w:t xml:space="preserve">      de 1998[50].</w:t>
        <w:br/>
        <w:br/>
        <w:t xml:space="preserve">   r. Natasha De Leon (Caso No. 12.093) fue acusada,  conjuntamente  con  su</w:t>
        <w:br/>
        <w:t xml:space="preserve">      esposo,  Darrin  Roger  Thomas  (supra  párr.  60.i),  del   homicidio</w:t>
        <w:br/>
        <w:t xml:space="preserve">      intencional de Chandranath Maharaj, que tuvo lugar  en  algún  momento</w:t>
        <w:br/>
        <w:t xml:space="preserve">      entre el 6 y el 12 de febrero de 1993.  Fue arrestada el 10  de  marzo</w:t>
        <w:br/>
        <w:t xml:space="preserve">      del mismo año y fue juzgada, declarada culpable y condenada  a  muerte</w:t>
        <w:br/>
        <w:t xml:space="preserve">      el  9  de  noviembre  de  1995.   Más  adelante,  apeló  su  sentencia</w:t>
        <w:br/>
        <w:t xml:space="preserve">      condenatoria ante la Corte de Apelaciones de Trinidad y  Tobago  y  el</w:t>
        <w:br/>
        <w:t xml:space="preserve">      recurso fue rechazado el  20  de  junio  de  1997.   Natasha  De  Leon</w:t>
        <w:br/>
        <w:t xml:space="preserve">      solicitó venia especial al Comité  Judicial  del  Privy  Council  para</w:t>
        <w:br/>
        <w:t xml:space="preserve">      apelar la sentencia de la  Corte  de  Apelaciones,  el  Privy  Council</w:t>
        <w:br/>
        <w:t xml:space="preserve">      aceptó su petición el 11 de marzo de 1998 y remitió su caso a la Corte</w:t>
        <w:br/>
        <w:t xml:space="preserve">      de Apelaciones de Trinidad y Tobago.  Dicha Corte rechazó  su  segundo</w:t>
        <w:br/>
        <w:t xml:space="preserve">      recurso el 23 de septiembre de 1998[51].</w:t>
        <w:br/>
        <w:br/>
        <w:t xml:space="preserve">   s. Vijay Mungroo (Caso No. 12.111) fue acusado, conjuntamente con sus co-</w:t>
        <w:br/>
        <w:t xml:space="preserve">      imputados Steve Mungroo (infra párr. 60.x) y Phillip  Chotalal  (infra</w:t>
        <w:br/>
        <w:t xml:space="preserve">      párr. 60.t), del homicidio intencional de Edmund Mitchell, ocurrido el</w:t>
        <w:br/>
        <w:t xml:space="preserve">      10 de enero de 1990.  Fue arrestado el 24 de enero del mismo año y fue</w:t>
        <w:br/>
        <w:t xml:space="preserve">      juzgado, declarado culpable y condenado a muerte el 13 de diciembre de</w:t>
        <w:br/>
        <w:t xml:space="preserve">      1996.  Posteriormente, apeló su sentencia condenatoria ante  la  Corte</w:t>
        <w:br/>
        <w:t xml:space="preserve">      de Apelaciones de Trinidad y Tobago y el recurso fue rechazado  el  28</w:t>
        <w:br/>
        <w:t xml:space="preserve">      de noviembre de 1997.  Solicitó venia especial al Comité Judicial  del</w:t>
        <w:br/>
        <w:t xml:space="preserve">      Privy Council para apelar la sentencia de la Corte de Apelaciones y la</w:t>
        <w:br/>
        <w:t xml:space="preserve">      solicitud de venia fue rechazada el 2 de febrero de 1999[52].</w:t>
        <w:br/>
        <w:br/>
        <w:br/>
        <w:t xml:space="preserve">   t. Phillip Chotalal (Caso No. 12.112) fue acusado, conjuntamente con  sus</w:t>
        <w:br/>
        <w:t xml:space="preserve">      co-imputados Steve Mungroo (infra párr. 60.x) y Vijay  Mungroo  (supra</w:t>
        <w:br/>
        <w:t xml:space="preserve">      párr. 60.s), del homicidio intencional de Edmund Mitchell, ocurrido el</w:t>
        <w:br/>
        <w:t xml:space="preserve">      10 de enero de 1990.  Fue arrestado el 11 de enero del mismo año y fue</w:t>
        <w:br/>
        <w:t xml:space="preserve">      juzgado, declarado culpable el 13 de diciembre de 1996 y  condenado  a</w:t>
        <w:br/>
        <w:t xml:space="preserve">      muerte el 17 de diciembre del mismo  año.   Posteriormente,  apeló  su</w:t>
        <w:br/>
        <w:t xml:space="preserve">      sentencia condenatoria ante la Corte  de  Apelaciones  de  Trinidad  y</w:t>
        <w:br/>
        <w:t xml:space="preserve">      Tobago y el  recurso  fue  rechazado  el  28  de  noviembre  de  1997.</w:t>
        <w:br/>
        <w:t xml:space="preserve">      Solicitó venia especial al Comité  Judicial  del  Privy  Council  para</w:t>
        <w:br/>
        <w:t xml:space="preserve">      apelar la sentencia de la Corte de Apelaciones y la solicitud de venia</w:t>
        <w:br/>
        <w:t xml:space="preserve">      fue rechazada el 2 de febrero de 1999[53].</w:t>
        <w:br/>
        <w:br/>
        <w:t xml:space="preserve">   u. Naresh Boodram y Joey Ramiah (Caso No. 12.129) fueron acusados de  los</w:t>
        <w:br/>
        <w:t xml:space="preserve">      homicidios intencionales de Anthony Curtis Greenridge y Steven  Sandy,</w:t>
        <w:br/>
        <w:t xml:space="preserve">      acaecidos el 14 de junio de 1992.  Fueron arrestados el 25 y el 14  de</w:t>
        <w:br/>
        <w:t xml:space="preserve">      mayo de 1994, respectivamente, y fueron juzgados, declarados culpables</w:t>
        <w:br/>
        <w:t xml:space="preserve">      y condenados a muerte el 27 de  noviembre  de  1996.   Posteriormente,</w:t>
        <w:br/>
        <w:t xml:space="preserve">      apelaron sus sentencias condenatorias ante la Corte de Apelaciones  de</w:t>
        <w:br/>
        <w:t xml:space="preserve">      Trinidad y Tobago y el recurso fue rechazado el  16  de  diciembre  de</w:t>
        <w:br/>
        <w:t xml:space="preserve">      1997.  Boodram y Ramiah solicitaron venia especial al Comité  Judicial</w:t>
        <w:br/>
        <w:t xml:space="preserve">      del  Privy  Council  para  apelar  las  sentencias  de  la  Corte   de</w:t>
        <w:br/>
        <w:t xml:space="preserve">      Apelaciones y la solicitud de venia fue rechazada el 29 de octubre  de</w:t>
        <w:br/>
        <w:t xml:space="preserve">      1998[54].</w:t>
        <w:br/>
        <w:br/>
        <w:br/>
        <w:t xml:space="preserve">   v. Nigel Mark (Caso No. 12.137) fue acusado del homicidio intencional  de</w:t>
        <w:br/>
        <w:t xml:space="preserve">      Bhagirath Singh, ocurrido el 28 de abril de 1992.  Fue arrestado el 29</w:t>
        <w:br/>
        <w:t xml:space="preserve">      de abril del mismo año y fue juzgado, declarado culpable y condenado a</w:t>
        <w:br/>
        <w:t xml:space="preserve">      muerte el 11 de noviembre de 1997.  Apeló  su  sentencia  condenatoria</w:t>
        <w:br/>
        <w:t xml:space="preserve">      ante la Corte de Apelaciones de Trinidad y Tobago  y  su  recurso  fue</w:t>
        <w:br/>
        <w:t xml:space="preserve">      rechazado el 16 de julio de 1998.  Solicitó  al  Comité  Judicial  del</w:t>
        <w:br/>
        <w:t xml:space="preserve">      Privy Council venia especial para apelar la sentencia de la  Corte  de</w:t>
        <w:br/>
        <w:t xml:space="preserve">      Apelaciones y la solicitud de venia fue rechazada el 2 de  febrero  de</w:t>
        <w:br/>
        <w:t xml:space="preserve">      1999[55].</w:t>
        <w:br/>
        <w:br/>
        <w:br/>
        <w:t xml:space="preserve">   w. Wilberforce Bernard  (Caso  No.  12.140)  fue  acusado  del  homicidio</w:t>
        <w:br/>
        <w:t xml:space="preserve">      intencional de Ramnarine Saroop, acaecido el 4  de  febrero  de  1990.</w:t>
        <w:br/>
        <w:t xml:space="preserve">      Fue arrestado el 22 de febrero del mismo año y fue juzgado,  declarado</w:t>
        <w:br/>
        <w:t xml:space="preserve">      culpable y condenado a muerte el 22 de enero de 1996.  Posteriormente,</w:t>
        <w:br/>
        <w:t xml:space="preserve">      apeló su sentencia  condenatoria  ante  la  Corte  de  Apelaciones  de</w:t>
        <w:br/>
        <w:t xml:space="preserve">      Trinidad y Tobago y su recurso fue rechazado el 24  de  septiembre  de</w:t>
        <w:br/>
        <w:t xml:space="preserve">      1997.  Wilberforce Bernard  solicitó  al  Comité  Judicial  del  Privy</w:t>
        <w:br/>
        <w:t xml:space="preserve">      Council venia especial  para  apelar  la  sentencia  de  la  Corte  de</w:t>
        <w:br/>
        <w:t xml:space="preserve">      Apelaciones y la solicitud de venia fue rechazada el 22 de octubre  de</w:t>
        <w:br/>
        <w:t xml:space="preserve">      1998[56].</w:t>
        <w:br/>
        <w:br/>
        <w:t xml:space="preserve">   x. Steve Mungroo (Caso No. 12.141) fue acusado, conjuntamente con sus co-</w:t>
        <w:br/>
        <w:t xml:space="preserve">      imputados Vijay Mungroo (supra párr. 60.s) y Phillip  Chotalal  (supra</w:t>
        <w:br/>
        <w:t xml:space="preserve">      párr. 60.t), del homicidio intencional de Edmund Mitchell, ocurrido el</w:t>
        <w:br/>
        <w:t xml:space="preserve">      10 de enero de 1990.  Fue arrestado el 24 de enero del mismo año y fue</w:t>
        <w:br/>
        <w:t xml:space="preserve">      juzgado, declarado culpable y condenado a muerte el 13 de diciembre de</w:t>
        <w:br/>
        <w:t xml:space="preserve">      1996.  Más adelante, apeló su sentencia condenatoria ante la Corte  de</w:t>
        <w:br/>
        <w:t xml:space="preserve">      Apelaciones de Trinidad y Tobago y el recurso fue rechazado el  28  de</w:t>
        <w:br/>
        <w:t xml:space="preserve">      noviembre de 1997.  Solicitó venia especial  al  Comité  Judicial  del</w:t>
        <w:br/>
        <w:t xml:space="preserve">      Privy Council para apelar la sentencia de la Corte de Apelaciones y la</w:t>
        <w:br/>
        <w:t xml:space="preserve">      solicitud de venia fue rechazada el 2 de febrero de 1999[57].</w:t>
        <w:br/>
        <w:br/>
        <w:br/>
        <w:t xml:space="preserve">   y. Peter Benjamin (Caso No. 12.148) fue acusado del homicidio intencional</w:t>
        <w:br/>
        <w:t xml:space="preserve">      de Kanhai Deodath, acaecido el 21 de enero de 1995.  Fue arrestado  el</w:t>
        <w:br/>
        <w:t xml:space="preserve">      mismo día y fue juzgado, declarado culpable y condenado a muerte el 27</w:t>
        <w:br/>
        <w:t xml:space="preserve">      de octubre de 1997.  Posteriormente, apeló su  sentencia  condenatoria</w:t>
        <w:br/>
        <w:t xml:space="preserve">      ante la Corte de Apelaciones de Trinidad y Tobago  y  el  recurso  fue</w:t>
        <w:br/>
        <w:t xml:space="preserve">      rechazado el 28 de abril de 1998.  Solicitó venia especial  al  Comité</w:t>
        <w:br/>
        <w:t xml:space="preserve">      Judicial del Privy Council para apelar la sentencia  de  la  Corte  de</w:t>
        <w:br/>
        <w:t xml:space="preserve">      Apelaciones y la solicitud de venia fue rechazada el 21  de  enero  de</w:t>
        <w:br/>
        <w:t xml:space="preserve">      1999[58].</w:t>
        <w:br/>
        <w:br/>
        <w:br/>
        <w:t xml:space="preserve">   z. Krishendath Seepersad (Caso No.  12.149)  fue  acusado  del  homicidio</w:t>
        <w:br/>
        <w:t xml:space="preserve">      intencional de Shazard Ghany, ocurrido el 28 de  septiembre  de  1993.</w:t>
        <w:br/>
        <w:t xml:space="preserve">      Fue arrestado el 10 de octubre del mismo año y fue juzgado,  declarado</w:t>
        <w:br/>
        <w:t xml:space="preserve">      culpable y condenado a muerte el 29 de mayo de 1996.   Posteriormente,</w:t>
        <w:br/>
        <w:t xml:space="preserve">      apeló con éxito su sentencia condenatoria ante la Corte de Apelaciones</w:t>
        <w:br/>
        <w:t xml:space="preserve">      de Trinidad y Tobago y ésta dispuso un nuevo juicio el 17  de  octubre</w:t>
        <w:br/>
        <w:t xml:space="preserve">      de 1997.  Krishendath Seepersad fue nuevamente condenado de  homicidio</w:t>
        <w:br/>
        <w:t xml:space="preserve">      intencional y sentenciado a muerte el 29 de mayo de  1998.   Apeló  de</w:t>
        <w:br/>
        <w:t xml:space="preserve">      nuevo su sentencia  condenatoria  ante  la  Corte  de  Apelaciones  de</w:t>
        <w:br/>
        <w:t xml:space="preserve">      Trinidad y Tobago y el recurso fue rechazado el 8 de octubre de  1998.</w:t>
        <w:br/>
        <w:t xml:space="preserve">      Solicitó venia especial al Comité  Judicial  del  Privy  Council  para</w:t>
        <w:br/>
        <w:t xml:space="preserve">      apelar la sentencia de la Corte de Apelaciones y la solicitud de venia</w:t>
        <w:br/>
        <w:t xml:space="preserve">      fue rechazada el 6 de mayo de 1999[59].</w:t>
        <w:br/>
        <w:br/>
        <w:t xml:space="preserve">  aa. Allan Phillip (Caso No. 12.151) fue acusado del homicidio  intencional</w:t>
        <w:br/>
        <w:t xml:space="preserve">      de Brian Barrow, ocurrido el 16 de mayo de  1992.   Fue  arrestado  el</w:t>
        <w:br/>
        <w:t xml:space="preserve">      mismo día y fue juzgado, declarado culpable y condenado a muerte el 17</w:t>
        <w:br/>
        <w:t xml:space="preserve">      de noviembre de 1995.  Posteriormente, apeló su sentencia condenatoria</w:t>
        <w:br/>
        <w:t xml:space="preserve">      ante la Corte de Apelaciones de Trinidad y Tobago  y  el  recurso  fue</w:t>
        <w:br/>
        <w:t xml:space="preserve">      rechazado el 12 de junio de 1996.  Solicitó venia especial  al  Comité</w:t>
        <w:br/>
        <w:t xml:space="preserve">      Judicial del Privy Council para apelar la sentencia  de  la  Corte  de</w:t>
        <w:br/>
        <w:t xml:space="preserve">      Apelaciones y la solicitud de venia fue rechazada el 15  de  abril  de</w:t>
        <w:br/>
        <w:t xml:space="preserve">      1999[60].</w:t>
        <w:br/>
        <w:br/>
        <w:t xml:space="preserve">  ab. Narine Sooklal (Caso  No.  12.152)  fue  acusado  junto  con  sus  co-</w:t>
        <w:br/>
        <w:t xml:space="preserve">      imputados Sharma Sooklal y Francis Mansingh (infra  párr.  60.ee)  del</w:t>
        <w:br/>
        <w:t xml:space="preserve">      homicidio intencional de Mobina Ali, ocurrido el 10 diciembre de 1992.</w:t>
        <w:br/>
        <w:t xml:space="preserve">       Fue arrestado el 13  de  diciembre  del  mismo  año  y  fue  juzgado,</w:t>
        <w:br/>
        <w:t xml:space="preserve">      declarado culpable y condenado  a  muerte  el  24  de  mayo  de  1996.</w:t>
        <w:br/>
        <w:t xml:space="preserve">      Posteriormente, apeló su  sentencia  condenatoria  ante  la  Corte  de</w:t>
        <w:br/>
        <w:t xml:space="preserve">      Apelaciones de Trinidad y Tobago y el recurso fue rechazado el  26  de</w:t>
        <w:br/>
        <w:t xml:space="preserve">      septiembre de 1997.  Solicitó venia especial al  Comité  Judicial  del</w:t>
        <w:br/>
        <w:t xml:space="preserve">      Privy Council para apelar la sentencia de la Corte de Apelaciones,  el</w:t>
        <w:br/>
        <w:t xml:space="preserve">      23 de febrero de 1998 la venia  fue  concedida  y  posteriormente,  el</w:t>
        <w:br/>
        <w:t xml:space="preserve">      Privy Council desestimó su apelación el 21 de julio de 1999[61].</w:t>
        <w:br/>
        <w:br/>
        <w:t xml:space="preserve">  ac. Amir Mowlah (Caso No. 12.153) fue acusado del homicidio intencional de</w:t>
        <w:br/>
        <w:t xml:space="preserve">      su esposa Shaffina Mowlah, ocurrido el 6  de  febrero  de  1991.   Fue</w:t>
        <w:br/>
        <w:t xml:space="preserve">      arrestado el mismo día y fue juzgado, declarado culpable y condenado a</w:t>
        <w:br/>
        <w:t xml:space="preserve">      muerte el 27 de octubre de 1997.  Apeló su sentencia condenatoria ante</w:t>
        <w:br/>
        <w:t xml:space="preserve">      la Corte de  Apelaciones  de  Trinidad  y  Tobago  y  el  recurso  fue</w:t>
        <w:br/>
        <w:t xml:space="preserve">      rechazado el 17 de junio de 1998.  Solicitó venia especial  al  Comité</w:t>
        <w:br/>
        <w:t xml:space="preserve">      Judicial del Privy Council para apelar la sentencia  de  la  Corte  de</w:t>
        <w:br/>
        <w:t xml:space="preserve">      Apelaciones y la solicitud de venia fue rechazada el  25  de  mayo  de</w:t>
        <w:br/>
        <w:t xml:space="preserve">      1999[62].</w:t>
        <w:br/>
        <w:br/>
        <w:br/>
        <w:t xml:space="preserve">  ad. Mervyn Parris (Caso No. 12.156) fue acusado del homicidio  intencional</w:t>
        <w:br/>
        <w:t xml:space="preserve">      de Anthony Gittens, acaecido el 9 de noviembre de 1989.  Fue arrestado</w:t>
        <w:br/>
        <w:t xml:space="preserve">      el 21 de febrero de 1990 y fue juzgado, declarado culpable y condenado</w:t>
        <w:br/>
        <w:t xml:space="preserve">      a muerte el 17 de febrero de 1995.  Apeló posteriormente su  sentencia</w:t>
        <w:br/>
        <w:t xml:space="preserve">      condenatoria ante la Corte de Apelaciones de Trinidad y  Tobago  y  el</w:t>
        <w:br/>
        <w:t xml:space="preserve">      recurso fue rechazado  el  6  de  febrero  de  1998.   Solicitó  venia</w:t>
        <w:br/>
        <w:t xml:space="preserve">      especial al Comité Judicial del Privy Council para apelar la sentencia</w:t>
        <w:br/>
        <w:t xml:space="preserve">      de la Corte de Apelaciones y la solicitud de venia fue rechazada el  2</w:t>
        <w:br/>
        <w:t xml:space="preserve">      de diciembre de 1999[63].</w:t>
        <w:br/>
        <w:br/>
        <w:br/>
        <w:t xml:space="preserve">   ee.      Francis Mansingh (Caso No. 12.157) fue acusado junto con sus co-</w:t>
        <w:br/>
        <w:t xml:space="preserve">      imputados, Sharma Sooklal y Narine Sooklal (supra  párr.  60.bb),  del</w:t>
        <w:br/>
        <w:t xml:space="preserve">      homicidio intencional de Mobina Ali, ocurrido el 10  de  diciembre  de</w:t>
        <w:br/>
        <w:t xml:space="preserve">      1992.  Fue arrestado el 16 de diciembre del mismo año y  fue  juzgado,</w:t>
        <w:br/>
        <w:t xml:space="preserve">      declarado culpable y condenado  a  muerte  el  24  de  mayo  de  1996.</w:t>
        <w:br/>
        <w:t xml:space="preserve">      Posteriormente, apeló su  sentencia  condenatoria  ante  la  Corte  de</w:t>
        <w:br/>
        <w:t xml:space="preserve">      Apelaciones de Trinidad y Tobago y el recurso fue rechazado el  26  de</w:t>
        <w:br/>
        <w:t xml:space="preserve">      septiembre de 1996.  Solicitó venia especial al  Comité  Judicial  del</w:t>
        <w:br/>
        <w:t xml:space="preserve">      Privy Council para apelar la sentencia de la Corte de Apelaciones,  la</w:t>
        <w:br/>
        <w:t xml:space="preserve">      venia fue concedida  y  finalmente,  el  Privy  Council  desestimó  su</w:t>
        <w:br/>
        <w:t xml:space="preserve">      apelación el 21 de julio de 1999[64].</w:t>
        <w:br/>
        <w:br/>
        <w:br/>
        <w:t xml:space="preserve">                                     VII</w:t>
        <w:br/>
        <w:br/>
        <w:t xml:space="preserve">                                   PRUEBA</w:t>
        <w:br/>
        <w:br/>
        <w:br/>
        <w:t>61.   Antes de proceder al análisis  de  las  pruebas  recibidas,  la  Corte</w:t>
        <w:br/>
        <w:t>precisará en este capítulo los criterios generales en  que  se  fundamentará</w:t>
        <w:br/>
        <w:t>para  valorar  la  prueba  y  realizará  algunas  consideraciones  de  orden</w:t>
        <w:br/>
        <w:t>igualmente general, pero aplicables al caso específico, la  mayoría  de  las</w:t>
        <w:br/>
        <w:t>cuales ya han sido desarrolladas  anteriormente  por  la  jurisprudencia  de</w:t>
        <w:br/>
        <w:t>este Tribunal.</w:t>
        <w:br/>
        <w:br/>
        <w:t>62.   El artículo 43 del Reglamento de la Corte establece que:</w:t>
        <w:br/>
        <w:br/>
        <w:br/>
        <w:t xml:space="preserve">      1.    Las pruebas promovidas por las partes sólo  serán  admitidas  si</w:t>
        <w:br/>
        <w:t xml:space="preserve">      son ofrecidas en la demanda y en su contestación y en su caso,  en  el</w:t>
        <w:br/>
        <w:t xml:space="preserve">      escrito de excepciones preliminares y en su contestación.</w:t>
        <w:br/>
        <w:br/>
        <w:br/>
        <w:t xml:space="preserve">      2.    Las pruebas rendidas ante  la  Comisión  serán  incorporadas  al</w:t>
        <w:br/>
        <w:t xml:space="preserve">      expediente,  siempre  que  hayan  sido  recibidas  en   procedimientos</w:t>
        <w:br/>
        <w:t xml:space="preserve">      contradictorios,  salvo   que   la   Corte   considere   indispensable</w:t>
        <w:br/>
        <w:t xml:space="preserve">      repetirlas.</w:t>
        <w:br/>
        <w:br/>
        <w:br/>
        <w:t xml:space="preserve">      3.    Excepcionalmente la Corte podrá admitir una prueba si alguna  de</w:t>
        <w:br/>
        <w:t xml:space="preserve">      las partes  alegare  fuerza  mayor,  un  impedimento  grave  o  hechos</w:t>
        <w:br/>
        <w:t xml:space="preserve">      supervinientes en momento distinto a los antes señalados, siempre  que</w:t>
        <w:br/>
        <w:t xml:space="preserve">      se garantice a las partes contrarias el derecho de defensa.</w:t>
        <w:br/>
        <w:br/>
        <w:br/>
        <w:t xml:space="preserve">      4.    En el  caso  de  la  presunta  víctima,  sus  familiares  o  sus</w:t>
        <w:br/>
        <w:t xml:space="preserve">      representantes debidamente acreditados,  la  admisión  de  pruebas  se</w:t>
        <w:br/>
        <w:t xml:space="preserve">      regirá además por lo dispuesto en los artículos 23, 35.4  y  36.5  del</w:t>
        <w:br/>
        <w:t xml:space="preserve">      Reglamento.</w:t>
        <w:br/>
        <w:br/>
        <w:t>63.   Asimismo, el artículo 44 del Reglamento indica lo siguiente:</w:t>
        <w:br/>
        <w:br/>
        <w:t xml:space="preserve">      En cualquier estado de la causa la Corte podrá:</w:t>
        <w:br/>
        <w:br/>
        <w:br/>
        <w:t xml:space="preserve">      1.     Procurar  de  oficio  toda  prueba  que  considere  útil.    En</w:t>
        <w:br/>
        <w:t xml:space="preserve">      particular, podrá oír en calidad de testigo, perito o por otro título,</w:t>
        <w:br/>
        <w:t xml:space="preserve">      a cualquier persona cuyo  testimonio,  declaración  u  opinión  estime</w:t>
        <w:br/>
        <w:t xml:space="preserve">      pertinente.</w:t>
        <w:br/>
        <w:br/>
        <w:br/>
        <w:t xml:space="preserve">      2.    Requerir de las partes el suministro de alguna prueba que esté a</w:t>
        <w:br/>
        <w:t xml:space="preserve">      su alcance o de cualquier explicación o declaración que, a su  juicio,</w:t>
        <w:br/>
        <w:t xml:space="preserve">      pueda ser útil.</w:t>
        <w:br/>
        <w:br/>
        <w:br/>
        <w:t xml:space="preserve">      3.    Solicitar a cualquier entidad, oficina, órgano o autoridad de su</w:t>
        <w:br/>
        <w:t xml:space="preserve">      elección, que obtenga información, que exprese una opinión o que  haga</w:t>
        <w:br/>
        <w:t xml:space="preserve">      un informe o dictámen sobre un punto determinado.  Mientras  la  Corte</w:t>
        <w:br/>
        <w:t xml:space="preserve">      no lo autorice, los documentos respectivos no serán publicados.</w:t>
        <w:br/>
        <w:br/>
        <w:br/>
        <w:t xml:space="preserve">      4.    Comisionar a uno o varios de  sus  miembros  para  que  realicen</w:t>
        <w:br/>
        <w:t xml:space="preserve">      cualquier medida de instrucción.</w:t>
        <w:br/>
        <w:br/>
        <w:t>64.   Según la práctica reiterada del Tribunal, durante el  inicio  de  cada</w:t>
        <w:br/>
        <w:t>etapa procesal las partes deben señalar, en la primera  oportunidad  que  se</w:t>
        <w:br/>
        <w:t>les concede para pronunciarse por escrito, qué pruebas  ofrecerán.   Además,</w:t>
        <w:br/>
        <w:t>en ejercicio de las potestades discrecionales, contempladas en  el  artículo</w:t>
        <w:br/>
        <w:t>44 de su Reglamento (supra párr. 63), la Corte podrá solicitar a las  partes</w:t>
        <w:br/>
        <w:t>elementos probatorios adicionales, como prueba para mejor resolver, sin  que</w:t>
        <w:br/>
        <w:t>esta posibilidad otorgue a aquéllas una nueva  oportunidad  para  ampliar  o</w:t>
        <w:br/>
        <w:t>complementar sus alegatos u ofrecer nueva prueba, salvo que el Tribunal  así</w:t>
        <w:br/>
        <w:t>lo permitiere[65].</w:t>
        <w:br/>
        <w:br/>
        <w:t>65.   La Corte ha señalado anteriormente, en cuanto  a  la  recepción  y  la</w:t>
        <w:br/>
        <w:t>valoración de la prueba, que los procedimientos que se siguen ante  ella  no</w:t>
        <w:br/>
        <w:t>están sujetos a las  mismas  formalidades  que  las  actuaciones  judiciales</w:t>
        <w:br/>
        <w:t>internas  y  que  la  incorporación  de  determinados  elementos  al  acervo</w:t>
        <w:br/>
        <w:t>probatorio  debe  ser  efectuada  prestando  particular   atención   a   las</w:t>
        <w:br/>
        <w:t>circunstancias del caso concreto, y teniendo presentes los límites  trazados</w:t>
        <w:br/>
        <w:t>por el respeto a la seguridad jurídica  y  al  equilibrio  procesal  de  las</w:t>
        <w:br/>
        <w:t>partes.  La Corte ha tenido en cuenta que la  jurisprudencia  internacional,</w:t>
        <w:br/>
        <w:t>al considerar que los  tribunales  internacionales  tienen  la  potestad  de</w:t>
        <w:br/>
        <w:t>apreciar y valorar las pruebas según las  reglas  de  la  sana  crítica,  ha</w:t>
        <w:br/>
        <w:t>evitado siempre adoptar una rígida determinación del quantum  de  la  prueba</w:t>
        <w:br/>
        <w:t>necesaria para fundar un fallo[66].  Este criterio es  especialmente  válido</w:t>
        <w:br/>
        <w:t>en relación con los  tribunales  internacionales  de  derechos  humanos  los</w:t>
        <w:br/>
        <w:t>cuales disponen, para efectos de  la  determinación  de 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experiencia[67].</w:t>
        <w:br/>
        <w:br/>
        <w:t>66.    Por  otro  lado,  es  necesario  tener  presente  que  la  protección</w:t>
        <w:br/>
        <w:t>jurisdiccional internacional de los derechos  humanos  no  debe  confundirse</w:t>
        <w:br/>
        <w:t>con la justicia penal.  En los casos en  que  los  Estados  comparecen  ante</w:t>
        <w:br/>
        <w:t>este Tribunal no lo hacen como sujetos en un proceso penal,  pues  la  Corte</w:t>
        <w:br/>
        <w:t>no impone penas a las personas culpables de  violar  los  derechos  humanos.</w:t>
        <w:br/>
        <w:t>La función de ésta es proteger a las víctimas,  determinar  las  violaciones</w:t>
        <w:br/>
        <w:t>de sus derechos y ordenar la reparación de los  daños  ocasionados  por  los</w:t>
        <w:br/>
        <w:t>Estados responsables de tales acciones[68].  Para tales efectos,</w:t>
        <w:br/>
        <w:br/>
        <w:t xml:space="preserve">      [e]s suficiente la demostración de que ha habido  apoyo  o  tolerancia</w:t>
        <w:br/>
        <w:t xml:space="preserve">      del poder público en la infracción de los derechos reconocidos  en  la</w:t>
        <w:br/>
        <w:t xml:space="preserve">      Convención.   Además,  también  se   compromete   la   responsabilidad</w:t>
        <w:br/>
        <w:t xml:space="preserve">      internacional del  Estado  cuando  éste  no  realice  las  actividades</w:t>
        <w:br/>
        <w:t xml:space="preserve">      necesarias, de acuerdo con su derecho interno, para identificar y,  en</w:t>
        <w:br/>
        <w:t xml:space="preserve">      su caso, sancionar a los autores de las propias violaciones[69].</w:t>
        <w:br/>
        <w:br/>
        <w:t>67.   Cabe destacar  que,  en  este  caso,  el  Estado  no  cumplió  con  su</w:t>
        <w:br/>
        <w:t>obligación de presentar prueba de descargo en las  oportunidades  procesales</w:t>
        <w:br/>
        <w:t>señaladas en el artículo 43 del Reglamento (supra párr. 62).  Como ya lo  ha</w:t>
        <w:br/>
        <w:t>hecho en otros casos, la Corte considera al respecto que, cuando  el  Estado</w:t>
        <w:br/>
        <w:t>no contesta la demanda de manera  específica,  se  presumen  verdaderos  los</w:t>
        <w:br/>
        <w:t>hechos sobre  los  cuales  guardó  silencio,  siempre  que  de  las  pruebas</w:t>
        <w:br/>
        <w:t>presentadas en el proceso se puedan inferir conclusiones consistentes  sobre</w:t>
        <w:br/>
        <w:t>los mismos[70].</w:t>
        <w:br/>
        <w:br/>
        <w:t>68.   Aplicando estos criterios, la Corte, antes de llegar a una  conclusión</w:t>
        <w:br/>
        <w:t>sobre los hechos,  debe  proceder  a  examinar  el  conjunto  de  la  prueba</w:t>
        <w:br/>
        <w:t>presentada y de los argumentos sometidos a su consideración por la  Comisión</w:t>
        <w:br/>
        <w:t>y los representantes de las presuntas  víctimas,  así  como  cualquier  otra</w:t>
        <w:br/>
        <w:t>prueba documental o de otra índole que pueda ser relevante  en  el  presente</w:t>
        <w:br/>
        <w:t>Caso y que haya sido recabada por el propio Tribunal.</w:t>
        <w:br/>
        <w:br/>
        <w:t>69.   Por lo tanto, la Corte en  ejercicio  de  su  función  jurisdiccional,</w:t>
        <w:br/>
        <w:t>procederá a examinar y valorar el conjunto de los  elementos  que  conforman</w:t>
        <w:br/>
        <w:t>el acervo probatorio del caso según la regla de la  sana  crítica,  la  cual</w:t>
        <w:br/>
        <w:t>permitirá a los jueces llegar a la convicción sobre la verdad de los  hechos</w:t>
        <w:br/>
        <w:t>alegados en que  habrán  de  basarse  para  adoptar  las  decisiones  de  la</w:t>
        <w:br/>
        <w:t>presente Sentencia.</w:t>
        <w:br/>
        <w:br/>
        <w:br/>
        <w:t xml:space="preserve">                            a) PRUEBA DOCUMENTAL</w:t>
        <w:br/>
        <w:br/>
        <w:t>70.   En la demanda del Caso Hilaire, la  Comisión  Interamericana  presentó</w:t>
        <w:br/>
        <w:t>copia de 34 documentos contenidos en  veintiún  anexos  (supra  párrs.  1  y</w:t>
        <w:br/>
        <w:t>34)[71].</w:t>
        <w:br/>
        <w:br/>
        <w:t>71.    En  la  demanda  del  Caso   Constantine   y   otros,   la   Comisión</w:t>
        <w:br/>
        <w:t>Interamericana presentó copia de 120  documentos  contenidos  en  44  anexos</w:t>
        <w:br/>
        <w:t>(supra párrs. 1 y 34)[72].</w:t>
        <w:br/>
        <w:br/>
        <w:t>72.   En la demanda del Caso Benjamin y otros,  la  Comisión  Interamericana</w:t>
        <w:br/>
        <w:t>presentó copia de 53 documentos contenidos en treinta anexos  (supra  párrs.</w:t>
        <w:br/>
        <w:t>1 y 34)[73].</w:t>
        <w:br/>
        <w:br/>
        <w:t>73.   Durante la audiencia pública, la  Comisión  presentó  tres  documentos</w:t>
        <w:br/>
        <w:t>relacionados con el caso (supra párr. 54) y, posteriormente, envió copia  de</w:t>
        <w:br/>
        <w:t>tres sentencias emitidas por el Privy Council (supra párr. 56).</w:t>
        <w:br/>
        <w:br/>
        <w:t>74.   Asimismo, el 22 de marzo de 2002 los representantes de  las  supuestas</w:t>
        <w:br/>
        <w:t>víctimas presentaron varios documentos como anexos a su escrito de  alegatos</w:t>
        <w:br/>
        <w:t>finales (supra párr. 57)[74].</w:t>
        <w:br/>
        <w:br/>
        <w:t>75.   La Corte recibió  además,  los  informes  escritos  de  los  peritajes</w:t>
        <w:br/>
        <w:t>realizados por siete expertos, a saber: Thomas  Alfred  Warlow[75],  Desmond</w:t>
        <w:br/>
        <w:t>Allum[76], Gaietry Pargass[77], Vivien Stern y Andrew Coyle[78],  Scharlette</w:t>
        <w:br/>
        <w:t>Holdman[79] y Nigel Eastman[80], ofrecidos por la  Comisión  en  su  escrito</w:t>
        <w:br/>
        <w:t>sobre eventuales reparaciones (supra párrs. 44, 48 y 50)[81].</w:t>
        <w:br/>
        <w:br/>
        <w:t>76.    A  continuación,  la  Corte  ofrece,  en  el  orden  en  que   fueron</w:t>
        <w:br/>
        <w:t>presentados, el resumen de tres  informes  periciales  que  fueron  rendidos</w:t>
        <w:br/>
        <w:t>exclusivamente de forma escrita (uno de los cuales  fue  elaborado  por  dos</w:t>
        <w:br/>
        <w:t>peritos):</w:t>
        <w:br/>
        <w:br/>
        <w:t xml:space="preserve">   a. Peritaje de Thomas Alfred Warlow, sobre las pruebas disponibles en  el</w:t>
        <w:br/>
        <w:t xml:space="preserve">      expediente del caso de Peter Benjamin (Caso No. 12.148) y sobre si  el</w:t>
        <w:br/>
        <w:t xml:space="preserve">      arma con la que se alega que dio muerte al occiso pudo haber disparado</w:t>
        <w:br/>
        <w:t xml:space="preserve">      el proyectil mortal</w:t>
        <w:br/>
        <w:br/>
        <w:t>El peritaje de Thomas Alfred Warlow[82]  constituye  un  análisis  de  dos</w:t>
        <w:br/>
        <w:t>documentos separados relacionados con el trámite del  caso  específico  de</w:t>
        <w:br/>
        <w:t>Peter Benjamin ante los tribunales internos de Trinidad y Tobago[83].   El</w:t>
        <w:br/>
        <w:t>primero de ellos es un estudio de un cadáver, y el segundo está  compuesto</w:t>
        <w:br/>
        <w:t>por dos informes elaborados por un oficial del  Centro  científico-forense</w:t>
        <w:br/>
        <w:t>de Trinidad y Tobago.</w:t>
        <w:br/>
        <w:br/>
        <w:t>El perito Warlow estableció que una escopeta de calibre 16, como  la  que,</w:t>
        <w:br/>
        <w:t>según se alegó, le fue encontrada al señor Benjamin, no  puede  cargar  ni</w:t>
        <w:br/>
        <w:t>disparar perdigones de calibre doce, como los utilizados en el homicidio y</w:t>
        <w:br/>
        <w:t>encontrados en el lugar de los hechos.  Por  lo  tanto,  concluyó  que  la</w:t>
        <w:br/>
        <w:t>escopeta cuya propiedad se atribuye a Peter Benjamin, no pudo  haber  sido</w:t>
        <w:br/>
        <w:t>utilizada en el homicidio del cual éste fue declarado culpable.</w:t>
        <w:br/>
        <w:br/>
        <w:t xml:space="preserve">   b. Peritaje  de  Vivien  Stern  y  Andrew  Coyle,  sobre  condiciones  de</w:t>
        <w:br/>
        <w:t xml:space="preserve">      detención</w:t>
        <w:br/>
        <w:br/>
        <w:t>Vivien Stern y  Andrew  Coyle[84],  presentaron  conjuntamente  su  peritaje</w:t>
        <w:br/>
        <w:t>sobre las condiciones de detención en Port of Spain, Trinidad y  Tobago,  de</w:t>
        <w:br/>
        <w:t>las personas a las que se refiere el presente Caso.</w:t>
        <w:br/>
        <w:br/>
        <w:t>Los peritos indicaron en su informe que los  prisioneros  permanecen  presos</w:t>
        <w:br/>
        <w:t>por períodos demasiado extensos y que los  detenidos  en  Port  of  Spain  y</w:t>
        <w:br/>
        <w:t>condenados a muerte, no cuentan con atención médica adecuada, son  sometidos</w:t>
        <w:br/>
        <w:t>a tratamientos crueles en algunos casos, viven en condiciones degradantes  y</w:t>
        <w:br/>
        <w:t>peligrosas para la salud y son privados del debido acceso al  aire  libre  y</w:t>
        <w:br/>
        <w:t>al ejercicio.</w:t>
        <w:br/>
        <w:br/>
        <w:t>Los peritos Coyle y Stern dictaminaron que la  combinación  de  todos  estos</w:t>
        <w:br/>
        <w:t>aspectos de un tratamiento carcelario  aplicado  rutinariamente  por  largos</w:t>
        <w:br/>
        <w:t>períodos de tiempo a los prisioneros, constituye un trato cruel, inhumano  o</w:t>
        <w:br/>
        <w:t>degradante que viola el  artículo  5.2  de  la  Convención  Americana  sobre</w:t>
        <w:br/>
        <w:t>Derechos Humanos.</w:t>
        <w:br/>
        <w:br/>
        <w:t xml:space="preserve">   c. Peritaje de Scharlette Holdman, sobre  la  naturaleza  y  rol  de  los</w:t>
        <w:br/>
        <w:t xml:space="preserve">      factores atenuantes en “casos capitales”  en  los  Estados  Unidos  de</w:t>
        <w:br/>
        <w:t xml:space="preserve">      América</w:t>
        <w:br/>
        <w:br/>
        <w:t>El informe pericial de  Scharlette  Holdman[85]  versa  sobre  los  factores</w:t>
        <w:br/>
        <w:t>atenuantes de la responsabilidad penal y la preparación de las pruebas  para</w:t>
        <w:br/>
        <w:t>demostrar las circunstancias de atenuación  en  casos  de  delitos  que  dan</w:t>
        <w:br/>
        <w:t>lugar, en principio, a la pena de muerte.  También describe las calidades  y</w:t>
        <w:br/>
        <w:t>responsabilidades de  los  especialistas  en  atenuación,  se  ocupa  de  la</w:t>
        <w:br/>
        <w:t>relevancia de  los  factores  atenuantes  en  las  diversas  etapas  de  los</w:t>
        <w:br/>
        <w:t>procesos penales y ofrece ejemplos de casos en que los  factores  atenuantes</w:t>
        <w:br/>
        <w:t>de responsabilidad han afectado el resultado de los procesos criminales.</w:t>
        <w:br/>
        <w:br/>
        <w:t>La Doctora Holdman estableció que  el  enfoque  centrado  en  la  atenuación</w:t>
        <w:br/>
        <w:t>ofrece explicaciones acerca de la conducta  del  agresor.   Está  basado  en</w:t>
        <w:br/>
        <w:t>“factores   que   son   formativos   del   desarrollo,   comportamiento    y</w:t>
        <w:br/>
        <w:t>funcionamiento del acusado”; sin embargo, también atiende a la naturaleza  y</w:t>
        <w:br/>
        <w:t>las circunstancias del delito, teniendo en cuenta que el  castigo  debe  ser</w:t>
        <w:br/>
        <w:t>proporcional al delito.</w:t>
        <w:br/>
        <w:br/>
        <w:t>Añadió la perito que el enfoque  de  la  atenuación  intenta  establecer  el</w:t>
        <w:br/>
        <w:t>alcance  de  la  responsabilidad  individual  en  la  ejecución  de  ciertas</w:t>
        <w:br/>
        <w:t>conductas, analizando aspectos del delincuente como el  historial  familiar,</w:t>
        <w:br/>
        <w:t>déficit  neurológico,   incapacidad   de   desarrollo   físico   y   mental,</w:t>
        <w:br/>
        <w:t>enfermedades  médicas  y  psiquiátricas,  retardo   mental,   funcionamiento</w:t>
        <w:br/>
        <w:t>intelectual,  influencias  étnicas  y  culturales,  situación   de   pobreza</w:t>
        <w:br/>
        <w:t>extrema,  ambiente  comunitario,  maltrato   infantil,   carácter   y   edad</w:t>
        <w:br/>
        <w:t>cronológica, entre otros.</w:t>
        <w:br/>
        <w:br/>
        <w:t>Las teorías de la atenuación se basan en el respeto por la singularidad  del</w:t>
        <w:br/>
        <w:t>individuo y exigen que se estudien el carácter y el récord del  ofensor,  ya</w:t>
        <w:br/>
        <w:t>que ello minimiza el riesgo de que la pena de muerte se  imponga  sin  tomar</w:t>
        <w:br/>
        <w:t>en cuenta factores que puedan llevar a aplicar una pena menos severa.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 b) PRUEBA PERICIAL</w:t>
        <w:br/>
        <w:br/>
        <w:t>77.   La Corte recibió en audiencia pública los días 20 y 21 de  febrero  de</w:t>
        <w:br/>
        <w:t>2002,  los  informes  de  los  tres  peritos  ofrecidos  por   la   Comisión</w:t>
        <w:br/>
        <w:t>Interamericana (supra párr. 52),  informes  cuyo  resumen  se  transcribe  a</w:t>
        <w:br/>
        <w:t>continuación, en el orden en que fueron presentados[86].</w:t>
        <w:br/>
        <w:br/>
        <w:t>a)    Desmond Allum[87], abogado, se refirió a la naturaleza de la “pena  de</w:t>
        <w:br/>
        <w:t>muerte obligatoria”,  al  ejercicio  de  la  prerrogativa  de  clemencia  en</w:t>
        <w:br/>
        <w:t>Trinidad y Tobago y a otros aspectos de la ley penal interna, incluyendo  la</w:t>
        <w:br/>
        <w:t>atinente a la evolución y estado actual  de  la  ley  sobre  divulgación  de</w:t>
        <w:br/>
        <w:t>información de la parte acusatoria (law of prosecutorial disclosure).</w:t>
        <w:br/>
        <w:br/>
        <w:t>El perito indicó que en Trinidad y Tobago no hay  una  práctica  consolidada</w:t>
        <w:br/>
        <w:t>en cuanto al tiempo en que una persona puede permanecer  detenida  luego  de</w:t>
        <w:br/>
        <w:t>ser arrestada y no existe una “cultura para mantener un  récord  escrito  en</w:t>
        <w:br/>
        <w:t>relación con las personas llevadas a la estación de policía”.  Ello  provoca</w:t>
        <w:br/>
        <w:t>falta de claridad respecto a la fecha de los arrestos efectuados.</w:t>
        <w:br/>
        <w:br/>
        <w:t>Agregó que no hay disposición alguna en Trinidad y  Tobago  que  imponga  al</w:t>
        <w:br/>
        <w:t>Estado la obligación de proveer asistencia legal para la defensa al  momento</w:t>
        <w:br/>
        <w:t>del arresto de una persona, y  que  los  procesados  sólo  pueden  solicitar</w:t>
        <w:br/>
        <w:t>dicha asistencia cuando son  llevados  por  primera  vez  ante  el  juez  de</w:t>
        <w:br/>
        <w:t>instrucción.  Muchas veces transcurren hasta seis semanas antes  de  que  se</w:t>
        <w:br/>
        <w:t>dé la primera visita del abogado al procesado.</w:t>
        <w:br/>
        <w:br/>
        <w:t>Asimismo, manifestó que el abogado que atiende el juicio no es el mismo  que</w:t>
        <w:br/>
        <w:t>interviene en  el  trámite  de  la  apelación  y  ello  produce  una  demora</w:t>
        <w:br/>
        <w:t>adicional en el procedimiento, ya que el segundo no sabe qué sucedió  en  la</w:t>
        <w:br/>
        <w:t>primera etapa del  proceso.   Además,  Trinidad  y  Tobago  no  reconoce  el</w:t>
        <w:br/>
        <w:t>derecho a que los procesados sean juzgados en un plazo razonable.</w:t>
        <w:br/>
        <w:br/>
        <w:t>El perito expresó que la imposición de la “pena  de  muerte  obligatoria”  a</w:t>
        <w:br/>
        <w:t>una persona acusada de privar de la vida intencionalmente a otra, puede  ser</w:t>
        <w:br/>
        <w:t>el resultado de una declaración emitida por el procesado  en  una  etapa  en</w:t>
        <w:br/>
        <w:t>que no tuvo acceso a un abogado, sin que le hubieren  comunicado  nunca  sus</w:t>
        <w:br/>
        <w:t>derechos en el juicio, y sin que  existiere  un  documento  escrito  u  otra</w:t>
        <w:br/>
        <w:t>evidencia que corrobore lo dicho por el acusado.</w:t>
        <w:br/>
        <w:br/>
        <w:t>En su declaración,  Desmond  Allum  opinó  que  las  Cortes  deberían  tener</w:t>
        <w:br/>
        <w:t>discreción para tomar en cuenta  las  circunstancias  individuales  de  cada</w:t>
        <w:br/>
        <w:t>inculpado, para determinar de acuerdo con ellas si la pena  de  muerte  debe</w:t>
        <w:br/>
        <w:t>ser  impuesta   o   no.   También   consideró   que   debería   existir   la</w:t>
        <w:br/>
        <w:t>individualización de la pena en casos de pena de muerte y que la  aplicación</w:t>
        <w:br/>
        <w:t>de este tipo de pena debería ser excepcional.</w:t>
        <w:br/>
        <w:br/>
        <w:t>b)    Nigel Eastman[88], psiquiatra  forense,  se  refirió  a  la  condición</w:t>
        <w:br/>
        <w:t>psiquiátrica de Amir Mowlah (Caso No. 12.153) y a la  afección  psiquiátrica</w:t>
        <w:br/>
        <w:t>que  posiblemente  padecía  al  momento  del  homicidio,  así  como   a   la</w:t>
        <w:br/>
        <w:t>pertinencia del examen psiquiátrico en el juicio en general.</w:t>
        <w:br/>
        <w:br/>
        <w:br/>
        <w:t>Indicó que en Trinidad y Tobago es escasa la  disponibilidad  de  asistencia</w:t>
        <w:br/>
        <w:t>psiquiátrica (general y forense), que hace falta experiencia y  capacitación</w:t>
        <w:br/>
        <w:t>en análisis legal entre los psiquiatras y que muchos de estos  prefieren  no</w:t>
        <w:br/>
        <w:t>trabajar en el área forense debido al clima político de apoyo a la  pena  de</w:t>
        <w:br/>
        <w:t>muerte.  Expresó que no existe una disposición legal que permita al  acusado</w:t>
        <w:br/>
        <w:t>de un delito de homicidio  intencional  ser  asesorado  por  un  psiquiatra,</w:t>
        <w:br/>
        <w:t>además de que no hay facilidades físicas disponibles  para  la  práctica  de</w:t>
        <w:br/>
        <w:t>otros procedimientos  propios  de  las  asesorías  psiquiátricas  y  de  las</w:t>
        <w:br/>
        <w:t>entrevistas y asesorías médicas básicas.</w:t>
        <w:br/>
        <w:br/>
        <w:t>El perito recomendó adoptar mejoras para  investigar  y  examinar  médica  y</w:t>
        <w:br/>
        <w:t>psiquiátricamente a los acusados en Trinidad y Tobago, especialmente en  los</w:t>
        <w:br/>
        <w:t>casos de pena de muerte, en vista de que  desórdenes  o  problemas  mentales</w:t>
        <w:br/>
        <w:t>pueden ser muy relevantes para la determinación de la culpabilidad.</w:t>
        <w:br/>
        <w:br/>
        <w:br/>
        <w:t>c)     Gaietry  Pargass[89],  abogada,  se  refirió  a  las  condiciones  de</w:t>
        <w:br/>
        <w:t>detención en  las  prisiones  estatales,  a  los  procedimientos  que  deben</w:t>
        <w:br/>
        <w:t>adoptarse para solicitar asistencia letrada y a las condiciones  que  rodean</w:t>
        <w:br/>
        <w:t>la ejecución de los condenados en Trinidad y Tobago.</w:t>
        <w:br/>
        <w:br/>
        <w:t>En  cuanto  a  las  condiciones  de  detención  indicó  que  en  la  prisión</w:t>
        <w:br/>
        <w:t>preventiva de la cárcel de Port of Spain en Trinidad y  Tobago,  existe  una</w:t>
        <w:br/>
        <w:t>sobrepoblación carcelaria extrema de hasta catorce prisioneros por celda  de</w:t>
        <w:br/>
        <w:t>diez por nueve pies.  En ciertas ocasiones no hay  espacio  suficiente  para</w:t>
        <w:br/>
        <w:t>tenderse a dormir, de manera que algunos prisioneros duermen sentados  o  de</w:t>
        <w:br/>
        <w:t>pie.  En esas celdas  permanecen  durante  períodos  de  dos  a  seis  años,</w:t>
        <w:br/>
        <w:t>correspondientes a la duración de la prisión preventiva.</w:t>
        <w:br/>
        <w:br/>
        <w:t>Señaló  también  que  en  aquella  cárcel  no  hay  facilidades   sanitarias</w:t>
        <w:br/>
        <w:t>adecuadas: se dispone sólo de un  balde  para  todos  los  ocupantes  de  la</w:t>
        <w:br/>
        <w:t>celda, el cual se vacía dos veces al día.   Además,  los  prisioneros  pasan</w:t>
        <w:br/>
        <w:t>veintitrés horas diarias dentro de sus celdas,  con  la  excepción  de  unos</w:t>
        <w:br/>
        <w:t>minutos en que salen por su comida.  Solamente unas tres veces a  la  semana</w:t>
        <w:br/>
        <w:t>los dejan  salir  a  hacer  ejercicio,  debido  a  que  no  hay  suficientes</w:t>
        <w:br/>
        <w:t>oficiales para su vigilancia.</w:t>
        <w:br/>
        <w:br/>
        <w:t>La perito aclaró que la situación cambia para aquéllos que son condenados  a</w:t>
        <w:br/>
        <w:t>pena de muerte, ya que estos disponen de una celda por persona.  De  acuerdo</w:t>
        <w:br/>
        <w:t>con el reglamento de la prisión, ellos deberían  salir  a  tomar  aire  y  a</w:t>
        <w:br/>
        <w:t>ejercitarse una hora al día, sin embargo  esa   disposición  no  se  cumple.</w:t>
        <w:br/>
        <w:t>Indicó también que ha habido quejas por la mala calidad de la  comida  y  la</w:t>
        <w:br/>
        <w:t>falta de ventilación y de luz en las celdas, -ésta última provoca  problemas</w:t>
        <w:br/>
        <w:t>en la visión, dolores en los ojos y deterioro general de  la  vista  de  los</w:t>
        <w:br/>
        <w:t>prisioneros-.</w:t>
        <w:br/>
        <w:br/>
        <w:t>En cuanto al procedimiento previo a su muerte en la horca, a los  condenados</w:t>
        <w:br/>
        <w:t>a pena  de  muerte  se  les  lee  una  orden  de  ejecución  por  parte  del</w:t>
        <w:br/>
        <w:t>superintendente  de  la  prisión.   Posteriormente,  estos  prisioneros  son</w:t>
        <w:br/>
        <w:t>trasladados a celdas en una sección llamada “F2”, que está muy cerca  de  la</w:t>
        <w:br/>
        <w:t>cámara de ejecución.  La pared y la puerta de la cámara de ejecución  tienen</w:t>
        <w:br/>
        <w:t>dibujos de una figura con una cuerda atada al cuello y un mensaje  que  dice</w:t>
        <w:br/>
        <w:t>algo como: “Usted ha venido aquí para ser  ejecutado”.   Esto  aterroriza  a</w:t>
        <w:br/>
        <w:t>los prisioneros y los deprime, -varios no pueden dormir debido a que  sufren</w:t>
        <w:br/>
        <w:t>pesadillas y menos  aún  comer-.   Además,  periódicamente  se  realiza  una</w:t>
        <w:br/>
        <w:t>revisión del peso de los  prisioneros  y  se  les  pregunta  acerca  de  sus</w:t>
        <w:br/>
        <w:t>comidas preferidas como parte de una indagación sobre sus últimos deseos.</w:t>
        <w:br/>
        <w:br/>
        <w:t>La perito manifestó  que  a  los  prisioneros  que  están  a  la  espera  de</w:t>
        <w:br/>
        <w:t>ejecución se les permite recibir dos visitas  de  familiares  y  amigos  por</w:t>
        <w:br/>
        <w:t>semana, de quince minutos cada una.  Deben solicitar todas las  visitas  por</w:t>
        <w:br/>
        <w:t>escrito en formularios especiales que se les entregan cada  diez  días,  por</w:t>
        <w:br/>
        <w:t>lo que  se  les  dificulta  en  extremo  ver  a  sus  abogados  en  caso  de</w:t>
        <w:br/>
        <w:t>emergencia.  Por otro lado, los reos en prisión preventiva  reciben  visitas</w:t>
        <w:br/>
        <w:t>con menos frecuencia y sólo se les entregan  formularios  cada  mes.   Estos</w:t>
        <w:br/>
        <w:t>son revisados y censurados en una oficina de control en la prisión  y  luego</w:t>
        <w:br/>
        <w:t>se envían por correo a las personas cuya visita quiere recibir el recluso.</w:t>
        <w:br/>
        <w:br/>
        <w:t>En cuanto a los servicios médicos para los prisioneros,  la  perito  Gaietry</w:t>
        <w:br/>
        <w:t>Pargass informó que  hay  un  solo  médico  para  la  atención  de  toda  la</w:t>
        <w:br/>
        <w:t>población carcelaria, pero los prisioneros en espera  de  ejecución  cuentan</w:t>
        <w:br/>
        <w:t>con un funcionario que tiene un entrenamiento básico  en  enfermería  y  que</w:t>
        <w:br/>
        <w:t>los visita en la mañana y en la tarde y  les  administra  medicamentos  para</w:t>
        <w:br/>
        <w:t>problemas pequeños como dolores de cabeza y otros similares.</w:t>
        <w:br/>
        <w:br/>
        <w:t>La perito concluyó reiterando que los prisioneros viven  en  condiciones  de</w:t>
        <w:br/>
        <w:t>hacinamiento durante un período aproximado de dos  a  seis  años,  desde  su</w:t>
        <w:br/>
        <w:t>arresto hasta su condena y a pesar de sus múltiples quejas no puede  hacerse</w:t>
        <w:br/>
        <w:t>mucho ya que no hay espacio  suficiente  en  las  prisiones  de  Trinidad  y</w:t>
        <w:br/>
        <w:t>Tobago.</w:t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 c) VALORACIÓN DE LA PRUEBA</w:t>
        <w:br/>
        <w:br/>
        <w:t>78.   La Corte apreciará en este caso el valor probatorio de los  documentos</w:t>
        <w:br/>
        <w:t>y peritajes  presentados  y  rendidos  ante  ella.   La  prueba  presentada,</w:t>
        <w:br/>
        <w:t>durante todas las etapas del proceso, en los tres casos de cuya  acumulación</w:t>
        <w:br/>
        <w:t>resulta éste, ha sido  integrada  a  un  mismo  acervo  probatorio,  que  se</w:t>
        <w:br/>
        <w:t>considera como un todo único[90].</w:t>
        <w:br/>
        <w:br/>
        <w:t>79.   En cuanto a la prueba presentada por la Comisión  Interamericana  para</w:t>
        <w:br/>
        <w:t>los tres casos, la Corte señala que:</w:t>
        <w:br/>
        <w:br/>
        <w:t xml:space="preserve">   a) En lo relativo a los documentos relacionados con el juicio,  sentencia</w:t>
        <w:br/>
        <w:t xml:space="preserve">      y apelación de las presuntas víctimas ante  los  tribunales  internos,</w:t>
        <w:br/>
        <w:t xml:space="preserve">      que fueron anexados por la Comisión a las demandas en  cada  caso,  la</w:t>
        <w:br/>
        <w:t xml:space="preserve">      Corte ha comprobado que  poseen  la  debida  autenticidad  ya  que  no</w:t>
        <w:br/>
        <w:t xml:space="preserve">      presentan imperfecciones y reúnen los requisitos formales  mínimos  de</w:t>
        <w:br/>
        <w:t xml:space="preserve">      admisibilidad en virtud de que provienen de fuentes fidedignas, por lo</w:t>
        <w:br/>
        <w:t xml:space="preserve">      que disponen de un evidente valor probatorio.</w:t>
        <w:br/>
        <w:br/>
        <w:br/>
        <w:t xml:space="preserve">   b) En cuanto a la legislación pertinente de Trinidad y Tobago, esta Corte</w:t>
        <w:br/>
        <w:t xml:space="preserve">      considera que debe ser admitida con carácter de  prueba  documental  y</w:t>
        <w:br/>
        <w:t xml:space="preserve">      que podrá ser apreciada como medio probatorio idóneo para  corroborar,</w:t>
        <w:br/>
        <w:t xml:space="preserve">      en lo pertinente, los hechos planteados en las demandas y los alegatos</w:t>
        <w:br/>
        <w:t xml:space="preserve">      de las partes en el presente Caso.</w:t>
        <w:br/>
        <w:br/>
        <w:t xml:space="preserve">   c) En relación con la jurisprudencia de  los  tribunales  de  Trinidad  y</w:t>
        <w:br/>
        <w:t xml:space="preserve">      Tobago, del Privy Council y de otras jurisdicciones, presentada por la</w:t>
        <w:br/>
        <w:t xml:space="preserve">      Comisión en sus demandas, ésta puede ser objeto del mismo  tratamiento</w:t>
        <w:br/>
        <w:t xml:space="preserve">      señalado en el literal anterior; y, por tanto, incorporada  al  acervo</w:t>
        <w:br/>
        <w:t xml:space="preserve">      probatorio examinado en este caso.</w:t>
        <w:br/>
        <w:br/>
        <w:t>80.   Por consiguiente, el Tribunal admite el valor probatorio  de  aquellos</w:t>
        <w:br/>
        <w:t>documentos presentados por las partes en  la  debida  oportunidad  procesal,</w:t>
        <w:br/>
        <w:t>que no fueron controvertidos ni cuya autenticidad fue puesta en duda.</w:t>
        <w:br/>
        <w:br/>
        <w:t>81.   En cuanto a  los  peritajes  rendidos  en  la  audiencia  pública  por</w:t>
        <w:br/>
        <w:t>Desmond Allum, Nigel Eastman y  Gaietry  Pargass  (supra  párr.  52)  y  los</w:t>
        <w:br/>
        <w:t>informes periciales escritos y sus respectivos anexos, presentados  por  los</w:t>
        <w:br/>
        <w:t>peritos Thomas A. Warlow, Desmond Allum, Gaietry  Pargass,  Vivien  Stern  y</w:t>
        <w:br/>
        <w:t>Andrew Coyle, Scharlette Holdman y Nigel Eastman (supra párrs. 48 y 50),  la</w:t>
        <w:br/>
        <w:t>Corte los tiene como válidos y los aprecia en todo lo que concuerde  con  el</w:t>
        <w:br/>
        <w:t>objeto oportunamente propuesto por la parte que los ofreció en cada  uno  de</w:t>
        <w:br/>
        <w:t>los casos.</w:t>
        <w:br/>
        <w:br/>
        <w:t>82.   Vistos los informes  periciales  conjuntamente  con  el  resto  de  la</w:t>
        <w:br/>
        <w:t>prueba, y apreciándolos de acuerdo con las reglas de la sana  crítica  y  la</w:t>
        <w:br/>
        <w:t>experiencia, la Corte considera que aquéllos permiten  inferir  conclusiones</w:t>
        <w:br/>
        <w:t>consistentes sobre los hechos.  En  concordancia  con  estos  criterios,  la</w:t>
        <w:br/>
        <w:t>Corte atribuye un alto valor probatorio a las declaraciones de los  peritos,</w:t>
        <w:br/>
        <w:t>dentro  de  los  contextos  y  circunstancias  conformados  por  los  hechos</w:t>
        <w:br/>
        <w:t>referentes a cada una de  las  presuntas  víctimas,  puesto  que  de  dichas</w:t>
        <w:br/>
        <w:t>declaraciones se derivan medios de prueba esenciales  para  los  efectos  de</w:t>
        <w:br/>
        <w:t>este caso.</w:t>
        <w:br/>
        <w:br/>
        <w:t>83.   Es pertinente reiterar que el Estado tuvo la posibilidad de  presentar</w:t>
        <w:br/>
        <w:t>sus propios testigos o peritos y de rechazar las pruebas aportadas  por  las</w:t>
        <w:br/>
        <w:t>partes en las diferentes etapas procesales de este caso, pero no lo hizo.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            VIII</w:t>
        <w:br/>
        <w:br/>
        <w:br/>
        <w:t xml:space="preserve">                               HECHOS PROBADOS</w:t>
        <w:br/>
        <w:br/>
        <w:br/>
        <w:t>84.   La Corte procede ahora a hacer una relación de los  hechos  relevantes</w:t>
        <w:br/>
        <w:t>que estima probados a través de las actuaciones del presente Caso  con  base</w:t>
        <w:br/>
        <w:t>en la evidencia así como de la prueba documental (entre la cual  destaca  la</w:t>
        <w:br/>
        <w:t>legislación interna de Trinidad y Tobago) y la prueba pericial:</w:t>
        <w:br/>
        <w:br/>
        <w:t xml:space="preserve">     a) Todas las presuntas víctimas fueron juzgadas, declaradas  culpables</w:t>
        <w:br/>
        <w:t xml:space="preserve">        de homicidio intencional en Trinidad y Tobago y condenadas a  morir</w:t>
        <w:br/>
        <w:t xml:space="preserve">        de acuerdo con la Ley de Delitos contra la Persona  vigente  en  el</w:t>
        <w:br/>
        <w:t xml:space="preserve">        Estado desde el 3 de abril de 1925[91].</w:t>
        <w:br/>
        <w:br/>
        <w:t xml:space="preserve">     b) La Ley de Delitos contra la Persona prescribe  la  pena  de  muerte</w:t>
        <w:br/>
        <w:t xml:space="preserve">        como   única   condena   aplicable   al   delito    de    homicidio</w:t>
        <w:br/>
        <w:t xml:space="preserve">        intencional[92].</w:t>
        <w:br/>
        <w:br/>
        <w:t xml:space="preserve">     c) La Sección 3 de la Ley de Delitos contra la Persona  adopta  de  la</w:t>
        <w:br/>
        <w:t xml:space="preserve">        legislación inglesa la definición de homicidio intencional, la cual</w:t>
        <w:br/>
        <w:t xml:space="preserve">        a su vez establece que un acusado debe ser condenado por  homicidio</w:t>
        <w:br/>
        <w:t xml:space="preserve">        intencional si se determina que dio muerte  ilegítimamente  a  otra</w:t>
        <w:br/>
        <w:t xml:space="preserve">        persona  con  intención  de  matarla  o   causarle   grave   lesión</w:t>
        <w:br/>
        <w:t xml:space="preserve">        corporal[93].</w:t>
        <w:br/>
        <w:br/>
        <w:t xml:space="preserve">     d) La Ley de Delitos contra la Persona permite que un jurado considere</w:t>
        <w:br/>
        <w:t xml:space="preserve">        ciertas circunstancias determinantes del homicidio para  establecer</w:t>
        <w:br/>
        <w:t xml:space="preserve">        si el acusado debe ser encontrado culpable del delito de  homicidio</w:t>
        <w:br/>
        <w:t xml:space="preserve">        intencional, o de un delito de menor gravedad[94].</w:t>
        <w:br/>
        <w:br/>
        <w:t xml:space="preserve">     e) La Ley de Delitos contra la Persona no permite al juez o al  jurado</w:t>
        <w:br/>
        <w:t xml:space="preserve">        considerar, para efectos de graduar  la  pena,  las  circunstancias</w:t>
        <w:br/>
        <w:t xml:space="preserve">        particulares del delito o del acusado, una vez  que  éste  ha  sido</w:t>
        <w:br/>
        <w:t xml:space="preserve">        encontrado culpable de homicidio intencional[95].</w:t>
        <w:br/>
        <w:br/>
        <w:t xml:space="preserve">     f) El artículo 6 de la Constitución de  la  República  de  Trinidad  y</w:t>
        <w:br/>
        <w:t xml:space="preserve">        Tobago prohíbe impugnar, en función de las secciones 4 y  5  de  la</w:t>
        <w:br/>
        <w:t xml:space="preserve">        misma, toda ley o acto adoptado en virtud de cualquier ley  vigente</w:t>
        <w:br/>
        <w:t xml:space="preserve">        en el Estado antes de 1976, año en que entró en vigor la mencionada</w:t>
        <w:br/>
        <w:t xml:space="preserve">        Constitución[96].</w:t>
        <w:br/>
        <w:br/>
        <w:t xml:space="preserve">     g) Las 32 personas a las que se refiere este  caso,  acudieron  a  los</w:t>
        <w:br/>
        <w:t xml:space="preserve">        procedimientos  internos  respectivos  para  la  revisión  de   sus</w:t>
        <w:br/>
        <w:t xml:space="preserve">        condenas (supra párr. 60).</w:t>
        <w:br/>
        <w:br/>
        <w:t xml:space="preserve">     h) De acuerdo con la Constitución de la República de Trinidad y Tobago</w:t>
        <w:br/>
        <w:t xml:space="preserve">        el Presidente de la República dispone de la  facultad  discrecional</w:t>
        <w:br/>
        <w:t xml:space="preserve">        de indultar a los condenados a muerte[97].</w:t>
        <w:br/>
        <w:br/>
        <w:t xml:space="preserve">     i) La mencionada Constitución establece  un  Comité  Asesor  sobre  la</w:t>
        <w:br/>
        <w:t xml:space="preserve">        Facultad del Indulto que formula recomendaciones  al  Ministro  del</w:t>
        <w:br/>
        <w:t xml:space="preserve">        área correspondiente acerca  de  si  las  personas  sentenciadas  a</w:t>
        <w:br/>
        <w:t xml:space="preserve">        muerte deben o no beneficiarse del indulto[98].</w:t>
        <w:br/>
        <w:br/>
        <w:t xml:space="preserve">     j) En los casos de algunas de  las  presuntas  víctimas  (infra  párr.</w:t>
        <w:br/>
        <w:t xml:space="preserve">        152.a y 152.b) no se respetaron las garantías del debido proceso en</w:t>
        <w:br/>
        <w:t xml:space="preserve">        la fase previa al juicio, durante el desarrollo de  éste  y  en  la</w:t>
        <w:br/>
        <w:t xml:space="preserve">        etapa de apelación, en virtud de diversos factores como  la  demora</w:t>
        <w:br/>
        <w:t xml:space="preserve">        injustificada en los procesos  y  la  falta  de  disponibilidad  de</w:t>
        <w:br/>
        <w:t xml:space="preserve">        asistencia letrada y de otros tipos de asistencia especializada.</w:t>
        <w:br/>
        <w:br/>
        <w:t xml:space="preserve">     k) La Constitución de la República de Trinidad y Tobago no consagra el</w:t>
        <w:br/>
        <w:t xml:space="preserve">        derecho a ser juzgado  dentro  de  un  plazo  razonable  entre  las</w:t>
        <w:br/>
        <w:t xml:space="preserve">        garantías del debido proceso[99].</w:t>
        <w:br/>
        <w:br/>
        <w:t xml:space="preserve">     l) En los casos de treinta de las presuntas víctimas[100]  los  plazos</w:t>
        <w:br/>
        <w:t xml:space="preserve">        que mediaron entre el arresto y  la  respectiva  decisión  judicial</w:t>
        <w:br/>
        <w:t xml:space="preserve">        final, presentan una duración que va desde un mínimo de cuatro años</w:t>
        <w:br/>
        <w:t xml:space="preserve">        (Peter Benjamin) hasta un máximo de once años y nueve meses  (Wayne</w:t>
        <w:br/>
        <w:t xml:space="preserve">        Matthews) (supra párr. 60 e infra párr. 152.a).</w:t>
        <w:br/>
        <w:br/>
        <w:t xml:space="preserve">     m) La detención previa y posterior al juicio de  todas  las  presuntas</w:t>
        <w:br/>
        <w:t xml:space="preserve">        víctimas se realizó en condiciones de agudo hacinamiento y falta de</w:t>
        <w:br/>
        <w:t xml:space="preserve">        higiene.  En cuanto a su situación con posterioridad a la  condena,</w:t>
        <w:br/>
        <w:t xml:space="preserve">        sus celdas, llamadas celdas “F2”, carecen de suficiente ventilación</w:t>
        <w:br/>
        <w:t xml:space="preserve">        y de iluminación natural, y están ubicadas, como también ocurre con</w:t>
        <w:br/>
        <w:t xml:space="preserve">        las duchas que dichas personas  utilizan,  en  la  cercanía  de  la</w:t>
        <w:br/>
        <w:t xml:space="preserve">        cámara de ejecución (horca).  Los condenados carecen de condiciones</w:t>
        <w:br/>
        <w:t xml:space="preserve">        de alimentación, atención médica y  recreación  adecuadas,  lo  que</w:t>
        <w:br/>
        <w:t xml:space="preserve">        incrementa el sufrimiento mental de estas  personas  (supra  párrs.</w:t>
        <w:br/>
        <w:t xml:space="preserve">        76.b y 77.c).</w:t>
        <w:br/>
        <w:br/>
        <w:t xml:space="preserve">     n) Sólo veintiuna de las presuntas víctimas de este caso[101] alegaron</w:t>
        <w:br/>
        <w:t xml:space="preserve">        haber permanecido encarceladas bajo  condiciones  de  hacinamiento,</w:t>
        <w:br/>
        <w:t xml:space="preserve">        falta de higiene y otras condiciones de detención inadecuadas desde</w:t>
        <w:br/>
        <w:t xml:space="preserve">        el momento de su arresto.   Sin  embargo,  sobre  la  base  de  las</w:t>
        <w:br/>
        <w:t xml:space="preserve">        evidencias recogidas, esta Corte  tiene  como  probado  que  dichas</w:t>
        <w:br/>
        <w:t xml:space="preserve">        condiciones de detención son características del sistema carcelario</w:t>
        <w:br/>
        <w:t xml:space="preserve">        trinitario y ha  concluido,  por  ello,  que  todas  las  supuestas</w:t>
        <w:br/>
        <w:t xml:space="preserve">        víctimas del presente Caso  han  estado  sometidas  a  las  mismas,</w:t>
        <w:br/>
        <w:t xml:space="preserve">        conforme a lo señalado en el párrafo anterior.</w:t>
        <w:br/>
        <w:br/>
        <w:t xml:space="preserve">     o) Las condiciones de detención  descritas  agravan  los  sufrimientos</w:t>
        <w:br/>
        <w:t xml:space="preserve">        anímicos a  los  que  ya  se  encuentran  sometidas  las  presuntas</w:t>
        <w:br/>
        <w:t xml:space="preserve">        víctimas por el hecho de que la pena de muerte pende sobre ellas.</w:t>
        <w:br/>
        <w:br/>
        <w:t xml:space="preserve">     p) De las 32 presuntas víctimas parte del presente  Caso,  treinta  se</w:t>
        <w:br/>
        <w:t xml:space="preserve">        encuentran detenidas en las prisiones de Trinidad  y  Tobago  y  en</w:t>
        <w:br/>
        <w:t xml:space="preserve">        espera de su ejecución en la horca, siendo las  únicas  excepciones</w:t>
        <w:br/>
        <w:t xml:space="preserve">        Joey Ramiah (Caso No. 12.129), por cuanto fue  ejecutado,  y  Wayne</w:t>
        <w:br/>
        <w:t xml:space="preserve">        Matthews (Caso No. 12.076), por cuanto su pena fue conmutada.</w:t>
        <w:br/>
        <w:br/>
        <w:br/>
        <w:t xml:space="preserve">     q) El 27 de enero de 1999 el Comité Judicial del Privy Council  ordenó</w:t>
        <w:br/>
        <w:t xml:space="preserve">        suspender la ejecución de las penas de muerte de las personas a las</w:t>
        <w:br/>
        <w:t xml:space="preserve">        que se refiere este caso hasta que la Comisión y la Corte adoptaran</w:t>
        <w:br/>
        <w:t xml:space="preserve">        las decisiones que les competen para dar amparo a esas personas  de</w:t>
        <w:br/>
        <w:t xml:space="preserve">        acuerdo con la  Convención  Americana.   Estableció,  asimismo,  el</w:t>
        <w:br/>
        <w:t xml:space="preserve">        mencionado Comité que la ejecución de las  sentencias  de  pena  de</w:t>
        <w:br/>
        <w:t xml:space="preserve">        muerte  sin  esperar  la  decisión  de  la  Comisión  y  la   Corte</w:t>
        <w:br/>
        <w:t xml:space="preserve">        constituiría una violación de los derechos constitucionales[102] de</w:t>
        <w:br/>
        <w:t xml:space="preserve">        las presuntas víctimas de este caso.</w:t>
        <w:br/>
        <w:br/>
        <w:t xml:space="preserve">     r) El 4 de junio de 1999 el Estado de Trinidad y Tobago ejecutó a Joey</w:t>
        <w:br/>
        <w:t xml:space="preserve">        Ramiah  luego  de  haber  sido  declarado  culpable  de   homicidio</w:t>
        <w:br/>
        <w:t xml:space="preserve">        intencional y haber sido condenado a la pena de muerte en la  horca</w:t>
        <w:br/>
        <w:t xml:space="preserve">        (infra párrs. 190-200) a pesar de existir una medida provisional  a</w:t>
        <w:br/>
        <w:t xml:space="preserve">        su favor, por virtud de la cual esta  Corte  le  ordenó  al  Estado</w:t>
        <w:br/>
        <w:t xml:space="preserve">        abstenerse de quitarle la vida.</w:t>
        <w:br/>
        <w:br/>
        <w:t xml:space="preserve">     s) El 7 de  febrero  de  2000  Wayne  Matthews  fue  informado  de  la</w:t>
        <w:br/>
        <w:t xml:space="preserve">        conmutación de su pena de muerte por la pena de 75 años de prisión.</w:t>
        <w:br/>
        <w:br/>
        <w:br/>
        <w:br/>
        <w:t xml:space="preserve">     t) Los representantes de las supuestas víctimas incurrieron en  gastos</w:t>
        <w:br/>
        <w:t xml:space="preserve">        en la tramitación de sus casos ante el sistema interamericano.</w:t>
        <w:br/>
        <w:br/>
        <w:br/>
        <w:t xml:space="preserve">                                     IX</w:t>
        <w:br/>
        <w:t xml:space="preserve">  VIOLACIÓN DEL ARTÍCULO 4.1 Y 4.2 EN RELACIÓN CON LOS ARTÍCULOS 1.1 Y 2 DE</w:t>
        <w:br/>
        <w:t xml:space="preserve">                           LA CONVENCIÓN AMERICANA</w:t>
        <w:br/>
        <w:t xml:space="preserve">                        (Pena de Muerte Obligatoria)</w:t>
        <w:br/>
        <w:br/>
        <w:t>Alegatos de la Comisión</w:t>
        <w:br/>
        <w:br/>
        <w:t>85.   La Comisión alegó que el Estado es responsable de la violación  de  la</w:t>
        <w:br/>
        <w:t>Convención Americana por el arresto, detención, juicio, condena y  sentencia</w:t>
        <w:br/>
        <w:t>a muerte en la horca de las 32 supuestas víctimas del presente  Caso  (supra</w:t>
        <w:br/>
        <w:t>párr. 2), efectuados en virtud de la Ley de Delitos  contra  la  Persona  de</w:t>
        <w:br/>
        <w:t>Trinidad y Tobago, que data de 1925.</w:t>
        <w:br/>
        <w:br/>
        <w:t>86.   Agregó que de conformidad con la  sección  4  de  la  Ley  de  Delitos</w:t>
        <w:br/>
        <w:t>contra la Persona, una vez que se establece que el acusado  es  culpable  de</w:t>
        <w:br/>
        <w:t>homicidio intencional  se  impone  “obligatoriamente”  la  pena  de  muerte,</w:t>
        <w:br/>
        <w:t>porque dicha sección dispone  que  “toda  persona  condenada  por  homicidio</w:t>
        <w:br/>
        <w:t>intencional sufrirá la muerte”[103].</w:t>
        <w:br/>
        <w:br/>
        <w:t>87.   Además, la Comisión señaló que la legislación de Trinidad y Tobago  no</w:t>
        <w:br/>
        <w:t>permite que un tribunal considere las circunstancias personales del  acusado</w:t>
        <w:br/>
        <w:t>o  las  características  de  su  delito  cuando  se   trate   de   homicidio</w:t>
        <w:br/>
        <w:t>intencional.  Entre esas circunstancias mencionó  los  antecedentes  penales</w:t>
        <w:br/>
        <w:t>del procesado, los  factores  subjetivos  que  pudieran  haber  motivado  su</w:t>
        <w:br/>
        <w:t>comportamiento, el grado de participación que tuvo en el  acto  delictivo  y</w:t>
        <w:br/>
        <w:t>la probabilidad de que se reforme o  readapte  socialmente.   Tampoco  puede</w:t>
        <w:br/>
        <w:t>valorar si la pena de muerte es la sanción adecuada  en  el  caso  concreto,</w:t>
        <w:br/>
        <w:t>según las circunstancias particulares de la conducta que  se  le  imputa  al</w:t>
        <w:br/>
        <w:t>sujeto.</w:t>
        <w:br/>
        <w:br/>
        <w:t>88.   Agregó la Comisión  que  la  disposición  sobre  la  “pena  de  muerte</w:t>
        <w:br/>
        <w:t>obligatoria” en Trinidad y Tobago conduce a que se imponga aquélla  a  todas</w:t>
        <w:br/>
        <w:t>las personas responsables de homicidio intencional, sin tomar en cuenta  las</w:t>
        <w:br/>
        <w:t>circunstancias atenuantes o agravantes que  concurren  en  el  caso  ni  los</w:t>
        <w:br/>
        <w:t>diversos  grados  de  culpabilidad.   Todo  ello  atenta,  a  juicio  de  la</w:t>
        <w:br/>
        <w:t>Comisión, contra la dignidad inherente al ser  humano  y  el  derecho  a  un</w:t>
        <w:br/>
        <w:t>trato humano de conformidad con el artículo  5.1  y  5.2  de  la  Convención</w:t>
        <w:br/>
        <w:t>Americana.</w:t>
        <w:br/>
        <w:br/>
        <w:t>89.   La Comisión añadió que  la  “imposición  obligatoria  de  la  pena  de</w:t>
        <w:br/>
        <w:t>muerte”, es decir, la circunstancia de que la pena de muerte  sea  el  único</w:t>
        <w:br/>
        <w:t>castigo aplicable en casos de homicidio intencional, elimina la  posibilidad</w:t>
        <w:br/>
        <w:t>de razonar la individualización de la pena, impide establecer  una  conexión</w:t>
        <w:br/>
        <w:t>racional y proporcional entre el inculpado, el delito y el castigo  impuesto</w:t>
        <w:br/>
        <w:t>y no permite una revisión judicial de la decisión adoptada, en los  términos</w:t>
        <w:br/>
        <w:t>consagrados en la Convención Americana.</w:t>
        <w:br/>
        <w:br/>
        <w:t>90.   En concordancia con lo anterior, la Comisión Interamericana señaló  en</w:t>
        <w:br/>
        <w:t>sus alegatos finales que la imposición de la “pena de muerte obligatoria”  a</w:t>
        <w:br/>
        <w:t>todas las personas condenadas por homicidio intencional,  sin  analizar  las</w:t>
        <w:br/>
        <w:t>características propias del delito y del acusado  y  sin  considerar  si  la</w:t>
        <w:br/>
        <w:t>pena de muerte es la condena apropiada para el caso, transforma  dicha  pena</w:t>
        <w:br/>
        <w:t>en una sanción  inhumana  e  injusta  que  comporta  una  violación  de  los</w:t>
        <w:br/>
        <w:t>artículos 4.1, 4.2, 5.1, 5.2 y 8.1 en relación con el  artículo  1.1  de  la</w:t>
        <w:br/>
        <w:t>Convención Americana.</w:t>
        <w:br/>
        <w:br/>
        <w:br/>
        <w:t>91.   La Comisión sostuvo que los artículos 4, 5 y 8 de la Convención  deben</w:t>
        <w:br/>
        <w:t>interpretarse en el sentido  de  que  obligan  a  los  tribunales  a  dictar</w:t>
        <w:br/>
        <w:t>“sentencias individualizadas” o sea, a ejercer una  cierta  discrecionalidad</w:t>
        <w:br/>
        <w:t>–si bien una discrecionalidad acotada– para  considerar  las  circunstancias</w:t>
        <w:br/>
        <w:t>atenuantes o agravantes que obran en cada caso concreto.</w:t>
        <w:br/>
        <w:br/>
        <w:t>92.   Finalmente, la Comisión indicó que la “pena de muerte obligatoria”  es</w:t>
        <w:br/>
        <w:t>incompatible con  los  esquemas  de  protección  más  fundamentales  de  los</w:t>
        <w:br/>
        <w:t>derechos humanos y que en esto coincide con las conclusiones a las  que  han</w:t>
        <w:br/>
        <w:t>llegado órganos supervisores internacionales e internos que han  considerado</w:t>
        <w:br/>
        <w:t>el asunto, como la propia Corte Interamericana  y  el  Comité  Judicial  del</w:t>
        <w:br/>
        <w:t>Privy Council, quien  expidió  recientemente  una  decisión  en  el  sentido</w:t>
        <w:br/>
        <w:t>señalado, en el Caso Reyes v. The Queen.  La Comisión precisó que  según  la</w:t>
        <w:br/>
        <w:t>jurisprudencia de esta Corte, la  aplicación  de  la  pena  de  muerte  debe</w:t>
        <w:br/>
        <w:t>sujetarse a garantías judiciales  y  requisitos  procesales  muy  rigurosos,</w:t>
        <w:br/>
        <w:t>cuya observancia debe ser estrictamente  vigilada  y  revisada  por  órganos</w:t>
        <w:br/>
        <w:t>judiciales internos de jerarquía superior.</w:t>
        <w:br/>
        <w:br/>
        <w:br/>
        <w:t>Alegatos de los representantes de las presuntas víctimas</w:t>
        <w:br/>
        <w:br/>
        <w:br/>
        <w:t>93.   Los representantes de  las  supuestas  víctimas  indicaron  que  éstas</w:t>
        <w:br/>
        <w:t>fueron condenadas por homicidio intencional y  sentenciadas  automáticamente</w:t>
        <w:br/>
        <w:t>a la muerte en la horca, en aplicación  de  la  Ley  de  Delitos  contra  la</w:t>
        <w:br/>
        <w:t>Persona,  de  1925,  sin  que  se  efectuara  valoración   alguna   de   las</w:t>
        <w:br/>
        <w:t>circunstancias  particulares  del  delito,  ni   de   los   antecedentes   o</w:t>
        <w:br/>
        <w:t>características personales del justiciable.  De este modo, cada una  de  las</w:t>
        <w:br/>
        <w:t>32 presuntas víctimas fue procesada de acuerdo con un sistema legal  que  no</w:t>
        <w:br/>
        <w:t>permitió que se le acusara por un homicidio de  menor  gravedad  (“homicidio</w:t>
        <w:br/>
        <w:t>no capital”) e impidió el ejercicio de  la  discrecionalidad  judicial  para</w:t>
        <w:br/>
        <w:t>imponer una sentencia de menor severidad.  Esto comporta  una  violación  de</w:t>
        <w:br/>
        <w:t>los artículos 4.1, 4.2, 5.1, 5.2 y 8.1 en relación con el  artículo  1.1  de</w:t>
        <w:br/>
        <w:t>la Convención Americana.</w:t>
        <w:br/>
        <w:br/>
        <w:t>94.   Los representantes consideraron que cuando un Estado mantiene la  pena</w:t>
        <w:br/>
        <w:t>de  muerte,  debe  instituir  un  sistema  de  clasificación  del  homicidio</w:t>
        <w:br/>
        <w:t>intencional  de  acuerdo  con  diversos  grados  de  culpabilidad,  con   el</w:t>
        <w:br/>
        <w:t>propósito de que dicha pena se imponga sólo en  relación  con  los  crímenes</w:t>
        <w:br/>
        <w:t>más graves.</w:t>
        <w:br/>
        <w:br/>
        <w:t>95.   Igualmente, indicaron que la clasificación o calificación del  delito,</w:t>
        <w:br/>
        <w:t>por sí sola,  no  es  suficiente  para  determinar  la  pena.   Se  requiere</w:t>
        <w:br/>
        <w:t>considerar  las  circunstancias  particulares  del  hecho,  así   como   los</w:t>
        <w:br/>
        <w:t>antecedentes y las características del acusado, antes de imponer a  éste  la</w:t>
        <w:br/>
        <w:t>pena más severa, en virtud de que debe haber proporcionalidad entre la  pena</w:t>
        <w:br/>
        <w:t>y el delito cometido.</w:t>
        <w:br/>
        <w:br/>
        <w:t>96.   Los representantes de las presuntas víctimas agregaron  que  según  el</w:t>
        <w:br/>
        <w:t>Royal Commission on Capital Punishment[104]</w:t>
        <w:br/>
        <w:br/>
        <w:t xml:space="preserve">      [t]al vez no hay ninguna clase de delitos que varíe tan ampliamente en</w:t>
        <w:br/>
        <w:t xml:space="preserve">      lo que respecta a su carácter y culpabilidad como la  clase  compuesta</w:t>
        <w:br/>
        <w:t xml:space="preserve">      por los delitos que recaen dentro de la […]  definición  de  homicidio</w:t>
        <w:br/>
        <w:t xml:space="preserve">      propia del derecho consuetudinario […] podemos  observar  la  [amplia]</w:t>
        <w:br/>
        <w:t xml:space="preserve">      variedad de delitos a los cuales corresponde uniformemente la pena  de</w:t>
        <w:br/>
        <w:t xml:space="preserve">      muerte.  Los condenados pueden ser hombres o mujeres, jóvenes, niñas o</w:t>
        <w:br/>
        <w:t xml:space="preserve">      personas apenas mayores que niños.  Pueden ser normales o  deficientes</w:t>
        <w:br/>
        <w:t xml:space="preserve">      mentales, neuróticos, epilépticos, individuos al  borde  la  locura  o</w:t>
        <w:br/>
        <w:t xml:space="preserve">      dementes; y en cada  caso,  los  mentalmente  anormales  pueden  verse</w:t>
        <w:br/>
        <w:t xml:space="preserve">      afectados de diferente manera por su anormalidad […][105].</w:t>
        <w:br/>
        <w:br/>
        <w:t>97.   Los mismos representantes  señalaron  que  en  otros  países[106]  del</w:t>
        <w:br/>
        <w:t>Commonwealth se ha distinguido entre el homicidio  intencional,  al  que  se</w:t>
        <w:br/>
        <w:t>califica como capital o de primer grado, y el  homicidio  no  capital  o  de</w:t>
        <w:br/>
        <w:t>segundo grado.  El primero[107] conlleva como  castigo,  algunas  veces,  la</w:t>
        <w:br/>
        <w:t>pena de muerte, mientras que el segundo no.   Se  han  hecho  intentos  para</w:t>
        <w:br/>
        <w:t>introducir dicha distinción en Trinidad y Tobago mediante una reforma  a  la</w:t>
        <w:br/>
        <w:t>Ley de Delitos contra la Persona[108], que a pesar de  haber  sido  aprobada</w:t>
        <w:br/>
        <w:t>por el Senado, no ha sido promulgada aún.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br/>
        <w:t>Consideraciones de la Corte</w:t>
        <w:br/>
        <w:br/>
        <w:br/>
        <w:t>98.   Después de considerar los  argumentos  de  las  partes,  la  Corte  se</w:t>
        <w:br/>
        <w:t>pronunciará sobre  la  “pena  de  muerte  obligatoria”.   Para  ello  estima</w:t>
        <w:br/>
        <w:t>pertinente recordar que el artículo 4 de la Convención Americana dispone:</w:t>
        <w:br/>
        <w:br/>
        <w:br/>
        <w:t xml:space="preserve">            1.    Toda persona tiene derecho a que se respete su vida.  Este</w:t>
        <w:br/>
        <w:t xml:space="preserve">      derecho estará protegido por la  ley  y,  en  general,  a  partir  del</w:t>
        <w:br/>
        <w:t xml:space="preserve">      momento  de  la  concepción.  Nadie  puede  ser  privado  de  la  vida</w:t>
        <w:br/>
        <w:t xml:space="preserve">      arbitrariamente.</w:t>
        <w:br/>
        <w:br/>
        <w:br/>
        <w:t xml:space="preserve">            2.    En los países que no han abolido la pena de  muerte,  ésta</w:t>
        <w:br/>
        <w:t xml:space="preserve">      sólo podrá imponerse por los delitos más graves,  en  cumplimiento  de</w:t>
        <w:br/>
        <w:t xml:space="preserve">      sentencia ejecutoriada de tribunal competente y de conformidad con una</w:t>
        <w:br/>
        <w:t xml:space="preserve">      ley que establezca tal pena, dictada con anterioridad  a  la  comisión</w:t>
        <w:br/>
        <w:t xml:space="preserve">      del delito. Tampoco se extenderá su aplicación a delitos a los  cuales</w:t>
        <w:br/>
        <w:t xml:space="preserve">      no se la aplique actualmente.</w:t>
        <w:br/>
        <w:br/>
        <w:br/>
        <w:t xml:space="preserve">            3.    No se restablecerá la pena de muerte en los Estados que la</w:t>
        <w:br/>
        <w:t xml:space="preserve">      han abolido.</w:t>
        <w:br/>
        <w:br/>
        <w:br/>
        <w:t xml:space="preserve">            4.    En ningún caso se puede aplicar  la  pena  de  muerte  por</w:t>
        <w:br/>
        <w:t xml:space="preserve">      delitos políticos ni comunes conexos con los políticos.</w:t>
        <w:br/>
        <w:br/>
        <w:br/>
        <w:t xml:space="preserve">            5.    No se impondrá la pena de muerte a  personas  que,  en  el</w:t>
        <w:br/>
        <w:t xml:space="preserve">      momento de la comisión del delito, tuvieren menos de dieciocho años de</w:t>
        <w:br/>
        <w:t xml:space="preserve">      edad o más de setenta, ni se le aplicará a las mujeres  en  estado  de</w:t>
        <w:br/>
        <w:t xml:space="preserve">      gravidez.</w:t>
        <w:br/>
        <w:br/>
        <w:br/>
        <w:t xml:space="preserve">            6.    Toda persona condenada a muerte tiene derecho a  solicitar</w:t>
        <w:br/>
        <w:t xml:space="preserve">      la amnistía, el indulto o la conmutación de la pena, los cuales podrán</w:t>
        <w:br/>
        <w:t xml:space="preserve">      ser concedidos en todos los casos.  No se puede  aplicar  la  pena  de</w:t>
        <w:br/>
        <w:t xml:space="preserve">      muerte mientras la solicitud esté pendiente de decisión ante autoridad</w:t>
        <w:br/>
        <w:t xml:space="preserve">      competente.</w:t>
        <w:br/>
        <w:br/>
        <w:t>99.   Aún cuando la Convención no prohíbe expresamente la aplicación  de  la</w:t>
        <w:br/>
        <w:t>pena de muerte, la Corte ha afirmado que  las  normas  convencionales  sobre</w:t>
        <w:br/>
        <w:t>ésta deben interpretarse  en  el  sentido  de  “limitar  definitivamente  su</w:t>
        <w:br/>
        <w:t>aplicación y su ámbito, de  modo  que  éste  se  vaya  reduciendo  hasta  su</w:t>
        <w:br/>
        <w:t>supresión final”[109].</w:t>
        <w:br/>
        <w:br/>
        <w:t>100.  En virtud de la orientación general que acoge  el  artículo  4  de  la</w:t>
        <w:br/>
        <w:t>Convención Americana, si se analiza como un todo, la  Corte  ha  establecido</w:t>
        <w:br/>
        <w:t>que</w:t>
        <w:br/>
        <w:br/>
        <w:t xml:space="preserve">      [q]uedan […] definidos tres grupos de limitaciones  para  la  pena  de</w:t>
        <w:br/>
        <w:t xml:space="preserve">      muerte en los países que no han  resuelto  su  abolición.   En  primer</w:t>
        <w:br/>
        <w:t xml:space="preserve">      lugar, la imposición  o  aplicación  de  dicha  pena  está  sujeta  al</w:t>
        <w:br/>
        <w:t xml:space="preserve">      cumplimiento de  reglas  procesales  cuyo  respeto  debe  vigilarse  y</w:t>
        <w:br/>
        <w:t xml:space="preserve">      exigirse de modo estricto.  En segundo lugar, su ámbito de  aplicación</w:t>
        <w:br/>
        <w:t xml:space="preserve">      debe reducirse al de los más graves delitos comunes y no  conexos  con</w:t>
        <w:br/>
        <w:t xml:space="preserve">      delitos  políticos.   Por  último,  es  preciso  atender   a   ciertas</w:t>
        <w:br/>
        <w:t xml:space="preserve">      consideraciones propias de la  persona  del  reo,  las  cuales  pueden</w:t>
        <w:br/>
        <w:t xml:space="preserve">      excluir la imposición o aplicación de la pena capital[110].</w:t>
        <w:br/>
        <w:br/>
        <w:t>101.  La Corte tiene presente el sufrimiento causado  por  los  homicidas  a</w:t>
        <w:br/>
        <w:t>las víctimas  directas  o  a  sus  familiares  en  los  casos  de  homicidio</w:t>
        <w:br/>
        <w:t>intencional, y recuerda el deber que tienen los Estados de  proteger  a  las</w:t>
        <w:br/>
        <w:t>víctimas potenciales de ese género de delitos, sancionar a los  responsables</w:t>
        <w:br/>
        <w:t>y mantener, en general, el orden público, que puede verse  afectado  por  la</w:t>
        <w:br/>
        <w:t>multiplicación de esos crímenes.  De igual modo,  la  Corte  señala  que  la</w:t>
        <w:br/>
        <w:t>lucha de los Estados contra el delito debe desarrollarse con  pleno  respeto</w:t>
        <w:br/>
        <w:t>a los derechos humanos de las personas sometidas a  su  jurisdicción,  y  de</w:t>
        <w:br/>
        <w:t>conformidad con los tratados aplicables[111].</w:t>
        <w:br/>
        <w:br/>
        <w:t>102.  La  privación  intencional  e  ilícita  de  la  vida  de  una  persona</w:t>
        <w:br/>
        <w:t>(homicidio intencional o  doloso,  en  sentido  amplio)  puede  y  debe  ser</w:t>
        <w:br/>
        <w:t>reconocida y contemplada en la legislación  penal,  si  bien  bajo  diversas</w:t>
        <w:br/>
        <w:t>categorías (tipos penales) que correspondan a la  diversa  gravedad  de  los</w:t>
        <w:br/>
        <w:t>hechos, tomando en cuenta los distintos elementos que  pueden  concurrir  en</w:t>
        <w:br/>
        <w:t>ellos:  especiales relaciones entre el delincuente y la  víctima,  móvil  de</w:t>
        <w:br/>
        <w:t>la conducta, circunstancias en las que ésta  se  realiza,  medios  empleados</w:t>
        <w:br/>
        <w:t>por el sujeto activo, etc.  De esta forma se establecerá una  graduación  en</w:t>
        <w:br/>
        <w:t>la gravedad de los hechos, a la que  corresponderá  una  graduación  de  los</w:t>
        <w:br/>
        <w:t>niveles de severidad de la pena aplicable.</w:t>
        <w:br/>
        <w:br/>
        <w:t>103.  La Corte constata que la Ley de Delitos contra la Persona de  Trinidad</w:t>
        <w:br/>
        <w:t>y Tobago de 1925, ordena la aplicación  de  la  pena  de  muerte  de  manera</w:t>
        <w:br/>
        <w:t>automática y genérica para el delito de homicidio  intencional  y  desconoce</w:t>
        <w:br/>
        <w:t>que éste puede presentar diversos órdenes de  gravedad.   De  ese  modo,  la</w:t>
        <w:br/>
        <w:t>referida  Ley  impide  al  juez  considerar  circunstancias  básicas  en  la</w:t>
        <w:br/>
        <w:t>determinación del grado de culpabilidad y  en  la  individualización  de  la</w:t>
        <w:br/>
        <w:t>pena, pues se limita a imponer, de modo  indiscriminado,  la  misma  sanción</w:t>
        <w:br/>
        <w:t>para conductas que pueden ser muy diferentes entre sí, lo que, a la luz  del</w:t>
        <w:br/>
        <w:t>artículo 4  de  la  Convención  Americana,  es  sumamente  grave  cuando  se</w:t>
        <w:br/>
        <w:t>encuentra en riesgo el bien  jurídico  mayor,  que  es  la  vida  humana,  y</w:t>
        <w:br/>
        <w:t>constituye una  arbitrariedad  en  los  términos  del  artículo  4.1  de  la</w:t>
        <w:br/>
        <w:t>Convención[112].</w:t>
        <w:br/>
        <w:br/>
        <w:t>104.  Conviene precisar que la Ley de Delitos contra la Persona  ofrece  dos</w:t>
        <w:br/>
        <w:t>particularidades  principales:  a)  en  cuanto  a  la  determinación  de  la</w:t>
        <w:br/>
        <w:t>responsabilidad  penal,  solamente  autoriza  al  juzgador  para   encontrar</w:t>
        <w:br/>
        <w:t>responsable  a  una  persona  por  homicidio  intencional  basándose  en  la</w:t>
        <w:br/>
        <w:t>categoría del  delito,  sin  que  pueda  tomar  en  cuenta  las  condiciones</w:t>
        <w:br/>
        <w:t>personales del justiciable ni las circunstancias particulares del  delito  y</w:t>
        <w:br/>
        <w:t>b) en lo que toca a  la  determinación  de  la  sanción,  impone  de  manera</w:t>
        <w:br/>
        <w:t>mecánica y genérica la aplicación de la pena de muerte  para  todo  culpable</w:t>
        <w:br/>
        <w:t>de homicidio intencional e impide que dicha  sanción  pueda  ser  modificada</w:t>
        <w:br/>
        <w:t>por la vía de la revisión judicial.</w:t>
        <w:br/>
        <w:br/>
        <w:t>105.  La Corte coincide con la  afirmación  de  que  al  considerar  a  todo</w:t>
        <w:br/>
        <w:t>responsable del delito de homicidio intencional como merecedor  de  la  pena</w:t>
        <w:br/>
        <w:t>capital, “se está tratando a los acusados  de  este  crimen  no  como  seres</w:t>
        <w:br/>
        <w:t>humanos individuales y únicos, sino  como  miembros  indiferenciados  y  sin</w:t>
        <w:br/>
        <w:t>rostro de una masa que será sometida a la aplicación ciega  de  la  pena  de</w:t>
        <w:br/>
        <w:t>muerte”[113].</w:t>
        <w:br/>
        <w:br/>
        <w:t>106.  Una de las formas que puede  asumir  la  privación  arbitraria  de  la</w:t>
        <w:br/>
        <w:t>vida, en los términos de la prohibición del artículo 4.1 de  la  Convención,</w:t>
        <w:br/>
        <w:t>es la que se configura cuando, en los países en que aún existe  la  pena  de</w:t>
        <w:br/>
        <w:t>muerte,  ésta  se  utiliza  para  castigar  delitos  que  no  presentan  las</w:t>
        <w:br/>
        <w:t>características de máxima gravedad, como ocurre  en  Trinidad  y  Tobago  en</w:t>
        <w:br/>
        <w:t>virtud de lo dispuesto por la Ley de Delitos contra la  Persona,  es  decir,</w:t>
        <w:br/>
        <w:t>cuando la aplicación de esa pena no se ciñe a las previsiones  del  artículo</w:t>
        <w:br/>
        <w:t>4.2 de la Convención Americana.</w:t>
        <w:br/>
        <w:br/>
        <w:t>107.  La Corte estima que a pesar de que la violación del  artículo  4.2  de</w:t>
        <w:br/>
        <w:t>la Convención  no  fue  alegada  específicamente  por  la  Comisión  en  sus</w:t>
        <w:br/>
        <w:t>demandas (supra párr. 3) sino únicamente  en  sus  alegatos  finales  (supra</w:t>
        <w:br/>
        <w:t>párr. 90), esto no impide que sea examinada por el Tribunal,  en  razón  del</w:t>
        <w:br/>
        <w:t>principio general de derecho iura  novit  curia,  “del  cual  se  ha  valido</w:t>
        <w:br/>
        <w:t>reiteradamente  la  jurisprudencia  internacional  [entendiéndolo]   en   el</w:t>
        <w:br/>
        <w:t>sentido de que el juzgador  posee  la  facultad  e  inclusive  el  deber  de</w:t>
        <w:br/>
        <w:t>aplicar las disposiciones jurídicas pertinentes en  una  causa,  aún  cuando</w:t>
        <w:br/>
        <w:t>las partes no las invoquen expresamente”[114].</w:t>
        <w:br/>
        <w:br/>
        <w:t>108.  De todo lo expuesto, la Corte concluye que, en tanto el efecto  de  la</w:t>
        <w:br/>
        <w:t>llamada Ley de Delitos contra la Persona consiste en  someter  a  quien  sea</w:t>
        <w:br/>
        <w:t>acusado de homicidio intencional a un proceso  judicial  en  el  que  no  se</w:t>
        <w:br/>
        <w:t>consideran las circunstancias particulares del acusado  ni  las  específicas</w:t>
        <w:br/>
        <w:t>del delito, la mencionada Ley viola la prohibición de  privación  arbitraria</w:t>
        <w:br/>
        <w:t>de la vida, en contravención del artículo 4.1 y 4.2 de la Convención.</w:t>
        <w:br/>
        <w:br/>
        <w:t>109.  Por lo tanto, la Corte considera que Trinidad y Tobago ha  violado  el</w:t>
        <w:br/>
        <w:t>artículo 4.1 y 4.2 de la Convención en conjunción con  el  artículo  1.1  de</w:t>
        <w:br/>
        <w:t>ésta, en perjuicio de Haniff Hilaire, George Constantine, Wenceslaus  James,</w:t>
        <w:br/>
        <w:t>Denny Baptiste, Clarence Charles,  Keiron  Thomas,  Anthony  Garcia,  Wilson</w:t>
        <w:br/>
        <w:t>Prince, Darrin Roger Thomas, Mervyn Edmund, Samuel Winchester, Martin  Reid,</w:t>
        <w:br/>
        <w:t>Rodney Davis, Gangadeen Tahaloo,  Noel  Seepersad,  Wayne  Matthews,  Alfred</w:t>
        <w:br/>
        <w:t>Frederick,  Natasha  De  Leon,  Vijay  Mungroo,  Phillip  Chotalal,   Naresh</w:t>
        <w:br/>
        <w:t>Boodram, Joey Ramiah, Nigel Mark, Wilberforce Bernard, Steve Mungroo,  Peter</w:t>
        <w:br/>
        <w:t>Benjamin,  Krishendath  Seepersad,  Allan  Phillip,  Narine  Sooklal,   Amir</w:t>
        <w:br/>
        <w:t>Mowlah, Mervyn Parris y Francis Mansingh.</w:t>
        <w:br/>
        <w:br/>
        <w:t xml:space="preserve">                                      *</w:t>
        <w:br/>
        <w:t xml:space="preserve">                                   *     *</w:t>
        <w:br/>
        <w:br/>
        <w:t>110.  Por otra parte, aunque  la  Comisión  no  reclamó  específicamente  la</w:t>
        <w:br/>
        <w:t>violación del artículo 2 en relación con el  artículo  4  de  la  Convención</w:t>
        <w:br/>
        <w:t>Americana, esta cuestión puede ser examinada por el Tribunal, en  razón  del</w:t>
        <w:br/>
        <w:t>citado  principio  general  de  derecho  iura  novit  curia   (supra   párr.</w:t>
        <w:br/>
        <w:t>107)[115].</w:t>
        <w:br/>
        <w:br/>
        <w:t>111.  El artículo 2 de la Convención Americana dispone que</w:t>
        <w:br/>
        <w:br/>
        <w:t xml:space="preserve">      [s]i en el ejercicio de los derechos y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112.  Con base  en  la  disposición  transcrita,  esta  Corte  ha  sostenido</w:t>
        <w:br/>
        <w:t>reiteradamente que la Convención Americana impone a los  Estados  partes  la</w:t>
        <w:br/>
        <w:t>obligación general de adecuar su derecho interno a las normas de  la  propia</w:t>
        <w:br/>
        <w:t>Convención, para garantizar así  los  derechos  consagrados  en  ésta.   Las</w:t>
        <w:br/>
        <w:t>disposiciones de derecho interno que se adopten para tales fines han de  ser</w:t>
        <w:br/>
        <w:t>efectivas (principio del effet utile).   Lo  que  significa  que  el  Estado</w:t>
        <w:br/>
        <w:t>tiene la obligación de consagrar  y  adoptar  en  su  ordenamiento  jurídico</w:t>
        <w:br/>
        <w:t>interno  todas  las  medidas  necesarias  para  que  lo  establecido  en  la</w:t>
        <w:br/>
        <w:t>Convención sea realmente cumplido y puesto en práctica[116].</w:t>
        <w:br/>
        <w:br/>
        <w:t>113.  Si los Estados tienen, de acuerdo con el artículo 2 de  la  Convención</w:t>
        <w:br/>
        <w:t>Americana, la obligación positiva de adoptar las  medidas  legislativas  que</w:t>
        <w:br/>
        <w:t>fueren necesarias para garantizar el ejercicio de los  derechos  reconocidos</w:t>
        <w:br/>
        <w:t>por la Convención, con mayor razón están en  la  obligación  de  no  expedir</w:t>
        <w:br/>
        <w:t>leyes que desconozcan esos derechos u obstaculicen su  ejercicio,  y  la  de</w:t>
        <w:br/>
        <w:t>suprimir  o  modificar  las  que  tengan  estos  últimos  alcances.   De  lo</w:t>
        <w:br/>
        <w:t>contrario, incurren en violación del artículo 2 de la Convención.</w:t>
        <w:br/>
        <w:br/>
        <w:t>114.  En tal sentido, en un caso anterior  –Caso  Suárez  Rosero–  la  Corte</w:t>
        <w:br/>
        <w:t>señaló que una disposición legal de  un  Estado  violaba  por  sí  misma  el</w:t>
        <w:br/>
        <w:t>artículo 2 de la Convención Americana (se trataba de una norma que dejaba  a</w:t>
        <w:br/>
        <w:t>las  personas  acusadas  de  conformidad  con  la   Ley   sobre   Sustancias</w:t>
        <w:br/>
        <w:t>Estupefacientes  y  Psicotrópicas  desprovistas  de  protección   legal   en</w:t>
        <w:br/>
        <w:t>relación con el derecho a la libertad  personal).   Al  respecto,  la  Corte</w:t>
        <w:br/>
        <w:t>dijo que</w:t>
        <w:br/>
        <w:br/>
        <w:br/>
        <w:t xml:space="preserve">      […] esa [disposición] despoja a una parte de la  población  carcelaria</w:t>
        <w:br/>
        <w:t xml:space="preserve">      de un derecho fundamental en virtud del delito imputado en  su  contra</w:t>
        <w:br/>
        <w:t xml:space="preserve">      y, por ende, lesiona intrínsecamente a todos  los  miembros  de  dicha</w:t>
        <w:br/>
        <w:t xml:space="preserve">      categoría de inculpados.  En el caso concreto del señor Suárez  Rosero</w:t>
        <w:br/>
        <w:t xml:space="preserve">      esa norma ha sido aplicada y le ha producido  un  perjuicio  indebido.</w:t>
        <w:br/>
        <w:t xml:space="preserve">      La Corte hace notar, además, que, a su juicio, esa norma per se  viola</w:t>
        <w:br/>
        <w:t xml:space="preserve">      el artículo 2 de la Convención Americana,  independientemente  de  que</w:t>
        <w:br/>
        <w:t xml:space="preserve">      haya sido aplicada en el […] caso[117].</w:t>
        <w:br/>
        <w:br/>
        <w:t>115.  De igual manera, en el Caso Barrios  Altos  la  Corte  sostuvo  que  a</w:t>
        <w:br/>
        <w:t>causa de la adopción de  las  leyes  incompatibles  con  la  Convención,  el</w:t>
        <w:br/>
        <w:t>Estado incumplió la  obligación  de  adecuar  a  ésta  el  derecho  interno,</w:t>
        <w:br/>
        <w:t>consagrada en el artículo 2 de la misma[118].</w:t>
        <w:br/>
        <w:br/>
        <w:t>116.  La Corte estima que aun  cuando  no  se  ha  ejecutado  a  31  de  las</w:t>
        <w:br/>
        <w:t>presuntas víctimas en este caso,  es  posible  declarar  una  violación  del</w:t>
        <w:br/>
        <w:t>artículo 2 de la Convención, en virtud de que la sola existencia de  la  Ley</w:t>
        <w:br/>
        <w:t>de Delitos contra la  Persona  es  per  se  violatoria  de  esa  disposición</w:t>
        <w:br/>
        <w:t>convencional[119].  Dicha posición está conforme con la  Opinión  Consultiva</w:t>
        <w:br/>
        <w:t>OC-14/94 de esta Corte, de acuerdo con la cual “en el caso de las  leyes  de</w:t>
        <w:br/>
        <w:t>aplicación inmediata, […] la violación de los derechos  humanos,  individual</w:t>
        <w:br/>
        <w:t>o colectiva, se produce por el solo hecho de su expedición”[120].</w:t>
        <w:br/>
        <w:br/>
        <w:t>117.  De lo anterior se infiere que en virtud de que Trinidad  y  Tobago  no</w:t>
        <w:br/>
        <w:t>ha adecuado su legislación a la  Convención,  ha  incumplido  la  obligación</w:t>
        <w:br/>
        <w:t>impuesta a los Estados partes por el artículo 2 de la misma.</w:t>
        <w:br/>
        <w:br/>
        <w:t>118.  Por lo tanto, la Corte concluye que el Estado  de  Trinidad  y  Tobago</w:t>
        <w:br/>
        <w:t>incumplió la obligación establecida  en  el  artículo  2  de  la  Convención</w:t>
        <w:br/>
        <w:t>Americana en perjuicio de Haniff  Hilaire,  George  Constantine,  Wenceslaus</w:t>
        <w:br/>
        <w:t>James, Denny Baptiste, Clarence  Charles,  Keiron  Thomas,  Anthony  Garcia,</w:t>
        <w:br/>
        <w:t>Wilson Prince,  Darrin  Roger  Thomas,  Mervyn  Edmund,  Samuel  Winchester,</w:t>
        <w:br/>
        <w:t>Martin  Reid,  Rodney  Davis,  Gangadeen  Tahaloo,  Noel  Seepersad,   Wayne</w:t>
        <w:br/>
        <w:t>Matthews,  Alfred  Frederick,  Natasha  De  Leon,  Vijay  Mungroo,   Phillip</w:t>
        <w:br/>
        <w:t>Chotalal, Naresh Boodram, Joey  Ramiah,  Nigel  Mark,  Wilberforce  Bernard,</w:t>
        <w:br/>
        <w:t>Steve Mungroo, Peter Benjamin, Krishendath Seepersad, Allan Phillip,  Narine</w:t>
        <w:br/>
        <w:t>Sooklal, Amir Mowlah, Mervyn Parris y Francis Mansingh.</w:t>
        <w:br/>
        <w:br/>
        <w:br/>
        <w:t xml:space="preserve">                                      X</w:t>
        <w:br/>
        <w:t xml:space="preserve">         VIOLACIÓN DE LOS ARTÍCULOS 7.5, 8 y 25 EN RELACIÓN CON LOS</w:t>
        <w:br/>
        <w:t xml:space="preserve">                ARTÍCULOS 1.1 Y 2 DE LA CONVENCIÓN AMERICANA</w:t>
        <w:br/>
        <w:t xml:space="preserve">  (Derecho al Plazo Razonable, Garantías Judiciales y Protección Judicial)</w:t>
        <w:br/>
        <w:br/>
        <w:br/>
        <w:t>Alegatos de la Comisión</w:t>
        <w:br/>
        <w:br/>
        <w:t>119.  La Comisión Interamericana  alegó  que  Trinidad  y  Tobago  violó  en</w:t>
        <w:br/>
        <w:t>perjuicio de algunas de las víctimas el derecho a ser  procesado  dentro  de</w:t>
        <w:br/>
        <w:t>un plazo razonable, el derecho a las garantías judiciales y el derecho a  la</w:t>
        <w:br/>
        <w:t>protección judicial.  La Corte presenta,  enseguida,  una  síntesis  de  los</w:t>
        <w:br/>
        <w:t>respectivos alegatos.</w:t>
        <w:br/>
        <w:br/>
        <w:t>120.  La Comisión señaló que el Estado es responsable  de  la  violación  de</w:t>
        <w:br/>
        <w:t>los artículos 7.5 y 8.1 de la Convención, en relación  con  el  artículo  2,</w:t>
        <w:br/>
        <w:t>por  haber  incurrido  en  demora  injustificada  en  llevar  a   juicio   a</w:t>
        <w:br/>
        <w:t>veinticuatro de las víctimas del presente  Caso[121].   A  continuación,  la</w:t>
        <w:br/>
        <w:t>Corte detalla la información presentada por la Comisión con respecto a  esas</w:t>
        <w:br/>
        <w:t>víctimas[122]:</w:t>
        <w:br/>
        <w:br/>
        <w:t>|   |NOMBRE    |Fecha de   |Fecha de    |Corte de    |Fecha de   |</w:t>
        <w:br/>
        <w:t>|   |          |detención  |condena     |Apelaciones;|Resolución |</w:t>
        <w:br/>
        <w:t>|   |          |           |Juicio nuevo|Decisión    |por el     |</w:t>
        <w:br/>
        <w:t>|   |          |           |(N)         |(D)[123]    |Privy      |</w:t>
        <w:br/>
        <w:t>|   |          |           |            |Sentencia   |Council    |</w:t>
        <w:br/>
        <w:t>|   |          |           |            |(S)[124]    |           |</w:t>
        <w:br/>
        <w:t>|2  |George    |25.12.91   |17.02.95    |01.11.96 (D)|29.07.97   |</w:t>
        <w:br/>
        <w:t>|   |Constantin|           |            |25.11.96 (S)|           |</w:t>
        <w:br/>
        <w:t>|   |e         |           |            |            |           |</w:t>
        <w:br/>
        <w:t>|3  |Denny     |16.02.91   |29.05.95    |10.03.97 (S)|07.11.97   |</w:t>
        <w:br/>
        <w:t>|   |Baptiste  |           |            |            |           |</w:t>
        <w:br/>
        <w:t>|4  |Clarence  |05.06.86   |16.03.89    |08.12.93    |04.12.97   |</w:t>
        <w:br/>
        <w:t>|   |Charles   |           |19.04.95 (N)|05.11.96 (S)|           |</w:t>
        <w:br/>
        <w:t>|5  |Wilson    |24.12.93   |25.11.96    |14.10.97 (S)|11.03.98   |</w:t>
        <w:br/>
        <w:t>|   |Prince    |           |            |            |           |</w:t>
        <w:br/>
        <w:t>|6  |Darrin    |12.03.93   |09.11.95    |20.06.97 (S)|11.03.98   |</w:t>
        <w:br/>
        <w:t>|   |Roger     |           |            |            |           |</w:t>
        <w:br/>
        <w:t>|   |Thomas    |           |            |            |           |</w:t>
        <w:br/>
        <w:t>|7  |Mervyn    |30.12.87   |10.12.90    |12.04.94 (S)|16.07.98   |</w:t>
        <w:br/>
        <w:t>|   |Edmund    |           |21.03.95 (N)|17.09.96 (S)|           |</w:t>
        <w:br/>
        <w:t>|   |          |           |            |(N)         |           |</w:t>
        <w:br/>
        <w:t>|8  |Rodney    |26.03.92   |31.01.97    |02.12.97 (S)|02.11.98   |</w:t>
        <w:br/>
        <w:t>|   |Davis     |           |            |            |           |</w:t>
        <w:br/>
        <w:t>|9  |Gangadeen |10.11.91   |26.05.95    |04.02.98 (S)|02.11.98   |</w:t>
        <w:br/>
        <w:t>|   |Tahaloo   |           |19.11.97 (N)|            |           |</w:t>
        <w:br/>
        <w:t>|10 |Noel      |11.07.94   |07.02.97    |25.11.97 (D)|10.12.98   |</w:t>
        <w:br/>
        <w:t>|   |Seepersad |           |            |05.02.98 (S)|           |</w:t>
        <w:br/>
        <w:t>|11 |Wayne     |06.02.87   |16.11.88    |21.01.92 (S)|26.11.98   |</w:t>
        <w:br/>
        <w:t>|   |Matthews  |           |29.10.93 (N)|25.01.96 (D)|           |</w:t>
        <w:br/>
        <w:t>|   |          |           |            |24.03.98 (S)|           |</w:t>
        <w:br/>
        <w:t>|12 |Alfred    |17.01.91   |29.09.97    |31.03.98    |17.12.98   |</w:t>
        <w:br/>
        <w:t>|   |Frederick |           |            |            |           |</w:t>
        <w:br/>
        <w:t>|13 |Natasha De|10.03.93   |09.11.95    |20.06.97    |11.03.98   |</w:t>
        <w:br/>
        <w:t>|   |Leon      |           |            |23.09.98 (N)|16.07.98   |</w:t>
        <w:br/>
        <w:t>|14 |Vijay     |24.01.90   |13.12.96    |28.11.97    |02.02.99   |</w:t>
        <w:br/>
        <w:t>|   |Mungroo   |           |            |            |           |</w:t>
        <w:br/>
        <w:t>|15 |Phillip   |11.01.90   |13.12.96    |28.11.97    |02.02.99   |</w:t>
        <w:br/>
        <w:t>|   |Chotalal  |           |            |            |           |</w:t>
        <w:br/>
        <w:t>|16 |Nigel Mark|29.04.92   |11.11.97    |16.07.98    |02.02.99   |</w:t>
        <w:br/>
        <w:t>|17 |Wilberforc|22.02.90   |17.03.95    |24.09.97    |22.10.98   |</w:t>
        <w:br/>
        <w:t>|   |e Bernard |           |22.01.96 (N)|            |           |</w:t>
        <w:br/>
        <w:t>|18 |Steve     |24.01.90   |13.12.96    |28.11.97    |02.02.99   |</w:t>
        <w:br/>
        <w:t>|   |Mungroo   |           |            |            |           |</w:t>
        <w:br/>
        <w:t>|19 |Krishendat|10.10.93   |29.05.96    |17.10.97 (D)|06.05.99   |</w:t>
        <w:br/>
        <w:t>|   |h         |           |29.05.98 (N)|08.10.98 (S)|           |</w:t>
        <w:br/>
        <w:t>|   |Seepersad |           |            |            |           |</w:t>
        <w:br/>
        <w:t>|20 |Allan     |16.05.92   |17.11.95    |12.06.96 (S)|15.04.99   |</w:t>
        <w:br/>
        <w:t>|   |Phillip   |           |            |            |           |</w:t>
        <w:br/>
        <w:t>|21 |Narine    |13.12.92   |24.05.96    |26.09.97 (S)|21.07.99   |</w:t>
        <w:br/>
        <w:t>|   |Sooklal   |           |            |            |           |</w:t>
        <w:br/>
        <w:t>|22 |Amir      |06.02.91   |27.10.97    |17.06.98 (D)|25.05.99   |</w:t>
        <w:br/>
        <w:t>|   |Mowlah    |           |            |30.09.98 (S)|           |</w:t>
        <w:br/>
        <w:t>|23 |Mervyn    |21.02.90   |17.02.95    |06.02.98    |02.12.99   |</w:t>
        <w:br/>
        <w:t>|   |Parris    |           |            |            |           |</w:t>
        <w:br/>
        <w:t>|24 |Francis   |16.12.92   |24.05.96    |26.09.96    |21.07.99   |</w:t>
        <w:br/>
        <w:t>|   |Mansingh  |           |            |            |           |</w:t>
        <w:br/>
        <w:br/>
        <w:t>121.  La Comisión argumentó, en términos generales, que en  estos  casos  se</w:t>
        <w:br/>
        <w:t>produjo una demora injustificada, en virtud de  que  ninguno  de  ellos  fue</w:t>
        <w:br/>
        <w:t>resuelto en menos de cuatro años, tomando en cuenta  el  lapso  transcurrido</w:t>
        <w:br/>
        <w:t>entre la detención del inculpado y la sentencia en la  apelación;  y  agregó</w:t>
        <w:br/>
        <w:t>que algunas de las víctimas estuvieron en prisión, antes  de ser llevadas  a</w:t>
        <w:br/>
        <w:t>juicio, durante cerca de siete años, y por lo tanto, experimentaron  demoras</w:t>
        <w:br/>
        <w:t>de aproximadamente doce años entre la  detención  y  la  resolución  de  sus</w:t>
        <w:br/>
        <w:t>apelaciones (supra párr. 120).</w:t>
        <w:br/>
        <w:br/>
        <w:t>122.  La Comisión sostuvo que en aquellos casos en  los  que  existe  demora</w:t>
        <w:br/>
        <w:t>inadmisible, recae sobre el Estado la carga de la prueba de los  hechos  que</w:t>
        <w:br/>
        <w:t>justifiquen esa demora y  que  Trinidad  y  Tobago  no  ofreció  esa  prueba</w:t>
        <w:br/>
        <w:t>durante el trámite ante la Corte.</w:t>
        <w:br/>
        <w:br/>
        <w:t>123.  Asimismo, la Comisión indicó que la sección 4 de  la  Constitución  de</w:t>
        <w:br/>
        <w:t>la República de Trinidad y Tobago garantiza el derecho a un juicio justo,  y</w:t>
        <w:br/>
        <w:t>no a un juicio rápido  (speedy  trial)  o  dentro  de  un  plazo  razonable.</w:t>
        <w:br/>
        <w:t>Consecuentemente, la prolongada demora previa al juicio  penal  no  infringe</w:t>
        <w:br/>
        <w:t>la Constitución, pero debe ser tomada en  cuenta  por  el  juez,  en  cuanto</w:t>
        <w:br/>
        <w:t>pueda ejercer un impacto  negativo  sobre  la  posibilidad  de  adoptar  una</w:t>
        <w:br/>
        <w:t>sentencia ajustada a los hechos.</w:t>
        <w:br/>
        <w:br/>
        <w:t>124.  Las demoras en que incurrió Trinidad y Tobago en los  procesos  contra</w:t>
        <w:br/>
        <w:t>las veinticuatro  víctimas  indicadas  (supra  párr.  120),  significan  una</w:t>
        <w:br/>
        <w:t>contravención al derecho a juicio dentro  de  un  plazo  razonable,  en  los</w:t>
        <w:br/>
        <w:t>términos  de  los  artículos  7.5  y  8.1  de  la  Convención  Americana,  e</w:t>
        <w:br/>
        <w:t>igualmente contravienen el artículo 2 de ésta, porque el  Estado  no  adoptó</w:t>
        <w:br/>
        <w:t>las medidas necesarias para hacer  efectivas  en  el  derecho  interno,  las</w:t>
        <w:br/>
        <w:t>garantías consagradas en aquellas disposiciones.</w:t>
        <w:br/>
        <w:br/>
        <w:t>125.  La Comisión señaló también que Trinidad y Tobago es responsable de  la</w:t>
        <w:br/>
        <w:t>violación de los artículos 8 y 25 de  la  Convención,  en  conexión  con  el</w:t>
        <w:br/>
        <w:t>artículo 1.1 de ésta, por no haber  proporcionado  de  una  manera  efectiva</w:t>
        <w:br/>
        <w:t>asistencia letrada a once de  las  víctimas[125]  para  la  presentación  de</w:t>
        <w:br/>
        <w:t>acciones constitucionales ante los  tribunales  internos,  en  los  procesos</w:t>
        <w:br/>
        <w:t>respectivos[126].</w:t>
        <w:br/>
        <w:br/>
        <w:t>126.  Sobre el particular, la Comisión indicó  que  si  bien  la  asistencia</w:t>
        <w:br/>
        <w:t>letrada  gratuita  debe  estar  disponible  para  todas  las  personas   que</w:t>
        <w:br/>
        <w:t>necesiten presentar acciones constitucionales en Trinidad y  Tobago,  en  la</w:t>
        <w:br/>
        <w:t>práctica ésta se otorga  rara  vez  a  los  condenados  a  pena  de  muerte.</w:t>
        <w:br/>
        <w:t>Adicionalmente, existe un obstáculo práctico para la presentación de  dichas</w:t>
        <w:br/>
        <w:t>acciones: la lectura de las órdenes de ejecución se hace  pocos  días  antes</w:t>
        <w:br/>
        <w:t>de la fecha programada para ésta, lo  cual  dificulta  considerablemente  la</w:t>
        <w:br/>
        <w:t>interposición de las acciones.</w:t>
        <w:br/>
        <w:br/>
        <w:t>127.  La Comisión indicó que el Estado, a la luz de los artículos  8,  25  y</w:t>
        <w:br/>
        <w:t>1.1 de la Convención, tiene la obligación de proveer,  de  manera  efectiva,</w:t>
        <w:br/>
        <w:t>asistencia letrada a todas las  personas  que  deseen  promover  una  acción</w:t>
        <w:br/>
        <w:t>constitucional y en los  casos  de  personas  sentenciadas  a  muerte,  esta</w:t>
        <w:br/>
        <w:t>obligación es todavía más perentoria.</w:t>
        <w:br/>
        <w:br/>
        <w:t>128.  En relación con la disponibilidad de asistencia letrada,  la  Comisión</w:t>
        <w:br/>
        <w:t>señaló de manera específica que a Narine Sooklal (Caso No.  12.152),  se  le</w:t>
        <w:br/>
        <w:t>denegó la posibilidad de hacer llamadas telefónicas y  contratar  asistencia</w:t>
        <w:br/>
        <w:t>legal en seis ocasiones, por lo que no recibió  asesoramiento  legal  alguno</w:t>
        <w:br/>
        <w:t>hasta momentos antes de la  indagatoria  preliminar,  realizada  seis  meses</w:t>
        <w:br/>
        <w:t>después de su detención.  Consecuentemente, la Comisión indicó  que  en  ese</w:t>
        <w:br/>
        <w:t>caso concreto se violó el artículo 8.2(d) de la Convención Americana.</w:t>
        <w:br/>
        <w:br/>
        <w:t>129.  Asimismo, la Comisión alegó en el caso  de  Keiron  Thomas  (Caso  No.</w:t>
        <w:br/>
        <w:t>11.853), de manera específica, que durante la  apelación  planteada  por  la</w:t>
        <w:br/>
        <w:t>víctima el abogado nombrado por el Estado para  que  representara  a  aquél,</w:t>
        <w:br/>
        <w:t>informó a la Corte de Apelaciones que, en su concepto,  dicha  apelación  no</w:t>
        <w:br/>
        <w:t>podía prosperar por ser infundada.  Como consecuencia de  esto,  la  víctima</w:t>
        <w:br/>
        <w:t>prescindió  de  los  servicios  del  abogado  y  solicitó  se  le  diera  la</w:t>
        <w:br/>
        <w:t>oportunidad de recibir asistencia  de  otro  letrado  o  asumir  su  defensa</w:t>
        <w:br/>
        <w:t>personalmente.  La Corte de Apelaciones rechazó la solicitud y  dispuso  que</w:t>
        <w:br/>
        <w:t>Keiron Thomas siguiera siendo  atendido  por  el  mismo  abogado  que  había</w:t>
        <w:br/>
        <w:t>objetado.  La Comisión sostuvo que el Estado es responsable,  en  virtud  de</w:t>
        <w:br/>
        <w:t>ello, de la violación del artículo 8.2(d) y 8.2(e) de la Convención.</w:t>
        <w:br/>
        <w:br/>
        <w:t>130.  La Comisión argumentó que la víctima en el  Caso  No.  12.052,  Martin</w:t>
        <w:br/>
        <w:t>Reid, fue declarada culpable de homicidio intencional en virtud de  que  fue</w:t>
        <w:br/>
        <w:t>identificada por un solo testigo de la fiscalía como autor del delito.   Sin</w:t>
        <w:br/>
        <w:t>embargo, luego de la condena  de  éste,  el  Estado  dio  a  conocer  a  los</w:t>
        <w:br/>
        <w:t>abogados de la víctima copia de una declaración formulada  por  la  testigo,</w:t>
        <w:br/>
        <w:t>con anterioridad al aludido testimonio,  en  la  que  aquélla  proporcionaba</w:t>
        <w:br/>
        <w:t>información contradictoria con la suministrada en el juicio que llevó  a  la</w:t>
        <w:br/>
        <w:t>condena de Martin Reid.  Por ello, según  la  Comisión,  Trinidad  y  Tobago</w:t>
        <w:br/>
        <w:t>violó el artículo 8.2(c) de la Convención respecto de esta víctima.</w:t>
        <w:br/>
        <w:br/>
        <w:t>131.  Igualmente, la Comisión sostuvo que  en  el  caso  de  Peter  Benjamin</w:t>
        <w:br/>
        <w:t>(Caso No. 12.148), el arma que se dijo había utilizado éste para cometer  el</w:t>
        <w:br/>
        <w:t>homicidio, era de calibre  16,  según  las  pruebas  periciales  presentadas</w:t>
        <w:br/>
        <w:t>durante el juicio, en tanto que el arma con que se dio muerte a  la  víctima</w:t>
        <w:br/>
        <w:t>del homicidio correspondía al calibre 12.  Por ello,  el  imputado  no  pudo</w:t>
        <w:br/>
        <w:t>ser autor del delito. La Comisión agregó que  aunque  se  contaba  con  esta</w:t>
        <w:br/>
        <w:t>información en el juicio, no se analizó su  significado  ni  se  le  dio  el</w:t>
        <w:br/>
        <w:t>alcance que le correspondía.  A criterio de  la  Comisión,  esto  constituye</w:t>
        <w:br/>
        <w:t>una violación del artículo 8.1 de la Convención Americana.</w:t>
        <w:br/>
        <w:br/>
        <w:t>Alegatos de los representantes de las presuntas víctimas</w:t>
        <w:br/>
        <w:br/>
        <w:t>132.  En cuanto a la violación de los artículos 7.5 y 8.1 de la  Convención,</w:t>
        <w:br/>
        <w:t>los representantes de las víctimas se adhirieron a los alegatos  presentados</w:t>
        <w:br/>
        <w:t>por la Comisión Interamericana y solicitaron a la Corte  la  conmutación  de</w:t>
        <w:br/>
        <w:t>las penas de muerte en virtud de la demora en los correspondientes  procesos</w:t>
        <w:br/>
        <w:t>(supra párr. 120).  A continuación, la Corte presenta una  síntesis  de  sus</w:t>
        <w:br/>
        <w:t>alegatos.</w:t>
        <w:br/>
        <w:br/>
        <w:t>133.  Los  representantes  indicaron  que  la  jurisprudencia  internacional</w:t>
        <w:br/>
        <w:t>establece que podría ser anulada la condena dictada en un juicio en  el  que</w:t>
        <w:br/>
        <w:t>hubo demoras injustificadas y que  la  Corte  debe  ordenar  al  Estado  que</w:t>
        <w:br/>
        <w:t>conmute las penas impuestas.</w:t>
        <w:br/>
        <w:br/>
        <w:t>134.  Asimismo, los  representantes  manifestaron  que  hubo  violación  del</w:t>
        <w:br/>
        <w:t>artículo 2 de  la  Convención,  porque  el  Estado  no  adoptó  las  medidas</w:t>
        <w:br/>
        <w:t>necesarias  para  hacer  efectivos  los  derechos  consagrados  en  aquélla.</w:t>
        <w:br/>
        <w:t>Añadieron que Trinidad y Tobago no ha modificado sus  ordenamientos  penales</w:t>
        <w:br/>
        <w:t>para  permitir  la  discrecionalidad  judicial  en  la  sentencia,   no   ha</w:t>
        <w:br/>
        <w:t>modificado su Constitución para garantizar el  derecho  a  un  juicio  justo</w:t>
        <w:br/>
        <w:t>dentro de un plazo razonable, y ha  mantenido  la  prohibición  de  impugnar</w:t>
        <w:br/>
        <w:t>constitucionalmente las “leyes existentes” antes de la entrada en  vigor  de</w:t>
        <w:br/>
        <w:t>la Constitución trinitaria.</w:t>
        <w:br/>
        <w:br/>
        <w:t>135.  En cuanto a la violación de los artículos 8 y 25 de la Convención,  en</w:t>
        <w:br/>
        <w:t>concordancia con  el  artículo  1.1,  los  representantes  de  las  víctimas</w:t>
        <w:br/>
        <w:t>adoptaron el mismo razonamiento que  la  Comisión  en  lo  que  respecta  al</w:t>
        <w:br/>
        <w:t>derecho  de  todo  individuo  a  presentar  acciones  constitucionales   que</w:t>
        <w:br/>
        <w:t>permitan, de alguna forma, una nueva consideración de sus  casos  y  de  sus</w:t>
        <w:br/>
        <w:t>sentencias.</w:t>
        <w:br/>
        <w:br/>
        <w:t>136.   Además,  los  representantes  de  las  víctimas  alegaron  que   hubo</w:t>
        <w:br/>
        <w:t>violación del  artículo  8  de  la  Convención  Americana  en  cuatro  casos</w:t>
        <w:br/>
        <w:t>específicos: 1) no se permitió que Narine Sooklal entrara  en  contacto  con</w:t>
        <w:br/>
        <w:t>un abogado después de su detención, con lo cual se violó el artículo  8.2(d)</w:t>
        <w:br/>
        <w:t>de la Convención; 2) Keiron Thomas fue representado en su apelación  por  un</w:t>
        <w:br/>
        <w:t>abogado a quien expresamente había rechazado, lo que implica  violación  del</w:t>
        <w:br/>
        <w:t>artículo 8.2(d) y 8.2(e); 3) en el juicio de Martin Reid  no  se  reveló  la</w:t>
        <w:br/>
        <w:t>existencia de ciertas pruebas favorables al inculpado, y en  esta  forma  se</w:t>
        <w:br/>
        <w:t>incurrió en violación del artículo 8.2(c) de la Convención, y 4) en el  caso</w:t>
        <w:br/>
        <w:t>de Peter  Benjamin  existió  discrepancia  entre  el  calibre  del  arma  de</w:t>
        <w:br/>
        <w:t>Benjamin y el del arma empleada para el homicidio; la  desatención  de  esta</w:t>
        <w:br/>
        <w:t>prueba significa violación del artículo 8.2(d).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137.  El artículo 8 de la Convención dispone en lo conducente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[…]</w:t>
        <w:br/>
        <w:br/>
        <w:br/>
        <w:t xml:space="preserve">      c)    concesión al inculpado del tiempo y de los medios adecuados para</w:t>
        <w:br/>
        <w:t xml:space="preserve">      la preparación de su defensa;</w:t>
        <w:br/>
        <w:br/>
        <w:br/>
        <w:t xml:space="preserve">      d)    derecho del inculpado  de  defenderse  personalmente  o  de  ser</w:t>
        <w:br/>
        <w:t xml:space="preserve">      asistido por un defensor de su  elección  y  de  comunicarse  libre  y</w:t>
        <w:br/>
        <w:t xml:space="preserve">      privadamente con su defensor;</w:t>
        <w:br/>
        <w:br/>
        <w:br/>
        <w:t xml:space="preserve">      e)     derecho  irrenunciable  de  ser  asistido   por   un   defensor</w:t>
        <w:br/>
        <w:t xml:space="preserve">      proporcionado por el Estado, remunerado  o  no  según  la  legislación</w:t>
        <w:br/>
        <w:t xml:space="preserve">      interna, si el inculpado no se defendiere por  sí  mismo  ni  nombrare</w:t>
        <w:br/>
        <w:t xml:space="preserve">      defensor dentro del plazo establecido por la ley;</w:t>
        <w:br/>
        <w:br/>
        <w:br/>
        <w:t xml:space="preserve">      […]</w:t>
        <w:br/>
        <w:br/>
        <w:t>138.  Asimismo, el artículo 7.5 de Convención Americana establece que</w:t>
        <w:br/>
        <w:br/>
        <w:t xml:space="preserve">      [t]oda persona detenida o retenida debe ser llevada, sin demora, 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  Su  libertad  podrá  estar  condicionada  a  garantías  que</w:t>
        <w:br/>
        <w:t xml:space="preserve">      aseguren su comparecencia en el juicio.</w:t>
        <w:br/>
        <w:br/>
        <w:t>139.  El artículo 25 de la Convención  Americana,  referente  al  derecho  a</w:t>
        <w:br/>
        <w:t>protección judicial, establece en lo conducente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140.  Asimismo, el artículo 2 de la Convención señala:</w:t>
        <w:br/>
        <w:br/>
        <w:t xml:space="preserve">      Si en el ejercicio de los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141.  Por su parte, el artículo 1.1 de  la  Convención  fija  la  obligación</w:t>
        <w:br/>
        <w:t>estatal de respetar y garantizar el ejercicio de  los  derechos  consagrados</w:t>
        <w:br/>
        <w:t>en ésta, al indicar:</w:t>
        <w:br/>
        <w:br/>
        <w:t xml:space="preserve">      1.    Los Estados partes en esta Convención se comprometen a  respetar</w:t>
        <w:br/>
        <w:t xml:space="preserve">      los derechos y libertades reconocidos en ella y a garantizar su  libre</w:t>
        <w:br/>
        <w:t xml:space="preserve">      y pleno ejercicio a toda persona que esté sujeta  a  su  jurisdicción,</w:t>
        <w:br/>
        <w:t xml:space="preserve">      sin discriminación alguna por motivo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142.  En relación con el proceso judicial interno y su  duración,  la  Corte</w:t>
        <w:br/>
        <w:t>ha establecido que aquél termina</w:t>
        <w:br/>
        <w:br/>
        <w:t xml:space="preserve">      [c]uando se dicta sentencia definitiva y firme en el  asunto,  con  lo</w:t>
        <w:br/>
        <w:t xml:space="preserve">      cual se agota la jurisdicción y […], particularmente en materia penal,</w:t>
        <w:br/>
        <w:t xml:space="preserve">      dicho plazo debe comprender  todo  el  procedimiento,  incluyendo  los</w:t>
        <w:br/>
        <w:t xml:space="preserve">      recursos de instancia que pudieran eventualmente presentarse[127].</w:t>
        <w:br/>
        <w:br/>
        <w:t>143.  Con respecto al plazo razonable de que trata  el  artículo  8.1,  este</w:t>
        <w:br/>
        <w:t>Tribunal ha establecido que es preciso tomar en cuenta tres  elementos  para</w:t>
        <w:br/>
        <w:t>determinar la razonabilidad del plazo en el que se  desarrolla  un  proceso:</w:t>
        <w:br/>
        <w:t>a) complejidad del  asunto,  b)  actividad  procesal  del  interesado  y  c)</w:t>
        <w:br/>
        <w:t>conducta de las autoridades judiciales[128].</w:t>
        <w:br/>
        <w:br/>
        <w:t>144.  En el Caso Suárez Rosero la Corte estimó que el transcurso  de  cuatro</w:t>
        <w:br/>
        <w:t>años y dos meses entre la detención y la sentencia sobre la apelación  final</w:t>
        <w:br/>
        <w:t>de la víctima “excede en mucho el principio de  plazo  razonable  consagrado</w:t>
        <w:br/>
        <w:t>en la Convención Americana”[129].</w:t>
        <w:br/>
        <w:br/>
        <w:t>145.   La  Corte  considera  que  una  demora  prolongada  puede  llegar   a</w:t>
        <w:br/>
        <w:t>constituir por sí misma, en ciertos casos, una violación  de  las  garantías</w:t>
        <w:br/>
        <w:t>judiciales.  Corresponde al Estado exponer y probar la razón por lo  que  se</w:t>
        <w:br/>
        <w:t>ha requerido más tiempo que el que sería razonable en principio para  dictar</w:t>
        <w:br/>
        <w:t>sentencia  definitiva  en  un  caso  particular,  de  conformidad  con   los</w:t>
        <w:br/>
        <w:t>criterios indicados (supra párr. 143).</w:t>
        <w:br/>
        <w:br/>
        <w:t>146.  Por otra parte, esta Corte ha establecido en la  Opinión  Consultiva</w:t>
        <w:br/>
        <w:t>OC-16/99 que “para que exista ‘debido proceso legal’  es  preciso  que  un</w:t>
        <w:br/>
        <w:t>justiciable pueda hacer valer sus derechos y  defender  sus  intereses  en</w:t>
        <w:br/>
        <w:t>forma  efectiva  y  en  condiciones  de  igualdad   procesal   con   otros</w:t>
        <w:br/>
        <w:t>justiciables”[130].</w:t>
        <w:br/>
        <w:br/>
        <w:br/>
        <w:t>147.  En este orden de consideraciones, la Corte ha dicho que para que  en</w:t>
        <w:br/>
        <w:t>un proceso existan verdaderas garantías judiciales, es preciso que  en  él</w:t>
        <w:br/>
        <w:t>se observen todos los requisitos que “sirv[a]n para proteger,  asegurar  o</w:t>
        <w:br/>
        <w:t>hacer valer la titularidad o el ejercicio de un derecho”[131],  es  decir,</w:t>
        <w:br/>
        <w:t>las “condiciones que deben cumplirse para asegurar la adecuada defensa  de</w:t>
        <w:br/>
        <w:t>aquéllos  cuyos  derechos  u   obligaciones   están   bajo   consideración</w:t>
        <w:br/>
        <w:t>judicial”[132].</w:t>
        <w:br/>
        <w:br/>
        <w:t>148.  Para que se  preserve  el  derecho  a  un  recurso  efectivo,  en  los</w:t>
        <w:br/>
        <w:t>términos del artículo 25  de  la  Convención,  es  indispensable  que  dicho</w:t>
        <w:br/>
        <w:t>recurso se tramite conforme a las reglas del debido proceso, consagradas  en</w:t>
        <w:br/>
        <w:t>el artículo 8 de  la  Convención,  incluyendo  el  acceso  a  la  asistencia</w:t>
        <w:br/>
        <w:t>letrada.   Tomando  en  cuenta  la  naturaleza  excepcionalmente   grave   e</w:t>
        <w:br/>
        <w:t>irreparable de la pena de muerte, la observancia del debido  proceso  legal,</w:t>
        <w:br/>
        <w:t>con su conjunto de derechos y garantías, es aún  más  importante  cuando  se</w:t>
        <w:br/>
        <w:t>halle en juego la vida humana[133].</w:t>
        <w:br/>
        <w:br/>
        <w:t>149.  Con respecto al derecho a un recurso efectivo, la Corte considera  que</w:t>
        <w:br/>
        <w:t>en este  caso  resulta  evidente,  según  las  pruebas  presentadas  por  la</w:t>
        <w:br/>
        <w:t>Comisión, que en Trinidad y Tobago es técnicamente  compleja  y  de  difícil</w:t>
        <w:br/>
        <w:t>acceso la interposición de acciones constitucionales sin  la  asistencia  de</w:t>
        <w:br/>
        <w:t>un abogado, y que no se dispone en la práctica trinitaria la posibilidad  de</w:t>
        <w:br/>
        <w:t>presentar acciones constitucionales de manera efectiva[134].</w:t>
        <w:br/>
        <w:br/>
        <w:t>150.  Sobre el particular, la Corte ha reiterado que no  basta  con  que  se</w:t>
        <w:br/>
        <w:t>prevea la existencia de recursos[135], si estos no resultan  efectivos  para</w:t>
        <w:br/>
        <w:t>combatir la violación de los derechos  protegidos  por  la  Convención.   La</w:t>
        <w:br/>
        <w:t>garantía de un recurso efectivo “constituye uno de los pilares  básicos,  no</w:t>
        <w:br/>
        <w:t>sólo de la Convención Americana, sino del propio Estado de  Derecho  en  una</w:t>
        <w:br/>
        <w:t>sociedad democrática en el sentido de la Convención”[136].</w:t>
        <w:br/>
        <w:br/>
        <w:t>151.  La Corte Interamericana ha establecido también que como parte  de  las</w:t>
        <w:br/>
        <w:t>obligaciones generales de los Estados, estos tienen  un  deber  positivo  de</w:t>
        <w:br/>
        <w:t>garantía con respecto a los individuos sometidos a  su  jurisdicción.   Ello</w:t>
        <w:br/>
        <w:t>supone</w:t>
        <w:br/>
        <w:br/>
        <w:t xml:space="preserve">      tomar todas las medidas necesarias para  remover  los  obstáculos  que</w:t>
        <w:br/>
        <w:t xml:space="preserve">      puedan existir  para  que  los  individuos  puedan  disfrutar  de  los</w:t>
        <w:br/>
        <w:t xml:space="preserve">      derechos que la Convención reconoce.  Por consiguiente, la  tolerancia</w:t>
        <w:br/>
        <w:t xml:space="preserve">      del Estado a circunstancias o condiciones que impidan a los individuos</w:t>
        <w:br/>
        <w:t xml:space="preserve">      acceder a los recursos internos adecuados para proteger sus  derechos,</w:t>
        <w:br/>
        <w:t xml:space="preserve">      constituye una violación del artículo 1.1 de la Convención[…][137].</w:t>
        <w:br/>
        <w:br/>
        <w:t>152.  En razón de lo anteriormente expuesto, la Corte presenta el  siguiente</w:t>
        <w:br/>
        <w:t>análisis:</w:t>
        <w:br/>
        <w:br/>
        <w:t>a.    El derecho interno de Trinidad y Tobago no establece el derecho  a  un</w:t>
        <w:br/>
        <w:t>juicio pronto o dentro de un plazo razonable y, por lo tanto, no  se  ajusta</w:t>
        <w:br/>
        <w:t>a lo establecido en la Convención.  En virtud de la  información  disponible</w:t>
        <w:br/>
        <w:t>en el presente Caso, que se concreta en la  información  presentada  en  los</w:t>
        <w:br/>
        <w:t>hechos expuestos (supra párr. 60), y de  acuerdo  con  el  citado  principio</w:t>
        <w:br/>
        <w:t>iura novit curia, la Corte concluye que  el  Estado  de  Trinidad  y  Tobago</w:t>
        <w:br/>
        <w:t>violó el derecho a ser juzgado dentro de un plazo razonable y con ello,  las</w:t>
        <w:br/>
        <w:t>disposiciones contenidas en los artículos 7.5 y 8.1 en  conjunción  con  los</w:t>
        <w:br/>
        <w:t>artículos 1.1 y  2  de  la  Convención  Americana  en  perjuicio  de  Haniff</w:t>
        <w:br/>
        <w:t>Hilaire, George Constantine,  Wenceslaus  James,  Denny  Baptiste,  Clarence</w:t>
        <w:br/>
        <w:t>Charles, Keiron Thomas, Wilson Prince, Darrin Roger Thomas,  Mervyn  Edmund,</w:t>
        <w:br/>
        <w:t>Martin  Reid,  Rodney  Davis,  Gangadeen  Tahaloo,  Noel  Seepersad,   Wayne</w:t>
        <w:br/>
        <w:t>Matthews,  Alfred  Frederick,  Natasha  De  Leon,  Vijay  Mungroo,   Phillip</w:t>
        <w:br/>
        <w:t>Chotalal, Naresh Boodram, Joey  Ramiah,  Nigel  Mark,  Wilberforce  Bernard,</w:t>
        <w:br/>
        <w:t>Steve Mungroo, Peter Benjamin, Krishendath Seepersad, Allan Phillip,  Narine</w:t>
        <w:br/>
        <w:t>Sooklal, Amir Mowlah, Mervyn Parris y Francis Mansingh.</w:t>
        <w:br/>
        <w:br/>
        <w:t>b.    Igualmente, este Tribunal estima que existen pruebas suficientes  para</w:t>
        <w:br/>
        <w:t>concluir que, en la práctica, no  se  encuentra  a  la  disposición  de  los</w:t>
        <w:br/>
        <w:t>inculpados de homicidio intencional, la asistencia legal adecuada  para  que</w:t>
        <w:br/>
        <w:t>presenten acciones constitucionales de manera efectiva.  Si bien  de  manera</w:t>
        <w:br/>
        <w:t>formal, se halla consagrado en  el  ordenamiento  jurídico  del  Estado,  el</w:t>
        <w:br/>
        <w:t>derecho  a  intentar  una  acción  constitucional,  en  el  caso  de  George</w:t>
        <w:br/>
        <w:t>Constantine, Wilson Prince, Mervyn Edmund, Martin Reid,  Gangadeen  Tahaloo,</w:t>
        <w:br/>
        <w:t>Noel Seepersad, Natasha De  Leon,  Phillip  Chotalal,  Wilberforce  Bernard,</w:t>
        <w:br/>
        <w:t>Amir Mowlah y Mervyn Parris se impidió el empleo de este recurso  en  cuanto</w:t>
        <w:br/>
        <w:t>el Estado no proporcionó a los inculpados asistencia jurídica a fin  de  que</w:t>
        <w:br/>
        <w:t>pudieran ejercitarlo efectivamente, y de esta forma  constituyó  un  recurso</w:t>
        <w:br/>
        <w:t>ilusorio para aquéllos.  Con ello resultaron violados los artículos 8  y  25</w:t>
        <w:br/>
        <w:t>de la Convención en relación con el artículo 1.1 de ésta.</w:t>
        <w:br/>
        <w:br/>
        <w:t>c.    La Corte llama la atención sobre el hecho de que la sección  6  de  la</w:t>
        <w:br/>
        <w:t>Constitución de la República  de  Trinidad  y  Tobago,  que  data  de  1976,</w:t>
        <w:br/>
        <w:t>establece que ninguna norma anterior a  la  entrada  en  vigencia  de  ésta,</w:t>
        <w:br/>
        <w:t>puede ser objeto de impugnación constitucional en cuanto a sus  Secciones  4</w:t>
        <w:br/>
        <w:t>y  5  (supra  párr.  84.f).   La  Ley  de  Delitos  contra  la  Persona   es</w:t>
        <w:br/>
        <w:t>incompatible  con  la  Convención  Americana  y,  por  lo  tanto,  cualquier</w:t>
        <w:br/>
        <w:t>disposición que determine su inimpugnabilidad, también lo es  en  virtud  de</w:t>
        <w:br/>
        <w:t>que Trinidad y Tobago, al ser parte de la Convención en el  momento  de  los</w:t>
        <w:br/>
        <w:t>hechos, no puede invocar  las  disposiciones  de  su  derecho  interno  para</w:t>
        <w:br/>
        <w:t>justificar el incumplimiento de sus obligaciones internacionales.</w:t>
        <w:br/>
        <w:br/>
        <w:t>d.    Finalmente, la Corte no considera  necesario  pronunciarse  sobre  los</w:t>
        <w:br/>
        <w:t>alegatos de violaciones de carácter específico sobre garantías judiciales  y</w:t>
        <w:br/>
        <w:t>protección judicial formulados por la Comisión y los representantes  de  las</w:t>
        <w:br/>
        <w:t>víctimas  con  respecto  a  determinados  casos,  ya  que  este  tema   está</w:t>
        <w:br/>
        <w:t>comprendido en  las  violaciones  de  carácter  genérico  encontradas  a  la</w:t>
        <w:br/>
        <w:t>Convención Americana.</w:t>
        <w:br/>
        <w:br/>
        <w:br/>
        <w:t xml:space="preserve">                                     XI</w:t>
        <w:br/>
        <w:t xml:space="preserve">   VIOLACIÓN DEL ARTÍCULO 5.1 y 5.2 EN RELACIÓN CON EL ARTÍCULO 1.1 DE LA</w:t>
        <w:br/>
        <w:t xml:space="preserve">                            CONVENCIÓN AMERICANA</w:t>
        <w:br/>
        <w:t xml:space="preserve">                         (Condiciones de Detención)</w:t>
        <w:br/>
        <w:br/>
        <w:t>Alegatos de la Comisión</w:t>
        <w:br/>
        <w:br/>
        <w:t>153.  La Comisión Interamericana alegó que las condiciones  de  detención  a</w:t>
        <w:br/>
        <w:t>las que han sido sometidas veintiuna víctimas  en  este  caso[138],  suponen</w:t>
        <w:br/>
        <w:t>omisión del respeto a su integridad física, mental y  moral  y  que  además,</w:t>
        <w:br/>
        <w:t>las víctimas estuvieron sujetas a castigos o  tratos  crueles,  inhumanos  o</w:t>
        <w:br/>
        <w:t>degradantes, en contravención con el artículo 5.1 y 5.2 de la Convención  en</w:t>
        <w:br/>
        <w:t>conexión con el 1.1 de la misma.</w:t>
        <w:br/>
        <w:br/>
        <w:br/>
        <w:t>154.  La Comisión indicó que en su detención previa al juicio, las  víctimas</w:t>
        <w:br/>
        <w:t>padecieron los efectos de un grave congestionamiento carcelario, por lo  que</w:t>
        <w:br/>
        <w:t>se veían obligadas a dormir de pie o sentadas.  Además, las celdas  carecían</w:t>
        <w:br/>
        <w:t>de  un  sistema  higiénico  adecuado,  de  luz  natural  y  de   ventilación</w:t>
        <w:br/>
        <w:t>suficiente, con el agravante de que  permanecían  confinadas  en  ellas  por</w:t>
        <w:br/>
        <w:t>veintitrés o más horas al día.</w:t>
        <w:br/>
        <w:br/>
        <w:t>155.  En relación con su detención  posterior  a  la  condena,  la  Comisión</w:t>
        <w:br/>
        <w:t>manifestó que las víctimas han sido mantenidas en confinamiento solitario  y</w:t>
        <w:br/>
        <w:t>las salidas para tomar aire y ejercitarse son  poco  frecuentes.   En  estas</w:t>
        <w:br/>
        <w:t>circunstancias  las  víctimas  carecen   de   instalaciones   educativas   o</w:t>
        <w:br/>
        <w:t>recreativas y el acceso de algunas de las víctimas al tratamiento  médico  y</w:t>
        <w:br/>
        <w:t>dental ha sido  inadecuado,  ya  que  las  visitas  del  personal  médico  y</w:t>
        <w:br/>
        <w:t>odontológico  son  escasas  y  las  solicitudes  de  asistencia   han   sido</w:t>
        <w:br/>
        <w:t>desatendidas en muchas ocasiones.</w:t>
        <w:br/>
        <w:br/>
        <w:t>156.  La Comisión Interamericana manifestó  que  las  víctimas  han  sufrido</w:t>
        <w:br/>
        <w:t>estas condiciones por períodos de tiempo muy extensos y que  por  lo  tanto,</w:t>
        <w:br/>
        <w:t>el Estado no les garantizó el respeto a la dignidad inherente al ser  humano</w:t>
        <w:br/>
        <w:t>bajo cualquier circunstancia, así  como  el  derecho  a  no  ser  objeto  de</w:t>
        <w:br/>
        <w:t>castigos o tratos crueles, inhumanos o degradantes.</w:t>
        <w:br/>
        <w:br/>
        <w:t>157.  La Comisión alegó también que el Estado de Trinidad y Tobago violó  el</w:t>
        <w:br/>
        <w:t>artículo 5.4 de la Convención respecto de Francis  Mansingh  debido  a  que,</w:t>
        <w:br/>
        <w:t>previo a su juicio, se le mantuvo en una celda con reclusos que habían  sido</w:t>
        <w:br/>
        <w:t>condenados por homicidio y se encontraban en espera de la resolución de  sus</w:t>
        <w:br/>
        <w:t>apelaciones.</w:t>
        <w:br/>
        <w:br/>
        <w:t>158.  Finalmente, la Comisión alegó además que Haniff Hilaire y  Krishendath</w:t>
        <w:br/>
        <w:t>Seepersad no se favorecieron de intento  alguno  por  parte  del  Estado  de</w:t>
        <w:br/>
        <w:t>reformarlas o  readaptarlas  socialmente,  lo  cual  es  una  violación  del</w:t>
        <w:br/>
        <w:t>artículo 5.6 de la Convención.  En particular, no se les enseñó a leer ni  a</w:t>
        <w:br/>
        <w:t>escribir, ni se les brindó asesoramiento sobre cómo controlar la  violencia.</w:t>
        <w:br/>
        <w:t xml:space="preserve"> La Comisión estimó que para las personas condenadas a muerte, hasta que  no</w:t>
        <w:br/>
        <w:t>se hayan  agotado  todas  las  vías  de  apelación  disponibles,  existe  la</w:t>
        <w:br/>
        <w:t>posibilidad de que la pena de muerte sea revocada o  conmutada.   Por  ello,</w:t>
        <w:br/>
        <w:t>sostuvo que durante este período  transitorio,  no  debe  existir  perjuicio</w:t>
        <w:br/>
        <w:t>para las oportunidades de reforma y readaptación social del  recluso  basado</w:t>
        <w:br/>
        <w:t>nada más en el hecho de que estos  reclusos  fueron  condenados  a  la  pena</w:t>
        <w:br/>
        <w:t>muerte.</w:t>
        <w:br/>
        <w:br/>
        <w:t>Alegatos de los representantes de las presuntas víctimas</w:t>
        <w:br/>
        <w:br/>
        <w:t>159.  Los representantes coincidieron con los  alegatos  de  la  Comisión  e</w:t>
        <w:br/>
        <w:t>indicaron  que  las  celdas  reciben  poca  o  ninguna  luz   natural,   las</w:t>
        <w:br/>
        <w:t>facilidades  sanitarias  son  primitivas  y  degradantes,  los  acusados  en</w:t>
        <w:br/>
        <w:t>prisión  preventiva  son  detenidos   en   condiciones   de   sobrepoblación</w:t>
        <w:br/>
        <w:t>carcelaria y en celdas muy pequeñas, no  hay  facilidades  de  trabajo  para</w:t>
        <w:br/>
        <w:t>aquéllos en espera de la pena de muerte, los períodos de ejercicio  son  muy</w:t>
        <w:br/>
        <w:t>limitados y las facilidades médicas son virtualmente inexistentes.</w:t>
        <w:br/>
        <w:br/>
        <w:t>160.   Los  representantes  señalaron  que  de  acuerdo  con  las   diversas</w:t>
        <w:br/>
        <w:t>evidencias aportadas al caso, se puede concluir que todas las  víctimas  han</w:t>
        <w:br/>
        <w:t>sido expuestas a terribles condiciones de detención durante  un  período  de</w:t>
        <w:br/>
        <w:t>tiempo sustancial y que en vista de que la prueba presentada a la  Corte  no</w:t>
        <w:br/>
        <w:t>ha sido contestada por el Estado,  este  Tribunal  deberá  aceptarla  en  su</w:t>
        <w:br/>
        <w:t>totalidad.</w:t>
        <w:br/>
        <w:br/>
        <w:t>161.  En razón de  lo  anterior,  los  representantes  concluyeron  que  las</w:t>
        <w:br/>
        <w:t>condiciones  de  detención  en  Trinidad   y   Tobago   son   “completamente</w:t>
        <w:br/>
        <w:t>inaceptables en una sociedad civilizada”  y  que  ello  es  suficiente  para</w:t>
        <w:br/>
        <w:t>justificar la violación del artículo 5.1 y 5.2 de la Convención.</w:t>
        <w:br/>
        <w:br/>
        <w:t>162.  Los representantes coincidieron con los argumentos de la  Comisión  en</w:t>
        <w:br/>
        <w:t>cuanto a las violaciones  específicas  en  perjuicio  de  Francis  Mansingh,</w:t>
        <w:br/>
        <w:t>Haniff Hilaire y Krishendath Seepersad (supra párrs. 157 y 158).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163.  El artículo 5 establece en lo conducente que</w:t>
        <w:br/>
        <w:br/>
        <w:t xml:space="preserve">           1.    Toda persona tiene derecho a que se respete su  integridad</w:t>
        <w:br/>
        <w:t xml:space="preserve">      física, psíquica y moral.</w:t>
        <w:br/>
        <w:br/>
        <w:br/>
        <w:t xml:space="preserve">            2.    Nadie debe ser sometido a torturas ni  a  penas  o  tratos</w:t>
        <w:br/>
        <w:t xml:space="preserve">      crueles, inhumanos o degradantes.  Toda persona  privada  de  libertad</w:t>
        <w:br/>
        <w:t xml:space="preserve">      será tratada con el respeto debido a  la  dignidad  inherente  al  ser</w:t>
        <w:br/>
        <w:t xml:space="preserve">      humano.</w:t>
        <w:br/>
        <w:br/>
        <w:br/>
        <w:t xml:space="preserve">            […]</w:t>
        <w:br/>
        <w:br/>
        <w:br/>
        <w:t xml:space="preserve">            4.    Los procesados deben estar separados  de  los  condenados,</w:t>
        <w:br/>
        <w:t xml:space="preserve">      salvo  en  circunstancias  excepcionales,  y  serán  sometidos  a   un</w:t>
        <w:br/>
        <w:t xml:space="preserve">      tratamiento adecuado a su condición de personas no condenadas.</w:t>
        <w:br/>
        <w:br/>
        <w:br/>
        <w:t xml:space="preserve">            […]</w:t>
        <w:br/>
        <w:br/>
        <w:br/>
        <w:t xml:space="preserve">            6.    Las penas privativas de la libertad tendrán como finalidad</w:t>
        <w:br/>
        <w:t xml:space="preserve">      esencial la reforma y la readaptación social de los condenados.</w:t>
        <w:br/>
        <w:br/>
        <w:t>164.  La Corte señaló en el Caso Cantoral Benavides que  “la  incomunicación</w:t>
        <w:br/>
        <w:t>durante la detención, […] el aislamiento en celda reducida, sin  ventilación</w:t>
        <w:br/>
        <w:t>ni luz natural,  [...]  las  restricciones  al  régimen  de  visitas  [...],</w:t>
        <w:br/>
        <w:t>constituyen formas de tratos crueles, inhumanos o degradantes en el  sentido</w:t>
        <w:br/>
        <w:t>del artículo 5.2 de la Convención Americana”[139].</w:t>
        <w:br/>
        <w:br/>
        <w:t>165.  Asimismo, la Corte Interamericana  ha  manifestado  que  toda  persona</w:t>
        <w:br/>
        <w:t>privada de libertad tiene derecho a  ser  tratada  con  dignidad  y  que  el</w:t>
        <w:br/>
        <w:t>Estado tiene la responsabilidad y el deber  de  garantizarle  la  integridad</w:t>
        <w:br/>
        <w:t>personal mientras se encuentra en reclusión.  En  consecuencia,  el  Estado,</w:t>
        <w:br/>
        <w:t>como responsable de los establecimientos de  detención,  es  el  garante  de</w:t>
        <w:br/>
        <w:t>estos derechos de los detenidos[140].</w:t>
        <w:br/>
        <w:br/>
        <w:t>166.  A su vez, el Comité de Derechos Humanos de Naciones Unidas también  ha</w:t>
        <w:br/>
        <w:t>sostenido que la detención de un preso con otras  personas,  en  condiciones</w:t>
        <w:br/>
        <w:t>que representan un peligro serio para su  salud,  constituye  una  violación</w:t>
        <w:br/>
        <w:t>del artículo 7 del Pacto Internacional de Derechos Civiles y Políticos,  que</w:t>
        <w:br/>
        <w:t>establece en lo conducente que nadie debe  ser  sujeto  a  la  tortura  o  a</w:t>
        <w:br/>
        <w:t>tratos o castigos crueles, inhumanos o degradantes[141].</w:t>
        <w:br/>
        <w:br/>
        <w:t>167.  Asimismo, la Corte Europea determinó en  el  Caso  Soering  vs.  Reino</w:t>
        <w:br/>
        <w:t>Unido que el llamado  “fenómeno  del  corredor  de  la  muerte”  (death  row</w:t>
        <w:br/>
        <w:t>phenomenon) es un trato cruel, inhumano y  degradante,  y  está  constituido</w:t>
        <w:br/>
        <w:t>por un periodo de detención prolongado  en  espera  y  previo  a  ejecución,</w:t>
        <w:br/>
        <w:t>durante el cual se sufre de angustia mental además de  otras  circunstancias</w:t>
        <w:br/>
        <w:t>a las que el acusado es expuesto que incluyen, entre otras, la forma en  que</w:t>
        <w:br/>
        <w:t>se impuso la condena; la no consideración de las características  personales</w:t>
        <w:br/>
        <w:t>del acusado; la desproporción entre  la  pena  y  el  delito  cometido;  las</w:t>
        <w:br/>
        <w:t>condiciones de detención a la  espera  de  ejecución;  las  demoras  en  las</w:t>
        <w:br/>
        <w:t>apelaciones o en la revisión de su pena de  muerte  durante  las  cuales  la</w:t>
        <w:br/>
        <w:t>persona está sujeta a una tensión extrema y a trauma psicológico;  el  hecho</w:t>
        <w:br/>
        <w:t>de que el juez no tome en consideración la edad o el  estado  mental  de  la</w:t>
        <w:br/>
        <w:t>persona condenada, así como la constante espera de lo que será el ritual  de</w:t>
        <w:br/>
        <w:t>su propia ejecución[142].</w:t>
        <w:br/>
        <w:br/>
        <w:t>168.  En el presente Caso,  todos  los  detenidos  se  encuentran  bajo  una</w:t>
        <w:br/>
        <w:t>constante amenaza de que en cualquier  momento  pueden  ser  llevados  a  la</w:t>
        <w:br/>
        <w:t>horca como consecuencia de una legislación y proceso judicial  contrarios  a</w:t>
        <w:br/>
        <w:t>la Convención Americana.  Según el informe presentado por la perito  Gaietry</w:t>
        <w:br/>
        <w:t>Pargass,  el  procedimiento  previo  a  la  muerte  en  la  horca   de   los</w:t>
        <w:br/>
        <w:t>sentenciados por  el  delito  de  homicidio  intencional  aterroriza  a  los</w:t>
        <w:br/>
        <w:t>prisioneros y los deprime, varios no  pueden  dormir  debido  a  que  sufren</w:t>
        <w:br/>
        <w:t>pesadillas y menos aún comer (supra párr. 77.c).</w:t>
        <w:br/>
        <w:br/>
        <w:t>169.   La  Corte,  luego  de  apreciar  la  prueba  pericial   aportada   al</w:t>
        <w:br/>
        <w:t>respecto[143], considera que las condiciones de detención en que han  vivido</w:t>
        <w:br/>
        <w:t>y viven las víctimas  de  este  caso  (supra  párr.  2)  constituyen  tratos</w:t>
        <w:br/>
        <w:t>crueles, inhumanos o degradantes ya que  éstas  se  encuentran  viviendo  en</w:t>
        <w:br/>
        <w:t>situaciones que afectan su integridad física y psíquica.</w:t>
        <w:br/>
        <w:br/>
        <w:t>170.  La Corte estima que a pesar de que la violación del artículo 5  de  la</w:t>
        <w:br/>
        <w:t>Convención fue alegada solamente para veintiuna víctimas del  presente  Caso</w:t>
        <w:br/>
        <w:t>por parte de la  Comisión,  esto  no  limita  la  posibilidad  de  que  este</w:t>
        <w:br/>
        <w:t>Tribunal, en razón del principio general de derecho iura novit curia  (supra</w:t>
        <w:br/>
        <w:t>párr. 107),  determine  que  las  pruebas  presentadas  a  lo  largo  de  la</w:t>
        <w:br/>
        <w:t>tramitación del presente Caso, y especialmente en  razón  de  los  peritajes</w:t>
        <w:br/>
        <w:t>sobre condiciones de detención, concluya que las condiciones  descritas  son</w:t>
        <w:br/>
        <w:t>condiciones  generales  del  sistema  carcelario  de  Trinidad  y  Tobago  y</w:t>
        <w:br/>
        <w:t>considere la violación de ese artículo en perjuicio de  todas  las  víctimas</w:t>
        <w:br/>
        <w:t>del presente Caso.</w:t>
        <w:br/>
        <w:br/>
        <w:t>171.        Por otro lado, la  Corte  no  considera  necesario  pronunciarse</w:t>
        <w:br/>
        <w:t>sobre los alegatos de violaciones a  la  Convención  Americana  de  carácter</w:t>
        <w:br/>
        <w:t>específico sobre condiciones de detención formuladas por la Comisión  y  los</w:t>
        <w:br/>
        <w:t>representantes con respecto  a  determinadas  víctimas,  puesto  que  dichas</w:t>
        <w:br/>
        <w:t>violaciones están abarcadas por aquellas de  carácter  general  respecto  de</w:t>
        <w:br/>
        <w:t>las cuales sí se ha pronunciado la Corte en la presente Sentencia.</w:t>
        <w:br/>
        <w:br/>
        <w:t>172.  A la luz de lo anterior, la Corte declara que Trinidad y Tobago  violó</w:t>
        <w:br/>
        <w:t>las disposiciones del artículo 5.1 y 5.2  de  la  Convención  Americana,  en</w:t>
        <w:br/>
        <w:t>conexión con el artículo 1.1 de este mismo cuerpo  legal,  en  perjuicio  de</w:t>
        <w:br/>
        <w:t>Haniff  Hilaire,  George  Constantine,  Wenceslaus  James,  Denny  Baptiste,</w:t>
        <w:br/>
        <w:t>Clarence Charles, Keiron  Thomas,  Anthony  Garcia,  Wilson  Prince,  Darrin</w:t>
        <w:br/>
        <w:t>Roger Thomas, Mervyn Edmund, Samuel Winchester, Martin Reid,  Rodney  Davis,</w:t>
        <w:br/>
        <w:t>Gangadeen  Tahaloo,  Noel  Seepersad,  Wayne  Matthews,  Alfred   Frederick,</w:t>
        <w:br/>
        <w:t>Natasha De Leon, Vijay  Mungroo,  Phillip  Chotalal,  Naresh  Boodram,  Joey</w:t>
        <w:br/>
        <w:t>Ramiah, Nigel Mark, Wilberforce  Bernard,  Steve  Mungroo,  Peter  Benjamin,</w:t>
        <w:br/>
        <w:t>Krishendath Seepersad, Allan Phillip, Narine Sooklal,  Amir  Mowlah,  Mervyn</w:t>
        <w:br/>
        <w:t>Parris y Francis Mansingh.</w:t>
        <w:br/>
        <w:br/>
        <w:br/>
        <w:t xml:space="preserve">                                     XII</w:t>
        <w:br/>
        <w:t xml:space="preserve">  VIOLACIÓN DE LOS ARTÍCULOS 4.6 Y 8 EN RELACIÓN CON EL ARTÍCULO 1.1 DE LA</w:t>
        <w:br/>
        <w:t xml:space="preserve">                            CONVENCIÓN AMERICANA</w:t>
        <w:br/>
        <w:t xml:space="preserve">                (Amnistía, Indulto o Conmutación de la Pena)</w:t>
        <w:br/>
        <w:br/>
        <w:t>Alegatos de la Comisión</w:t>
        <w:br/>
        <w:br/>
        <w:t>173.  La Comisión  Interamericana  consideró  que  en  el  caso  de  las  32</w:t>
        <w:br/>
        <w:t>víctimas condenadas a pena de muerte en  el  presente  Caso,  el  Estado  no</w:t>
        <w:br/>
        <w:t>garantizó un procedimiento efectivo para otorgarles la amnistía, el  indulto</w:t>
        <w:br/>
        <w:t>o la conmutación de la pena, dejando de  cumplir  de  esta  manera  con  los</w:t>
        <w:br/>
        <w:t>requisitos establecidos en el artículo  4.6  de  la  Convención  y  con  las</w:t>
        <w:br/>
        <w:t>obligaciones del Estado establecidas en el artículo 1.1 del mismo texto.</w:t>
        <w:br/>
        <w:br/>
        <w:t>174.   La  Comisión  Interamericana  indicó  que  la  sección   88   de   la</w:t>
        <w:br/>
        <w:t>Constitución de la República  de  Trinidad  y  Tobago  establece  un  Comité</w:t>
        <w:br/>
        <w:t>Asesor sobre la Facultad del Indulto, que tiene a su cargo estudiar y  hacer</w:t>
        <w:br/>
        <w:t>recomendaciones al Ministro de  Seguridad  Nacional  sobre  si  una  persona</w:t>
        <w:br/>
        <w:t>sentenciada a muerte debe beneficiarse de la discreción presidencial  de  la</w:t>
        <w:br/>
        <w:t>amnistía, el indulto o la conmutación de la pena.</w:t>
        <w:br/>
        <w:br/>
        <w:t>175.  Agregó, que la ley no establece criterios para orientar  el  ejercicio</w:t>
        <w:br/>
        <w:t>de las funciones del Comité o la discreción presidencial y que las  víctimas</w:t>
        <w:br/>
        <w:t>del presente Caso no tuvieron derecho a solicitar la  amnistía,  el  indulto</w:t>
        <w:br/>
        <w:t>ni la conmutación de la pena, de ser  informados  de  la  fecha  en  que  el</w:t>
        <w:br/>
        <w:t>Comité conocería su caso, de presentar argumentos  orales  o  escritos  ante</w:t>
        <w:br/>
        <w:t>dicho Comité, ni de recibir su decisión dentro de un plazo razonable.</w:t>
        <w:br/>
        <w:br/>
        <w:t>176.  De este modo,  la  Comisión  sostuvo  que  el  procedimiento  para  el</w:t>
        <w:br/>
        <w:t>otorgamiento de la amnistía, el indulto o  la  conmutación  de  la  pena  en</w:t>
        <w:br/>
        <w:t>Trinidad y Tobago, no garantiza a los condenados  una  oportunidad  efectiva</w:t>
        <w:br/>
        <w:t>de participar en el proceso de  otorgamiento  de  ese  beneficio  y  por  lo</w:t>
        <w:br/>
        <w:t>tanto, no constituye una garantía adecuada a la luz del artículo 4.6  de  la</w:t>
        <w:br/>
        <w:t>Convención Americana.</w:t>
        <w:br/>
        <w:br/>
        <w:t>177.  La Comisión manifestó que según la jurisprudencia reciente del  Comité</w:t>
        <w:br/>
        <w:t>Judicial del Privy Council [144], las peticiones individuales  de  clemencia</w:t>
        <w:br/>
        <w:t>al amparo de la Constitución están abiertas a revisión  judicial  y  que  el</w:t>
        <w:br/>
        <w:t>procedimiento de clemencia debe  ser  ejercido  imparcial  y  adecuadamente.</w:t>
        <w:br/>
        <w:t>Asimismo, indicó que  estas  conclusiones  parecen  aplicarse  a  todas  las</w:t>
        <w:br/>
        <w:t>jurisdicciones en que exista la prerrogativa de clemencia  en  relación  con</w:t>
        <w:br/>
        <w:t>la pena de muerte, incluida Trinidad y Tobago.</w:t>
        <w:br/>
        <w:br/>
        <w:t>178.  La Comisión sostuvo finalmente, que a fin de brindar a los  condenados</w:t>
        <w:br/>
        <w:t>una oportunidad efectiva de ejercer este derecho, el Estado debe  establecer</w:t>
        <w:br/>
        <w:t>y  ofrecer  un  procedimiento  a  través  del  cual  los  condenados  puedan</w:t>
        <w:br/>
        <w:t>presentar y formular argumentos en respaldo  de  su  solicitud,  puesto  que</w:t>
        <w:br/>
        <w:t>consideró que en ausencia de protecciones y procedimientos mínimos  de  esta</w:t>
        <w:br/>
        <w:t>naturaleza, el artículo 4.6 de la Convención pierde  sentido  tornándose  en</w:t>
        <w:br/>
        <w:t>un derecho sin medios efectivos para ser ejercido.</w:t>
        <w:br/>
        <w:br/>
        <w:t>Alegatos de los representantes de las supuestas víctimas</w:t>
        <w:br/>
        <w:br/>
        <w:t>179.  Los representantes alegaron que el procedimiento de clemencia  por  sí</w:t>
        <w:br/>
        <w:t>solo no es suficiente para cumplir la totalidad de  requisitos  establecidos</w:t>
        <w:br/>
        <w:t>en los artículos 4.1, 4.2, 5.1, 5.2 y 8  de  la  Convención  Americana.   Lo</w:t>
        <w:br/>
        <w:t>anterior, en razón de que el Comité Asesor sobre la Facultad del Indulto  no</w:t>
        <w:br/>
        <w:t>es un órgano judicial sino un órgano ejecutivo y para  el  cual  no  existen</w:t>
        <w:br/>
        <w:t>criterios preestablecidos en cuanto a la aplicación de  la  prerrogativa  de</w:t>
        <w:br/>
        <w:t>clemencia.  Éste se reúne y aconseja al Ministro de Seguridad en  secreto  y</w:t>
        <w:br/>
        <w:t>no existe mecanismo alguno que asegure que los  acusados  reciban  criterios</w:t>
        <w:br/>
        <w:t>razonados sobre sus decisiones ya que incluso el Ministro tiene la  libertad</w:t>
        <w:br/>
        <w:t>de ignorar la recomendación que rindiere el Comité.</w:t>
        <w:br/>
        <w:br/>
        <w:t>180.  Agregaron que, aunado a lo anterior, bajo la  legislación  aplicada  a</w:t>
        <w:br/>
        <w:t>todas las personas en este caso, no había criterios para el ejercicio de  la</w:t>
        <w:br/>
        <w:t>amnistía, el indulto o la conmutación de la pena, no se tenía el derecho  de</w:t>
        <w:br/>
        <w:t>presentar argumentos escritos u orales y  no  contaban  con  información  en</w:t>
        <w:br/>
        <w:t>general, razón por la cual ninguna  de  las  víctimas  tuvo  derecho  a  una</w:t>
        <w:br/>
        <w:t>audiencia justa ante el Comité Asesor sobre la Facultad del Indulto.</w:t>
        <w:br/>
        <w:br/>
        <w:t>181.  Los representantes alegaron que cada víctima debe  ser  notificada  de</w:t>
        <w:br/>
        <w:t>la fecha en que el Comité considerará su caso, debe recibir el material  que</w:t>
        <w:br/>
        <w:t>se presentará ante el mismo, debe  tener  una  audiencia  oral  y  presentar</w:t>
        <w:br/>
        <w:t>argumentos  antes  de  ésta  y  debe  poder  entregar  al  Comité  para   su</w:t>
        <w:br/>
        <w:t>consideración, las decisiones y recomendaciones de órganos  internacionales.</w:t>
        <w:br/>
        <w:t xml:space="preserve"> Mientras una solicitud de esta índole esté pendiente, la  víctima  no  debe</w:t>
        <w:br/>
        <w:t>ser ejecutada.</w:t>
        <w:br/>
        <w:br/>
        <w:t>182.  Consideraron que para que se dé una determinación confiable de  cuáles</w:t>
        <w:br/>
        <w:t>crímenes constituyen “los más serios”, el Comité Asesor debe tener  ante  sí</w:t>
        <w:br/>
        <w:t>toda la evidencia atenuante que sea relevante, de manera  que  el  ejercicio</w:t>
        <w:br/>
        <w:t>de la amnistía,  el  indulto  o  la  conmutación  de  la  pena  sea  también</w:t>
        <w:br/>
        <w:t>consistente con el requisito del artículo 4.2 de la Convención.</w:t>
        <w:br/>
        <w:br/>
        <w:t>183.   Finalmente,  los  representantes  alegaron  que  todas  las  personas</w:t>
        <w:br/>
        <w:t>incluidas en el presente Caso son víctimas, unas porque  les  fue  leída  la</w:t>
        <w:br/>
        <w:t>orden para su ejecución, otras  porque  se  encontraban  en  riesgo  de  ser</w:t>
        <w:br/>
        <w:t>ejecutadas y finalmente, en el caso de Joey Ramiah  porque  dicha  ejecución</w:t>
        <w:br/>
        <w:t>fue llevada a cabo.  En ninguno de  los  casos  las  víctimas  tuvieron  una</w:t>
        <w:br/>
        <w:t>oportunidad  efectiva  de  recurrir  al  proceso  de  amnistía,  indulto   o</w:t>
        <w:br/>
        <w:t>conmutación de la pena.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Consideraciones de la Corte</w:t>
        <w:br/>
        <w:br/>
        <w:t>184.  La Corte observa que el artículo  4  de  la  Convención  Americana  se</w:t>
        <w:br/>
        <w:t>inspiró en el principio de no aplicar la pena de muerte,  excepto  para  los</w:t>
        <w:br/>
        <w:t>delitos más graves y en condiciones excepcionales y otorgó a los  condenados</w:t>
        <w:br/>
        <w:t>a muerte un derecho adicional a solicitar  la  amnistía,  el  indulto  o  la</w:t>
        <w:br/>
        <w:t>conmutación de la pena ante la autoridad competente.</w:t>
        <w:br/>
        <w:br/>
        <w:t>185.  El artículo 1.1 de la Convención establece la  obligación  estatal  de</w:t>
        <w:br/>
        <w:t>respetar y garantizar el ejercicio de los derechos consagrados en  la  misma</w:t>
        <w:br/>
        <w:t>(supra párr. 141) y el artículo 4.6 dispone que</w:t>
        <w:br/>
        <w:br/>
        <w:t xml:space="preserve">      [t]oda persona  condenada  a  muerte  tiene  derecho  a  solicitar  la</w:t>
        <w:br/>
        <w:t xml:space="preserve">      amnistía, el indulto o la conmutación de la pena,  los  cuales  podrán</w:t>
        <w:br/>
        <w:t xml:space="preserve">      ser concedidos en todos los casos.  No se puede  aplicar  la  pena  de</w:t>
        <w:br/>
        <w:t xml:space="preserve">      muerte mientras la solicitud esté pendiente de decisión ante autoridad</w:t>
        <w:br/>
        <w:t xml:space="preserve">      competente.</w:t>
        <w:br/>
        <w:br/>
        <w:t>186.  En el presente Caso, la Corte estima que las  peticiones  individuales</w:t>
        <w:br/>
        <w:t>de  clemencia  previstas  en  la  Constitución,  deben  ejercerse   mediante</w:t>
        <w:br/>
        <w:t>procedimientos imparciales y adecuados, de conformidad con el  artículo  4.6</w:t>
        <w:br/>
        <w:t>de la Convención[145], en combinación con las  disposiciones  relevantes  de</w:t>
        <w:br/>
        <w:t>ésta acerca de las garantías del debido proceso establecidas en el  artículo</w:t>
        <w:br/>
        <w:t>8.  Es decir, no se trata solamente de interponer formalmente una  petición,</w:t>
        <w:br/>
        <w:t>sino de  tramitarla  de  conformidad  con  el  procedimiento  que  la  torne</w:t>
        <w:br/>
        <w:t>efectiva.</w:t>
        <w:br/>
        <w:br/>
        <w:t>187.  La Corte estima que a pesar de que la violación del  artículo  4.6  de</w:t>
        <w:br/>
        <w:t>la Convención no fue alegada específicamente por parte de la Comisión en  la</w:t>
        <w:br/>
        <w:t>demanda del Caso Hilaire, aunque sí en los alegatos finales, esto no  impide</w:t>
        <w:br/>
        <w:t>que la misma sea examinada por el Tribunal, en razón del  principio  general</w:t>
        <w:br/>
        <w:t>del citado derecho iura novit curia (supra párr. 107)[146].</w:t>
        <w:br/>
        <w:br/>
        <w:t>188.  El artículo 4.6 leído en conjunto con los artículos 8 y 1.1, los  tres</w:t>
        <w:br/>
        <w:t>de la Convención Americana,  pone  al  Estado  frente  a  la  obligación  de</w:t>
        <w:br/>
        <w:t>garantizar que este derecho pueda ser ejercido por el condenado  a  pena  de</w:t>
        <w:br/>
        <w:t>muerte  de  manera  efectiva.   Así,  el  Estado  tiene  la  obligación   de</w:t>
        <w:br/>
        <w:t>implementar un procedimiento de esta  índole  que  se  caracterice  por  ser</w:t>
        <w:br/>
        <w:t>imparcial y transparente, en donde el condenado a pena capital  pueda  hacer</w:t>
        <w:br/>
        <w:t>valer de manera cierta todos los antecedentes que crea pertinentes para  ser</w:t>
        <w:br/>
        <w:t>favorecido con el acto de clemencia.</w:t>
        <w:br/>
        <w:br/>
        <w:t>189.  La Corte considera que la forma en que se aplicó el  procedimiento  de</w:t>
        <w:br/>
        <w:t>clemencia a las 32 víctimas del presente Caso, se caracterizó por  la  falta</w:t>
        <w:br/>
        <w:t>de transparencia, falta de  publicidad  y  falta  de  participación  de  las</w:t>
        <w:br/>
        <w:t>víctimas, lo que resulta en una violación de lo estipulado  en  el  artículo</w:t>
        <w:br/>
        <w:t>4.6, en conexión con los artículos 8 y  1.1,  de  la  Convención  Americana.</w:t>
        <w:br/>
        <w:t>Por lo  tanto,  la  Corte  encuentra  violaciones  en  perjuicio  de  Haniff</w:t>
        <w:br/>
        <w:t>Hilaire, George Constantine,  Wenceslaus  James,  Denny  Baptiste,  Clarence</w:t>
        <w:br/>
        <w:t>Charles, Keiron Thomas, Anthony Garcia, Wilson Prince, Darrin Roger  Thomas,</w:t>
        <w:br/>
        <w:t>Mervyn Edmund, Samuel  Winchester,  Martin  Reid,  Rodney  Davis,  Gangadeen</w:t>
        <w:br/>
        <w:t>Tahaloo, Noel Seepersad, Wayne Matthews, Alfred Frederick, Natasha De  Leon,</w:t>
        <w:br/>
        <w:t>Vijay Mungroo, Phillip Chotalal, Naresh Boodram, Joey  Ramiah,  Nigel  Mark,</w:t>
        <w:br/>
        <w:t>Wilberforce Bernard, Steve Mungroo, Peter Benjamin,  Krishendath  Seepersad,</w:t>
        <w:br/>
        <w:t>Allan  Phillip,  Narine  Sooklal,  Amir  Mowlah,  Mervyn  Parris  y  Francis</w:t>
        <w:br/>
        <w:t>Mansingh.</w:t>
        <w:br/>
        <w:br/>
        <w:br/>
        <w:t xml:space="preserve">                                    XIII</w:t>
        <w:br/>
        <w:t xml:space="preserve">             VIOLACIÓN DEL ARTÍCULO 4 DE LA CONVENCIÓN AMERICANA</w:t>
        <w:br/>
        <w:t xml:space="preserve">     (Incumplimiento de las Medidas Provisionales ordenadas por la Corte</w:t>
        <w:br/>
        <w:t xml:space="preserve">                  respecto de Joey Ramiah, Caso No. 12.129)</w:t>
        <w:br/>
        <w:br/>
        <w:br/>
        <w:t xml:space="preserve"> Alegatos de la Comisión</w:t>
        <w:br/>
        <w:br/>
        <w:t>190.  La Comisión Interamericana distinguió la situación de Joey  Ramiah  en</w:t>
        <w:br/>
        <w:t>el caso ante la Comisión No. 12.129 (Naresh Boodram y  Joey  Ramiah),  quien</w:t>
        <w:br/>
        <w:t>fue declarado culpable de homicidio intencional y sentenciado a la “pena  de</w:t>
        <w:br/>
        <w:t>muerte obligatoria” bajo la Ley de Delitos contra la Persona de  Trinidad  y</w:t>
        <w:br/>
        <w:t>Tobago.</w:t>
        <w:br/>
        <w:br/>
        <w:t>191.   La Comisión señaló que a pesar de que la  Corte  amplió  sus  medidas</w:t>
        <w:br/>
        <w:t>provisionales en el Caso James y otros el 25 de mayo  de  1999,  haciéndolas</w:t>
        <w:br/>
        <w:t>aplicables a Joey Ramiah, el Estado lo  ejecutó  el  4  de  junio  de  1999,</w:t>
        <w:br/>
        <w:t>mientras  su  caso  estaba  pendiente  ante  el  sistema  interamericano  de</w:t>
        <w:br/>
        <w:t>protección de derechos humanos.</w:t>
        <w:br/>
        <w:br/>
        <w:t>192.  La Comisión sostiene que al  ejecutar  a  Joey  Ramiah  el  Estado  es</w:t>
        <w:br/>
        <w:t>responsable de graves violaciones de los artículos 4.1,  5.1  y  5.2  de  la</w:t>
        <w:br/>
        <w:t>Convención por haberlo privado arbitrariamente de la vida, sin  respetar  su</w:t>
        <w:br/>
        <w:t>integridad mental, física y moral y por haberlo  sometido  a  un  castigo  o</w:t>
        <w:br/>
        <w:t>trato cruel, inhumano o degradante.</w:t>
        <w:br/>
        <w:br/>
        <w:t>Alegatos de los representantes de las supuestas víctimas</w:t>
        <w:br/>
        <w:br/>
        <w:t>193.  Los representantes de las víctimas  alegaron  que  si  en  Trinidad  y</w:t>
        <w:br/>
        <w:t>Tobago hubiera existido  un  régimen  de  clasificación  para  el  homicidio</w:t>
        <w:br/>
        <w:t>intencional al momento de la comisión del delito, similar  al  adoptado  por</w:t>
        <w:br/>
        <w:t>Jamaica bajo la Enmienda a la Ley de Delitos  contra  la  Persona  de  1992,</w:t>
        <w:br/>
        <w:t>Joey Ramiah no hubiera tenido que  enfrentar  la  pena  capital,  sino  otro</w:t>
        <w:br/>
        <w:t>delito menor.</w:t>
        <w:br/>
        <w:br/>
        <w:t>194.  Además, los representantes afirmaron que  antes  de  ser  condenado  a</w:t>
        <w:br/>
        <w:t>muerte, Joey  Ramiah  no  tuvo  oportunidad  de  alegar  y  probar  factores</w:t>
        <w:br/>
        <w:t>atenuantes  ante  ninguna  corte,  tribunal  u  otro  órgano   que   tuviese</w:t>
        <w:br/>
        <w:t>competencia para otorgarle la amnistía, el perdón o  la  conmutación  de  la</w:t>
        <w:br/>
        <w:t>pena, de acuerdo con lo que establece el artículo 4.6 de la Convención.</w:t>
        <w:br/>
        <w:br/>
        <w:t>195.  Finalmente, los representantes indicaron que la imposición  automática</w:t>
        <w:br/>
        <w:t>de la “pena de muerte obligatoria” en el caso  de  Joey  Ramiah  implica  la</w:t>
        <w:br/>
        <w:t>violación de los artículos 2, 4.1, 4.2, 4.6, 5.1,  5.2,  7.5  y  8.1  de  la</w:t>
        <w:br/>
        <w:t>Convención Americana.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196.  Mediante Resolución de 25  de  mayo  de  1999,  la  Corte  requirió  a</w:t>
        <w:br/>
        <w:t>Trinidad y Tobago que adoptara todas las medidas necesarias  para  preservar</w:t>
        <w:br/>
        <w:t>la vida de Joey Ramiah, entre otros (supra párr. 29), con el  objeto  de  no</w:t>
        <w:br/>
        <w:t>obstaculizar  el  trámite  de  su  caso  ante  el  sistema   interamericano,</w:t>
        <w:br/>
        <w:t>específicamente ante la Comisión[147], orden que fue reiterada por la  Corte</w:t>
        <w:br/>
        <w:t>y su Presidente en posteriores Resoluciones[148].</w:t>
        <w:br/>
        <w:br/>
        <w:t>197.  No obstante las Medidas Provisionales expresamente  ordenadas  por  la</w:t>
        <w:br/>
        <w:t>Corte, el Estado ejecutó a Joey Ramiah el 4 de junio de 1999,  lo  cual  fue</w:t>
        <w:br/>
        <w:t>informado a la Corte el 7 de junio del mismo año por parte  de  la  Comisión</w:t>
        <w:br/>
        <w:t>Interamericana[149].  A pesar de haber sido debidamente  notificado  por  la</w:t>
        <w:br/>
        <w:t>Corte, el Estado indicó que no había recibido orden alguna  relacionada  con</w:t>
        <w:br/>
        <w:t>la adopción de medidas de protección a favor de Joey Ramiah[150].</w:t>
        <w:br/>
        <w:br/>
        <w:t>198.  La Corte considera que la  ejecución  de  Joey  Ramiah  por  parte  de</w:t>
        <w:br/>
        <w:t>Trinidad y Tobago constituye una  privación  arbitraria  del  derecho  a  la</w:t>
        <w:br/>
        <w:t>vida.  Esta situación se agrava porque la  víctima  se  encontraba  amparada</w:t>
        <w:br/>
        <w:t>por una Medida Provisional ordenada por este Tribunal, la cual  expresamente</w:t>
        <w:br/>
        <w:t>señalaba que  debía  suspenderse  la  ejecución  hasta  que  el  caso  fuera</w:t>
        <w:br/>
        <w:t>resuelto por el sistema interamericano de derechos humanos.</w:t>
        <w:br/>
        <w:br/>
        <w:t>199.  El Estado de Trinidad y Tobago  ha  causado  un  daño  irreparable  en</w:t>
        <w:br/>
        <w:t>perjuicio de Joey Ramiah, por haber desconocido  la  orden  concreta  de  la</w:t>
        <w:br/>
        <w:t>Corte y deliberadamente haber ordenado la ejecución de esta víctima.</w:t>
        <w:br/>
        <w:br/>
        <w:t>200.   La  Corte  reitera  que  el  Estado  de  Trinidad  y   Tobago   privó</w:t>
        <w:br/>
        <w:t>arbitrariamente del derecho a la vida al señor  Joey  Ramiah  (supra  párrs.</w:t>
        <w:br/>
        <w:t>197 y 198).  Este Tribunal  enfatiza  la  gravedad  del  incumplimiento  del</w:t>
        <w:br/>
        <w:t>Estado  en  virtud  de  la  ejecución  de  la  víctima,  existiendo  Medidas</w:t>
        <w:br/>
        <w:t>Provisionales a su favor, por lo que es  responsable  de  la  violación  del</w:t>
        <w:br/>
        <w:t>artículo 4 de la Convención Americana.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br/>
        <w:t xml:space="preserve">                                     XIV</w:t>
        <w:br/>
        <w:br/>
        <w:t xml:space="preserve">                                REPARACIONES</w:t>
        <w:br/>
        <w:t xml:space="preserve">          (Aplicación del artículo 63.1 de la Convención Americana)</w:t>
        <w:br/>
        <w:br/>
        <w:br/>
        <w:t>Obligación de Reparar</w:t>
        <w:br/>
        <w:br/>
        <w:t>201.  De acuerdo con lo expuesto en los capítulos  anteriores  la  Corte  ha</w:t>
        <w:br/>
        <w:t>encontrado que con ocasión de los  hechos  de  este  caso  se  violaron  los</w:t>
        <w:br/>
        <w:t>artículos 4.1, 4.2, 4.6, 5.1, 5.2, 7.5, 8 y 25 de  la  Convención  Americana</w:t>
        <w:br/>
        <w:t>todo ello en relación con los artículos 1.1 y 2 de la misma.  Este  Tribunal</w:t>
        <w:br/>
        <w:t>ha  reiterado  en  muchas  oportunidades  que  cualquier  violación  a   una</w:t>
        <w:br/>
        <w:t>obligación internacional que haya causado un daño, genera la  obligación  de</w:t>
        <w:br/>
        <w:t>proporcionar una reparación adecuada de dicho daño.   A  tales  efectos,  la</w:t>
        <w:br/>
        <w:t>Corte se ha basado en el artículo 63.1 de la Convención Americana, según  el</w:t>
        <w:br/>
        <w:t>cual,</w:t>
        <w:br/>
        <w:br/>
        <w:t xml:space="preserve">      (c(uando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 lesionada  (subrayado</w:t>
        <w:br/>
        <w:t xml:space="preserve">      no es del original).</w:t>
        <w:br/>
        <w:br/>
        <w:br/>
        <w:t>202.  Tal como ha indicado la Corte,  el  artículo  63.1  de  la  Convención</w:t>
        <w:br/>
        <w:t>Americana contiene una norma  consuetudinaria  que  constituye  uno  de  los</w:t>
        <w:br/>
        <w:t>principios fundamentales del derecho internacional  contemporáneo  sobre  la</w:t>
        <w:br/>
        <w:t>responsabilidad de los Estados.  De  acuerdo  con  ello,  al  producirse  un</w:t>
        <w:br/>
        <w:t>hecho ilícito imputable a un Estado, surge de inmediato  la  responsabilidad</w:t>
        <w:br/>
        <w:t>de éste por la violación de la norma internacional de que se trata,  con  el</w:t>
        <w:br/>
        <w:t>consecuente deber de reparación y de hacer cesar  las  consecuencias  de  la</w:t>
        <w:br/>
        <w:t>mencionada violación[151].</w:t>
        <w:br/>
        <w:br/>
        <w:t>203.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le corresponde a este Tribunal internacional ordenar  que  se</w:t>
        <w:br/>
        <w:t>adopten una serie de medidas para que, además de garantizarse el respeto  de</w:t>
        <w:br/>
        <w:t>los derechos conculcados, se reparen las consecuencias  que  produjeron  las</w:t>
        <w:br/>
        <w:t>infracciones y se efectúe el pago de  una  indemnización  como  compensación</w:t>
        <w:br/>
        <w:t>por los daños ocasionados en el  caso  pertinente[152].   La  obligación  de</w:t>
        <w:br/>
        <w:t>reparar,  que  se  regula  en  todos  los  aspectos  (alcance,   naturaleza,</w:t>
        <w:br/>
        <w:t>modalidades  y  determinación  de  los   beneficiarios)   por   el   derecho</w:t>
        <w:br/>
        <w:t>internacional, no puede ser modificada o incumplida por el  Estado  obligado</w:t>
        <w:br/>
        <w:t>invocando disposiciones de su derecho interno[153].</w:t>
        <w:br/>
        <w:br/>
        <w:t>204.  En lo que se refiere a la violación del derecho a la  vida  y  algunos</w:t>
        <w:br/>
        <w:t>otros derechos, por no ser posible la  restitutio  in  integrum  y  dada  la</w:t>
        <w:br/>
        <w:t>naturaleza del bien afectado, la reparación se realiza,  inter  alia,  según</w:t>
        <w:br/>
        <w:t>la práctica jurisprudencial internacional, mediante una justa  indemnización</w:t>
        <w:br/>
        <w:t>o compensación pecuniaria cuando sea procedente, a la cual es necesario  que</w:t>
        <w:br/>
        <w:t>se sumen las medidas de carácter positivo que el Estado  debe  adoptar  para</w:t>
        <w:br/>
        <w:t>asegurar que hechos lesivos como los del presente Caso no se repitan[154].</w:t>
        <w:br/>
        <w:br/>
        <w:t>205.  Las reparaciones, como el término lo indica, consisten en las  medidas</w:t>
        <w:br/>
        <w:t>que tienden a hacer desaparecer los efectos de  las  violaciones  cometidas.</w:t>
        <w:br/>
        <w:t>La naturaleza y el monto de las mismas, dependen del daño ocasionado en  los</w:t>
        <w:br/>
        <w:t>planos tanto material como inmaterial.  En todo caso,  las  reparaciones  no</w:t>
        <w:br/>
        <w:t>pueden implicar ni enriquecimiento ni empobrecimiento para la víctima o  sus</w:t>
        <w:br/>
        <w:t>familiares[155].</w:t>
        <w:br/>
        <w:br/>
        <w:t>206.   A  continuación,  la  Corte  expone   sucintamente   los   argumentos</w:t>
        <w:br/>
        <w:t>presentados por la Comisión Interamericana y por los representantes  de  las</w:t>
        <w:br/>
        <w:t>víctimas en materia de reparaciones.</w:t>
        <w:br/>
        <w:br/>
        <w:t>Alegatos de la Comisión</w:t>
        <w:br/>
        <w:br/>
        <w:t>207.  Como se mencionó anteriormente (supra párr. 6), la Comisión  argumentó</w:t>
        <w:br/>
        <w:t>que, como  consecuencia  de  las  violaciones  alegadas,  son  apropiadas  y</w:t>
        <w:br/>
        <w:t>necesarias, en relación  con  los  casos  de  todas  o  de  algunas  de  las</w:t>
        <w:br/>
        <w:t>víctimas, las siguientes formas  de  reparación:  aplicar  efectivamente  en</w:t>
        <w:br/>
        <w:t>relación con Wayne Matthews la conmutación de la pena ya  ordenada  por  las</w:t>
        <w:br/>
        <w:t>autoridades judiciales internas; remitir los casos de otras dos  víctimas  a</w:t>
        <w:br/>
        <w:t>la Corte de Apelaciones de  Trinidad  y  Tobago;  compensar  los  perjuicios</w:t>
        <w:br/>
        <w:t>causados con ocasión de la aplicación de la pena de muerte  a  Joey  Ramiah;</w:t>
        <w:br/>
        <w:t>conmutar la pena de muerte en los casos de las restantes  víctimas;  adoptar</w:t>
        <w:br/>
        <w:t>las medidas legislativas y de otra índole que sean necesarias  para  adecuar</w:t>
        <w:br/>
        <w:t>el orden legal interno a la Convención, y rembolsar  los  gastos  razonables</w:t>
        <w:br/>
        <w:t>en que hayan incurrido los  representantes  de  todas  las  víctimas  en  la</w:t>
        <w:br/>
        <w:t>tramitación del caso.</w:t>
        <w:br/>
        <w:br/>
        <w:t>Alegatos de los representantes de las víctimas</w:t>
        <w:br/>
        <w:br/>
        <w:t>208.  Los representantes de las víctimas sostuvieron que de acuerdo  con  la</w:t>
        <w:br/>
        <w:t>redacción del artículo 63.1 de la Convención, la Corte tiene autoridad  para</w:t>
        <w:br/>
        <w:t>ordenar medidas que aseguren el respeto futuro a los derechos  o  libertades</w:t>
        <w:br/>
        <w:t>que fueron violados, reparen las consecuencias que la infracción  produjo  y</w:t>
        <w:br/>
        <w:t>compensen el daño sufrido.</w:t>
        <w:br/>
        <w:br/>
        <w:t>209.  En términos generales, los representantes alegaron que en los  asuntos</w:t>
        <w:br/>
        <w:t>que componen el presente Caso  una  reparación  apropiada,  que  podría  ser</w:t>
        <w:br/>
        <w:t>decretada por la Corte, sería la conmutación de la pena de muerte por la  de</w:t>
        <w:br/>
        <w:t>75 años de prisión.</w:t>
        <w:br/>
        <w:br/>
        <w:t>210.   En  el  caso  particular  de  Joey  Ramiah  (Caso  No.  12.129),  los</w:t>
        <w:br/>
        <w:t>representantes de las víctimas solicitaron que se ordene al Estado  pagar  a</w:t>
        <w:br/>
        <w:t>su familia una compensación que se pueda considerar justa y apropiada.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211.  La Corte ha observado que la forma como se encuentra  penalizado  el</w:t>
        <w:br/>
        <w:t>delito de homicidio intencional en la Ley de Delitos contra la Persona, es</w:t>
        <w:br/>
        <w:t>de por sí violatoria de la Convención Americana sobre Derechos Humanos.</w:t>
        <w:br/>
        <w:br/>
        <w:t>212.  Esta constatación conduce a la Corte a considerar que el  Estado  de</w:t>
        <w:br/>
        <w:t>Trinidad y Tobago debe abstenerse de aplicar la ley mencionada  y,  dentro</w:t>
        <w:br/>
        <w:t>de un plazo razonable,  debe  modificarla,  adecuándola  a  la  Convención</w:t>
        <w:br/>
        <w:t>Americana y otras normas internacionales de derechos humanos,  conforme  a</w:t>
        <w:br/>
        <w:t>lo dispuesto por el artículo 2 de ésta, de  manera  que  se  garantice  el</w:t>
        <w:br/>
        <w:t>respeto y el goce de los derechos a la vida, a la integridad personal,  al</w:t>
        <w:br/>
        <w:t>debido proceso legal y a las  garantías  judiciales,  consagrados  en  ese</w:t>
        <w:br/>
        <w:t>mismo instrumento internacional. Entre las respectivas  modificaciones  de</w:t>
        <w:br/>
        <w:t>la legislación debe quedar incluida la  referente  a  la  introducción  de</w:t>
        <w:br/>
        <w:t>diversas  categorías  (tipos  penales)  de  homicidio   intencional,   que</w:t>
        <w:br/>
        <w:t>correspondan a la diversa gravedad de los hechos, tomando  en  cuenta  las</w:t>
        <w:br/>
        <w:t>circunstancias del delito y del justiciable,  y  se  debe  establecer  una</w:t>
        <w:br/>
        <w:t>gradación de los niveles de severidad de la pena que guarde  relación  con</w:t>
        <w:br/>
        <w:t>la gravedad de los hechos y con la culpabilidad del imputado.</w:t>
        <w:br/>
        <w:br/>
        <w:t>213.  Lo anterior guarda armonía con lo  ya  establecido  previamente  por</w:t>
        <w:br/>
        <w:t>este Tribunal, en el sentido de que,</w:t>
        <w:br/>
        <w:br/>
        <w:br/>
        <w:t xml:space="preserve">      […] el deber general del Estado, establecido en el artículo  2  de  la</w:t>
        <w:br/>
        <w:t xml:space="preserve">      Convención, incluye la adopción de medidas para suprimir las normas  y</w:t>
        <w:br/>
        <w:t xml:space="preserve">      prácticas de cualquier naturaleza que impliquen una  violación  a  las</w:t>
        <w:br/>
        <w:t xml:space="preserve">      garantías previstas en la Convención, así como la expedición de normas</w:t>
        <w:br/>
        <w:t xml:space="preserve">      y el desarrollo de prácticas conducentes a la observancia efectiva  de</w:t>
        <w:br/>
        <w:t xml:space="preserve">      dichas garantías.</w:t>
        <w:br/>
        <w:br/>
        <w:br/>
        <w:t xml:space="preserve">      […]</w:t>
        <w:br/>
        <w:br/>
        <w:br/>
        <w:t xml:space="preserve">      En el derecho de gentes, una norma consuetudinaria  prescribe  que  un</w:t>
        <w:br/>
        <w:t xml:space="preserve">      Estado  que  ha  ratificado  un  tratado  de  derechos  humanos   debe</w:t>
        <w:br/>
        <w:t xml:space="preserve">      introducir en su derecho interno las  modificaciones  necesarias  para</w:t>
        <w:br/>
        <w:t xml:space="preserve">      asegurar el fiel cumplimiento  de  las  obligaciones  asumidas.   Esta</w:t>
        <w:br/>
        <w:t xml:space="preserve">      norma es universalmente aceptada, con respaldo jurisprudencial […]  La</w:t>
        <w:br/>
        <w:t xml:space="preserve">      Convención Americana establece la obligación general  de  cada  Estado</w:t>
        <w:br/>
        <w:t xml:space="preserve">      Parte de adecuar su derecho  interno  a  las  disposiciones  de  dicha</w:t>
        <w:br/>
        <w:t xml:space="preserve">      Convención, para garantizar los derechos en  ella  consagrados.   Este</w:t>
        <w:br/>
        <w:t xml:space="preserve">      deber general del Estado Parte implica  que  las  medidas  de  derecho</w:t>
        <w:br/>
        <w:t xml:space="preserve">      interno han de  ser  efectivas  (principio  del  effet  utile).   Esto</w:t>
        <w:br/>
        <w:t xml:space="preserve">      significa que el Estado ha de adoptar todas las medidas  para  que  lo</w:t>
        <w:br/>
        <w:t xml:space="preserve">      establecido  en  la  Convención  sea  efectivamente  cumplido  en   su</w:t>
        <w:br/>
        <w:t xml:space="preserve">      ordenamiento jurídico interno, tal como lo requiere el artículo  2  de</w:t>
        <w:br/>
        <w:t xml:space="preserve">      la Convención.  Dichas medidas sólo son  efectivas  cuando  el  Estado</w:t>
        <w:br/>
        <w:t xml:space="preserve">      adapta  su  actuación   a   la   normativa   de   protección   de   la</w:t>
        <w:br/>
        <w:t xml:space="preserve">      Convención[156].</w:t>
        <w:br/>
        <w:br/>
        <w:t>214.  En coherencia con lo señalado, estima la  Corte  que  el  Estado  debe</w:t>
        <w:br/>
        <w:t>tramitar de nuevo los procedimientos penales correspondientes a los  delitos</w:t>
        <w:br/>
        <w:t>que se imputan a las víctimas del presente Caso,  aplicando  en  los  nuevos</w:t>
        <w:br/>
        <w:t>juicios de Haniff  Hilaire,  George  Constantine,  Wenceslaus  James,  Denny</w:t>
        <w:br/>
        <w:t>Baptiste, Clarence Charles, Keiron Thomas, Anthony  Garcia,  Wilson  Prince,</w:t>
        <w:br/>
        <w:t>Darrin Roger Thomas, Mervyn Edmund, Samuel Winchester, Martin  Reid,  Rodney</w:t>
        <w:br/>
        <w:t>Davis, Gangadeen Tahaloo, Noel Seepersad, Wayne Matthews, Alfred  Frederick,</w:t>
        <w:br/>
        <w:t>Natasha De Leon, Vijay Mungroo,  Phillip  Chotalal,  Naresh  Boodram,  Nigel</w:t>
        <w:br/>
        <w:t>Mark,  Wilberforce  Bernard,  Steve  Mungroo,  Peter  Benjamin,  Krishendath</w:t>
        <w:br/>
        <w:t>Seepersad, Allan Phillip, Narine  Sooklal,  Amir  Mowlah,  Mervyn  Parris  y</w:t>
        <w:br/>
        <w:t>Francis Mansingh, la legislación penal que resulte de  las  reformas  a  las</w:t>
        <w:br/>
        <w:t>que se acaba de hacer referencia.  Adicionalmente, el  Comité  Asesor  sobre</w:t>
        <w:br/>
        <w:t>la Facultad del Indulto debe plantear de nuevo los casos de dichas  víctimas</w:t>
        <w:br/>
        <w:t>ante la autoridad ejecutiva competente para pronunciarse  sobre  esa  medida</w:t>
        <w:br/>
        <w:t>de gracia, previo desarrollo de un trámite ante ese  mismo  Comité,  que  se</w:t>
        <w:br/>
        <w:t>ajuste a las prescripciones sobre el derecho a  la  vida  contenidas  en  la</w:t>
        <w:br/>
        <w:t>Convención Americana y con plena observancia de las normas sobre  el  debido</w:t>
        <w:br/>
        <w:t>proceso legal consagradas en ese mismo tratado internacional[157].</w:t>
        <w:br/>
        <w:br/>
        <w:t>215.   Para los efectos de las reparaciones, la Corte debe tomar  en  cuenta</w:t>
        <w:br/>
        <w:t>que el Estado ha violado en contra de todas o algunas  de  las  víctimas  de</w:t>
        <w:br/>
        <w:t>este caso los derechos consagrados en los artículos 4.1, 4.2 y  4.6,  5.1  y</w:t>
        <w:br/>
        <w:t>5.2, 7.5, 8.1  y  25,  en  relación  con  los  artículos  1.1  y  2,  de  la</w:t>
        <w:br/>
        <w:t>Convención, a causa de un conjunto de circunstancias que han sido  descritas</w:t>
        <w:br/>
        <w:t>en esta sentencia, entre las cuales se cuenta el hecho de que  las  víctimas</w:t>
        <w:br/>
        <w:t>han sido juzgadas en aplicación de  una  ley  que  es  incompatible  con  la</w:t>
        <w:br/>
        <w:t>Convención Americana.  Con base en ello, la Corte  estima  que,  de  acuerdo</w:t>
        <w:br/>
        <w:t>con la autoridad que le confiere el artículo 63.1  de  la  Convención,  debe</w:t>
        <w:br/>
        <w:t>disponer que el  Estado  con  fundamento  en  la  equidad,  se  abstenga  de</w:t>
        <w:br/>
        <w:t>ejecutar, en cualquier caso, y cualesquiera que sean los resultados  de  los</w:t>
        <w:br/>
        <w:t>nuevos juicios  a  que  se  refiere  el  párrafo  anterior,  e  incluso  con</w:t>
        <w:br/>
        <w:t>independencia del hecho de si esos  nuevos  juicios  se  realizan  o  no,  a</w:t>
        <w:br/>
        <w:t>Haniff  Hilaire,  George  Constantine,  Wenceslaus  James,  Denny  Baptiste,</w:t>
        <w:br/>
        <w:t>Clarence Charles, Keiron  Thomas,  Anthony  Garcia,  Wilson  Prince,  Darrin</w:t>
        <w:br/>
        <w:t>Roger Thomas, Mervyn Edmund, Samuel Winchester, Martin Reid,  Rodney  Davis,</w:t>
        <w:br/>
        <w:t>Gangadeen  Tahaloo,  Noel  Seepersad,  Wayne  Matthews,  Alfred   Frederick,</w:t>
        <w:br/>
        <w:t>Natasha De Leon, Vijay Mungroo,  Phillip  Chotalal,  Naresh  Boodram,  Nigel</w:t>
        <w:br/>
        <w:t>Mark,  Wilberforce  Bernard,  Steve  Mungroo,  Peter  Benjamin,  Krishendath</w:t>
        <w:br/>
        <w:t>Seepersad, Allan Phillip, Narine  Sooklal,  Amir  Mowlah,  Mervyn  Parris  y</w:t>
        <w:br/>
        <w:t>Francis Mansingh.</w:t>
        <w:br/>
        <w:br/>
        <w:t>216.  Dado que el Estado privó arbitraria y deliberadamente  de  la  vida  a</w:t>
        <w:br/>
        <w:t>Joey Ramiah, a pesar de que existían  medidas  provisionales  de  protección</w:t>
        <w:br/>
        <w:t>ordenadas por la Corte a su favor, destinadas a evitar esa  ejecución  hasta</w:t>
        <w:br/>
        <w:t>tanto  los  órganos  del  sistema  interamericano  de  derechos  humanos  se</w:t>
        <w:br/>
        <w:t>hubieran pronunciado con carácter definitivo sobre la materia de este  caso,</w:t>
        <w:br/>
        <w:t>y es presumible que con ello causó perjuicios a la señora Carol Ramcharan  y</w:t>
        <w:br/>
        <w:t>al hijo que tuvo con ésta,  Joanus  Ramiah,  la  Corte  considera  apropiado</w:t>
        <w:br/>
        <w:t>establecer, en equidad,  que  Trinidad  y  Tobago  debe  proporcionar  a  la</w:t>
        <w:br/>
        <w:t>mencionada señora Ramcharan una indemnización de US $50.000  (cincuenta  mil</w:t>
        <w:br/>
        <w:t>dólares de los Estados Unidos de América) o su  equivalente  en  dólares  de</w:t>
        <w:br/>
        <w:t>Trinidad y Tobago (TTD) para el  sustento  y  educación  de  Joanus  Ramiah.</w:t>
        <w:br/>
        <w:t>Asimismo, esta Corte estima que debe disponer, en equidad,  que  Trinidad  y</w:t>
        <w:br/>
        <w:t>Tobago proporcione a la madre de Joey  Ramiah,  señora  Moonia  Ramiah,  una</w:t>
        <w:br/>
        <w:t>indemnización por la cantidad  de  US  $10.000  (diez  mil  dólares  de  los</w:t>
        <w:br/>
        <w:t>Estados Unidos de América) o su equivalente en dólares de Trinidad y  Tobago</w:t>
        <w:br/>
        <w:t>(TTD) tendiente a reparar el daño  inmaterial  presumiblemente  sufrido  por</w:t>
        <w:br/>
        <w:t>ella con ocasión de la ejecución de su hijo.</w:t>
        <w:br/>
        <w:br/>
        <w:t>217.  Por último, la Corte  considera  pertinente  y  necesario  ordenar  al</w:t>
        <w:br/>
        <w:t>Estado que ajuste las  condiciones  del  sistema  carcelario  a  las  normas</w:t>
        <w:br/>
        <w:t>internacionales de protección  de  los  derechos  humanos  aplicables  a  la</w:t>
        <w:br/>
        <w:t>materia.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218.  En cuanto al reembolso de las costas y gastos, este Tribunal observa</w:t>
        <w:br/>
        <w:t>lo dicho por los representantes de las víctimas en el sentido de que  sólo</w:t>
        <w:br/>
        <w:t>aspiran a la compensación por gastos en virtud de que el  caso  se  litigó</w:t>
        <w:br/>
        <w:t>pro bono ante el sistema interamericano.  Así  las  cosas,  corresponde  a</w:t>
        <w:br/>
        <w:t>este Tribunal  apreciar  prudentemente  el  alcance  de  los  gastos,  que</w:t>
        <w:br/>
        <w:t>comprenden las gestiones realizadas por los representantes de las víctimas</w:t>
        <w:br/>
        <w:t>ante la Corte Interamericana.  Esta apreciación puede  ser  realizada  con</w:t>
        <w:br/>
        <w:t>base en el principio de equidad[158].</w:t>
        <w:br/>
        <w:br/>
        <w:t>219.  A ese efecto, la Corte considera  que  es  equitativo  otorgar,  por</w:t>
        <w:br/>
        <w:t>conducto de la Comisión Interamericana de Derechos Humanos, la suma  total</w:t>
        <w:br/>
        <w:t>de US $13.000 (trece mil dólares de los Estados Unidos de  América)  o  su</w:t>
        <w:br/>
        <w:t>equivalente en dólares de Trinidad y Tobago (TTD) por concepto  de  gastos</w:t>
        <w:br/>
        <w:t>en que incurrieron los  representantes  de  las  víctimas  en  el  proceso</w:t>
        <w:br/>
        <w:t>internacional ante la Corte Interamericana de Derechos Humanos.   Para  el</w:t>
        <w:br/>
        <w:t>cumplimiento de lo anterior, el Estado deberá efectuar el respectivo  pago</w:t>
        <w:br/>
        <w:t>en un plazo de seis meses contado  a  partir  de  la  notificación  de  la</w:t>
        <w:br/>
        <w:t>presente Sentencia.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220.  El Estado  puede  cumplir  sus  obligaciones  de  carácter  pecuniario</w:t>
        <w:br/>
        <w:t>mediante el pago en dólares de los  Estados  Unidos  de  América  o  en  una</w:t>
        <w:br/>
        <w:t>cantidad equivalente en dólares de Trinidad y  Tobago,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t>221.  El pago de la suma por concepto de daño inmaterial  así  como  de  las</w:t>
        <w:br/>
        <w:t>costas y gastos establecidos en la presente Sentencia no  podrá  ser  objeto</w:t>
        <w:br/>
        <w:t>de impuesto o tasa actualmente existentes o  que  puedan  decretarse  en  el</w:t>
        <w:br/>
        <w:t>futuro.  Además, en caso de que el Estado incurriese en mora,  deberá  pagar</w:t>
        <w:br/>
        <w:t>un interés sobre la suma adeudada  que  corresponderá  al  interés  bancario</w:t>
        <w:br/>
        <w:t>moratorio en Trinidad y Tobago.  Finalmente, si por algún  motivo  no  fuese</w:t>
        <w:br/>
        <w:t>posible que los beneficiarios reciban los respectivos  pagos  dentro  de  un</w:t>
        <w:br/>
        <w:t>plazo de doce meses, el Estado deberá consignar los correspondientes  montos</w:t>
        <w:br/>
        <w:t>a favor de dichos beneficiarios en una cuenta o certificado de depósito,  en</w:t>
        <w:br/>
        <w:t>una institución financiera solvente, en dólares de  los  Estados  Unidos  de</w:t>
        <w:br/>
        <w:t>América  o  su  equivalente  en  dólares  de  Trinidad  y  Tobago,  en   las</w:t>
        <w:br/>
        <w:t>condiciones  financieras  más  favorables  que  permitan  la  legislación  y</w:t>
        <w:br/>
        <w:t>práctica bancarias.  Si al cabo de diez años el pago  no  es  reclamado,  la</w:t>
        <w:br/>
        <w:t>suma será devuelta al Estado con los intereses devengados.</w:t>
        <w:br/>
        <w:br/>
        <w:t>222.  Conforme a su práctica constante, la Corte se reserva la  facultad  de</w:t>
        <w:br/>
        <w:t>supervisar el cumplimiento integral de la presente  Sentencia.   El  proceso</w:t>
        <w:br/>
        <w:t>se dará por concluido una vez que el Estado haya dado cabal aplicación a  lo</w:t>
        <w:br/>
        <w:t>dispuesto en el presente fallo.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                    XV</w:t>
        <w:br/>
        <w:br/>
        <w:t xml:space="preserve">                             PUNTOS RESOLUTIVOS</w:t>
        <w:br/>
        <w:br/>
        <w:br/>
        <w:t>223.  Por tanto,</w:t>
        <w:br/>
        <w:br/>
        <w:t xml:space="preserve">      LA CORTE,</w:t>
        <w:br/>
        <w:br/>
        <w:t>declara en cuanto al fondo</w:t>
        <w:br/>
        <w:br/>
        <w:t>por unanimidad,</w:t>
        <w:br/>
        <w:br/>
        <w:t>1.    que el Estado violó el derecho a la vida  consagrado  en  el  artículo</w:t>
        <w:br/>
        <w:t>4.1 y 4.2, en conexión con el  artículo  1.1,  de  la  Convención  Americana</w:t>
        <w:br/>
        <w:t>sobre Derechos Humanos, en los términos expuestos en el párrafo  109  de  la</w:t>
        <w:br/>
        <w:t>presente Sentencia, en perjuicio  de  Haniff  Hilaire,  George  Constantine,</w:t>
        <w:br/>
        <w:t>Wenceslaus James, Denny Baptiste, Clarence Charles, Keiron  Thomas,  Anthony</w:t>
        <w:br/>
        <w:t>Garcia,  Wilson  Prince,  Darrin  Roger  Thomas,   Mervyn   Edmund,   Samuel</w:t>
        <w:br/>
        <w:t>Winchester, Martin Reid, Rodney Davis, Gangadeen  Tahaloo,  Noel  Seepersad,</w:t>
        <w:br/>
        <w:t>Wayne Matthews, Alfred Frederick, Natasha De Leon,  Vijay  Mungroo,  Phillip</w:t>
        <w:br/>
        <w:t>Chotalal, Naresh Boodram, Joey  Ramiah,  Nigel  Mark,  Wilberforce  Bernard,</w:t>
        <w:br/>
        <w:t>Steve Mungroo, Peter Benjamin, Krishendath Seepersad, Allan Phillip,  Narine</w:t>
        <w:br/>
        <w:t>Sooklal, Amir Mowlah, Mervyn Parris y Francis Mansingh;</w:t>
        <w:br/>
        <w:br/>
        <w:t>por unanimidad,</w:t>
        <w:br/>
        <w:br/>
        <w:t>2.    que el Estado incumplió la obligación establecida en el artículo 2  de</w:t>
        <w:br/>
        <w:t>la Convención Americana sobre Derechos Humanos, en  los  términos  expuestos</w:t>
        <w:br/>
        <w:t>en el párrafo 118 de la presente Sentencia, en perjuicio de Haniff  Hilaire,</w:t>
        <w:br/>
        <w:t>George Constantine, Wenceslaus  James,  Denny  Baptiste,  Clarence  Charles,</w:t>
        <w:br/>
        <w:t>Keiron Thomas, Anthony Garcia, Wilson Prince, Darrin  Roger  Thomas,  Mervyn</w:t>
        <w:br/>
        <w:t>Edmund, Samuel Winchester, Martin Reid,  Rodney  Davis,  Gangadeen  Tahaloo,</w:t>
        <w:br/>
        <w:t>Noel Seepersad, Wayne Matthews, Alfred Frederick,  Natasha  De  Leon,  Vijay</w:t>
        <w:br/>
        <w:t>Mungroo,  Phillip  Chotalal,  Naresh  Boodram,  Joey  Ramiah,  Nigel   Mark,</w:t>
        <w:br/>
        <w:t>Wilberforce Bernard, Steve Mungroo, Peter Benjamin,  Krishendath  Seepersad,</w:t>
        <w:br/>
        <w:t>Allan  Phillip,  Narine  Sooklal,  Amir  Mowlah,  Mervyn  Parris  y  Francis</w:t>
        <w:br/>
        <w:t>Mansingh;</w:t>
        <w:br/>
        <w:br/>
        <w:t>por unanimidad,</w:t>
        <w:br/>
        <w:br/>
        <w:t>3.    que el Estado violó el derecho  a  ser  juzgado  dentro  de  un  plazo</w:t>
        <w:br/>
        <w:t>razonable consagrado en los  artículos  7.5  y  8.1,  en  conexión  con  los</w:t>
        <w:br/>
        <w:t>artículos 1.1 y 2, de la Convención Americana  sobre  Derechos  Humanos,  en</w:t>
        <w:br/>
        <w:t>los términos expuestos en el párrafo 152.a  de  la  presente  Sentencia,  en</w:t>
        <w:br/>
        <w:t>perjuicio de Haniff Hilaire, George  Constantine,  Wenceslaus  James,  Denny</w:t>
        <w:br/>
        <w:t>Baptiste, Clarence Charles,  Keiron  Thomas,  Wilson  Prince,  Darrin  Roger</w:t>
        <w:br/>
        <w:t>Thomas, Mervyn Edmund, Martin Reid, Rodney Davis,  Gangadeen  Tahaloo,  Noel</w:t>
        <w:br/>
        <w:t>Seepersad,  Wayne  Matthews,  Alfred  Frederick,  Natasha  De  Leon,   Vijay</w:t>
        <w:br/>
        <w:t>Mungroo,  Phillip  Chotalal,  Naresh  Boodram,  Joey  Ramiah,  Nigel   Mark,</w:t>
        <w:br/>
        <w:t>Wilberforce Bernard, Steve Mungroo, Peter Benjamin,  Krishendath  Seepersad,</w:t>
        <w:br/>
        <w:t>Allan  Phillip,  Narine  Sooklal,  Amir  Mowlah,  Mervyn  Parris  y  Francis</w:t>
        <w:br/>
        <w:t>Mansingh;</w:t>
        <w:br/>
        <w:br/>
        <w:t>por unanimidad,</w:t>
        <w:br/>
        <w:br/>
        <w:t>4.    que el Estado violó el derecho a un  recurso  efectivo  consagrado  en</w:t>
        <w:br/>
        <w:t>los artículos 8 y 25, en conexión con el  artículo  1.1,  de  la  Convención</w:t>
        <w:br/>
        <w:t>Americana sobre Derechos Humanos, en los términos expuestos  en  el  párrafo</w:t>
        <w:br/>
        <w:t>152.b de la presente Sentencia en perjuicio de  George  Constantine,  Wilson</w:t>
        <w:br/>
        <w:t>Prince, Mervyn Edmund,  Martin  Reid,  Gangadeen  Tahaloo,  Noel  Seepersad,</w:t>
        <w:br/>
        <w:t>Natasha De Leon,  Phillip  Chotalal,  Wilberforce  Bernard,  Amir  Mowlah  y</w:t>
        <w:br/>
        <w:t>Mervyn Parris;</w:t>
        <w:br/>
        <w:br/>
        <w:t>por unanimidad,</w:t>
        <w:br/>
        <w:br/>
        <w:t>5.    que el Estado violó el derecho a la integridad personal consagrado  en</w:t>
        <w:br/>
        <w:t>el artículo 5.1 y 5.2, en conexión con el artículo  1.1,  de  la  Convención</w:t>
        <w:br/>
        <w:t>Americana sobre Derechos Humanos, en los términos expuestos  en  el  párrafo</w:t>
        <w:br/>
        <w:t>172 de la  presente  Sentencia,  en  perjuicio  de  Haniff  Hilaire,  George</w:t>
        <w:br/>
        <w:t>Constantine, Wenceslaus James,  Denny  Baptiste,  Clarence  Charles,  Keiron</w:t>
        <w:br/>
        <w:t>Thomas, Anthony Garcia, Wilson Prince, Darrin Roger Thomas,  Mervyn  Edmund,</w:t>
        <w:br/>
        <w:t>Samuel Winchester,  Martin  Reid,  Rodney  Davis,  Gangadeen  Tahaloo,  Noel</w:t>
        <w:br/>
        <w:t>Seepersad,  Wayne  Matthews,  Alfred  Frederick,  Natasha  De  Leon,   Vijay</w:t>
        <w:br/>
        <w:t>Mungroo,  Phillip  Chotalal,  Naresh  Boodram,  Joey  Ramiah,  Nigel   Mark,</w:t>
        <w:br/>
        <w:t>Wilberforce Bernard, Steve Mungroo, Peter Benjamin,  Krishendath  Seepersad,</w:t>
        <w:br/>
        <w:t>Allan  Phillip,  Narine  Sooklal,  Amir  Mowlah,  Mervyn  Parris  y  Francis</w:t>
        <w:br/>
        <w:t>Mansingh;</w:t>
        <w:br/>
        <w:br/>
        <w:t>por unanimidad,</w:t>
        <w:br/>
        <w:br/>
        <w:t>6.    que el Estado violó el derecho que tiene todo  condenado  a  muerte  a</w:t>
        <w:br/>
        <w:t>solicitar la amnistía, el indulto o la conmutación de la pena consagrado  en</w:t>
        <w:br/>
        <w:t>el artículo 4.6, en conexión con los artículos 8 y  1.1,  de  la  Convención</w:t>
        <w:br/>
        <w:t>Americana sobre Derechos Humanos, en los términos expuestos  en  el  párrafo</w:t>
        <w:br/>
        <w:t>189 de la  presente  Sentencia,  en  perjuicio  de  Haniff  Hilaire,  George</w:t>
        <w:br/>
        <w:t>Constantine, Wenceslaus James,  Denny  Baptiste,  Clarence  Charles,  Keiron</w:t>
        <w:br/>
        <w:t>Thomas, Anthony Garcia, Wilson Prince, Darrin Roger Thomas,  Mervyn  Edmund,</w:t>
        <w:br/>
        <w:t>Samuel Winchester,  Martin  Reid,  Rodney  Davis,  Gangadeen  Tahaloo,  Noel</w:t>
        <w:br/>
        <w:t>Seepersad,  Wayne  Matthews,  Alfred  Frederick,  Natasha  De  Leon,   Vijay</w:t>
        <w:br/>
        <w:t>Mungroo,  Phillip  Chotalal,  Naresh  Boodram,  Joey  Ramiah,  Nigel   Mark,</w:t>
        <w:br/>
        <w:t>Wilberforce Bernard, Steve Mungroo, Peter Benjamin,  Krishendath  Seepersad,</w:t>
        <w:br/>
        <w:t>Allan  Phillip,  Narine  Sooklal,  Amir  Mowlah,  Mervyn  Parris  y  Francis</w:t>
        <w:br/>
        <w:t>Mansingh;</w:t>
        <w:br/>
        <w:br/>
        <w:t>por unanimidad,</w:t>
        <w:br/>
        <w:br/>
        <w:t>7.    que el Estado privó arbitrariamente del derecho a  la  vida  al  señor</w:t>
        <w:br/>
        <w:t>Joey Ramiah en violación del artículo 4 de  la  Convención  Americana  sobre</w:t>
        <w:br/>
        <w:t>Derechos Humanos, en  los  términos  expuestos  en  el  párrafo  200  de  la</w:t>
        <w:br/>
        <w:t>presente Sentencia.</w:t>
        <w:br/>
        <w:br/>
        <w:t>Decide en cuanto a las reparaciones</w:t>
        <w:br/>
        <w:br/>
        <w:t>por unanimidad,</w:t>
        <w:br/>
        <w:br/>
        <w:t>8.    que el Estado debe abstenerse de aplicar la Ley de Delitos  contra  la</w:t>
        <w:br/>
        <w:t>Persona  de  1925  y,  dentro  de  un  plazo  razonable,  debe   modificarla</w:t>
        <w:br/>
        <w:t>adecuándola a las normas  internacionales  de  protección  de  los  derechos</w:t>
        <w:br/>
        <w:t>humanos, en los  términos  expuestos  en  el  párrafo  212  de  la  presente</w:t>
        <w:br/>
        <w:t>Sentencia;</w:t>
        <w:br/>
        <w:br/>
        <w:t>por unanimidad,</w:t>
        <w:br/>
        <w:br/>
        <w:t>9.    que el Estado debe tramitar de nuevo, aplicando la  legislación  penal</w:t>
        <w:br/>
        <w:t>que resulte de las reformas a la Ley de Delitos contra la  Persona  de  1925</w:t>
        <w:br/>
        <w:t>en los términos expuestos en el párrafo 214 de la  presente  Sentencia,  los</w:t>
        <w:br/>
        <w:t>procedimientos penales correspondientes a  los  delitos  que  se  imputan  a</w:t>
        <w:br/>
        <w:t>Haniff  Hilaire,  George  Constantine,  Wenceslaus  James,  Denny  Baptiste,</w:t>
        <w:br/>
        <w:t>Clarence Charles, Keiron  Thomas,  Anthony  Garcia,  Wilson  Prince,  Darrin</w:t>
        <w:br/>
        <w:t>Roger Thomas, Mervyn Edmund, Samuel Winchester, Martin Reid,  Rodney  Davis,</w:t>
        <w:br/>
        <w:t>Gangadeen  Tahaloo,  Noel  Seepersad,  Wayne  Matthews,  Alfred   Frederick,</w:t>
        <w:br/>
        <w:t>Natasha De Leon, Vijay Mungroo,  Phillip  Chotalal,  Naresh  Boodram,  Nigel</w:t>
        <w:br/>
        <w:t>Mark,  Wilberforce  Bernard,  Steve  Mungroo,  Peter  Benjamin,  Krishendath</w:t>
        <w:br/>
        <w:t>Seepersad, Allan Phillip, Narine  Sooklal,  Amir  Mowlah,  Mervyn  Parris  y</w:t>
        <w:br/>
        <w:t>Francis Mansingh;</w:t>
        <w:br/>
        <w:br/>
        <w:br/>
        <w:t>por unanimidad,</w:t>
        <w:br/>
        <w:br/>
        <w:t>10.   que el Estado debe plantear ante la  autoridad  competente,  a  través</w:t>
        <w:br/>
        <w:t>del Comité Asesor sobre la Facultad del Indulto, en los  términos  expuestos</w:t>
        <w:br/>
        <w:t>en el párrafo 214 de la presente Sentencia, la  revisión  de  los  casos  de</w:t>
        <w:br/>
        <w:t>Haniff  Hilaire,  George  Constantine,  Wenceslaus  James,  Denny  Baptiste,</w:t>
        <w:br/>
        <w:t>Clarence Charles, Keiron  Thomas,  Anthony  Garcia,  Wilson  Prince,  Darrin</w:t>
        <w:br/>
        <w:t>Roger Thomas, Mervyn Edmund, Samuel Winchester, Martin Reid,  Rodney  Davis,</w:t>
        <w:br/>
        <w:t>Gangadeen  Tahaloo,  Noel  Seepersad,  Wayne  Matthews,  Alfred   Frederick,</w:t>
        <w:br/>
        <w:t>Natasha De Leon, Vijay Mungroo,  Phillip  Chotalal,  Naresh  Boodram,  Nigel</w:t>
        <w:br/>
        <w:t>Mark,  Wilberforce  Bernard,  Steve  Mungroo,  Peter  Benjamin,  Krishendath</w:t>
        <w:br/>
        <w:t>Seepersad, Allan Phillip, Narine  Sooklal,  Amir  Mowlah,  Mervyn  Parris  y</w:t>
        <w:br/>
        <w:t>Francis Mansingh;</w:t>
        <w:br/>
        <w:br/>
        <w:t>por unanimidad,</w:t>
        <w:br/>
        <w:br/>
        <w:t>11.   en equidad, que el Estado debe abstenerse de  ejecutar,  en  cualquier</w:t>
        <w:br/>
        <w:t>caso, y cualesquiera que sean los resultados de los  nuevos  juicios,  según</w:t>
        <w:br/>
        <w:t>los términos expuestos en el párrafo 215 de la presente Sentencia, a  Haniff</w:t>
        <w:br/>
        <w:t>Hilaire, George Constantine,  Wenceslaus  James,  Denny  Baptiste,  Clarence</w:t>
        <w:br/>
        <w:t>Charles, Keiron Thomas, Anthony Garcia, Wilson Prince, Darrin Roger  Thomas,</w:t>
        <w:br/>
        <w:t>Mervyn Edmund, Samuel  Winchester,  Martin  Reid,  Rodney  Davis,  Gangadeen</w:t>
        <w:br/>
        <w:t>Tahaloo, Noel Seepersad, Wayne Matthews, Alfred Frederick, Natasha De  Leon,</w:t>
        <w:br/>
        <w:t>Vijay Mungroo, Phillip Chotalal, Naresh  Boodram,  Nigel  Mark,  Wilberforce</w:t>
        <w:br/>
        <w:t>Bernard,  Steve  Mungroo,  Peter  Benjamin,  Krishendath  Seepersad,   Allan</w:t>
        <w:br/>
        <w:t>Phillip, Narine Sooklal, Amir Mowlah, Mervyn Parris y Francis Mansingh;</w:t>
        <w:br/>
        <w:br/>
        <w:t>por unanimidad,</w:t>
        <w:br/>
        <w:br/>
        <w:t>12.   en equidad, que el Estado debe pagar por concepto de  daño  inmaterial</w:t>
        <w:br/>
        <w:t>a la esposa de Joey Ramiah, señora Carol Ramcharan, la suma  de  US  $50.000</w:t>
        <w:br/>
        <w:t>(cincuenta mil dólares de los Estados Unidos de América)  o  su  equivalente</w:t>
        <w:br/>
        <w:t>en dólares de Trinidad y Tobago (TTD) para el sustento  y  educación  de  su</w:t>
        <w:br/>
        <w:t>hijo, Joanus Ramiah, en los términos expuestos  en  el  párrafo  216  de  la</w:t>
        <w:br/>
        <w:t>presente Sentencia;</w:t>
        <w:br/>
        <w:br/>
        <w:br/>
        <w:t>por unanimidad,</w:t>
        <w:br/>
        <w:br/>
        <w:t>13.   en equidad, que el Estado debe  pagar  a  la  madre  de  Joey  Ramiah,</w:t>
        <w:br/>
        <w:t>señora Moonia Ramiah, la suma  de  US  $10.000  (diez  mil  dólares  de  los</w:t>
        <w:br/>
        <w:t>Estados Unidos de América) o su equivalente en dólares de Trinidad y  Tobago</w:t>
        <w:br/>
        <w:t>(TTD) por concepto  de  reparación  del  daño  inmaterial  en  los  términos</w:t>
        <w:br/>
        <w:t>expuestos en el párrafo 216 de la presente Sentencia;</w:t>
        <w:br/>
        <w:br/>
        <w:t>por unanimidad,</w:t>
        <w:br/>
        <w:br/>
        <w:t>14.   que el Estado debe modificar las condiciones de su sistema  carcelario</w:t>
        <w:br/>
        <w:t>para adecuarlas a las normas internacionales de protección de  los  derechos</w:t>
        <w:br/>
        <w:t>humanos aplicables a la materia, en los términos  expuestos  en  el  párrafo</w:t>
        <w:br/>
        <w:t>217 de la presente Sentencia;</w:t>
        <w:br/>
        <w:br/>
        <w:br/>
        <w:t>por unanimidad,</w:t>
        <w:br/>
        <w:br/>
        <w:t>15.   en equidad, que el Estado debe  pagar  a  los  representantes  de  las</w:t>
        <w:br/>
        <w:t>víctimas  la suma de US $13.000 (trece mil dólares de los Estados Unidos  de</w:t>
        <w:br/>
        <w:t>América) o su equivalente  en  dólares  de  Trinidad  y  Tobago  (TTD)  como</w:t>
        <w:br/>
        <w:t>reintegro de los gastos en que han incurrido en la tramitación del  presente</w:t>
        <w:br/>
        <w:t>Caso ante la Corte Interamericana  de  Derechos  Humanos,  en  los  términos</w:t>
        <w:br/>
        <w:t>expuestos en el párrafo 219 de la presente Sentencia;</w:t>
        <w:br/>
        <w:br/>
        <w:t>por unanimidad,</w:t>
        <w:br/>
        <w:br/>
        <w:t>16.   que el Estado debe  rendir  a  la  Corte  Interamericana  de  Derechos</w:t>
        <w:br/>
        <w:t>Humanos cada seis  meses,  a  partir  de  la  notificación  de  la  presente</w:t>
        <w:br/>
        <w:t>Sentencia, un informe sobre las medidas tomadas para darle cumplimiento, y</w:t>
        <w:br/>
        <w:br/>
        <w:t>por unanimidad,</w:t>
        <w:br/>
        <w:br/>
        <w:t>17.    que  supervisará  el  cumplimiento  de  esta  sentencia  y  dará  por</w:t>
        <w:br/>
        <w:t>concluido el presente Caso una vez que el Estado haya dado cabal  aplicación</w:t>
        <w:br/>
        <w:t>a lo dispuesto en el presente fallo.</w:t>
        <w:br/>
        <w:br/>
        <w:t>El Juez Cançado Trindade hizo conocer a la Corte su Voto Concurrente, y  los</w:t>
        <w:br/>
        <w:t>Jueces García Ramírez y de Roux Rengifo  sus  Votos  Razonados,  los  cuales</w:t>
        <w:br/>
        <w:t>acompañan esta sentencia.</w:t>
        <w:br/>
        <w:br/>
        <w:t>Redactada en español y en inglés, haciendo fe el texto en  español,  en  San</w:t>
        <w:br/>
        <w:t>José, Costa Rica, el día 21 de junio de 2002.</w:t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t>Alirio Abreu Burelli                               Hernán  Salgado  Pesantes</w:t>
        <w:br/>
        <w:br/>
        <w:br/>
        <w:br/>
        <w:br/>
        <w:br/>
        <w:t>Oliver Jackman                                Sergio García Ramírez</w:t>
        <w:br/>
        <w:br/>
        <w:br/>
        <w:br/>
        <w:br/>
        <w:t xml:space="preserve">                     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t xml:space="preserve">                                                 Antônio A. Cançado Trindade</w:t>
        <w:br/>
        <w:t xml:space="preserve">                                                                  Presidente</w:t>
        <w:br/>
        <w:br/>
        <w:br/>
        <w:br/>
        <w:br/>
        <w:t>Manuel E. Ventura Robles</w:t>
        <w:br/>
        <w:t xml:space="preserve">        Secretario</w:t>
        <w:br/>
        <w:br/>
        <w:t xml:space="preserve">               VOTO CONCURRENTE DEL JUEZ A.A. CANÇADO TRINDADE</w:t>
        <w:br/>
        <w:br/>
        <w:br/>
        <w:br/>
        <w:br/>
        <w:t>1.    Voto a favor de la adopción, por la Corte Interamericana  de  Derechos</w:t>
        <w:br/>
        <w:t>Humanos, de la presente Sentencia sobre el fondo y reparaciones en  el  caso</w:t>
        <w:br/>
        <w:t>Hilaire, Constantine y Benjamin versus Trinidad y Tobago, la cual  encuentro</w:t>
        <w:br/>
        <w:t>en plena conformidad con las disposiciones relevantes y el  espíritu  de  la</w:t>
        <w:br/>
        <w:t>Convención Americana sobre Derechos Humanos. Es esta la primera vez  que  un</w:t>
        <w:br/>
        <w:t>tribunal internacional determina que la  pena  de  muerte  "obligatoria"  es</w:t>
        <w:br/>
        <w:t>violatoria de un tratado de derechos humanos como la  Convención  Americana,</w:t>
        <w:br/>
        <w:t>que el derecho a la vida es violado por la aplicación de la pena  de  muerte</w:t>
        <w:br/>
        <w:t>de modo genérico y automático, sin individualización  y  sin  las  garantías</w:t>
        <w:br/>
        <w:t>del debido proceso legal, y que, entre las medidas de  reparación,  debe  el</w:t>
        <w:br/>
        <w:t>Estado demandado modificar su legislación  penal  para  armonizarla  con  la</w:t>
        <w:br/>
        <w:t>normativa de protección internacional de los derechos humanos y  abstenerse,</w:t>
        <w:br/>
        <w:t>en cualquier caso, de ejecutar los condenados.</w:t>
        <w:br/>
        <w:br/>
        <w:t>2.    Dada la  transcendental  importancia  de  la  materia  tratada  en  la</w:t>
        <w:br/>
        <w:t>presente y histórica Sentencia de la Corte Interamericana, me  veo,  además,</w:t>
        <w:br/>
        <w:t>en la obligación  de  presentar  mis  reflexiones  personales  al  respecto,</w:t>
        <w:br/>
        <w:t>consignadas en el presente Voto Concurrente. En realidad, es difícil  evitar</w:t>
        <w:br/>
        <w:t>la impresión de que, todo lo que se podría decir sobre la imposición  de  la</w:t>
        <w:br/>
        <w:t>pena capital, ya se ha escrito: hay, efectivamente, bibliotecas  enteras  de</w:t>
        <w:br/>
        <w:t>publicaciones sobre la materia. Sin embargo, aún no  se  ha  llegado  a  una</w:t>
        <w:br/>
        <w:t>solución universalmente aceptada a los grandes dilemas frente al fin  de  la</w:t>
        <w:br/>
        <w:t>vida en determinadas circunstancias. Temo  que  difícilmente  se  encontrará</w:t>
        <w:br/>
        <w:t>tal solución en el  dominio  circunscrito  del  Derecho,  y  aún  menos  del</w:t>
        <w:br/>
        <w:t>derecho positivo. No es mi intención abordar, en este Voto Concurrente,  los</w:t>
        <w:br/>
        <w:t>múltiples aspectos de ese tema complejo en el  contexto  del  cas  d'espèce,</w:t>
        <w:br/>
        <w:t>sino  dejar  constancia  de  mis  inquietudes  atinentes  a  cuestiones   de</w:t>
        <w:br/>
        <w:t>fundamental importancia que,  ya  por  más  de  dos  siglos,  continúan  sin</w:t>
        <w:br/>
        <w:t>respuesta por parte de los que insisten en la retención de la pena  capital,</w:t>
        <w:br/>
        <w:t>aún más cuando su aplicación se reviste, como en el presente  caso  Hilaire,</w:t>
        <w:br/>
        <w:t>Constantine y Benjamin, de carácter así-llamado "obligatorio".</w:t>
        <w:br/>
        <w:br/>
        <w:br/>
        <w:t xml:space="preserve">      I. El Derecho y la Muerte: El Jus Talionis y la  Privación  Arbitraria</w:t>
        <w:br/>
        <w:t>de la Vida.</w:t>
        <w:br/>
        <w:br/>
        <w:br/>
        <w:t>3.    La privación arbitraria de  la  vida  es  comúmente  asociada  con  el</w:t>
        <w:br/>
        <w:t>delito  del  homicidio.  Pero  hay  distintos  modos   de   privar   a   uno</w:t>
        <w:br/>
        <w:t>arbitrariamente de la vida, en los términos de la prohibición  del  artículo</w:t>
        <w:br/>
        <w:t>4(1) de la Convención Americana: cuando es provocada su muerte  directamente</w:t>
        <w:br/>
        <w:t>por el hecho ilícito del  homicidio,  así  como  cuando  no  se  evitan  las</w:t>
        <w:br/>
        <w:t>circunstancias (como la miseria) que impiden el acceso a condiciones de  una</w:t>
        <w:br/>
        <w:t>vida digna[159]. El presente caso Hilaire,  Constantine  y  Benjamin  revela</w:t>
        <w:br/>
        <w:t>que  la  privación  arbitraria  de  la  vida  puede  ocurrir  mediante   las</w:t>
        <w:br/>
        <w:t>actuaciones "legales" de los órganos del Estado basadas en una  ley  que  es</w:t>
        <w:br/>
        <w:t>fuente de arbitrariedad y, por  ende,  es  incompatible  con  la  Convención</w:t>
        <w:br/>
        <w:t>Americana; o sea, la privación arbitraria de la vida puede ocurrir en  razón</w:t>
        <w:br/>
        <w:t>de acciones u omisiones no sólo de particulares (en  las  relaciones  inter-</w:t>
        <w:br/>
        <w:t>individuales), sino también del propio Estado,  como  lo  demuestra  el  cas</w:t>
        <w:br/>
        <w:t>d'espèce.</w:t>
        <w:br/>
        <w:br/>
        <w:t>4.    La Ley de Delitos contra la Persona de 1925 de Trinidad y Tobago,  que</w:t>
        <w:br/>
        <w:t>dispone sobre la aplicación de la  pena  de  muerte  "obligatoria"  para  el</w:t>
        <w:br/>
        <w:t>delito de homicidio intencional, es, por su propia existencia, - como lo  ha</w:t>
        <w:br/>
        <w:t>admitido  la  Corte  Interamericana  en  la   presente   Sentencia[160],   -</w:t>
        <w:br/>
        <w:t>violatoria de la Convención Americana, con el agravante de que dicha Ley  ha</w:t>
        <w:br/>
        <w:t>sido efectivamente aplicada (con  las  condenaciones  a  la  muerte)  en  el</w:t>
        <w:br/>
        <w:t>presente caso Hilaire, Constantine y Benjamin. En  efecto,  el  orden  legal</w:t>
        <w:br/>
        <w:t>que aplica la pena de muerte acude él  mismo  a  la  extrema  violencia  que</w:t>
        <w:br/>
        <w:t>pretende combatir[161]; mediante  la  aplicación  de  la  milenaria  ley  de</w:t>
        <w:br/>
        <w:t>talión, el propio poder público acude a la  violencia,  disponiendo  -  bajo</w:t>
        <w:br/>
        <w:t>una visión jurídicamente totalitaria[162] - de la vida de una  persona[163],</w:t>
        <w:br/>
        <w:t>del mismo modo que ésta privó a otra de su vida, - y todo ésto  a  pesar  de</w:t>
        <w:br/>
        <w:t>la evolución histórica, igualmente milenar, de la justicia para  su  superar</w:t>
        <w:br/>
        <w:t>la venganza (pública y privada).</w:t>
        <w:br/>
        <w:br/>
        <w:t>5.    La justicia que manda matar se muestra segura de que hay personas  que</w:t>
        <w:br/>
        <w:t>ultrapasaron los límites de la redención, y que el medio  social  respectivo</w:t>
        <w:br/>
        <w:t>ha alcanzado un grado de perfección que requiere la  eliminación  de  dichas</w:t>
        <w:br/>
        <w:t>personas, - lo que me parece indemonstrable. En efecto, un orden  legal  que</w:t>
        <w:br/>
        <w:t>manda matar, acudiendo a los mismos métodos  de  la  eliminación  total  que</w:t>
        <w:br/>
        <w:t>condena en los actos de los homicidas, carece de credibilidad. El  hecho  de</w:t>
        <w:br/>
        <w:t>que  tales  métodos,  cuando  utilizados  por  el   poder   público,   están</w:t>
        <w:br/>
        <w:t>convalidados por el derecho positivo, a mi juicio en nada los justifica;  el</w:t>
        <w:br/>
        <w:t>positivismo ha sido siempre el siervo subserviente  del  poder  establecido,</w:t>
        <w:br/>
        <w:t>independientemente de la orientación de este último. No hay  que  perder  de</w:t>
        <w:br/>
        <w:t>vista que, subyacente a las normas legales, encuéntrase todo un  sistema  de</w:t>
        <w:br/>
        <w:t>valores[164], que ningún verdadero jurista puede ignorar.</w:t>
        <w:br/>
        <w:br/>
        <w:t>6.    Recuérdese que, ya en el siglo XVIII, en su obra clásica  Dei  Diritti</w:t>
        <w:br/>
        <w:t>e delle Pene  (1764),  Cesare  Beccaria  indagaba:  -  "Qué  derecho  pueden</w:t>
        <w:br/>
        <w:t>atribuirse éstos [los hombres]  para  despedazar  a  sus  semejantes?  (...)</w:t>
        <w:br/>
        <w:t>Quién es aquel que ha querido dejar a  los  otros  hombres  el  arbitrio  de</w:t>
        <w:br/>
        <w:t>hacerlo morir? (...) No es útil la pena de muerte por el ejemplo  que  da  a</w:t>
        <w:br/>
        <w:t>los hombres de atrocidad. (...) Las leyes, moderadoras  de  la  conducta  de</w:t>
        <w:br/>
        <w:t>los mismos hombres, no debieran aumentar este  fiero  documento,  tanto  más</w:t>
        <w:br/>
        <w:t>funesto cuanto la muerte legal se  da  con  estudio  y  pausada  formalidad.</w:t>
        <w:br/>
        <w:t>Parece un absurdo que las leyes,  esto  es,  la  expresión  de  la  voluntad</w:t>
        <w:br/>
        <w:t>pública, que detestan y castigan el homicidio, lo cometen  ellas  mismas,  y</w:t>
        <w:br/>
        <w:t>para separar a los ciudadanos del intento de  asesinar  ordenen  un  público</w:t>
        <w:br/>
        <w:t>asesinato"[165].</w:t>
        <w:br/>
        <w:br/>
        <w:t>7.    La materia ha sido objeto de atención en la filosofía del  Derecho  en</w:t>
        <w:br/>
        <w:t>los dos últimos siglos. En el siglo XX, L.  Recaséns  Siches,  por  ejemplo,</w:t>
        <w:br/>
        <w:t>confesaba,  en  los  años  sesenta,  su  angustia  frente  a   la   doctrina</w:t>
        <w:br/>
        <w:t>retributiva de la justificación de la pena, o sea,  el  entendimiento  según</w:t>
        <w:br/>
        <w:t>el  cual  "el  daño  inmerecido  que  un  individuo  infiere  a  otro   debe</w:t>
        <w:br/>
        <w:t>considerarse como perpetrado  a  sí  propio"  (el  jus  talionis);  así,  el</w:t>
        <w:br/>
        <w:t>criterio central en la retribución jurídica (o justicia retributiva)  es  el</w:t>
        <w:br/>
        <w:t>restablecimiento o la restauración del orden perturbado por el  delito[166];</w:t>
        <w:br/>
        <w:t>sin embargo, concedía él que,  aún  es  esta  reacción  del  orden  jurídico</w:t>
        <w:br/>
        <w:t>violado (expresión de la reprobación social al crimen), en la  reintegración</w:t>
        <w:br/>
        <w:t>del  orden  jurídico  establecido  (que  no  deja  de  expresar   un   "afán</w:t>
        <w:br/>
        <w:t>vindicativo"), hay que estar atento  para  la  falibilidad  de  la  justicia</w:t>
        <w:br/>
        <w:t>humana y el carácter irreparable del error judicial[167].</w:t>
        <w:br/>
        <w:br/>
        <w:t>8.    En una de sus obras, Recaséns Siches  fue  más  allá,  descartando  la</w:t>
        <w:br/>
        <w:t>"idea objetiva" de la retribución, en los siguientes términos:</w:t>
        <w:br/>
        <w:br/>
        <w:t xml:space="preserve">      - "La medida de la culpa no se puede determinar tomando en cuenta sólo</w:t>
        <w:br/>
        <w:t xml:space="preserve">      los perjuicios objetivos; antes bien, debe estar condicionada  también</w:t>
        <w:br/>
        <w:t xml:space="preserve">      por la medida del conocimiento y de la mala voluntad. El hecho  de  la</w:t>
        <w:br/>
        <w:t xml:space="preserve">      consideración de los factores subjetivos, del motivo y  de  todas  las</w:t>
        <w:br/>
        <w:t xml:space="preserve">      circunstancias del delincuente no debilita en modo alguno  el  sentido</w:t>
        <w:br/>
        <w:t xml:space="preserve">      primario del castigo, como correspondencia o contrapeso;  antes  bien,</w:t>
        <w:br/>
        <w:t xml:space="preserve">      lo que hace sólo es afinar ese sentido. El tomar en  consideración  al</w:t>
        <w:br/>
        <w:t xml:space="preserve">      sujeto  culpable  está  plenamente  de  acuerdo  con   la   norma   de</w:t>
        <w:br/>
        <w:t xml:space="preserve">      retribución, precisamente porque la pena es sólo  una  compensación  o</w:t>
        <w:br/>
        <w:t xml:space="preserve">      una restauración simbólica del equilibrio, y, por  consiguiente,  debe</w:t>
        <w:br/>
        <w:t xml:space="preserve">      estar condicionada también por factores subjetivos.  En  lugar  de  la</w:t>
        <w:br/>
        <w:t xml:space="preserve">      simple igualdad aritmética, entra en juego la  igualdad  proporcional:</w:t>
        <w:br/>
        <w:t xml:space="preserve">      para un crimen igual, igual castigo según la medida de la  desigualdad</w:t>
        <w:br/>
        <w:t xml:space="preserve">      interior que se da por debajo de  la  igualdad  externa,  o  según  la</w:t>
        <w:br/>
        <w:t xml:space="preserve">      medida de la igualdad interna que se da por debajo de  la  desigualdad</w:t>
        <w:br/>
        <w:t xml:space="preserve">      exterior"[168].</w:t>
        <w:br/>
        <w:br/>
        <w:t>9.    Este es un argumento fuertemente  persuasivo  en  sustentación  de  la</w:t>
        <w:br/>
        <w:t>necesaria individualización  de  la  pena,  como  facultad  inherente  a  la</w:t>
        <w:br/>
        <w:t>función judicial. También en la década de sesenta, Marc  Ancel  señalaba  la</w:t>
        <w:br/>
        <w:t>tendencia,  ya  entonces  discernible,  de  gradual  abandono  del   llamado</w:t>
        <w:br/>
        <w:t>"carácter mandatorio" de la pena de muerte[169], que hoy  sólo  subsiste  en</w:t>
        <w:br/>
        <w:t>un número muy reducido de paises (sobre todo de expresión inglesa). Esto  se</w:t>
        <w:br/>
        <w:t>debe, en parte, a la creciente  influencia  de  la  concepción  francesa  de</w:t>
        <w:br/>
        <w:t>"circunstancias atenuantes", que ha reconocido a los  tribunales  nacionales</w:t>
        <w:br/>
        <w:t>la facultad o poder discrecional  para  aplicar  penas  otras  que  la  pena</w:t>
        <w:br/>
        <w:t>capital[170], al determinar los distintos grados de responsabilidad penal.</w:t>
        <w:br/>
        <w:br/>
        <w:t>10.   En la presente Sentencia sobre el fondo  y  reparaciones  en  el  caso</w:t>
        <w:br/>
        <w:t>Hilaire, Benjamine y Constantin  versus  Trinidad  y  Tobago,  la  Corte  ha</w:t>
        <w:br/>
        <w:t>resuelto  correctamente  esta  cuestión  en  las  circunstancias   del   cas</w:t>
        <w:br/>
        <w:t>d'espèce[171], al haber constatado que la Ley de Delitos contra  la  Persona</w:t>
        <w:br/>
        <w:t>de 1925 de Trinidad y Tobago ordena la aplicación de la pena  de  muerte  de</w:t>
        <w:br/>
        <w:t>modo genérico y  automático  para  el  delito  de  homicidio  intencional  y</w:t>
        <w:br/>
        <w:t>desconoce  que  éste  puede  tener  diversos  órdenes  de  gravedad,  a  ser</w:t>
        <w:br/>
        <w:t>debidamente tomados en cuenta y valorados por el juez, sobre todo cuando  se</w:t>
        <w:br/>
        <w:t>encuentra en riesgo el bien jurídico mayor que es la vida humana.</w:t>
        <w:br/>
        <w:br/>
        <w:t>11.   La arbitrariedad de la mencionada Ley de Delitos contra la Persona  en</w:t>
        <w:br/>
        <w:t>particular, y del ordenamiento jurídico interno  de  Trinidad  y  Tobago  en</w:t>
        <w:br/>
        <w:t>general[172], se manifiesta  en  momentos  distintos  del  ejercicio  de  la</w:t>
        <w:br/>
        <w:t>función judicial, como en la determinación de la responsabilidad penal  (sin</w:t>
        <w:br/>
        <w:t>tomar en cuenta las circunstancias particulares del delincuente),  y  en  la</w:t>
        <w:br/>
        <w:t>determinación de la sanción (con la "obligatoriedad" de la aplicación de  la</w:t>
        <w:br/>
        <w:t>pena capital en casos de homicidio intencional - párrs. 103-104),  así  como</w:t>
        <w:br/>
        <w:t>en la obstaculización de su efectiva reconsideración o revisión (párrs.  186</w:t>
        <w:br/>
        <w:t>y 188-189). Trátase, pues, de una Ley arbitraria que es  fons  et  origo  de</w:t>
        <w:br/>
        <w:t>succesivas arbitrariedades. Como lo afirma  correcta  y  categóricamente  la</w:t>
        <w:br/>
        <w:t>Corte Interamericana en la presente Sentencia, "la forma como  se  encuentra</w:t>
        <w:br/>
        <w:t>penalizado el delito de homicidio intencional en la Ley  de  Delitos  contra</w:t>
        <w:br/>
        <w:t>la Persona, es de  por  sí  violatoria  de  la  Convención  Americana  sobre</w:t>
        <w:br/>
        <w:t>Derechos Humanos" (párr. 211).</w:t>
        <w:br/>
        <w:br/>
        <w:t>12.    En  efecto,  la  arbitrariedad  se  configura  siempre  y  cuando  un</w:t>
        <w:br/>
        <w:t>procedimiento legal no  se  conforma  con  las  normas  de  la  razón  -  lo</w:t>
        <w:br/>
        <w:t>determinado por la rectae rationis, - pero es dictado sólo por  la  voluntad</w:t>
        <w:br/>
        <w:t>del poder (y el uso ilimitado de éste). Es, así, perfectamente  posible  que</w:t>
        <w:br/>
        <w:t>un mandato sea arbitrario, aunque basado en la  ley  positiva.  Ésto  ocurre</w:t>
        <w:br/>
        <w:t>cuando lo dispuesto por dicha ley se sitúa por encima de todo  razonamiento,</w:t>
        <w:br/>
        <w:t>obedecendo tan sólo a "un fortuito antojo de quien dispone del  poder"[173].</w:t>
        <w:br/>
        <w:t>Obrar discrecionalmente (apreciando debidamente  las  circunstancias  de  un</w:t>
        <w:br/>
        <w:t>caso  concreto)  no  es  lo   mismo   que   obrar   arbitrariamente;   obrar</w:t>
        <w:br/>
        <w:t>discrecionalmente significa "regirse por principios generales, aplicarlos  a</w:t>
        <w:br/>
        <w:t>las   particularidades   de   cada    caso    concreto,    y    sacar    las</w:t>
        <w:br/>
        <w:t>consecuencias"[174], - lo  que  es  una  facultad  inherente  a  la  función</w:t>
        <w:br/>
        <w:t>judicial.</w:t>
        <w:br/>
        <w:br/>
        <w:t>13.   En su Sentencia sobre  el  fondo  en  el  caso  Suárez  Rosero  versus</w:t>
        <w:br/>
        <w:t>Ecuador (1997), la  Corte  Interamericana  estableció  inter  alia  que  una</w:t>
        <w:br/>
        <w:t>determinada norma del Código Penal ecuatoriano violaba per se el artículo  2</w:t>
        <w:br/>
        <w:t>de la Convención Americana, independientemente de que hubiera sido  aplicada</w:t>
        <w:br/>
        <w:t>en el caso concreto (párr. 98). Posteriormente, en  su  Sentencia  sobre  el</w:t>
        <w:br/>
        <w:t>fondo en el caso "La Última Tentación de  Cristo"  (Olmedo  Bustos  y  Otros</w:t>
        <w:br/>
        <w:t>versus Chile, Fondo, 2001),  la  Corte  Interamericana  dejó  claro  que  la</w:t>
        <w:br/>
        <w:t>propia existencia y aplicabilidad de  una  norma  de  derecho  interno  (sea</w:t>
        <w:br/>
        <w:t>infraconstitucional  o  constitucional)  pueden  per   se   comprometer   la</w:t>
        <w:br/>
        <w:t>responsabilidad estatal bajo un tratado de derechos humanos (párr. 72).</w:t>
        <w:br/>
        <w:br/>
        <w:t>14.   Ya en mi Voto Disidente en  el  caso  Genie  Lacayo  versus  Nicarágua</w:t>
        <w:br/>
        <w:t>(Revisión de Sentencia, 1997)[175], expresé mi entendimiento en  el  sentido</w:t>
        <w:br/>
        <w:t>de que la existencia misma de una norma de derecho interno "legitima  a  las</w:t>
        <w:br/>
        <w:t>víctimas de  violaciones  de  los  derechos  protegidos  por  la  Convención</w:t>
        <w:br/>
        <w:t>Americana a requerir  su  compatibilización  con  las  disposiciones  de  la</w:t>
        <w:br/>
        <w:t>Convención, (...) sin tener  que  esperar  por  la  ocurrencia  de  un  daño</w:t>
        <w:br/>
        <w:t>adicional por la aplicación continuada" de dicha norma (párr.  10)[176].  En</w:t>
        <w:br/>
        <w:t>el presente caso Hilaire,  Constantine  y  Benjamin,  dicho  daño  adicional</w:t>
        <w:br/>
        <w:t>sería la ejecución de las penas de muerte.</w:t>
        <w:br/>
        <w:br/>
        <w:t>15.   En efecto,  en  la  presente  Sentencia,  la  Corte  ha  correctamente</w:t>
        <w:br/>
        <w:t>ordenado, como medidas  de  reparación[177],  que  el  Estado  demandado  se</w:t>
        <w:br/>
        <w:t>abstenga de seguir aplicando la referida Ley, adecuándola a la normativa  de</w:t>
        <w:br/>
        <w:t>protección internacional de los derechos humanos (párr. 212),  y  además  se</w:t>
        <w:br/>
        <w:t>abstenga  de  ejecutar  los  condenados  (párr.  215).  Estas   medidas   de</w:t>
        <w:br/>
        <w:t>reparación no-pecuniaria realizan el propósito de hacer  cesar  los  efectos</w:t>
        <w:br/>
        <w:t>de las violaciones de la  Convención  Americana  cometidas  por  el  Estado,</w:t>
        <w:br/>
        <w:t>conforme determinado por la Corte Interamericana en la presente Sentencia.</w:t>
        <w:br/>
        <w:br/>
        <w:t>16.   También en mi Voto Concurrente en el caso Barrios  Altos  versus  Perú</w:t>
        <w:br/>
        <w:t>(Fondo, Sentencia del 14.03.2001) observé que una ley puede, por  su  propia</w:t>
        <w:br/>
        <w:t>existencia, ser la fuente (fons et origo) de un acto ilícito  internacional,</w:t>
        <w:br/>
        <w:t>consumado</w:t>
        <w:br/>
        <w:br/>
        <w:t xml:space="preserve">      "a  partir  de  su  propia  adopción  (tempus  commisi   delicti),   e</w:t>
        <w:br/>
        <w:t xml:space="preserve">      independientemente de  su  aplicación  posterior,  comprometen[do]  la</w:t>
        <w:br/>
        <w:t xml:space="preserve">      responsabilidad internacional del Estado. Su vigencia crea per se  una</w:t>
        <w:br/>
        <w:t xml:space="preserve">      situación que afecta de forma continuada  derechos  inderogables,  que</w:t>
        <w:br/>
        <w:t xml:space="preserve">      pertenecen, como ya  lo  he  señalado,  al  dominio  del  jus  cogens.</w:t>
        <w:br/>
        <w:t xml:space="preserve">      Configurada, por la expedición de  dichas  leyes,  la  responsabilidad</w:t>
        <w:br/>
        <w:t xml:space="preserve">      internacional del Estado, encuéntrase éste  bajo  el  deber  de  hacer</w:t>
        <w:br/>
        <w:t xml:space="preserve">      cesar tal situación violatoria de los  derechos  fundamentales  de  la</w:t>
        <w:br/>
        <w:t xml:space="preserve">      persona humana (con la pronta derogación de aquellas leyes), así como,</w:t>
        <w:br/>
        <w:t xml:space="preserve">      en su caso, de  reparar  las  consecuencias  de  la  situación  lesiva</w:t>
        <w:br/>
        <w:t xml:space="preserve">      creada" (párr. 11).</w:t>
        <w:br/>
        <w:br/>
        <w:t>17.   Tanto en mis Votos Concurrentes en los casos supracitados  de  Barrios</w:t>
        <w:br/>
        <w:t>Altos (párr. 9) y de "La Última Tentación de Cristo"  (párrs.  96-98),  como</w:t>
        <w:br/>
        <w:t>en mi anterior Voto  Disidente  en  el  caso  Caballero  Delgado  y  Santana</w:t>
        <w:br/>
        <w:t>(Reparaciones, 1997, párrs. 13-14 y 20), insistí en que  las  modificaciones</w:t>
        <w:br/>
        <w:t>en el ordenamiento jurídico  interno  requeridas  para  armonizarlo  con  la</w:t>
        <w:br/>
        <w:t>normativa de protección de la Convención Americana constituyen una forma  de</w:t>
        <w:br/>
        <w:t>reparación no-pecuniaria bajo el artículo 63(1) de la Convención.  La  Corte</w:t>
        <w:br/>
        <w:t>lo ha así establecido, a mi modo de ver correctamente, en el  presente  caso</w:t>
        <w:br/>
        <w:t>Hilaire, Constantine y Benjamin  versus  Trinidad  y  Tobago.  La  violación</w:t>
        <w:br/>
        <w:t>configurada por la propia existencia de la Ley de Delitos contra la  Persona</w:t>
        <w:br/>
        <w:t>(por el modo como penaliza el delito de  homicidio  intencional)  se  agravó</w:t>
        <w:br/>
        <w:t>por su aplicación mediante las condenaciones a muerte. La suspensión  de  la</w:t>
        <w:br/>
        <w:t>ejecución de la pena capital, además  de  medida  de  reparación,  evita  la</w:t>
        <w:br/>
        <w:t>consumación de una violación adicional de la Convención.</w:t>
        <w:br/>
        <w:br/>
        <w:t>18.   Recuérdese, al respecto, que el Comité de Derechos  Humanos  (bajo  el</w:t>
        <w:br/>
        <w:t>Pacto  de  Derechos  Civiles  y  Políticos  de  las  Naciones   Unidas)   ha</w:t>
        <w:br/>
        <w:t>consistentemente sostenido que la imposición de la pena de muerte, al  final</w:t>
        <w:br/>
        <w:t>de un  juicio  sin  las  garantías  del  debido  proceso  legal,  y  sin  la</w:t>
        <w:br/>
        <w:t>posibilidad  de  un  recurso  de  revisión  de  la   sentencia   respectiva,</w:t>
        <w:br/>
        <w:t>constituye per se una violación del derecho a  la  vida  (en  violación  del</w:t>
        <w:br/>
        <w:t>artigo 6 del Pacto)[178]. Dicha violación  se  configura  independientemente</w:t>
        <w:br/>
        <w:t>de la ejecución o no de la pena  de  muerte,  aunque  los  condenados  estén</w:t>
        <w:br/>
        <w:t>vivos. Se impone evitar un daño adicional.</w:t>
        <w:br/>
        <w:br/>
        <w:t>19.   No hay, en definitiva, cómo hacer abstracción  de  las  circunstancias</w:t>
        <w:br/>
        <w:t>del  delito,  que  pueden  ser  agravantes,  atenuantes,  o   eximentes   de</w:t>
        <w:br/>
        <w:t>responsabilidad  penal.  La  consideración  de  dichas   circunstancias   es</w:t>
        <w:br/>
        <w:t>inherente al ejercicio de la función judicial. Al respecto, se ha  ponderado</w:t>
        <w:br/>
        <w:t>que  la  legalidad  y  la  equidad  son   dos   aspectos   distintos,   pero</w:t>
        <w:br/>
        <w:t>indisociables, del conocimiento judicial; y tanto es así  que  la  legalidad</w:t>
        <w:br/>
        <w:t>no es posible sin la equidad,  y  la  equidad  tampoco  es  posible  sin  la</w:t>
        <w:br/>
        <w:t>legalidad[179]. En nada sorprende que la más lúcida  doctrina  contemporánea</w:t>
        <w:br/>
        <w:t>se haya alejado de la  teoría  de  la  retribución  (central  al  pretendido</w:t>
        <w:br/>
        <w:t>propósito de la pena de muerte), que no se coaduna con la función social  de</w:t>
        <w:br/>
        <w:t>la pena (la cual, además, debe limitarse por  el  grado  de  responsabilidad</w:t>
        <w:br/>
        <w:t>penal del autor)[180].</w:t>
        <w:br/>
        <w:br/>
        <w:t>20.   Más importante  que  su  carácter  radical,  -  como  ya  lo  señalaba</w:t>
        <w:br/>
        <w:t>Beccaria, - es la certeza o inevitabilidad de la  pena[181],  para  prevenir</w:t>
        <w:br/>
        <w:t>el delito y  evitar  la  impunidad,  sin  necesariamente  acudir  a  métodos</w:t>
        <w:br/>
        <w:t>crueles o inhumanos (por razones de carácter humanitario, la "moderación  de</w:t>
        <w:br/>
        <w:t>las penas", así como  jurídico,  los  límites  del  "contrato  social").  En</w:t>
        <w:br/>
        <w:t>efecto, la teoría retributiva parece  presuponer,  equivocadamente,  que  la</w:t>
        <w:br/>
        <w:t>única equivalencia posible de matar sea también matar,  olvidándose  de  que</w:t>
        <w:br/>
        <w:t>el Estado tiene la posibilidad de aplicar penas alternativas;  es  innegable</w:t>
        <w:br/>
        <w:t>que la "violencia genera violencia en una cadena sin  fin",  y,  también  en</w:t>
        <w:br/>
        <w:t>materia penal, hay que buscar "la interrupción de esta cadena"[182].  En  la</w:t>
        <w:br/>
        <w:t>lúcida reflexión de Karl Jaspers, la moderación, de modo general,  "crea  un</w:t>
        <w:br/>
        <w:t>espacio de reflexión, de examen, de esclarecimiento y mediante ello  también</w:t>
        <w:br/>
        <w:t>una conciencia más clara del significado permanente  de  la  violencia  como</w:t>
        <w:br/>
        <w:t>tal"[183].</w:t>
        <w:br/>
        <w:br/>
        <w:br/>
        <w:t xml:space="preserve">      II. El Derecho y la Muerte: La Premeditación de la  Privación   de  la</w:t>
        <w:br/>
        <w:t>Vida.</w:t>
        <w:br/>
        <w:br/>
        <w:br/>
        <w:t>21.   Al haber, en otros de mis Votos Razonados  en  el  seno  de  la  Corte</w:t>
        <w:br/>
        <w:t>Interamericana, desarrollado  algunas  reflexiones  sobre  el  tiempo  y  el</w:t>
        <w:br/>
        <w:t>derecho, difícilmente podría dejar de aquí abordar otro aspecto central  del</w:t>
        <w:br/>
        <w:t>presente caso. Frente a la relación entre  el  fín  del  tiempo  existencial</w:t>
        <w:br/>
        <w:t>humano  -  la  muerte  -  y  el  derecho,  permítome  tejer  algunas  breves</w:t>
        <w:br/>
        <w:t>consideraciones  sobre  referentes  al  aspecto  específico  de  la   muerte</w:t>
        <w:br/>
        <w:t>ordenada, planificada y ocasionada por el hombre, regulada por y el  derecho</w:t>
        <w:br/>
        <w:t>positivo. Como señalaba al inicio de este Voto Concurrente, a  contrario  de</w:t>
        <w:br/>
        <w:t>lo que presuponían los adeptos del positivismo jurídico, el  derecho  no  es</w:t>
        <w:br/>
        <w:t>enteramente independiente de otras áreas del conocimiento humano. Cuando  se</w:t>
        <w:br/>
        <w:t>trata de abordar o regular el fín de la existencia de un ser  humano,  sobre</w:t>
        <w:br/>
        <w:t>todo cuando determinado en aplicación de la ley positiva, las carencias  del</w:t>
        <w:br/>
        <w:t>derecho son manifiestas[184]. Somos prisioneros de nuestro  propio  universo</w:t>
        <w:br/>
        <w:t>conceptual; y si, en el presente contexto, acudimos a otras areas del  saber</w:t>
        <w:br/>
        <w:t>humano, tampoco encontramos respuestas satisfactorias para  la  cuestión  en</w:t>
        <w:br/>
        <w:t>aprecio.</w:t>
        <w:br/>
        <w:br/>
        <w:t>22.   En mis Votos Razonados en el caso Bámaca  Velásquez  versus  Guatemala</w:t>
        <w:br/>
        <w:t>(Fondo, 2000, párrs. 6-23 y 40, y Reparaciones, 2002, párrs. 2-7, 11-15, 18-</w:t>
        <w:br/>
        <w:t>19 y 25-26), y en el caso de los "Niños de la Calle"  (Villagrán  Morales  y</w:t>
        <w:br/>
        <w:t>Otros versus Guatemala, Reparaciones, 2001, párr. 25), subrayé los lazos  de</w:t>
        <w:br/>
        <w:t>solidaridad entre los muertos y los  vivos,  que  conforman  la  unidad  del</w:t>
        <w:br/>
        <w:t>género humano, en una perspectiva temporal. El punto amerita, a  mi  juicio,</w:t>
        <w:br/>
        <w:t>mayor atención por parte del Derecho Internacional de los Derechos  Humanos,</w:t>
        <w:br/>
        <w:t>que hasta la fecha se ha concentrado casi exclusivamente en las personas  de</w:t>
        <w:br/>
        <w:t>los vivos (como  titulares  de  los  derechos  protegidos),  sin  deternerse</w:t>
        <w:br/>
        <w:t>suficientemente en los padecimientos de los muertos  (excepto  para  efectos</w:t>
        <w:br/>
        <w:t>de la fijación de reparaciones), los cuales se proyectan, a su vez,  en  las</w:t>
        <w:br/>
        <w:t>personas de los vivos.</w:t>
        <w:br/>
        <w:br/>
        <w:t>23.   Esta dimensión temporal  nos  ayuda  a  tener  siempre  presentes  las</w:t>
        <w:br/>
        <w:t>personas de las víctimas, inclusive las víctimas del crimen. La  búsqueda  y</w:t>
        <w:br/>
        <w:t>realización de la justicia deben efectuarse a partir del  reconocimiento  de</w:t>
        <w:br/>
        <w:t>la centralidad de la posición de las víctimas (todas ellas) en  el  universo</w:t>
        <w:br/>
        <w:t>conceptual del Derecho  Internacional  de  los  Derechos  Humanos.  Todo  el</w:t>
        <w:br/>
        <w:t>debate en torno del tema, de ese modo, en ningún  momento  hace  abstracción</w:t>
        <w:br/>
        <w:t>de las víctimas del crímen. Todo lo contrario, sus padecimientos asumen  una</w:t>
        <w:br/>
        <w:t>posición central  en  la  búsqueda  de  la  justicia[185].  En  la  presente</w:t>
        <w:br/>
        <w:t>Sentencia  en  el  caso  Hilaire,   Constantine   y   Benjamin,   la   Corte</w:t>
        <w:br/>
        <w:t>Interamericana ha tomado en debida cuenta, como no podría dejar de  ser,  la</w:t>
        <w:br/>
        <w:t>necesidad de tener presentes los sufrimientos de las víctimas del  homicidio</w:t>
        <w:br/>
        <w:t>intencional y de sus familiares (párr. 101).</w:t>
        <w:br/>
        <w:br/>
        <w:t>24.   La Corte ha  también  reconocido  la  necessidad  de  hacer  justicia,</w:t>
        <w:br/>
        <w:t>mediante el enjuiciamiento (con las garantías del debido  proceso  legal)  y</w:t>
        <w:br/>
        <w:t>la sanción de los responsables  (párr.  102).  Pero  la  realización  de  la</w:t>
        <w:br/>
        <w:t>justicia no se identifica con la venganza (pública o privada),  a  contrario</w:t>
        <w:br/>
        <w:t>de lo que parecen suponer los programas o rituales macabros (con  propósitos</w:t>
        <w:br/>
        <w:t>nitidamente vengativos) de  los  "testigos"  de  ejecución  de  la  pena  de</w:t>
        <w:br/>
        <w:t>muerte[186].  Dichos  programas  o  rituales  pueden  ser  vistos  como   un</w:t>
        <w:br/>
        <w:t>irrespeto a la memoria de los propios victimados y  a  los  valores  de  sus</w:t>
        <w:br/>
        <w:t>familiares. En suma, el Estado no puede  acudir  a  la  violencia  y  a  los</w:t>
        <w:br/>
        <w:t>mismos métodos que utilizan los homicidas.</w:t>
        <w:br/>
        <w:br/>
        <w:t>25.    Teniendo  siempre  presente  el  sufrimiento  de  los  familiares   y</w:t>
        <w:br/>
        <w:t>dependientes de víctimas fatales del crímen, aún así el gran  dilema  humano</w:t>
        <w:br/>
        <w:t>entre el determinismo (o la predestinación) y la  libertad  (inclusive  para</w:t>
        <w:br/>
        <w:t>cometer el mal) parece persistir sin respuesta definitiva,  ni  siquiera  en</w:t>
        <w:br/>
        <w:t>la filosofía  o  en  la  teología.  La  solución  a  este  dilema,  ante  la</w:t>
        <w:br/>
        <w:t>existencia del mal, no reside en la venganza (pública o  privada).  Vivimos,</w:t>
        <w:br/>
        <w:t>en efecto,  circundados  por  los  misterios  que  acompañan  la  existencia</w:t>
        <w:br/>
        <w:t>humana, desde el inicio hasta el final, movidos por la esperanza  de  quizás</w:t>
        <w:br/>
        <w:t>encontrar respuestas para algunos de éllos; los medios o  recursos  con  que</w:t>
        <w:br/>
        <w:t>contamos  para  enfrentar  el  mal,  propio  de  la  condición  humana,  son</w:t>
        <w:br/>
        <w:t>limitados. Si perseverarmos en la búsqueda de  algún  tipo  de  amparo  para</w:t>
        <w:br/>
        <w:t>poder convivir con tales misterios, es más probable que  lo  encontremos  en</w:t>
        <w:br/>
        <w:t>las humanidades, en la literatura y las artes, o en la religión, más que  en</w:t>
        <w:br/>
        <w:t>el Derecho, y aún menos en el derecho positivo.</w:t>
        <w:br/>
        <w:br/>
        <w:t>26.   Así siendo, y  conciente  siempre  de  nuestros  límites,  me  permito</w:t>
        <w:br/>
        <w:t>recordar  algunas  palabras  de  las  penetrantes   Reflexiones   sobre   la</w:t>
        <w:br/>
        <w:t>Guillotina (1957) de Albert Camus. Según  el  lúcido  autor  -  uno  de  los</w:t>
        <w:br/>
        <w:t>mayores escritores del siglo XX, - "el talión es del orden de la  naturaleza</w:t>
        <w:br/>
        <w:t>y del instinto", y no  de  la  ley,  la  cual,  "por  definición,  no  puede</w:t>
        <w:br/>
        <w:t>obedecer a las mismas reglas que la naturaleza. Si el asesinato está  en  la</w:t>
        <w:br/>
        <w:t>naturaleza del hombre, la ley no es hecha  para  imitar  o  reproducir  esta</w:t>
        <w:br/>
        <w:t>naturaleza",  sino  para  corregirla.  Aunque  se  admita  la   compensación</w:t>
        <w:br/>
        <w:t>aritmética de una muerte (la de la víctima) por otra (la del criminoso),  la</w:t>
        <w:br/>
        <w:t>ejecución de la pena capital no es simplesmente la muerte, por cuanto  junta</w:t>
        <w:br/>
        <w:t>a esta última un reglamento, una organisación, una "premeditación  pública",</w:t>
        <w:br/>
        <w:t>que son "una fuente de sufrimientos morales más terribles  que  la  muerte",</w:t>
        <w:br/>
        <w:t>no habiendo, pues, equivalencia. Sabiendo con mucha antecipación que va  ser</w:t>
        <w:br/>
        <w:t>ejecutado (todo se pasa "fuera de él"), el condenado, impotente frente a  la</w:t>
        <w:br/>
        <w:t>coalición pública que quiere  su  muerte,  es  "mantenido  en  la  necesidad</w:t>
        <w:br/>
        <w:t>absoluta, la de la materia  inerte,  pero  con  una  conciencia  que  es  su</w:t>
        <w:br/>
        <w:t>principal enemigo". El condenado es, de ese modo, destruído  por  la  espera</w:t>
        <w:br/>
        <w:t>de la ejecución de la pena capital bien antes de murir: "se le  inflige  dos</w:t>
        <w:br/>
        <w:t>muertes", siendo la primera "peor  que  la  otra.  (...)  Comparada  a  este</w:t>
        <w:br/>
        <w:t>suplicio, la pena de talión aparece aún como una ley de  civilisación"[187].</w:t>
        <w:br/>
        <w:br/>
        <w:br/>
        <w:t>27.   Más de tres décadas pasaron, desde la publicación  original  de  estas</w:t>
        <w:br/>
        <w:t>reflexiones, hasta que un tribunal internacional  de  derechos  humanos,  la</w:t>
        <w:br/>
        <w:t>Corte  Europea  sediada  en  Estrasburgo,  sostuvo,  en  la   sentencia   de</w:t>
        <w:br/>
        <w:t>07.07.1989 en el caso Soering versus Reino Unido, que  el  Estado  demandado</w:t>
        <w:br/>
        <w:t>estaba impedido de extraditar el individuo demandante (un  nacional  alemán)</w:t>
        <w:br/>
        <w:t>a Estados Unidos, ante la posibilidad de ser este condenado  a  la  pena  de</w:t>
        <w:br/>
        <w:t>muerte y ser sometido al "sufrimiento intenso y prolongado" de espera de  la</w:t>
        <w:br/>
        <w:t>ejecución  (el  llamado  "death  row  phenomenon");  así,  si  efectuada  la</w:t>
        <w:br/>
        <w:t>extradición a los Estados Unidos, - agregó la  Corte,  -  estaría  el  Reino</w:t>
        <w:br/>
        <w:t>Unido incurriendo en una violación del artículo 3 de la  Convención  Europea</w:t>
        <w:br/>
        <w:t>de  Derechos  Humanos,  ante  el  "riesgo  real"  de  un  "trato  inhumano",</w:t>
        <w:br/>
        <w:t>entendido éste en el sentido de  la  construcción  jurisprudencial  bajo  el</w:t>
        <w:br/>
        <w:t>citado artículo 3, como el  trato  que  "deliberadamente  cause  sufrimiento</w:t>
        <w:br/>
        <w:t>grave, físico o mental"[188].</w:t>
        <w:br/>
        <w:br/>
        <w:t>28.   La  Corte  Europea,  al  señalar  que  la  Convención  Europea  es  un</w:t>
        <w:br/>
        <w:t>"instrumento  vivo"  a  ser  interpretado  a  la  luz  de  las   condiciones</w:t>
        <w:br/>
        <w:t>contemporáneas,  tomó  el  cuenta  la  evolución  de  los  sistemas  penales</w:t>
        <w:br/>
        <w:t>nacionales culminando en la abolición de facto de la pena de muerte  en  los</w:t>
        <w:br/>
        <w:t>Estados Partes en la Convención, reflejada en el Protocolo n. 6 (de 1983)  a</w:t>
        <w:br/>
        <w:t>la Convención  Europea,  revelando  un  virtual  consenso  de  que,  con  la</w:t>
        <w:br/>
        <w:t>evolución de los tiempos, la pena capital dejó de ser  consistente  con  los</w:t>
        <w:br/>
        <w:t>"estándares regionales de justicia"[189]. Entre las circunstancias  -  como,</w:t>
        <w:br/>
        <w:t>inter alia, en un caso de extradición, a ejemplo del cas d'espèce -  en  que</w:t>
        <w:br/>
        <w:t>la pena de muerte podría plantear una cuestión bajo  el  artículo  3  de  la</w:t>
        <w:br/>
        <w:t>Convención Europea (trato inhumano o  degradante),  la  Corte  mencionó  las</w:t>
        <w:br/>
        <w:t>siguientes:</w:t>
        <w:br/>
        <w:br/>
        <w:t xml:space="preserve">         "The manner in which it [a death sentence] is imposed or  executed,</w:t>
        <w:br/>
        <w:t xml:space="preserve">      the  personal  circumstances   of   the   condemned   person   and   a</w:t>
        <w:br/>
        <w:t xml:space="preserve">      disproportionality to the gravity of the crime committed, as  well  as</w:t>
        <w:br/>
        <w:t xml:space="preserve">      the conditions  of  detention  awaiting  execution,  are  examples  of</w:t>
        <w:br/>
        <w:t xml:space="preserve">      factors capable of bringing the treatment or  punishment  received  by</w:t>
        <w:br/>
        <w:t xml:space="preserve">      the condemned person within the proscription  under  Article  3"(párr.</w:t>
        <w:br/>
        <w:t xml:space="preserve">      104).</w:t>
        <w:br/>
        <w:br/>
        <w:t>29.   De ese modo,  la  Corte  Europea  indicó,  en  el  caso  Soering,  las</w:t>
        <w:br/>
        <w:t>circunstancias  en  que  la  imposición  de  la  pena  de   muerte   (o   su</w:t>
        <w:br/>
        <w:t>probabilidad)  podrían  acarrear  una  violación  del  artículo  3   de   la</w:t>
        <w:br/>
        <w:t>Convención Europea (prohibiendo el trato inhumano  o  degradante),  pero  no</w:t>
        <w:br/>
        <w:t>llegó a afirmar que la pena de muerte per se era violatoria del  artículo  3</w:t>
        <w:br/>
        <w:t>de  la  Convención[190].  A  su  vez,  la  Corte  Interamericana,   teniendo</w:t>
        <w:br/>
        <w:t>presentes las circunstancias del caso Hilaire, Constantine  y  Benjamin,  ha</w:t>
        <w:br/>
        <w:t>ido bien más allá, en la presente Sentencia sobre el fondo  y  reparaciones,</w:t>
        <w:br/>
        <w:t>al establecer la incompatibilidad con la Convención Americana de la pena  de</w:t>
        <w:br/>
        <w:t>muerte "obligatoria", y al ordenar, como una de las medidas  de  reparación,</w:t>
        <w:br/>
        <w:t>la suspensión de la ejecución de dicha pena.</w:t>
        <w:br/>
        <w:br/>
        <w:t>30.   Además de  las  consideraciones  anteriores,  dificilmente  se  podría</w:t>
        <w:br/>
        <w:t>escapar de la constatación de que no hay método de ejecución de la  pena  de</w:t>
        <w:br/>
        <w:t>muerte que no sea cruel, inhumano y degradante, en el sentido  dado  a  esta</w:t>
        <w:br/>
        <w:t>expresión por la jurisprudencia bajo los tratados de derechos  humanos[191].</w:t>
        <w:br/>
        <w:t>Ya en su histórica décimosexta Opinión Consultiva, sobre  el  Derecho  a  la</w:t>
        <w:br/>
        <w:t>Información sobre la Asistencia Consular en el Marco de  las  Garantías  del</w:t>
        <w:br/>
        <w:t>Debido Proceso Legal (1999), - que está  sirviendo  de  guía  e  inspiración</w:t>
        <w:br/>
        <w:t>para la jurisprudencia internacional in statu nascendi sobre la  materia,  -</w:t>
        <w:br/>
        <w:t>la Corte Interamericana advirtió que, en caso de  que  se  procediera  a  la</w:t>
        <w:br/>
        <w:t>ejecución de la pena de muerte sin observancia de las garantías  del  debido</w:t>
        <w:br/>
        <w:t>proceso legal, se sumaría, a la violación de las  garantías  judiciales,  la</w:t>
        <w:br/>
        <w:t>violación del derecho a no ser privado de la  vida  arbitrariamente[192],  -</w:t>
        <w:br/>
        <w:t>configurando un homicidio judicial y administrativo premeditado.</w:t>
        <w:br/>
        <w:br/>
        <w:t>31.   Tal violación suscita interrogantes que, una vez más, transcienden  el</w:t>
        <w:br/>
        <w:t>campo del derecho positivo. Subyacente al  amplio  debate  de  ahí  generado</w:t>
        <w:br/>
        <w:t>encuéntrase, naturalmente, todo un  sistema  de  valores[193].  Afirmar,  en</w:t>
        <w:br/>
        <w:t>nombre de la sociedad, que una persona  debe  ser  ejecutada,  que  se  debe</w:t>
        <w:br/>
        <w:t>poner fín a su vida por ser absolutamente mala, conlleva a la  suposición  -</w:t>
        <w:br/>
        <w:t>en que ninguna persona con sentido común creería hoy día - de que  el  medio</w:t>
        <w:br/>
        <w:t>social es absolutamente bueno. Es lo que bien  advierte  Camus,  para  quien</w:t>
        <w:br/>
        <w:t>nada  autoriza  el  poder  público  a  "legiferar  definitivamente",  ni   a</w:t>
        <w:br/>
        <w:t>"producir el irreparable";  quien  juzga  absolutamente  se  condena,  a  si</w:t>
        <w:br/>
        <w:t>propio, absolutamente. Ésto, - agrega con sabiduría el gran escritor,  -  se</w:t>
        <w:br/>
        <w:t>explica por la constatación de que</w:t>
        <w:br/>
        <w:br/>
        <w:t xml:space="preserve">      "Il n'y a pas de justes, mais  seulement  des  coeurs  plus  ou  moins</w:t>
        <w:br/>
        <w:t xml:space="preserve">      pauvres en justice. Vivre, du moins,  nous  permet  de  le  savoir  et</w:t>
        <w:br/>
        <w:t xml:space="preserve">      d'ajouter à la somme de nos actions un peu du bien qui compensera,  en</w:t>
        <w:br/>
        <w:t xml:space="preserve">      partie, le mal que nous avons jeté dans le monde.  Ce droit  de  vivre</w:t>
        <w:br/>
        <w:t xml:space="preserve">      que coincide avec la chance de réparation est le droit naturel de tout</w:t>
        <w:br/>
        <w:t xml:space="preserve">      homme,  même  le  pire.  (...)  Sans  ce  droit,  la  vie  morale  est</w:t>
        <w:br/>
        <w:t xml:space="preserve">      strictement impossible. (...) Ni dans le coeur des individus  ni  dans</w:t>
        <w:br/>
        <w:t xml:space="preserve">      les moeurs des sociétés, il n'y aura de paix durable tant que la  mort</w:t>
        <w:br/>
        <w:t xml:space="preserve">      ne sera pas mise hors la loi"[194].</w:t>
        <w:br/>
        <w:br/>
        <w:t>32.   La preocupación básica con la salvaguardia  de  los  derechos  de  las</w:t>
        <w:br/>
        <w:t>víctimas continúa a circundarse de debates sobre todo cuando  trasladada  al</w:t>
        <w:br/>
        <w:t>dominio penal[195]. Una  preocupación  paralela  se  ha  manifestado  en  el</w:t>
        <w:br/>
        <w:t>sentido de que, en cualquier sociedad nacional, el sistema de penas se  base</w:t>
        <w:br/>
        <w:t>en la justicia y no  en  la  venganza[196].  En  ese  particular,  sensibles</w:t>
        <w:br/>
        <w:t>avances se han también registrado en relación con  las  restricciones  a  la</w:t>
        <w:br/>
        <w:t>pena de muerte para lograr su reducción hasta su supresión final[197].  Esos</w:t>
        <w:br/>
        <w:t>avances  se  han  dado,  en  el  plano  normativo,  tanto  en   el   Derecho</w:t>
        <w:br/>
        <w:t>Internacional de los Derechos Humanos[198] como en el Derecho  Internacional</w:t>
        <w:br/>
        <w:t>Humanitario[199], y también en el derecho penal internacional[200].</w:t>
        <w:br/>
        <w:br/>
        <w:t>33.   En la práctica internacional, ya se ha expresado el  entendimiento  en</w:t>
        <w:br/>
        <w:t>el sentido de que la ejecución de la pena de muerte  per  se  constituye  un</w:t>
        <w:br/>
        <w:t>trato cruel, inhumano y degradante[201]. En toda y cualquier hipótesis  (aún</w:t>
        <w:br/>
        <w:t>en los paises que todavía retienen  la  pena  de  muerte),  se  imponen  las</w:t>
        <w:br/>
        <w:t>garantías del debido proceso legal, sin las cuales la ejecución de  la  pena</w:t>
        <w:br/>
        <w:t>capital equivale a una ejecución sumaria e ilegal, en violación  del  propio</w:t>
        <w:br/>
        <w:t>derecho a la vida, configurando un homicidio  premeditado  con  autorización</w:t>
        <w:br/>
        <w:t>estatal[202]. En suma, se ha  convincentemente  ponderado[203]  que  no  hay</w:t>
        <w:br/>
        <w:t>método de ejecución de la pena de  muerte  que  no  sea  cruel,  inhumano  y</w:t>
        <w:br/>
        <w:t>degradante.</w:t>
        <w:br/>
        <w:br/>
        <w:t>34.   No me parece haber razón alguna para que el  derecho  público  interno</w:t>
        <w:br/>
        <w:t>no tome en cuenta la aplicación de la normativa internacional de  protección</w:t>
        <w:br/>
        <w:t>de los derechos humanos,  dada  la  alentadora  convergencia  de  propósito,</w:t>
        <w:br/>
        <w:t>entre los ordenamientos jurídicos interno e internacional, en  cuanto  a  la</w:t>
        <w:br/>
        <w:t>salvaguardia de los derechos de  la  persona  humana.  En  un  Seminario  de</w:t>
        <w:br/>
        <w:t>juristas caribeños realizado en Barbados hace casi una década,  se  advirtió</w:t>
        <w:br/>
        <w:t>precisamente para la necesidad de reducir el décalage entre la  considerable</w:t>
        <w:br/>
        <w:t>evolución del Derecho Internacional de los Derechos Humanos en  las  últimas</w:t>
        <w:br/>
        <w:t>décadas y la "perspectiva  más  estrecha"  del  constitucionalismo  caribeño</w:t>
        <w:br/>
        <w:t>contemporáneo[204].  Las  bases  para  reducir  este  descompás  ya  parecen</w:t>
        <w:br/>
        <w:t>sedimentadas, pues en los últimos años  la  doctrina  jurídica  caribeña  ha</w:t>
        <w:br/>
        <w:t>pasado  a  prestar  atención  a  los  avances  en  los  planos  normativo  y</w:t>
        <w:br/>
        <w:t>hermenéutico   en   el   presente   dominio   de    protección    a    nivel</w:t>
        <w:br/>
        <w:t>internacional[205]; cabe perseverar en esta dirección.</w:t>
        <w:br/>
        <w:br/>
        <w:t>35.   En una época como la nuestra, del mundo  masificado  y  mecanizado  de</w:t>
        <w:br/>
        <w:t>nuestros días, en que cada vez menos se le y se  piensa,  paréceme  de  todo</w:t>
        <w:br/>
        <w:t>oportuno  recordar  una  penetrante  reflexión  del  jurista  alemán  Gustav</w:t>
        <w:br/>
        <w:t>Radbruch, quien, en  sus  últimos  años  de  magisterio  en  Heidelberg  (en</w:t>
        <w:br/>
        <w:t>mediados del  siglo  XX),  formuló  una  célebre  y  elocuente  defensa  del</w:t>
        <w:br/>
        <w:t>jusnaturalismo, con incursiones tanto en el derecho  internacional  como  en</w:t>
        <w:br/>
        <w:t>el derecho penal. Para él, el propio "ingreso" del derecho internacional  en</w:t>
        <w:br/>
        <w:t>el dominio de la ciencia jurídica se dio "gracias al derecho  natural"[206].</w:t>
        <w:br/>
        <w:t>En su  visión,  "son  inmensos"  los  servicios  prestados  por  el  derecho</w:t>
        <w:br/>
        <w:t>natural, a saber:</w:t>
        <w:br/>
        <w:br/>
        <w:t xml:space="preserve">      "Abrió a la humanidad los ojos acerca de sus cadenas, enseñándola  así</w:t>
        <w:br/>
        <w:t xml:space="preserve">      a sacudírselas. Combatió, en nombre del inalienable derecho humano  de</w:t>
        <w:br/>
        <w:t xml:space="preserve">      libertad, la servidumbre (...); minó el absolutismo de  los  gobiernos</w:t>
        <w:br/>
        <w:t xml:space="preserve">      (...). Salvaguardó a la personalidad contra la  arbitrariedad  de  los</w:t>
        <w:br/>
        <w:t xml:space="preserve">      abusos policíacos y proclamó la idea del Estado de  Derecho;  corrigió</w:t>
        <w:br/>
        <w:t xml:space="preserve">      fundamentalmente el derecho penal, al combatir la justicia  basada  en</w:t>
        <w:br/>
        <w:t xml:space="preserve">      la arbitrariedad y establecer determinados tipos de  delito;  eliminó,</w:t>
        <w:br/>
        <w:t xml:space="preserve">      como incompatibles con la dignidad  humana,  las  penas  corporals  de</w:t>
        <w:br/>
        <w:t xml:space="preserve">      mutilación, acabó en el  procedimiento  criminal  con  el  tormento  y</w:t>
        <w:br/>
        <w:t xml:space="preserve">      persiguió a los perseguidores de brujas.</w:t>
        <w:br/>
        <w:t xml:space="preserve">       (...) Debemos agradecer sin la menor reserva a  los  jusnaturalistas,</w:t>
        <w:br/>
        <w:t xml:space="preserve">      por ejemplo, el que  librasen  al  siglo  XIX,  no  sólo  mediante  la</w:t>
        <w:br/>
        <w:t xml:space="preserve">      influencia por ellos ejercida sobre la legislación, sino  también  por</w:t>
        <w:br/>
        <w:t xml:space="preserve">      la que ejercieron sobre la práctica, de la vergüenza de que  siguieran</w:t>
        <w:br/>
        <w:t xml:space="preserve">      aplicándose al pie de la letra, en  plena  época  moderna,  las  penas</w:t>
        <w:br/>
        <w:t xml:space="preserve">      corporales y los tormentos previstos  en  una  ordenanza  judicial  de</w:t>
        <w:br/>
        <w:t xml:space="preserve">      tiempos de Carlos V"[207].</w:t>
        <w:br/>
        <w:br/>
        <w:t>36.   Hay que preguntarse, - agregó el erudito autor, -</w:t>
        <w:br/>
        <w:br/>
        <w:t xml:space="preserve">      "qué es lo que la pena significa para los encargados de   imponerla  y</w:t>
        <w:br/>
        <w:t xml:space="preserve">      ejecutarla, para la sociedad entera, ya que  también ésta podría salir</w:t>
        <w:br/>
        <w:t xml:space="preserve">      quebrantada en sus valores mediante la imposición de penas  inhumanas.</w:t>
        <w:br/>
        <w:t xml:space="preserve">      (...) La pena de muerte, al igual  que  todas  las  penas  corporales,</w:t>
        <w:br/>
        <w:t xml:space="preserve">      (...) es reprobable desde el punto de vista de lo humano,  por  cuanto</w:t>
        <w:br/>
        <w:t xml:space="preserve">      degrada al hombre a la categoría de un ser puramente corporal.</w:t>
        <w:br/>
        <w:t xml:space="preserve">      (...) Los cambios que hacen época en la historia del Derecho se hallan</w:t>
        <w:br/>
        <w:t xml:space="preserve">      determinados, más que por ningún otro factor del pensamiento jurídico,</w:t>
        <w:br/>
        <w:t xml:space="preserve">      por las transformaciones que experimenta la  imagen  del  hombre,  tal</w:t>
        <w:br/>
        <w:t xml:space="preserve">      como el legislador la concibe. (...) Todo  orden  jurídico  tiene  que</w:t>
        <w:br/>
        <w:t xml:space="preserve">      partir necesariamente de una imagen  general,  de  un  tipo  medio  de</w:t>
        <w:br/>
        <w:t xml:space="preserve">      hombre. (...) El respeto  de  los  derechos  subjetivos  es  casi  tan</w:t>
        <w:br/>
        <w:t xml:space="preserve">      importante para el orden jurídico como el cumplimiento de los  deberes</w:t>
        <w:br/>
        <w:t xml:space="preserve">      jurídicos"[208].</w:t>
        <w:br/>
        <w:br/>
        <w:t>37.   Ya se ha señalado que la historia de las  penas  es  tan  "horrenda  e</w:t>
        <w:br/>
        <w:t>infamante para la humanidad" que la  propia  historia  de  los  delitos;  al</w:t>
        <w:br/>
        <w:t>igual que los delitos, ciertas penas  son  "despiadadas",  y  unos  y  otras</w:t>
        <w:br/>
        <w:t>producen violencias, siendo que "la  violencia  infligida  con  la  pena  es</w:t>
        <w:br/>
        <w:t>siempre programada, consciente,  organizada  por  muchos  contra  uno".  Hay</w:t>
        <w:br/>
        <w:t>quien pondere que</w:t>
        <w:br/>
        <w:br/>
        <w:t xml:space="preserve">      "el conjunto de las penas conminadas en la historia  ha  producido  al</w:t>
        <w:br/>
        <w:t xml:space="preserve">      género humano  un  coste  de  sangre,  de  vidas  y  de  padecimientos</w:t>
        <w:br/>
        <w:t xml:space="preserve">      incomparablemente superior al producido  por  la  suma  de  todos  los</w:t>
        <w:br/>
        <w:t xml:space="preserve">      delitos. (...) Si la historia de las penas es  vergonzosa,  no  lo  es</w:t>
        <w:br/>
        <w:t xml:space="preserve">      menos la historia del pensamiento jurídico y filosófico en materia  de</w:t>
        <w:br/>
        <w:t xml:space="preserve">      penas, (...) por no haber levantado seriamente su voz nunca, hasta  el</w:t>
        <w:br/>
        <w:t xml:space="preserve">      siglo de las luces, contra la inhumanidad de las penas (...)"[209].</w:t>
        <w:br/>
        <w:br/>
        <w:t>Si el debate sobre las penas fuera conducido sobre una  base  principista  -</w:t>
        <w:br/>
        <w:t>fundado  en  la  convicción  del   medio   social   en   la   inviolabilidad</w:t>
        <w:br/>
        <w:t>incondicional de la  vida  humana  -  y  no  simplemente  utilitarista[210],</w:t>
        <w:br/>
        <w:t>quizás  la  conciencia  jurídica  universal  ya   se   hubiera   manifestado</w:t>
        <w:br/>
        <w:t>terminantemente en el sentido de la abolición definitiva de todas las  penas</w:t>
        <w:br/>
        <w:t>corporales, de las cuales la  pena  de  muerte  constituye  un  resquicio  o</w:t>
        <w:br/>
        <w:t>residuo histórico[211].</w:t>
        <w:br/>
        <w:br/>
        <w:br/>
        <w:t xml:space="preserve">      III. Epílogo: Pacta Sunt Servanda.</w:t>
        <w:br/>
        <w:br/>
        <w:br/>
        <w:t>38.   El hecho de que Trinidad y Tobago  denunció  la  Convención  Americana</w:t>
        <w:br/>
        <w:t>sobre Derechos Humanos e ya no es Parte en la misma no podría  ser  invocado</w:t>
        <w:br/>
        <w:t>por el Estado demandado para evadirse de deber de dar  fiel  cumplimiento  a</w:t>
        <w:br/>
        <w:t>la presente Sentencia de la Corte Interamericana. En el caso D.R.  Thomas  y</w:t>
        <w:br/>
        <w:t>H. Hilaire (recurso n. 60, de 1998), el  Judicial  Committee  of  the  Privy</w:t>
        <w:br/>
        <w:t>Council decidió con  acierto  (el  27.01.1999),  inter  alia,  que,  con  la</w:t>
        <w:br/>
        <w:t>ratificación de la  Convención  Americana,  que  "dispone  sobre  el  acceso</w:t>
        <w:br/>
        <w:t>individual a un órgano internacional", Trinidad y Tobago "made that  process</w:t>
        <w:br/>
        <w:t>for the time being part of the domestic criminal justice system and  thereby</w:t>
        <w:br/>
        <w:t>temporarily at least extended the scope of the due  process  clause  in  the</w:t>
        <w:br/>
        <w:t>Constitution"[212]. Y, -  prosiguió  el  Judicial  Committee  of  the  Privy</w:t>
        <w:br/>
        <w:t>Council, - con su denuncia de la Convención  Americana,  Trinidad  y  Tobago</w:t>
        <w:br/>
        <w:t>"is entitled to curtail such rights of access or  prescribe  conditions  for</w:t>
        <w:br/>
        <w:t>their exercise for the future. But (...) section 4(a)  of  the  Constitution</w:t>
        <w:br/>
        <w:t>prevents the Government from  doing  so  retrospectively  so  as  to  affect</w:t>
        <w:br/>
        <w:t>existing applications"[213].</w:t>
        <w:br/>
        <w:br/>
        <w:t>39.   O sea, los derechos  protegidos  por  la  Convención  Americana,  cuya</w:t>
        <w:br/>
        <w:t>violación fue  establecida  por  la  Corte  Interamericana  en  la  presente</w:t>
        <w:br/>
        <w:t>Sentencia sobre el fondo y reparaciones en el caso  Hilaire,  Constantine  y</w:t>
        <w:br/>
        <w:t>Benjamin, en nada son afectados por la denuncia de la  Convención  Americana</w:t>
        <w:br/>
        <w:t>efectuada por Trinidad  y  Tobago.  Desde  la  perspectiva  de  un  tribunal</w:t>
        <w:br/>
        <w:t>internacional de derechos humanos como la Corte Interamericana, ésto  ocurre</w:t>
        <w:br/>
        <w:t>no sólo  en  virtud  de  que  así  lo  reconoce  correctamente  el  Judicial</w:t>
        <w:br/>
        <w:t>Committee of the Privy Council (el argumento de la autoridad), sino  también</w:t>
        <w:br/>
        <w:t>porque es lo que se desprende de lo dispuesto en la Convención  Americana  y</w:t>
        <w:br/>
        <w:t>de  un  principio  general  del  derecho  internacional  (la  autoridad  del</w:t>
        <w:br/>
        <w:t>argumento).</w:t>
        <w:br/>
        <w:br/>
        <w:t>40.   En todo caso, la  cuestión  previa  de  la  competencia  de  la  Corte</w:t>
        <w:br/>
        <w:t>Interamericana quedó  definitivamente  resuelta  por  sus  Sentencias  sobre</w:t>
        <w:br/>
        <w:t>Excepciones Preliminares (del 01.09.2001) en los casos Hilaire,  Constantine</w:t>
        <w:br/>
        <w:t>y Benjamin (que en seguida pasaron a tramitar  conjuntamente).  En  aquellas</w:t>
        <w:br/>
        <w:t>Sentencias, la Corte, haciendo uso de una facultad que le es inherente  (por</w:t>
        <w:br/>
        <w:t>un imperativo de seguridad jurídica), determinó  el  alcance  de  su  propia</w:t>
        <w:br/>
        <w:t>competencia y, preservando la integridad del mecanismo de protección  de  la</w:t>
        <w:br/>
        <w:t>Convención Americana, retuvo jurisdicción sobre el  presente  caso[214].  El</w:t>
        <w:br/>
        <w:t>Estado demandado encuéntrase, por lo tanto, vinculado (pacta sunt  servanda)</w:t>
        <w:br/>
        <w:t>por lo decidido por la Corte en la presente Sentencia  en  cuanto  al  fondo</w:t>
        <w:br/>
        <w:t>del caso y las reparaciones.</w:t>
        <w:br/>
        <w:br/>
        <w:t>41.   Tampoco se podría menoscabar la regla pacta sunt servanda,  consagrada</w:t>
        <w:br/>
        <w:t>en la Convención de Viena sobre Derecho de los Tratados  de  1969  (artículo</w:t>
        <w:br/>
        <w:t>26 y preámbulo), invocando el hecho de que Trinidad y Tobago todavía  no  ha</w:t>
        <w:br/>
        <w:t>ratificado dicha Convención, por cuanto esta última da expresión concreta  a</w:t>
        <w:br/>
        <w:t>normas del  derecho  internacional  consuetudinario.  La  regla  pacta  sunt</w:t>
        <w:br/>
        <w:t>servanda,  -  que  tiene  como  elemento  componente  la  buena   fe   (bona</w:t>
        <w:br/>
        <w:t>fides)[215], - efectivamente transciende el derecho de los  tratados,  sendo</w:t>
        <w:br/>
        <w:t>caracterizada  por  la  doctrina,   sea   como   una   norma   del   derecho</w:t>
        <w:br/>
        <w:t>consuetudinario[216],  sea   como   un   principio   general   del   derecho</w:t>
        <w:br/>
        <w:t>internacional[217].</w:t>
        <w:br/>
        <w:br/>
        <w:t>42.   Su inserción en la mencionada Convención de Viena se  revistió  de  un</w:t>
        <w:br/>
        <w:t>cuño  netamente  axiomático:  pasó  a   figurar   en   una   convención   de</w:t>
        <w:br/>
        <w:t>codificación, que consagró  de  modo  incontrovertible  su  amplio  alcance.</w:t>
        <w:br/>
        <w:t>Pero, ya mucho antes de su consagración en la referida Convención  de  Viena</w:t>
        <w:br/>
        <w:t>de 1969[218], el pacta sunt servanda efectivamente se configuraba,  como  ya</w:t>
        <w:br/>
        <w:t>indicado,  como,  más  que  una  regla  general  de  interpretación  de  los</w:t>
        <w:br/>
        <w:t>tratados,  uma  norma  del  derecho  internacional  consuetudinario   o   un</w:t>
        <w:br/>
        <w:t>verdadero principio general del  derecho  internacional,  dotado  de  amplio</w:t>
        <w:br/>
        <w:t>reconocimiento jurisprudencial[219].</w:t>
        <w:br/>
        <w:br/>
        <w:t>43.   El derecho de los tratados encuéntrase estrechamente vinculado  a  los</w:t>
        <w:br/>
        <w:t>propios fundamentos del Derecho  Internacional,  inclusive  al  dominio  del</w:t>
        <w:br/>
        <w:t>derecho de la responsabilidad internacional de los Estados[220]. El  alcance</w:t>
        <w:br/>
        <w:t>de la regla pacta sunt servanda, así como la cuestión última de  la  validad</w:t>
        <w:br/>
        <w:t>de las normas del Derecho Internacional, transcienden el ámbito del  derecho</w:t>
        <w:br/>
        <w:t>de los tratados[221]. La regla pacta  sunt  servanda  encuéntrase,  en  todo</w:t>
        <w:br/>
        <w:t>caso, profundamente arraigada en el sistema del Derecho  Internacional  como</w:t>
        <w:br/>
        <w:t>un todo[222]. Tengo confianza en que Trinidad y Tobago sabrá, en  virtud  de</w:t>
        <w:br/>
        <w:t>las obligaciones  internacionales  que  contrayó,  y  teniendo  presente  el</w:t>
        <w:br/>
        <w:t>citado principio general del derecho internacional del pacta sunt  servanda,</w:t>
        <w:br/>
        <w:t>dar fiel cumplimiento de buena fe a lo dispuesto en  la  presente  Sentencia</w:t>
        <w:br/>
        <w:t>de la Corte  Interamericana  sobre  el  fondo  y  reparaciones  en  el  caso</w:t>
        <w:br/>
        <w:t>Hilaire, Constantine y Benjamin.</w:t>
        <w:br/>
        <w:br/>
        <w:br/>
        <w:br/>
        <w:t xml:space="preserve">                                        Antônio Augusto Cançado Trindade</w:t>
        <w:br/>
        <w:t xml:space="preserve">                                                   Juez</w:t>
        <w:br/>
        <w:br/>
        <w:br/>
        <w:t>Manuel E. Ventura Robles</w:t>
        <w:br/>
        <w:t xml:space="preserve">            Secretario</w:t>
        <w:br/>
        <w:t xml:space="preserve">     VOTO CONCURRENTE RAZONADO DEL JUEZ SERGIO GARCÍA RAMÍREZ EN EL CASO</w:t>
        <w:br/>
        <w:t xml:space="preserve">                   HILAIRE, CONSTANTINE, BENJAMIN Y OTROS</w:t>
        <w:br/>
        <w:t xml:space="preserve">               VS. TRINIDAD Y TOBAGO, DEL 21 DE JUNIO DE 2002</w:t>
        <w:br/>
        <w:br/>
        <w:br/>
        <w:t>1. El punto de mayor relevancia y  complejidad  en  este  caso  atañe  a  la</w:t>
        <w:br/>
        <w:t>incompatibilidad de la  Offences  against  the  Person  Act  de  Trinidad  y</w:t>
        <w:br/>
        <w:t>Tobago, de 3 de abril de 1925 --mencionada  en  la  sentencia  como  Ley  de</w:t>
        <w:br/>
        <w:t>Delitos contra la Persona[223]-- con la Convención Americana sobre  Derechos</w:t>
        <w:br/>
        <w:t>Humanos. A este respecto, la Corte resolvió  por  el  voto  unánime  de  sus</w:t>
        <w:br/>
        <w:t>integrantes  --con el que concurro a través de  este  Voto  razonado--   que</w:t>
        <w:br/>
        <w:t>dicha ley nacional es incompatible con el artículo 4, párrafos  1  y  2,  de</w:t>
        <w:br/>
        <w:t>aquella Convención. Esto implica, a la luz del artículo 2 del Pacto  de  San</w:t>
        <w:br/>
        <w:t>José, que el Estado debe adoptar las medidas pertinentes  --en  la  especie,</w:t>
        <w:br/>
        <w:t>medidas legislativas, puesto que la violación se  localiza  en  un  acto  de</w:t>
        <w:br/>
        <w:t>esta naturaleza, que a su turno determina otros actos--  para  conformar  su</w:t>
        <w:br/>
        <w:t>orden interno con las estipulaciones de la Convención Americana.</w:t>
        <w:br/>
        <w:br/>
        <w:t>2. Para lo anterior no obsta  ninguno  de  los  siguientes  hechos:  a)  que</w:t>
        <w:br/>
        <w:t>Trinidad y Tobago se hubiese incorporado como Estado Parte en la  Convención</w:t>
        <w:br/>
        <w:t>y hubiera admitido la jurisdicción contenciosa  de  la  Corte  bajo  ciertas</w:t>
        <w:br/>
        <w:t>reservas o declaraciones limitativas de la misma jurisdicción;   b)  que  el</w:t>
        <w:br/>
        <w:t>Estado hubiera denunciado la Convención el 26 de mayo de 1998, y c)  que  la</w:t>
        <w:br/>
        <w:t>Constitución de Trinidad y Tobago,  de  1976,  prevenga  que  ninguna  norma</w:t>
        <w:br/>
        <w:t>anterior a su vigencia --como lo es la Ley de Delitos contra la Persona,  de</w:t>
        <w:br/>
        <w:t>1925--  puede ser objeto de impugnación constitucional.</w:t>
        <w:br/>
        <w:br/>
        <w:t>En efecto, la  Corte  ha  examinado  y  rechazado   --por  una  parte--   la</w:t>
        <w:br/>
        <w:t>eficacia de la reserva o declaración limitativa  formulada  por  Trinidad  y</w:t>
        <w:br/>
        <w:t>Tobago, considerando que por su carácter excesivamente general[224]  resulta</w:t>
        <w:br/>
        <w:t>contraria al objeto y fin  de  la  Convención,  y  supedita  ampliamente  el</w:t>
        <w:br/>
        <w:t>desempeño jurisdiccional de la  Corte  a  las  normas  nacionales  y  a  las</w:t>
        <w:br/>
        <w:t>decisiones de órganos internos, y en  este  sentido  contraviene  principios</w:t>
        <w:br/>
        <w:t>del Derecho internacional[225]. El  Tribunal  ha  resuelto  asimismo   --por</w:t>
        <w:br/>
        <w:t>otra parte--  que el Estado se halla obligado a observar  la  Convención  en</w:t>
        <w:br/>
        <w:t>lo que respecta al caso sub judice, toda vez que la denuncia del tratado  se</w:t>
        <w:br/>
        <w:t>hizo el 26 de mayo de 1998, y por ello  tuvo efecto el 26 de  mayo  de  1999</w:t>
        <w:br/>
        <w:t>--conforme al artículo 78 de  la  Convención--,  en  tanto  que  los  hechos</w:t>
        <w:br/>
        <w:t>violatorios  del  Pacto  ocurrieron  antes  de   esta   última   fecha[226].</w:t>
        <w:br/>
        <w:t>Finalmente, la Corte ha hecho ver, en la misma sentencia a la que asocio  mi</w:t>
        <w:br/>
        <w:t>Voto razonado, que el Estado no puede invocar disposiciones  de  su  Derecho</w:t>
        <w:br/>
        <w:t>interno  para  evitar  el  cumplimiento   de   obligaciones   convencionales</w:t>
        <w:br/>
        <w:t>internacionales[227]. Tómese  en  cuenta,  además,  que  Trinidad  y  Tobago</w:t>
        <w:br/>
        <w:t>ratificó el Pacto de San José el 28 de mayo de 1991,  mucho  tiempo  después</w:t>
        <w:br/>
        <w:t>de la promulgación de su ley fundamental.</w:t>
        <w:br/>
        <w:br/>
        <w:t>3. La incompatibilidad de  la  Ley  sobre  Delitos  contra  la  Persona  con</w:t>
        <w:br/>
        <w:t>respecto a la Convención Americana, que me propongo examinar ahora y que  la</w:t>
        <w:br/>
        <w:t>Corte ha analizado y resuelto en su sentencia, surge  de  la  inconsecuencia</w:t>
        <w:br/>
        <w:t>entre los términos en que ese ordenamiento previene y sanciona el  homicidio</w:t>
        <w:br/>
        <w:t>intencional, conminado con lo  que  en  el  proceso  se  denomina  mandatory</w:t>
        <w:br/>
        <w:t>penalty of death  --pena de muerte obligatoria--, y las  estipulaciones  que</w:t>
        <w:br/>
        <w:t>en torno a la pena capital  contiene  la  Convención  en  dos  fórmulas  del</w:t>
        <w:br/>
        <w:t>artículo 4. De ahí que implique violación del artículo 2 del  Pacto  de  San</w:t>
        <w:br/>
        <w:t>José, en relación con el artículo 4, párrafos 1 y  2  (a   los  que  pudiera</w:t>
        <w:br/>
        <w:t>añadirse  --como veré infra--  la contenida en el párrafo  6  de  ese  mismo</w:t>
        <w:br/>
        <w:t>precepto).</w:t>
        <w:br/>
        <w:br/>
        <w:t>El párrafo 1 del  citado artículo 4 señala, en lo pertinente,  que  “(n)adie</w:t>
        <w:br/>
        <w:t>puede ser privado de la vida arbitrariamente” (el  énfasis  es  mío);  y  el</w:t>
        <w:br/>
        <w:t>párrafo 2 dispone, también en lo pertinente, que “(e)n  los  países  que  no</w:t>
        <w:br/>
        <w:t>han abolido la pena de muerte, ésta sólo podrá  imponerse  por  los  delitos</w:t>
        <w:br/>
        <w:t>más  graves”  (el  énfasis  es  mío).  He  aquí,  pues,  dos   restricciones</w:t>
        <w:br/>
        <w:t>terminantes a la imposición de la pena capital: una tiene  que  ver  con  la</w:t>
        <w:br/>
        <w:t>extrema gravedad de los delitos a los que  se  asocia  aquélla,  y  la  otra</w:t>
        <w:br/>
        <w:t>prohibe la arbitrariedad en la privación de la vida. En mi concepto, la  Ley</w:t>
        <w:br/>
        <w:t>de Delitos contra la Persona no respeta  estas  restricciones,  y  por  ende</w:t>
        <w:br/>
        <w:t>pugna con la  Convención  Americana  que  el  Estado  asumió,  a  título  de</w:t>
        <w:br/>
        <w:t>compromiso del que emanan sendos deberes, cuando se  constituyó  como  parte</w:t>
        <w:br/>
        <w:t>en ese tratado internacional.</w:t>
        <w:br/>
        <w:br/>
        <w:t>4. Antes del examen de estas incompatibilidades, conviene  recordar  que  el</w:t>
        <w:br/>
        <w:t>Pacto de San José no suprime la pena capital. Esta  posibilidad,  largamente</w:t>
        <w:br/>
        <w:t>requerida, proviene de otros actos nacionales  e  internacionales[228].  Aun</w:t>
        <w:br/>
        <w:t>así, la Convención Americana recoge y comparte  la  tendencia  abolicionista</w:t>
        <w:br/>
        <w:t>de la pena de muerte, y en  su  propio  momento  y  circunstancia  introduce</w:t>
        <w:br/>
        <w:t>rigurosas restricciones  --como la contenida en  el  artículo  4.1--,  opone</w:t>
        <w:br/>
        <w:t>obstáculos para la reimplantación de esta pena y abre  vías   para   obtener</w:t>
        <w:br/>
        <w:t>la   reconsideración   de   las   condenas  correspondientes[229].   En  tal</w:t>
        <w:br/>
        <w:t>virtud, la interpretación del Pacto de San José en esta materia  debe  tomar</w:t>
        <w:br/>
        <w:t>en cuenta  la  orientación  general  del  tratado   --el  espíritu,  que  se</w:t>
        <w:br/>
        <w:t>manifiesta claramente en la letra-- y  asumir,  por  ello,  un  criterio  de</w:t>
        <w:br/>
        <w:t>máxima exigencia. Esto lleva a ejercer la interpretación  más   estricta  de</w:t>
        <w:br/>
        <w:t>las normas  convencionales que rigen en este ámbito.</w:t>
        <w:br/>
        <w:br/>
        <w:t>Lo anterior no significa  --hay  que  destacarlo--   que  en  este  caso  se</w:t>
        <w:br/>
        <w:t>pretenda  interpretar  la  Convención  para  abolir  la  pena  capital.  Esa</w:t>
        <w:br/>
        <w:t>pretensión no existe en la sentencia ni en mi Voto razonado,  que  responden</w:t>
        <w:br/>
        <w:t>sólo a  los  términos  en  que  la  Convención  Americana  regula  el  tema,</w:t>
        <w:br/>
        <w:t>independientemente del criterio personal que se sustente sobre  este  punto,</w:t>
        <w:br/>
        <w:t>ante el que difícilmente  se  podría  mantener  una  posición  neutral  para</w:t>
        <w:br/>
        <w:t>efectos de lege ferenda[230], aunque a la hora de aplicar judicialmente  una</w:t>
        <w:br/>
        <w:t>norma específica  --en la especie, la Convención  Americana--   sea  preciso</w:t>
        <w:br/>
        <w:t>atenerse a la lege  lata,  como  efectivamente  lo  ha  hecho  la  Corte  en</w:t>
        <w:br/>
        <w:t>cumplimiento de sus deberes jurisdiccionales, y lo hago yo  en  el  presente</w:t>
        <w:br/>
        <w:t>Voto. En tal virtud, no planteo aquí cuestión alguna sobre la legitimidad  y</w:t>
        <w:br/>
        <w:t>la utilidad de la pena capital.</w:t>
        <w:br/>
        <w:br/>
        <w:t>5. También procede observar que las conclusiones a  las  que  se  llegue  en</w:t>
        <w:br/>
        <w:t>este caso, como en otros referentes a  delitos  que  se  han  volcado  sobre</w:t>
        <w:br/>
        <w:t>seres inocentes y alarmado  a  la  sociedad,  no  significa  indiferencia  o</w:t>
        <w:br/>
        <w:t>desentendimiento de la necesidad de actuar con rigor, energía y eficacia  en</w:t>
        <w:br/>
        <w:t>la lucha contra el crimen.  El  Estado  tiene  el  deber   --una  obligación</w:t>
        <w:br/>
        <w:t>primaria, nuclear, esencial--  de  brindar  a  los  ciudadanos  seguridad  y</w:t>
        <w:br/>
        <w:t>justicia, que se ven seriamente comprometidas donde la delincuencia  avanza.</w:t>
        <w:br/>
        <w:t>En este orden de cosas, no se puede menos que expresar  solidaridad  con  la</w:t>
        <w:br/>
        <w:t>sociedad agraviada  --y en ella, particularmente, con las  víctimas  de  los</w:t>
        <w:br/>
        <w:t>delitos-- y respaldo hacia las acciones legítimas  que  se  despliegan  para</w:t>
        <w:br/>
        <w:t>protegerla. Con frecuencia se ha hecho ver que el destierro de la  impunidad</w:t>
        <w:br/>
        <w:t>y la consecuente certeza del  castigo  permitirían  mejores  avances  en  la</w:t>
        <w:br/>
        <w:t>lucha contra la delincuencia que la mera agravación de las penas. Esta  idea</w:t>
        <w:br/>
        <w:t>de nuestros clásicos sigue presente en el pensamiento contemporáneo[231].</w:t>
        <w:br/>
        <w:br/>
        <w:t>6. Desde  luego,  puede  haber  una  violación  del   derecho   a   la  vida</w:t>
        <w:br/>
        <w:t>inclusive cuando las víctimas aún no han sido privadas de ésta.  El  derecho</w:t>
        <w:br/>
        <w:t>a la vida  --como cualquier otro derecho--  puede verse afectado en un  iter</w:t>
        <w:br/>
        <w:t>que transita por diversas etapas, comunicadas e identificadas, todas  ellas,</w:t>
        <w:br/>
        <w:t>por un designio común que les confiere naturaleza  y  sentido:  suprimir  la</w:t>
        <w:br/>
        <w:t>vida de un sujeto. El  último  momento  en  este  iter  se  concreta  en  la</w:t>
        <w:br/>
        <w:t>privación misma de la vida, máxima afectación de aquel derecho. Antes  puede</w:t>
        <w:br/>
        <w:t>haber  otros  momentos:  todos  los  que,  conforme  a  las  circunstancias,</w:t>
        <w:br/>
        <w:t>atienden a ese objetivo y conducen a  él.  Tal  es  el  caso  de  una  norma</w:t>
        <w:br/>
        <w:t>general contraria a la Convención Americana (o bien, a la  Constitución  del</w:t>
        <w:br/>
        <w:t>Estado, cuando se trata de asuntos del Derecho interno): la norma puede  ser</w:t>
        <w:br/>
        <w:t>cuestionada jurisdiccionalmente antes de que se  produzcan,  por  ejecución,</w:t>
        <w:br/>
        <w:t>las consecuencias que puede acarrear en un caso concreto.</w:t>
        <w:br/>
        <w:br/>
        <w:t>Se ha sostenido que una ley anticonvencional  no puede ser combatida  en  sí</w:t>
        <w:br/>
        <w:t>misma  (como lo puede ser, con frecuencia, una ley  inconstitucional  en  el</w:t>
        <w:br/>
        <w:t>plano interno), antes de que se  aplique  en  la  realidad  y  por  ello  la</w:t>
        <w:br/>
        <w:t>amenaza que entraña se convierta en  un  hecho  consumado.  Alguna  vez,  la</w:t>
        <w:br/>
        <w:t>Corte Interamericana ha sostenido que su potestad jurisdiccional en  asuntos</w:t>
        <w:br/>
        <w:t>contenciosos se ejerce sobre actos  del  Estado  ejecutados  sobre  personas</w:t>
        <w:br/>
        <w:t>determinadas[232], pero también ha  dicho  --y  explicado--  que  existe  la</w:t>
        <w:br/>
        <w:t>posibilidad de que una ley viole, per se, el pacto internacional[233].</w:t>
        <w:br/>
        <w:br/>
        <w:t>Es pertinente observar que una ley  puede  ser,  en  sí  misma,  atentatoria</w:t>
        <w:br/>
        <w:t>contra el derecho a la vida,  como  puede  serlo  contra  el  derecho  a  la</w:t>
        <w:br/>
        <w:t>nacionalidad, a la personalidad jurídica, a la propiedad, a  la  familia,  a</w:t>
        <w:br/>
        <w:t>la integridad, etcétera, aun cuando todavía no se haya aplicado en  un  caso</w:t>
        <w:br/>
        <w:t>concreto. Por el dato mismo de la ley  --a partir de la vigencia  de  ésta--</w:t>
        <w:br/>
        <w:t>el  bien  jurídico   de   la   vida   queda   expuesto,   comprometido,   en</w:t>
        <w:br/>
        <w:t>peligro[234].Tómese en cuenta que la tutela judicial se  puede  y  se  suele</w:t>
        <w:br/>
        <w:t>anticipar en el caso de quien teme la aplicación de una ley  cuestionable  y</w:t>
        <w:br/>
        <w:t>busca precaverse frente a ella: no sólo se impugnaría  el  hecho  consumado,</w:t>
        <w:br/>
        <w:t>sino la norma que autoriza su realización futura. Este es el espacio  en  el</w:t>
        <w:br/>
        <w:t>que se mueve la justicia constitucional. El  sistema  interamericano  marcha</w:t>
        <w:br/>
        <w:t>en  esa  dirección  cuando  abre   la   posibilidad   de   adoptar   medidas</w:t>
        <w:br/>
        <w:t>provisionales,  de  orden  cautelar  o  precautorio,   para   evitar   daños</w:t>
        <w:br/>
        <w:t>irreparables a las personas.</w:t>
        <w:br/>
        <w:br/>
        <w:t>Ahora bien, en el presente caso no sólo existe una  ley  contraventora,  por</w:t>
        <w:br/>
        <w:t>sí  misma,  de  la  Convención  Americana,  lo   cual   desencadenaría   las</w:t>
        <w:br/>
        <w:t>consideraciones a las que antes me referí y podría justificar    --desde  la</w:t>
        <w:br/>
        <w:t>perspectiva de un sector de la doctrina-- el conocimiento y la decisión  del</w:t>
        <w:br/>
        <w:t>tribunal internacional. Se ha dado un paso  más  en  el  iter:  la  ley  fue</w:t>
        <w:br/>
        <w:t>aplicada por medio  de  la  sentencia[235];  ésta  ya  resolvió,  de  manera</w:t>
        <w:br/>
        <w:t>individualizada e imperativa, que  se  debe  privar  de  la  vida  a  cierta</w:t>
        <w:br/>
        <w:t>persona.  El  derecho  del  condenado,   que   se   hallaba   potencialmente</w:t>
        <w:br/>
        <w:t>comprometido por la ley, acabó por encontrarse actualmente afectado  por  la</w:t>
        <w:br/>
        <w:t>sentencia. Para aquél, la supresión de su vida no es una  mera  posibilidad,</w:t>
        <w:br/>
        <w:t>sino  una  realidad  inminente  hacia   la   que   se   enfila,   formal   y</w:t>
        <w:br/>
        <w:t>explícitamente, el poder punitivo del Estado.</w:t>
        <w:br/>
        <w:br/>
        <w:t>7. El primer punto que me propongo examinar  a  propósito  de  la  oposición</w:t>
        <w:br/>
        <w:t>entre la Ley sobre Delitos contra la Persona y la  Convención  Americana  es</w:t>
        <w:br/>
        <w:t>el relativo a la reserva  de  la  pena  de  muerte  para  los  “delitos  más</w:t>
        <w:br/>
        <w:t>graves”, que enuncia el artículo 4.2 de ese instrumento  internacional.  Hay</w:t>
        <w:br/>
        <w:t>que poner atención, pues, en la identificación de esos delitos “más  graves”</w:t>
        <w:br/>
        <w:t>dentro del orden penal de un  tiempo y un espacio determinados.  Es  preciso</w:t>
        <w:br/>
        <w:t>identificarlos y  adoptar,  en  seguida,  la  consecuencia  natural  de  una</w:t>
        <w:br/>
        <w:t>clasificación de este  género   --diversidad  de  sanciones--,  que  debiera</w:t>
        <w:br/>
        <w:t>informar la legislación criminal,  por  una  doble  razón  y  con  un  doble</w:t>
        <w:br/>
        <w:t>designio: justicia y eficacia. El mismo  clásico   que  antes  cité  resumió</w:t>
        <w:br/>
        <w:t>bien esta preocupación: “Si se destina una pena  igual  a  los  delitos  que</w:t>
        <w:br/>
        <w:t>ofenden desigualmente la sociedad, los hombres  no  encontrarán  un  estorbo</w:t>
        <w:br/>
        <w:t>muy  fuerte  para  cometer  el  mayor,  cuando  hallen  en  él  unida  mayor</w:t>
        <w:br/>
        <w:t>ventaja”[236].</w:t>
        <w:br/>
        <w:br/>
        <w:t>8. Quiero salir al paso de una idea que se ha manejado en  ocasiones  y  que</w:t>
        <w:br/>
        <w:t>propone identificar a los delitos “más graves”  como  aquellos  que  la  ley</w:t>
        <w:br/>
        <w:t>sanciona  con  pena  capital,  la  más  severa  de  las   penas[237].   Esta</w:t>
        <w:br/>
        <w:t>caracterización  no  es  satisfactoria,  y  para   los   efectos   de   esta</w:t>
        <w:br/>
        <w:t>consideración resulta, además, tautológica. Como es fácil  advertir,  si  se</w:t>
        <w:br/>
        <w:t>acogiera ese criterio la decisión  sobre  gravedad   --que  es  también  una</w:t>
        <w:br/>
        <w:t>decisión sobre bienes esenciales y derechos básicos--  quedaría sujeta a  un</w:t>
        <w:br/>
        <w:t>arbitrio movedizo. Más bien que  asociar  la  gravedad  a  la  pena  que  se</w:t>
        <w:br/>
        <w:t>dispone, habría que vincular ésta con la gravedad intrínseca del  hecho.  No</w:t>
        <w:br/>
        <w:t>es la punibilidad lo que determina la gravedad, sino ésta lo  que  justifica</w:t>
        <w:br/>
        <w:t>aquélla. En suma, es preciso colocar los  términos  de  la  cuestión  en  su</w:t>
        <w:br/>
        <w:t>orden pertinente: precisamente el orden que brinde la  mayor  tutela  a  los</w:t>
        <w:br/>
        <w:t>derechos humanos. Así, hay que leer algo más que el código penal para  saber</w:t>
        <w:br/>
        <w:t>cuáles pueden ser las conductas  ilícitas  de  mayor  gravedad,  que  luego,</w:t>
        <w:br/>
        <w:t>trasladadas  a  ese  código,  merecerán  las  penas  más  elevadas  que   la</w:t>
        <w:br/>
        <w:t>legislación puede proveer.</w:t>
        <w:br/>
        <w:br/>
        <w:t>9. El régimen penal moderno, de raíz democrática y garantista,  previene  la</w:t>
        <w:br/>
        <w:t>tutela penal de los bienes jurídicos más preciados contra los ataques o  los</w:t>
        <w:br/>
        <w:t>peligros más severos. El  bien  jurídico  de  mayor  jerarquía  es  la  vida</w:t>
        <w:br/>
        <w:t>humana, y el ataque más intenso que se le puede  dirigir  es  el  homicidio:</w:t>
        <w:br/>
        <w:t>privación de la vida de otra persona. Ahora bien,  la  Convención  Americana</w:t>
        <w:br/>
        <w:t>no se refiere solamente a los “delitos graves”  --como lo  es,  ciertamente,</w:t>
        <w:br/>
        <w:t>el homicidio--,  sino a los “delitos más graves”, es decir, a aquellos  cuya</w:t>
        <w:br/>
        <w:t>gravedad se halla colocada en el punto más alto  de  la  pirámide,  los  que</w:t>
        <w:br/>
        <w:t>merecen el reproche más intenso, los que afectan de manera  más  severa  los</w:t>
        <w:br/>
        <w:t>bienes individuales y sociales, en fin, los que por su insuperable  gravedad</w:t>
        <w:br/>
        <w:t>pudieran acarrear una también insuperable punición: la pena capital.</w:t>
        <w:br/>
        <w:br/>
        <w:t>Esto  sugiere explorar  si  es  posible que algunos supuestos  de  homicidio</w:t>
        <w:br/>
        <w:t>sean más graves que otros, no  en  función  del  resultado  de  la  conducta</w:t>
        <w:br/>
        <w:t>conforme al tipo penal --que es el mismo en todos los  casos:  privación  de</w:t>
        <w:br/>
        <w:t>la  vida--,  sino  en   virtud   de   que   aquélla   revista   determinadas</w:t>
        <w:br/>
        <w:t>características o se dirija a personas con cierta condición específica.   Se</w:t>
        <w:br/>
        <w:t>trataría, en suma, de establecer una graduación en  la  gravedad  de  hechos</w:t>
        <w:br/>
        <w:t>que pudieran parecer, de primera intención, idénticos.</w:t>
        <w:br/>
        <w:br/>
        <w:t>10. Un sistema penal no evolucionado podría sancionar con las  mismas  penas</w:t>
        <w:br/>
        <w:t>muy diversas conductas. Administraría indiscriminadamente las sanciones  más</w:t>
        <w:br/>
        <w:t>severas como respuesta a  ilícitos  de  distinta  gravedad.  En  cambio,  un</w:t>
        <w:br/>
        <w:t>sistema desarrollado identifica con mayor puntualidad  --un cuidado que  es,</w:t>
        <w:br/>
        <w:t>en el fondo, garantía social e individual--  los  diversos  extremos  de  la</w:t>
        <w:br/>
        <w:t>conducta ilícita que amerita sanción penal,  y  adapta  ésta,  en  la  mayor</w:t>
        <w:br/>
        <w:t>medida posible, a las características del hecho  y  de  la  persona  que  lo</w:t>
        <w:br/>
        <w:t>realiza. Esto último se hace por una doble vía, que se halla abierta  en  el</w:t>
        <w:br/>
        <w:t>Derecho penal moderno: a) la estructuración  de  tipos  penales  diversos  y</w:t>
        <w:br/>
        <w:t>específicos  para  captar  conductas  diferenciables  en  función   de   sus</w:t>
        <w:br/>
        <w:t>características, aunque no lo sean  en  función  de  su  resultado,  con  la</w:t>
        <w:br/>
        <w:t>correspondiente previsión de punibilidades diferentes; y  b)  la  atribución</w:t>
        <w:br/>
        <w:t>al juzgador de la potestad de individualizar las penas en forma  consecuente</w:t>
        <w:br/>
        <w:t>con los datos del hecho y el autor, acreditados y apreciados en el  proceso,</w:t>
        <w:br/>
        <w:t>dentro de las fronteras  --máxima y mínima--  que  aporta  cada  conminación</w:t>
        <w:br/>
        <w:t>penal (punibilidad).</w:t>
        <w:br/>
        <w:br/>
        <w:t>11. El homicidio es siempre  privación  de  la  vida  humana,  pero  no  son</w:t>
        <w:br/>
        <w:t>idénticas todas las hipótesis de homicidio, ni es uniforme  la  culpabilidad</w:t>
        <w:br/>
        <w:t>de los autores. En la realidad, esa privación se practica  o  manifiesta  de</w:t>
        <w:br/>
        <w:t>maneras muy diversas, que a su  vez  se  instalan  en  distintos  rangos  de</w:t>
        <w:br/>
        <w:t>gravedad. Todo ello da lugar a la existencia de varios  tipos  penales,  que</w:t>
        <w:br/>
        <w:t>describen hechos de diversa gravedad.[238]</w:t>
        <w:br/>
        <w:br/>
        <w:t>En virtud de lo anterior, la privación intencional  de  la  vida  (homicidio</w:t>
        <w:br/>
        <w:t>doloso) no se instala solamente en un tipo penal, sino se recoge  en  varios</w:t>
        <w:br/>
        <w:t>tipos, a los que se asocian punibilidades diferentes. Existen, por ello,  un</w:t>
        <w:br/>
        <w:t>tipo básico de homicidio y diversos  tipos  complementados  en  los  que  se</w:t>
        <w:br/>
        <w:t>depositan elementos  que reducen la gravedad y  moderan  la  punibilidad,  y</w:t>
        <w:br/>
        <w:t>elementos que incrementan la gravedad y extreman la punibilidad.</w:t>
        <w:br/>
        <w:br/>
        <w:t>Efectivamente,  la  legislación  penal  suele  prever   --desde  hace  mucho</w:t>
        <w:br/>
        <w:t>tiempo, y muy ampliamente en la hora actual-- al lado del llamado  homicidio</w:t>
        <w:br/>
        <w:t>básico o  fundamental,  otros  tipos  en  los  que  figuran  esos  elementos</w:t>
        <w:br/>
        <w:t>agravadores: en función del  vínculo  entre  los  sujetos  activo  y  pasivo</w:t>
        <w:br/>
        <w:t>(parricidio), de la situación en que se colocó el agente para privar  de  la</w:t>
        <w:br/>
        <w:t>vida a la víctima (homicidio calificado por la ventaja o la  traición),  del</w:t>
        <w:br/>
        <w:t>móvil que impulsa  la  conducta  del  autor  (homicidio  calificado  por  el</w:t>
        <w:br/>
        <w:t>propósito de obtener una remuneración o de satisfacer objetivos  bastardos),</w:t>
        <w:br/>
        <w:t>de los medios empleados (homicidio calificado por el empleo de explosivos  y</w:t>
        <w:br/>
        <w:t>otros instrumentos devastadores), etcétera.</w:t>
        <w:br/>
        <w:br/>
        <w:t>Es evidente que en todos esos casos nos hallamos  ante  un  homicidio,  pero</w:t>
        <w:br/>
        <w:t>también lo es que  resulta  perfectamente  posible,  y  además  necesario  y</w:t>
        <w:br/>
        <w:t>justificado, advertir  --para efectos penales  precisos--   diversos  planos</w:t>
        <w:br/>
        <w:t>de gravedad en esas conductas que privan de la vida a  otro.  Este  deslinde</w:t>
        <w:br/>
        <w:t>en  cuanto a la gravedad trae consigo una consecuencia  directa  en  lo  que</w:t>
        <w:br/>
        <w:t>toca a la reacción penal: diversa punibilidad. El juzgador se  atiene  tanto</w:t>
        <w:br/>
        <w:t>a: 1) la diferencia objetiva que radica en la tipicidad del  hecho,  como  a</w:t>
        <w:br/>
        <w:t>2) el grado de culpabilidad del agente, otra cuestión  relevante  para  este</w:t>
        <w:br/>
        <w:t>caso y que debe hallarse  presente  en  el  ejercicio  de  individualización</w:t>
        <w:br/>
        <w:t>penal, cuando la punibilidad  --una previsión genérica--  se  transforma  en</w:t>
        <w:br/>
        <w:t>punición  --un dato específico de la condena[239]. La sanción  se  construye</w:t>
        <w:br/>
        <w:t>sobre ambos fundamentos.</w:t>
        <w:br/>
        <w:br/>
        <w:t>12. Es útil proporcionar algunos ejemplos a este  respecto,  tomados  de  la</w:t>
        <w:br/>
        <w:t>legislación de países americanos en los que se conserva la pena  de  muerte.</w:t>
        <w:br/>
        <w:t>En éstos es bien conocida la graduación de las hipótesis de privación de  la</w:t>
        <w:br/>
        <w:t>vida según la gravedad  que  cada  una  reviste:  del  homicidio  simple  al</w:t>
        <w:br/>
        <w:t>parricidio. En todos ellos, diversas punibilidades corresponden  a  diversas</w:t>
        <w:br/>
        <w:t>gravedades[240]. En tales casos[241] no hay nada  parecido  a  una  pena  de</w:t>
        <w:br/>
        <w:t>muerte obligatoria, en el sentido que se da a esta expresión  en  el  asunto</w:t>
        <w:br/>
        <w:t>al que se refiere el presente Voto.</w:t>
        <w:br/>
        <w:br/>
        <w:t>El que mate a otro será sancionado con uno a diez años de  prisión,  dispone</w:t>
        <w:br/>
        <w:t>el artículo 251 del Código Penal de Bolivia; y lo será con  pena  de  muerte</w:t>
        <w:br/>
        <w:t>--ordena el artículo 252--, el que mate a sus descendientes,  el  que  prive</w:t>
        <w:br/>
        <w:t>de la vida con premeditación, alevosía o ensañamiento, el  que  lo  haga  en</w:t>
        <w:br/>
        <w:t>virtud de precio, dones o promesas o por medio de  substancias  venenosas  u</w:t>
        <w:br/>
        <w:t>otras semejantes, etcétera. Conforme al Código Penal de Chile, el  homicidio</w:t>
        <w:br/>
        <w:t>no calificado será penado con presidio mayor en sus grados mínimo  a  medio;</w:t>
        <w:br/>
        <w:t>quien prive a otro de la  vida  con  ciertas  calificativas  (alevosía,  por</w:t>
        <w:br/>
        <w:t>premio o promesa remuneratoria, por medio de veneno, con  ensañamiento,  con</w:t>
        <w:br/>
        <w:t>premeditación), lo será con presidio mayor en  su  grado  medio  a  presidio</w:t>
        <w:br/>
        <w:t>perpetuo (artículo 391, incisos 2º. y 1º., respectivamente); y quien mate  a</w:t>
        <w:br/>
        <w:t>su  padre,  madre  o  hijo,   a  cualquier  otro  de  sus   ascendientes   o</w:t>
        <w:br/>
        <w:t>descendientes o a su cónyuge, lo será con presidio mayor en su grado  máximo</w:t>
        <w:br/>
        <w:t>o muerte (artículo 390). Bajo el Código  Penal  de  Guatemala,  se  impondrá</w:t>
        <w:br/>
        <w:t>prisión de quince a cuarenta  años  a  quien  diere  muerte  a  una  persona</w:t>
        <w:br/>
        <w:t>(artículo 123); y se sancionará  --bajo el título de homicidios calificados-</w:t>
        <w:br/>
        <w:t>- con prisión de veinticinco  a  cincuenta  años  al  parricida  y  a  quien</w:t>
        <w:br/>
        <w:t>incurra en asesinato (homicidio calificado por diversos elementos), pero  en</w:t>
        <w:br/>
        <w:t>ambos supuestos se impondrá al  delincuente  pena  de  muerte  “si  por  las</w:t>
        <w:br/>
        <w:t>circunstancias  del  hecho,  la  manera  de   realizarlo   y   los   móviles</w:t>
        <w:br/>
        <w:t>determinantes se revelare una mayor y particular  peligrosidad  del  agente”</w:t>
        <w:br/>
        <w:t>(artículos 131 y 132).</w:t>
        <w:br/>
        <w:br/>
        <w:t>13. Una vez formuladas las consideraciones precedentes,  recordemos  que  el</w:t>
        <w:br/>
        <w:t>artículo 4 de la Ley sobre Delitos contra la Persona, de Trinidad y  Tobago,</w:t>
        <w:br/>
        <w:t>ordena que “(e)very person convicted of murder shall suffer death”.  Así  se</w:t>
        <w:br/>
        <w:t>dispone  la  llamada  pena  de  muerte  obligatoria  para  una  amplia   --y</w:t>
        <w:br/>
        <w:t>heterogénea--  gama de conductas homicidas, en las que  objetivamente  sería</w:t>
        <w:br/>
        <w:t>posible identificar  --como lo han hecho  los  códigos  antes  citados,  así</w:t>
        <w:br/>
        <w:t>como otros muchos ordenamientos antiguos y modernos--  distintos  grados  de</w:t>
        <w:br/>
        <w:t>gravedad. Con ello se desatiende la regla de que la  pena  de  muerte  “sólo</w:t>
        <w:br/>
        <w:t>podrá  imponerse  por  los  delitos  más  graves”  (artículo   4.2   de   la</w:t>
        <w:br/>
        <w:t>Convención), esto es, solamente por aquéllos que se hallan en la cúspide  de</w:t>
        <w:br/>
        <w:t>una pirámide que se eleva de lo menos grave a lo más grave.</w:t>
        <w:br/>
        <w:br/>
        <w:t>Evidentemente, al  prevenirse  así  la  punibilidad  general  del  homicidio</w:t>
        <w:br/>
        <w:t>intencional,  queda  predeterminado  el  rumbo  de  la  jurisdicción   penal</w:t>
        <w:br/>
        <w:t>nacional:  los  tribunales  carecen  de  la  posibilidad  de  apreciar   las</w:t>
        <w:br/>
        <w:t>particularidades de los homicidios y disponer, como  consecuencia  lógica  y</w:t>
        <w:br/>
        <w:t>jurídica de las diferencias, sanciones  igualmente  diversas.  Los  aspectos</w:t>
        <w:br/>
        <w:t>negativos de la homogeneidad penal dispuesta  donde  hay  heterogeneidad  de</w:t>
        <w:br/>
        <w:t>hechos,  que  ameritarían  proporcionalidad  e  individualización,  ha  sido</w:t>
        <w:br/>
        <w:t>ampliamente   examinada    --desde   su   propia   perspectiva--    por   la</w:t>
        <w:br/>
        <w:t>jurisprudencia del Judicial Committee del Privy Council[242].</w:t>
        <w:br/>
        <w:br/>
        <w:t>14. El propio legislador de Trinidad y Tobago ha advertido la  necesidad  de</w:t>
        <w:br/>
        <w:t>graduar la pena en función de la  gravedad  de  los  delitos  de  homicidio,</w:t>
        <w:br/>
        <w:t>superando desde luego la antigua fórmula de la Ley sobre Delitos  contra  la</w:t>
        <w:br/>
        <w:t>Persona. En efecto, el Poder  Legislativo  del  Estado  aprobó  la  Offences</w:t>
        <w:br/>
        <w:t>against the Person (Amendment)  Act,  2000,  que  reforma  a  la  Ley  sobre</w:t>
        <w:br/>
        <w:t>Delitos contra la Persona y que aún no ha  entrado  en  vigor[243].  En  los</w:t>
        <w:br/>
        <w:t>términos de esta enmienda, habría tres categorías  de  homicidio,  a  saber:</w:t>
        <w:br/>
        <w:t>capital murder o murder 1, murder 2  y  murder  3.  La  primera  abarca  los</w:t>
        <w:br/>
        <w:t>supuestos de  mayor  gravedad:  homicidios  calificados  con  elementos  que</w:t>
        <w:br/>
        <w:t>regularmente traen consigo, como se observa en Derecho comparado, la  máxima</w:t>
        <w:br/>
        <w:t>penalidad y que en la  especie  se  hallan  sancionados  con  pena  capital;</w:t>
        <w:br/>
        <w:t>homicidios de menor gravedad, con otras características,  que  se  sancionan</w:t>
        <w:br/>
        <w:t>con  prisión  perpetua,  y  homicidios  culposos[244].  Esta  regulación  ya</w:t>
        <w:br/>
        <w:t>aparece en el Derecho correspondiente a otros  Estados  de  la  región,  que</w:t>
        <w:br/>
        <w:t>tipifican con pormenor diversas hipótesis de  privación  intencional  de  la</w:t>
        <w:br/>
        <w:t>vida[245].</w:t>
        <w:br/>
        <w:br/>
        <w:t>15. Examinada la incompatibilidad que existe entre la legislación  penal  de</w:t>
        <w:br/>
        <w:t>Trinidad y Tobago y el artículo 4.2 del Pacto de San José, procede  estudiar</w:t>
        <w:br/>
        <w:t>la que  priva  entre  aquel  mismo  ordenamiento  y  el  artículo  4.1,  que</w:t>
        <w:br/>
        <w:t>proscribe la privación “arbitraria” de la  vida.  Para  ello  es  pertinente</w:t>
        <w:br/>
        <w:t>recuperar el sentido amplio del  concepto  de  arbitrariedad   --que  no  se</w:t>
        <w:br/>
        <w:t>concentra solamente, por lo que toca a los supuestos que ahora  examino,  en</w:t>
        <w:br/>
        <w:t>la ejecución extrajudicial, aunque  ésta  sea  una  de  sus  más  flagrantes</w:t>
        <w:br/>
        <w:t>manifestaciones--,  y proyectarlo sobre el asunto que nos ocupa.</w:t>
        <w:br/>
        <w:br/>
        <w:t>Con   anterioridad,   la   Corte   ha   entendido   que   “(l)a    expresión</w:t>
        <w:br/>
        <w:t>‘arbitrariamente’ excluye, como es obvio, los  procesos  legales  aplicables</w:t>
        <w:br/>
        <w:t>en los países que aún conservan la pena de  muerte”[246].  Sin  embargo,  es</w:t>
        <w:br/>
        <w:t>necesario acotar el alcance  de  una  afirmación  tan  amplia,  que  pudiera</w:t>
        <w:br/>
        <w:t>extender su efecto a situaciones que  ameritan  deslinde.  Desde  luego,  no</w:t>
        <w:br/>
        <w:t>puede calificarse como arbitraria, en los  términos  de  la  Convención,  la</w:t>
        <w:br/>
        <w:t>muerte impuesta o infligida a un sujeto conforme a normas de fondo  y  forma</w:t>
        <w:br/>
        <w:t>que se ajustan a los principios que deben  informarlas,  y  mediante  juicio</w:t>
        <w:br/>
        <w:t>seguido  ante  autoridad  competente,  en  el  que  se  observen  todas  las</w:t>
        <w:br/>
        <w:t>garantías del debido proceso. Este descargo parece  inadecuado,  en  cambio,</w:t>
        <w:br/>
        <w:t>cuando no ha ocurrido tal  cosa,  aunque  en  la  especie  no  se  trate  de</w:t>
        <w:br/>
        <w:t>ejecución extrajudicial ni exista empleo excesivo de la fuerza al margen  de</w:t>
        <w:br/>
        <w:t>mandamientos judiciales.</w:t>
        <w:br/>
        <w:br/>
        <w:t>16. Si nos atenemos, con visión superficial, al hecho  de  que  la  pena  de</w:t>
        <w:br/>
        <w:t>muerte se halla prevista en una ley y su aplicación a  los  casos  concretos</w:t>
        <w:br/>
        <w:t>proviene de una sentencia  judicial  emitida  por  un  tribunal  competente,</w:t>
        <w:br/>
        <w:t>pudiera parecer excesiva la calificación de arbitrariedad  en  el  caso  que</w:t>
        <w:br/>
        <w:t>ahora nos ocupa. En cambio, esa calificación se  justifica  si  se  utilizan</w:t>
        <w:br/>
        <w:t>algunas referencias plenamente acreditadas ante la  Corte  Interamericana  y</w:t>
        <w:br/>
        <w:t>expuestas en la sentencia expedida por ésta, a saber: a)  la  prevención  de</w:t>
        <w:br/>
        <w:t>pena de muerte, tabula rasa,  para  cualesquiera  homicidios  intencionales,</w:t>
        <w:br/>
        <w:t>sin miramiento hacia las diversas características que éstos  revisten,  como</w:t>
        <w:br/>
        <w:t>se ha  dicho  en  puntos  anteriores  del  presente  Voto:  este  dato  --la</w:t>
        <w:br/>
        <w:t>existencia de una ley arbitraria-- tiñe de  arbitrariedad  las  condenas  y,</w:t>
        <w:br/>
        <w:t>por supuesto, las eventuales ejecuciones; b) la aplicación  de  la  pena  de</w:t>
        <w:br/>
        <w:t>muerte  mediante  juicios  que  no  satisfacen,  en  modo  alguno,   ciertas</w:t>
        <w:br/>
        <w:t>exigencias del debido proceso legal[247],  como  son  las  concernientes  al</w:t>
        <w:br/>
        <w:t>plazo  razonable  para  resolver  la  controversia  y  a  la  provisión   de</w:t>
        <w:br/>
        <w:t>asistencia legal adecuada;  c) la inoperancia real, en los casos  concretos,</w:t>
        <w:br/>
        <w:t>del derecho a solicitar  --y, se entiende, a  gestionar  y  sustentar--   la</w:t>
        <w:br/>
        <w:t>amnistía, el indulto o la conmutación de la pena; y d) la ejecución  de  una</w:t>
        <w:br/>
        <w:t>persona   --Joey  Ramiah--    que   se   hallaba   protegido   por   medidas</w:t>
        <w:br/>
        <w:t>provisionales ordenadas por la Corte; una ejecución antes de que hubiera  un</w:t>
        <w:br/>
        <w:t>pronunciamiento de los órganos del sistema interamericano de  protección  de</w:t>
        <w:br/>
        <w:t>los derechos humanos constituye  --como dijera el Comité Judicial del  Privy</w:t>
        <w:br/>
        <w:t>Council--   una  “violación  de  los  derechos  constitucionales”   de   los</w:t>
        <w:br/>
        <w:t>solicitantes[248].</w:t>
        <w:br/>
        <w:br/>
        <w:t>17. En esta línea de reflexiones, deseo comentar la violación  del  artículo</w:t>
        <w:br/>
        <w:t>4.6 de la Convención, que también se establece en la sentencia.  Esa  norma,</w:t>
        <w:br/>
        <w:t>ubicada bajo el epígrafe del “Derecho a la vida”  --que  es  la  materia  de</w:t>
        <w:br/>
        <w:t>protección en el conjunto  del  artículo,  integrado  por  seis  párrafos--,</w:t>
        <w:br/>
        <w:t>señala que “toda persona condenada a muerte tiene  derecho  a  solicitar  la</w:t>
        <w:br/>
        <w:t>amnistía, el indulto o la conmutación de la  pena,  los  cuales  podrán  ser</w:t>
        <w:br/>
        <w:t>concedidos en todos los casos (...)”.</w:t>
        <w:br/>
        <w:br/>
        <w:t>Semejante derecho   --para  que  lo  sea  verdaderamente  y  no  quede  como</w:t>
        <w:br/>
        <w:t>simple declaración-- supone que  el  sujeto  tenga  expedita  una  auténtica</w:t>
        <w:br/>
        <w:t>posibilidad de pedir y obtener la revisión y modificación  de  la  situación</w:t>
        <w:br/>
        <w:t>jurídica creada por la sentencia condenatoria. No  tendría  sentido  que  el</w:t>
        <w:br/>
        <w:t>derecho se instituyera con un carácter puramente formal, que  en  este  caso</w:t>
        <w:br/>
        <w:t>sería trivial: la mera facultad de pedir, que  se  agota  en  si  misma.  El</w:t>
        <w:br/>
        <w:t>derecho debe poseer un contenido y un  sentido  razonables.  Esto  significa</w:t>
        <w:br/>
        <w:t>que el sujeto debe contar con  la  posibilidad  jurídica   y   material   de</w:t>
        <w:br/>
        <w:t>expresar  su  petición  --que  es  una  pretensión--  ante  una    autoridad</w:t>
        <w:br/>
        <w:t>competente   para   resolverla   en   cuanto   al   fondo,  y  aportar   los</w:t>
        <w:br/>
        <w:t>elementos que conduzcan  a  satisfacerla,  en  la  inteligencia  de  que  es</w:t>
        <w:br/>
        <w:t>factible       --aunque difícil e incierta-- una respuesta  favorable.  Esto</w:t>
        <w:br/>
        <w:t>no ocurrió en el caso sub  judice,  porque  los  reos  no  contaron  con  la</w:t>
        <w:br/>
        <w:t>oportunidad de  sustentar  su  petición  con  elementos  de  juicio  que  la</w:t>
        <w:br/>
        <w:t>sostuvieran y  favorecieran,  ni  la  de  tramitarla  con  la  indispensable</w:t>
        <w:br/>
        <w:t>asistencia  legal;  más  aún,  su  planteamiento  se  hallaba  condenado  de</w:t>
        <w:br/>
        <w:t>antemano al fracaso: inevitablemente tropezaría con  el  infranqueable  muro</w:t>
        <w:br/>
        <w:t>de la pena de muerte “obligatoria”.</w:t>
        <w:br/>
        <w:br/>
        <w:t>En la situación que nos ocupa, la ineficacia  absoluta  de  la  petición  de</w:t>
        <w:br/>
        <w:t>amnistía, indulto o conmutación puede ser analizada desde dos  perspectivas,</w:t>
        <w:br/>
        <w:t>válidas ambas: por una parte, como violación del derecho a la  vida  en  los</w:t>
        <w:br/>
        <w:t>términos del precepto que contiene la  facultad;  y  por  otra  parte,  como</w:t>
        <w:br/>
        <w:t>violación del debido proceso, en cuanto no lo hubo en la tramitación  de  la</w:t>
        <w:br/>
        <w:t>solicitud: ni audiencia, ni pruebas ni alegaciones  que  abrieran  la  menor</w:t>
        <w:br/>
        <w:t>posibilidad de acceder al fin solicitado. De ahí que la Corte estimara,  con</w:t>
        <w:br/>
        <w:t>razón a mi juicio, que en esta hipótesis hubo  una  múltiple  violación:  de</w:t>
        <w:br/>
        <w:t>los artículos 4.6 y 8, en relación con el 1.1.</w:t>
        <w:br/>
        <w:br/>
        <w:t>18. Otro punto al que  quiero  referirme  ahora  es  el  correspondiente  al</w:t>
        <w:br/>
        <w:t>régimen de detención,  que  en  las  circunstancias  de  este  caso  resulta</w:t>
        <w:br/>
        <w:t>violatorio del artículo 5, párrafos 1 y 2, de la  Convención  Americana.  En</w:t>
        <w:br/>
        <w:t>este orden hay que tomar en cuenta que el Estado es garante de los  derechos</w:t>
        <w:br/>
        <w:t>de los  detenidos,  y  por  ende  responde,  directa  y  plenamente,  de  la</w:t>
        <w:br/>
        <w:t>situación que éstos guardan[249]. La posición de garante  que  aquí  ostenta</w:t>
        <w:br/>
        <w:t>el Estado deriva de que los detenidos en prisiones, en espera  de  sentencia</w:t>
        <w:br/>
        <w:t>o  en  cumplimiento  de  una  condena,  se  hallan  sujetos  a  un   régimen</w:t>
        <w:br/>
        <w:t>minuciosamente regulado, aplicado y supervisado  por  el  Estado  mismo,  de</w:t>
        <w:br/>
        <w:t>manera tal vez más intensa que la que pudiera  aplicarse  a  cualquier  otra</w:t>
        <w:br/>
        <w:t>categoría de sujetos.</w:t>
        <w:br/>
        <w:br/>
        <w:t>En estos casos, correspondientes a la institución total que es  la  prisión,</w:t>
        <w:br/>
        <w:t>los títulos de los que  resulta la condición de garante del  Estado  son  la</w:t>
        <w:br/>
        <w:t>orden de captura  --o sus equivalentes--  y la sentencia de  condena.  Ambos</w:t>
        <w:br/>
        <w:t>actos de autoridad traen consigo la sustracción del sujeto del  medio  libre</w:t>
        <w:br/>
        <w:t>en el que  se  ha  desenvuelto  y  su  colocación  en  un  medio  totalmente</w:t>
        <w:br/>
        <w:t>distinto, en el que cada acto de la vida del  interno  se  halla  sujeto  al</w:t>
        <w:br/>
        <w:t>control del poder público. La función de garante  implica:  a)  omitir  todo</w:t>
        <w:br/>
        <w:t>aquello  que  pudiera  infligir  al  sujeto  privaciones  más  allá  de  las</w:t>
        <w:br/>
        <w:t>estrictamente necesarias para los efectos de la detención o el  cumplimiento</w:t>
        <w:br/>
        <w:t>de la condena, por una parte, y b) proveer todo lo  que  resulte  pertinente</w:t>
        <w:br/>
        <w:t>--conforme a la ley aplicable--  para asegurar los fines  de  la  reclusión:</w:t>
        <w:br/>
        <w:t>seguridad y readaptación social, regularmente, por la otra.</w:t>
        <w:br/>
        <w:br/>
        <w:t>19. No se carece de referencias internacionales acerca del  trato  que  debe</w:t>
        <w:br/>
        <w:t>darse a los individuos sujetos a detención  --detención legalmente prevista-</w:t>
        <w:br/>
        <w:t>-; en ellas se  traza  la  frontera  entre  lo  debido  y  lo  indebido,  lo</w:t>
        <w:br/>
        <w:t>admisible y lo inadmisible. Esas referencias sirven como  punto  de  partida</w:t>
        <w:br/>
        <w:t>para puntualizar el espacio en el que actúa y los caracteres  que  tiene  la</w:t>
        <w:br/>
        <w:t>misión de garante atribuida al Estado[250]. El cotejo entre las  previsiones</w:t>
        <w:br/>
        <w:t>de aquéllas y las realidades del sistema carcelario  permitirán  conocer  el</w:t>
        <w:br/>
        <w:t>grado de cumplimiento de los deberes públicos, que no puede  decaer  por  el</w:t>
        <w:br/>
        <w:t>hecho de que los sujetos a detención hayan incumplido gravemente   --y  sean</w:t>
        <w:br/>
        <w:t>por ello merecedores de pena--  las obligaciones  que  les  impone  la  vida</w:t>
        <w:br/>
        <w:t>social.</w:t>
        <w:br/>
        <w:br/>
        <w:t>Evidentemente, la prisión implica restricciones severas. No cuestiono  ahora</w:t>
        <w:br/>
        <w:t>su pertinencia. Dejo este punto fuera de mis actuales  consideraciones.  Sin</w:t>
        <w:br/>
        <w:t>embargo, es preciso tomar  en   cuenta   que   dichas  restricciones  tienen</w:t>
        <w:br/>
        <w:t>límites: más  allá  de  ellos,  pueden  convertirse   --como  en  efecto  ha</w:t>
        <w:br/>
        <w:t>ocurrido--  en tratos crueles, inhumanos o degradantes. Además,  es  preciso</w:t>
        <w:br/>
        <w:t>distinguir entre el régimen de privación  (cautelar  y  provisional)  de  la</w:t>
        <w:br/>
        <w:t>libertad que corresponde a quien aún no ha sido condenado, del que  atañe  a</w:t>
        <w:br/>
        <w:t>quien ya lo ha sido. A favor de aquél existe  una  presunción  de  inocencia</w:t>
        <w:br/>
        <w:t>que debe reflejarse en  las  condiciones  de  detención,  cuando  se  estime</w:t>
        <w:br/>
        <w:t>indispensable privarle de la libertad mientras se desarrolla el proceso.</w:t>
        <w:br/>
        <w:br/>
        <w:br/>
        <w:t xml:space="preserve">                                                  Juez Sergio García Ramírez</w:t>
        <w:br/>
        <w:br/>
        <w:br/>
        <w:t xml:space="preserve">                                                       Juez</w:t>
        <w:br/>
        <w:br/>
        <w:br/>
        <w:br/>
        <w:br/>
        <w:br/>
        <w:t>Manuel E. Ventura Robles</w:t>
        <w:br/>
        <w:br/>
        <w:t xml:space="preserve">      Secretario</w:t>
        <w:br/>
        <w:t xml:space="preserve">                   Voto razonado del Juez de Roux Rengifo</w:t>
        <w:br/>
        <w:br/>
        <w:br/>
        <w:t>El quid jurídico del presente caso gira en  torno  al  artículo  4.2  de  la</w:t>
        <w:br/>
        <w:t>Convención Americana, en tanto dispone que“la  pena  de  muerte  (...(  sólo</w:t>
        <w:br/>
        <w:t>podrá imponerse por los delitos  más  graves”.  Treinta  y  una  de  las  32</w:t>
        <w:br/>
        <w:t>víctimas no han sido ejecutadas (y ojalá nunca lo sean(. En otras  palabras,</w:t>
        <w:br/>
        <w:t>no han sido privadas de la vida. Sin embargo, el derecho  que  les  confiere</w:t>
        <w:br/>
        <w:t>el artículo 4.2 les ha sido conculcado porque se les  ha  aplicado  una  ley</w:t>
        <w:br/>
        <w:t>(la Ley de Delitos contra la Persona, de Trinidad y Tobago)  que  conduce  a</w:t>
        <w:br/>
        <w:t>la imposición de la pena capital en relación con delitos que  no  pertenecen</w:t>
        <w:br/>
        <w:t>a la categoría de los “más graves”. Ahora bien, lo que  ha  permitido  a  la</w:t>
        <w:br/>
        <w:t>Corte no entrar a examinar la situación personal de cada víctima,  en  otras</w:t>
        <w:br/>
        <w:t>palabras, abstenerse de valorar el hecho de que algunos de los condenados  a</w:t>
        <w:br/>
        <w:t>pena de muerte podrían haber cometido delitos pertenecientes a la  clase  de</w:t>
        <w:br/>
        <w:t>los “más graves”, ha sido la circunstancia de que tanto a ellos como  a  los</w:t>
        <w:br/>
        <w:t>demás encausados se les aplicó la ley en mención, y  que  ésta  merece,  sin</w:t>
        <w:br/>
        <w:t>lugar a  dudas,  el  reproche  de  ser  violatoria  del  artículo  2  de  la</w:t>
        <w:br/>
        <w:t>Convención. De  manera  que  para  declarar,  con  certeza,  que  el  Estado</w:t>
        <w:br/>
        <w:t>infringió el artículo 4.2 en relación con todas las 32  víctimas  del  caso,</w:t>
        <w:br/>
        <w:t>la Corte necesitaba  conectar  la  violación  de  dicha  norma  con  la  del</w:t>
        <w:br/>
        <w:t>artículo 2.</w:t>
        <w:br/>
        <w:br/>
        <w:t>Considero, por otra parte, que la contravención del artículo 4.1 se  produjo</w:t>
        <w:br/>
        <w:t>aquí en estrecha conexión con la del 4.2. El Estado infringió la primera  de</w:t>
        <w:br/>
        <w:t>esas disposiciones porque violó, y en la medida en que violó, la segunda.</w:t>
        <w:br/>
        <w:br/>
        <w:t>El  artículo  4.1  establece  que  “nadie  puede  ser  privado  de  la  vida</w:t>
        <w:br/>
        <w:t>arbitrariamente”. En consecuencia, si se afirma que un Estado contravino  la</w:t>
        <w:br/>
        <w:t>mencionada  prescripción,  es  necesario  mostrar  en   qué   consistió   la</w:t>
        <w:br/>
        <w:t>arbitrariedad que cometió al privar de la vida a la o las  personas  de  que</w:t>
        <w:br/>
        <w:t>se trata.</w:t>
        <w:br/>
        <w:br/>
        <w:t>Pues bien,  la  arbitrariedad  en  que  incurrió  el  Estado  en  este  caso</w:t>
        <w:br/>
        <w:t>consistió en que infringió el artículo 4.2 de  la  Convención,  en  conexión</w:t>
        <w:br/>
        <w:t>con el 2, conforme a lo expuesto. Fue, pues, la violación del  artículo  4.2</w:t>
        <w:br/>
        <w:t>la que convirtió  en  arbitraria  la  pena  de  muerte  y  dio  lugar  a  la</w:t>
        <w:br/>
        <w:t>infracción del artículo 4.1.</w:t>
        <w:br/>
        <w:br/>
        <w:t>Hubiera sido pertinente que la llamada parte considerativa de  la  sentencia</w:t>
        <w:br/>
        <w:t>se ocupara, de forma explícita, de todas las relaciones descritas entre  las</w:t>
        <w:br/>
        <w:t>disposiciones a las que se ha hecho  alusión  (la  verdad  es  que  prefirió</w:t>
        <w:br/>
        <w:t>referirse solo a algunas de esas relaciones, y  de  manera  tangencial).  Y,</w:t>
        <w:br/>
        <w:t>sobre todo, que los puntos  1  y  2  de  la  parte  resolutiva  se  hubieran</w:t>
        <w:br/>
        <w:t>fusionado en uno solo, en el que  se  declarara  que  el  Estado  violó,  en</w:t>
        <w:br/>
        <w:t>perjuicio de las víctimas del caso, el artículo 4.1 en conexión con el  4.2,</w:t>
        <w:br/>
        <w:t>y ambos en conexión con el artículo 2, todos de la Convención Americana.</w:t>
        <w:br/>
        <w:br/>
        <w:br/>
        <w:br/>
        <w:t xml:space="preserve">                                              Carlos Vicente de Roux Rengifo</w:t>
        <w:br/>
        <w:t xml:space="preserve">                                                       Juez</w:t>
        <w:br/>
        <w:br/>
        <w:br/>
        <w:br/>
        <w:t>Manuel E. Ventura Robles</w:t>
        <w:br/>
        <w:t xml:space="preserve">      Secretario</w:t>
        <w:br/>
        <w:t>-----------------------</w:t>
        <w:br/>
        <w:t>(     El Juez Máximo Pacheco Gómez informó a la Corte  que  por  motivos  de</w:t>
        <w:br/>
        <w:t>fuerza mayor, no  podía  estar  presente  en  el  LV  Período  Ordinario  de</w:t>
        <w:br/>
        <w:t>Sesiones del Tribunal, por lo que no participó en la  deliberación  y  firma</w:t>
        <w:br/>
        <w:t>de la presente Sentencia.</w:t>
        <w:br/>
        <w:br/>
        <w:t>[1]   De conformidad con la Resolución de la Corte de 13 de  marzo  de  2001</w:t>
        <w:br/>
        <w:t>sobre Disposiciones Transitorias del Reglamento de  la  Corte,  la  presente</w:t>
        <w:br/>
        <w:t>Sentencia se dicta según los términos del Reglamento en vigor  desde  el  1º</w:t>
        <w:br/>
        <w:t>de junio de 2001.</w:t>
        <w:br/>
        <w:br/>
        <w:t>[2]   La acumulación fue  ordenada  por  la  Corte  Interamericana  mediante</w:t>
        <w:br/>
        <w:t>Resolución de fecha 30 de noviembre de 2001, de conformidad con el  artículo</w:t>
        <w:br/>
        <w:t>28 de su Reglamento.  En esa Resolución  la  Corte  tomó  en  consideración,</w:t>
        <w:br/>
        <w:t>entre otros aspectos de la cuestión, que las partes en  los  Casos  Hilaire,</w:t>
        <w:br/>
        <w:t>Constantine y otros y  Benjamin  y  otros  eran  las  mismas,  es  decir  la</w:t>
        <w:br/>
        <w:t>Comisión Interamericana de Derechos  Humanos  y  el  Estado  de  Trinidad  y</w:t>
        <w:br/>
        <w:t>Tobago.  Asimismo, la  Corte  consideró  que  el  objeto  era  esencialmente</w:t>
        <w:br/>
        <w:t>idéntico  en  los  tres  casos,  en  el  sentido  de  que  todos  estos   se</w:t>
        <w:br/>
        <w:t>relacionaban  con  las  garantías  del  debido  proceso  en   supuestos   de</w:t>
        <w:br/>
        <w:t>imposición de “pena de muerte obligatoria” a todas las  personas  condenadas</w:t>
        <w:br/>
        <w:t>por el delito de homicidio intencional en  Trinidad  y  Tobago,  siendo  las</w:t>
        <w:br/>
        <w:t>únicas  diferencias  las  circunstancias  individuales  de  cada  caso.    Y</w:t>
        <w:br/>
        <w:t>finalmente que, los artículos de la Convención  Americana  que  se  alegaban</w:t>
        <w:br/>
        <w:t>como violados en cada caso eran fundamentalmente  los  mismos.   Cfr.  Corte</w:t>
        <w:br/>
        <w:t>I.D.H., Casos Hilaire, Constantine y otros y Benjamin  y  otros,  Resolución</w:t>
        <w:br/>
        <w:t>de 30 de noviembre de 2001.</w:t>
        <w:br/>
        <w:br/>
        <w:t>[3]   Las demandas originales en los Casos Hilaire, Constantine  y  otros  y</w:t>
        <w:br/>
        <w:t>Benjamin y  otros  fueron  presentadas  a  la  Corte  en  idioma  inglés,  y</w:t>
        <w:br/>
        <w:t>subsecuentemente la tramitación  de  las  mismas  se  ha  efectuado  en  ese</w:t>
        <w:br/>
        <w:t>idioma.  En dichas demandas se  utiliza  el  término  murder  que  la  Corte</w:t>
        <w:br/>
        <w:t>traduce, en el contexto del presente Caso, como homicidio intencional.</w:t>
        <w:br/>
        <w:br/>
        <w:t>[4]   Las 32 supuestas víctimas  son:  Haniff  Hilaire  (Caso  No.  11.816),</w:t>
        <w:br/>
        <w:t>George Constantine (Caso No. 11.787), Wenceslaus James  (Caso  No.  11.814),</w:t>
        <w:br/>
        <w:t>Denny Baptiste (Caso  No.  11.840),  Clarence  Charles  (Caso  No.  11.851),</w:t>
        <w:br/>
        <w:t>Keiron Thomas (Caso No. 11.853), Anthony Garcia (Caso  No.  11.855),  Wilson</w:t>
        <w:br/>
        <w:t>Prince (Caso No. 12.005), Darrin Roger  Thomas  (Caso  No.  12.021),  Mervyn</w:t>
        <w:br/>
        <w:t>Edmund (Caso No. 12.042), Samuel Winchester (Caso No. 12.043),  Martin  Reid</w:t>
        <w:br/>
        <w:t>(Caso No. 12.052), Rodney Davis (Caso No. 12.072), Gangadeen  Tahaloo  (Caso</w:t>
        <w:br/>
        <w:t>No. 12.073), Noel Seepersad (Caso No.  12.075),  Wayne  Matthews  (Caso  No.</w:t>
        <w:br/>
        <w:t>12.076), Alfred Frederick (Caso No.  12.082),  Natasha  De  Leon  (Caso  No.</w:t>
        <w:br/>
        <w:t>12.093), Vijay  Mungroo  (Caso  No.  12.111),  Phillip  Chotalal  (Caso  No.</w:t>
        <w:br/>
        <w:t>12.112), Naresh Boodram (Caso No. 12.129), Joey Ramiah  (Caso  No.  12.129),</w:t>
        <w:br/>
        <w:t>Nigel Mark (Caso No. 12.137), Wilberforce Bernard (Caso No.  12.140),  Steve</w:t>
        <w:br/>
        <w:t>Mungroo (Caso No. 12.141), Peter Benjamin  (Caso  No.  12.148),  Krishendath</w:t>
        <w:br/>
        <w:t>Seepersad (Caso  No.  12.149),  Allan  Phillip  (Caso  No.  12.151),  Narine</w:t>
        <w:br/>
        <w:t>Sooklal (Caso No. 12.152), Amir Mowlah  (Caso  No.  12.153),  Mervyn  Parris</w:t>
        <w:br/>
        <w:t>(Caso No. 12.156) y Francis Mansingh (Caso No. 12.157).</w:t>
        <w:br/>
        <w:br/>
        <w:t>[5]   Supra nota 4.</w:t>
        <w:br/>
        <w:br/>
        <w:t>[6]   Las veinticuatro supuestas  víctimas  de  que  se  trata  son:  Haniff</w:t>
        <w:br/>
        <w:t>Hilaire (Caso No. 11.816),  George  Constantine  (Caso  No.  11.787),  Denny</w:t>
        <w:br/>
        <w:t>Baptiste (Caso No. 11.840),  Clarence  Charles  (Caso  No.  11.851),  Wilson</w:t>
        <w:br/>
        <w:t>Prince (Caso No. 12.005), Darrin Roger  Thomas  (Caso  No.  12.021),  Mervyn</w:t>
        <w:br/>
        <w:t>Edmund (Caso No. 12.042), Rodney Davis (Caso No. 12.072), Gangadeen  Tahaloo</w:t>
        <w:br/>
        <w:t>(Caso No. 12.073), Noel Seepersad (Caso No. 12.075),  Wayne  Matthews  (Caso</w:t>
        <w:br/>
        <w:t>No. 12.076), Alfred Frederick (Caso No. 12.082), Natasha De Leon  (Caso  No.</w:t>
        <w:br/>
        <w:t>12.093), Vijay  Mungroo  (Caso  No.  12.111),  Phillip  Chotalal  (Caso  No.</w:t>
        <w:br/>
        <w:t>12.112), Nigel  Mark  (Caso  No.  12.137),  Wilberforce  Bernard  (Caso  No.</w:t>
        <w:br/>
        <w:t>12.140), Steve Mungroo (Caso No. 12.141), Krishendath  Seepersad  (Caso  No.</w:t>
        <w:br/>
        <w:t>12.149), Allan Phillip (Caso No. 12.151), Narine Sooklal (Caso No.  12.152),</w:t>
        <w:br/>
        <w:t>Amir Mowlah (Caso No. 12.153), Mervyn Parris (Caso  No.  12.156)  y  Francis</w:t>
        <w:br/>
        <w:t>Mansingh (Caso No. 12.157).</w:t>
        <w:br/>
        <w:br/>
        <w:t>[7]   Las  veintitrés  supuestas  víctimas  de  que  se  trata  son:  George</w:t>
        <w:br/>
        <w:t>Constantine (Caso No. 11.787), Denny Baptiste (Caso  No.  11.840),  Clarence</w:t>
        <w:br/>
        <w:t>Charles (Caso No. 11.851), Wilson Prince (Caso  No.  12.005),  Darrin  Roger</w:t>
        <w:br/>
        <w:t>Thomas (Caso No. 12.021), Mervyn Edmund  (Caso  No.  12.042),  Rodney  Davis</w:t>
        <w:br/>
        <w:t>(Caso No. 12.072), Gangadeen  Tahaloo  (Caso  No.  12.073),  Noel  Seepersad</w:t>
        <w:br/>
        <w:t>(Caso No. 12.075), Wayne Matthews (Caso No. 12.076), Alfred Frederick  (Caso</w:t>
        <w:br/>
        <w:t>No. 12.082), Natasha De Leon (Caso No.  12.093),  Vijay  Mungroo  (Caso  No.</w:t>
        <w:br/>
        <w:t>12.111), Phillip Chotalal (Caso No. 12.112), Nigel Mark (Caso  No.  12.137),</w:t>
        <w:br/>
        <w:t>Wilberforce Bernard (Caso No. 12.140),  Steve  Mungroo  (Caso  No.  12.141),</w:t>
        <w:br/>
        <w:t>Krishendath Seepersad (Caso No. 12.149), Allan Phillip  (Caso  No.  12.151),</w:t>
        <w:br/>
        <w:t>Narine Sooklal (Caso No. 12.152), Amir  Mowlah  (Caso  No.  12.153),  Mervyn</w:t>
        <w:br/>
        <w:t>Parris (Caso No. 12.156) y Francis Mansingh (Caso No. 12.157).</w:t>
        <w:br/>
        <w:br/>
        <w:t>[8]   Las veintiuna supuestas víctimas de que se trata  son:  Keiron  Thomas</w:t>
        <w:br/>
        <w:t>(Caso No. 11.853), Anthony Garcia (Caso No.  11.855),  Darrin  Roger  Thomas</w:t>
        <w:br/>
        <w:t>(Caso No. 12.021), Samuel Winchester (Caso No. 12.043), Rodney  Davis  (Caso</w:t>
        <w:br/>
        <w:t>No. 12.072), Gangadeen Tahaloo (Caso No. 12.073), Noel Seepersad  (Caso  No.</w:t>
        <w:br/>
        <w:t>12.075), Wayne Matthews  (Caso  No.  12.076),  Alfred  Frederick  (Caso  No.</w:t>
        <w:br/>
        <w:t>12.082), Vijay  Mungroo  (Caso  No.  12.111),  Phillip  Chotalal  (Caso  No.</w:t>
        <w:br/>
        <w:t>12.112), Naresh Boodram y Joey Ramiah (Caso No. 12.129),  Nigel  Mark  (Caso</w:t>
        <w:br/>
        <w:t>No. 12.137), Wilberforce Bernard (Caso No. 12.140), Steve Mungroo (Caso  No.</w:t>
        <w:br/>
        <w:t>12.141), Krishendath Seepersad (Caso No. 12.149), Narine Sooklal  (Caso  No.</w:t>
        <w:br/>
        <w:t>12.152), Amir Mowlah (Caso No. 12.153), Mervyn Parris (Caso  No.  12.156)  y</w:t>
        <w:br/>
        <w:t>Francis Mansingh (Caso No. 12.157).</w:t>
        <w:br/>
        <w:br/>
        <w:t>[9]   Las once supuestas víctimas de que se trata  son:  George  Constantine</w:t>
        <w:br/>
        <w:t>(Caso No. 11.787), Wilson Prince (Caso No. 12.005), Mervyn Edmund (Caso  No.</w:t>
        <w:br/>
        <w:t>12.042),  Martin  Reid  (Caso  No.  12.052),  Gangadeen  Tahaloo  (Caso  No.</w:t>
        <w:br/>
        <w:t>12.073), Noel Seepersad  (Caso  No.  12.075),  Natasha  De  Leon  (Caso  No.</w:t>
        <w:br/>
        <w:t>12.093), Phillip Chotalal (Caso No. 12.112), Wilberforce Bernard  (Caso  No.</w:t>
        <w:br/>
        <w:t>12.140), Amir Mowlah (Caso No. 12.153) y Mervyn Parris (Caso No. 12.156).</w:t>
        <w:br/>
        <w:br/>
        <w:t>[10]  Los veintiocho casos se refieren a Haniff Hilaire (Caso  No.  11.816),</w:t>
        <w:br/>
        <w:t>George Constantine (Caso No. 11.787), Wenceslaus James  (Caso  No.  11.814),</w:t>
        <w:br/>
        <w:t>Denny Baptiste (Caso  No.  11.840),  Clarence  Charles  (Caso  No.  11.851),</w:t>
        <w:br/>
        <w:t>Keiron Thomas (Caso No. 11.853), Anthony Garcia (Caso  No.  11.855),  Wilson</w:t>
        <w:br/>
        <w:t>Prince (Caso No. 12.005), Darrin Roger  Thomas  (Caso  No.  12.021),  Mervyn</w:t>
        <w:br/>
        <w:t>Edmund (Caso No. 12.042), Samuel Winchester (Caso No. 12.043), Rodney  Davis</w:t>
        <w:br/>
        <w:t>(Caso No. 12.072), Gangadeen  Tahaloo  (Caso  No.  12.073),  Noel  Seepersad</w:t>
        <w:br/>
        <w:t>(Caso No. 12.075), Alfred Frederick  (Caso  No.  12.082),  Natasha  De  Leon</w:t>
        <w:br/>
        <w:t>(Caso No. 12.093), Vijay Mungroo (Caso No. 12.111), Phillip  Chotalal  (Caso</w:t>
        <w:br/>
        <w:t>No. 12.112),  Naresh  Boodram  (Caso  No.  12.129),  Nigel  Mark  (Caso  No.</w:t>
        <w:br/>
        <w:t>12.137), Wilberforce Bernard (Caso No.  12.140),  Steve  Mungroo  (Caso  No.</w:t>
        <w:br/>
        <w:t>12.141), Krishendath Seepersad (Caso No. 12.149), Allan  Phillip  (Caso  No.</w:t>
        <w:br/>
        <w:t>12.151), Narine Sooklal (Caso No. 12.152), Amir Mowlah  (Caso  No.  12.153),</w:t>
        <w:br/>
        <w:t>Mervyn Parris (Caso No. 12.156) y Francis Mansingh (Caso No. 12.157).</w:t>
        <w:br/>
        <w:br/>
        <w:t>[11]  Corte I.D.H., Caso Hilaire. Excepciones Preliminares. Sentencia  de  1</w:t>
        <w:br/>
        <w:t>de septiembre de 2001.  Serie  C  No.  80,  párr.  98;  Corte  I.D.H.,  Caso</w:t>
        <w:br/>
        <w:t>Benjamin y otros. Excepciones Preliminares. Sentencia de 1 de septiembre  de</w:t>
        <w:br/>
        <w:t>2001. Serie C No. 81, párr. 89 y Corte I.D.H.,  Caso  Constantine  y  otros.</w:t>
        <w:br/>
        <w:t>Excepciones Preliminares. Sentencia de 1 de septiembre de 2001. Serie C  No.</w:t>
        <w:br/>
        <w:t>82, párr. 89.</w:t>
        <w:br/>
        <w:br/>
        <w:t>[12]  Traducción  de  la  Secretaría  de  la  Corte.   El  texto  en  inglés</w:t>
        <w:br/>
        <w:t>establece lo siguiente:</w:t>
        <w:br/>
        <w:br/>
        <w:br/>
        <w:t xml:space="preserve">      The Government of the Republic of Trinidad and Tobago must decline the</w:t>
        <w:br/>
        <w:t xml:space="preserve">      invitation of the Court to participate at the public hearing  and  the</w:t>
        <w:br/>
        <w:t xml:space="preserve">      preliminary meeting to be held on 20-21 February, 2002 […]  In  taking</w:t>
        <w:br/>
        <w:t xml:space="preserve">      this decision the Government of Trinidad and Tobago  does  not  intend</w:t>
        <w:br/>
        <w:t xml:space="preserve">      any discourtesy towards the Court or  its  distinguished  and  learned</w:t>
        <w:br/>
        <w:t xml:space="preserve">      President.  It reflects the belief of the State that, in  the  absence</w:t>
        <w:br/>
        <w:t xml:space="preserve">      of any special agreement  by  the  Republic  of  Trinidad  and  Tobago</w:t>
        <w:br/>
        <w:t xml:space="preserve">      recognising the jurisdiction of the Court in this matter,  the  Inter-</w:t>
        <w:br/>
        <w:t xml:space="preserve">      American Court of Human Rights has no jurisdiction in respect of these</w:t>
        <w:br/>
        <w:t xml:space="preserve">      cases.</w:t>
        <w:br/>
        <w:br/>
        <w:br/>
        <w:t>[13]  Cfr. Corte I.D.H., Caso Hilaire. Excepciones Preliminares, supra  nota</w:t>
        <w:br/>
        <w:t>11,  párr.  78;  Corte  I.D.H.,   Caso   Benjamin   y   otros.   Excepciones</w:t>
        <w:br/>
        <w:t>Preliminares, supra nota 11, párr. 69 y Corte  I.D.H.,  Caso  Constantine  y</w:t>
        <w:br/>
        <w:t>otros. Excepciones Preliminares, supra nota 11, párr. 69.</w:t>
        <w:br/>
        <w:br/>
        <w:t>[14]   Corte  I.D.H.,  Caso  del   Tribunal   Constitucional.   Competencia.</w:t>
        <w:br/>
        <w:t>Sentencia de 24 de septiembre de 1999. Serie C No.  55,  párr.  33  y  Corte</w:t>
        <w:br/>
        <w:t>I.D.H., Caso Ivcher Bronstein.  Competencia. Sentencia de 24  de  septiembre</w:t>
        <w:br/>
        <w:t>de 1999. Serie C No. 54, párr. 34.</w:t>
        <w:br/>
        <w:br/>
        <w:t>[15]  Cfr. Corte I.D.H., Caso Hilaire. Excepciones Preliminares, supra  nota</w:t>
        <w:br/>
        <w:t>11, párrs. 82 y  84;  Corte  I.D.H.,  Caso  Benjamin  y  otros.  Excepciones</w:t>
        <w:br/>
        <w:t>Preliminares,  supra  nota  11,  párrs.  73  y  75  y  Corte  I.D.H.,   Caso</w:t>
        <w:br/>
        <w:t>Constantine y otros. Excepciones Preliminares, supra nota 11,  párrs.  73  y</w:t>
        <w:br/>
        <w:t>75.</w:t>
        <w:br/>
        <w:br/>
        <w:t>[16]  Cfr. Corte I.D.H., Caso Hilaire. Excepciones Preliminares, supra  nota</w:t>
        <w:br/>
        <w:t>11; Corte I.D.H., Caso Benjamin y  otros.  Excepciones  Preliminares,  supra</w:t>
        <w:br/>
        <w:t>nota 11 y Corte I.D.H., Caso Constantine y otros. Excepciones  Preliminares,</w:t>
        <w:br/>
        <w:t>supra nota 11.</w:t>
        <w:br/>
        <w:br/>
        <w:t>[17]  Los casos en los que el Estado presentó alguna  contestación  son  los</w:t>
        <w:br/>
        <w:t>siguientes: 11.816 (Haniff Hilaire),  11.787  (George  Constantine),  11.814</w:t>
        <w:br/>
        <w:t>(Wenceslaus James), 11.840  (Denny  Baptiste),  11.851  (Clarence  Charles),</w:t>
        <w:br/>
        <w:t>11.853 (Keiron Thomas), 11.855 (Anthony  Garcia),  12.005  (Wilson  Prince),</w:t>
        <w:br/>
        <w:t>12.042 (Mervyn Edmund), 12.052 (Martin Reid), 12.072 (Rodney Davis),  12.073</w:t>
        <w:br/>
        <w:t>(Gangadeen Tahaloo), 12.075 (Noel  Seepersad),  12.082  (Alfred  Frederick),</w:t>
        <w:br/>
        <w:t>12.093  (Natasha  De  Leon),  12.111  (Vijay   Mungroo),   12.112   (Phillip</w:t>
        <w:br/>
        <w:t>Chotalal), 12.129 (Naresh Boodram  y  Joey  Ramiah),  12.137  (Nigel  Mark),</w:t>
        <w:br/>
        <w:t>12.140  (Wilberforce  Bernard),  12.149  (Krishendath  Seepersad)  y  12.151</w:t>
        <w:br/>
        <w:t>(Allan Phillip).  Los casos en los que el Estado  no  presentó  contestación</w:t>
        <w:br/>
        <w:t>alguna son:  12.021  (Darrin  Roger  Thomas),  12.043  (Samuel  Winchester),</w:t>
        <w:br/>
        <w:t>12.076 (Wayne Matthews), 12.141 (Steve Mungroo),  12.148  (Peter  Benjamin),</w:t>
        <w:br/>
        <w:t>12.152 (Narine Sooklal), 12.153 (Amir  Mowlah),  12.156  (Mervyn  Parris)  y</w:t>
        <w:br/>
        <w:t>12.157 (Francis Mansingh).</w:t>
        <w:br/>
        <w:br/>
        <w:t>[18]   Los  veintitrés  casos  a  los  que  se  ha  hecho  alusión  son  los</w:t>
        <w:br/>
        <w:t>siguientes:  11.787 (George Constantine), 11.814 (Wenceslaus James),  11.840</w:t>
        <w:br/>
        <w:t>(Denny Baptiste), 11.851 (Clarence Charles), 11.853 (Keiron Thomas),  11.855</w:t>
        <w:br/>
        <w:t>(Anthony Garcia), 12.005 (Wilson  Prince),  12.021  (Darrin  Roger  Thomas),</w:t>
        <w:br/>
        <w:t>12.042 (Mervyn Edmund), 12.043 (Samuel Winchester),  12.052  (Martin  Reid),</w:t>
        <w:br/>
        <w:t>12.072 (Rodney Davis), 12.073 (Gangadeen Tahaloo), 12.075 (Noel  Seepersad),</w:t>
        <w:br/>
        <w:t>12.076 (Wayne Matthews),  12.082  (Alfred  Frederick),  12.093  (Natasha  De</w:t>
        <w:br/>
        <w:t>Leon), 12.111 (Vijay Mungroo), 12.112  (Phillip  Chotalal),  12.129  (Naresh</w:t>
        <w:br/>
        <w:t>Boodram y Joey Ramiah), 12.137 (Nigel Mark), 12.140 (Wilberforce Bernard)  y</w:t>
        <w:br/>
        <w:t>12.141 (Steve Mungroo).</w:t>
        <w:br/>
        <w:br/>
        <w:t>[19]  Los siete casos de que se trata son: 12.148 (Peter  Benjamin),  12.149</w:t>
        <w:br/>
        <w:t>(Krishendath Seepersad), 12.151 (Allan Phillip),  12.152  (Narine  Sooklal),</w:t>
        <w:br/>
        <w:t>12.153 (Amir Mowlah), 12.156 (Mervyn Parris) y 12.157 (Francis Mansingh).</w:t>
        <w:br/>
        <w:br/>
        <w:t>[20]  En la correspondiente solicitud la Comisión incluyó a otras  personas</w:t>
        <w:br/>
        <w:t>(Anthony Briggs, Anderson Noel y Christopher Bethel) que no  se  encuentran</w:t>
        <w:br/>
        <w:t>incluidas en las demandas que conforman el presente Caso.</w:t>
        <w:br/>
        <w:br/>
        <w:t>[21]  En fechas 26 de junio, 10 de julio y 21 de julio de 1998, la  Comisión</w:t>
        <w:br/>
        <w:t>solicitó a la Corte la ampliación de las medidas provisionales en el  asunto</w:t>
        <w:br/>
        <w:t>James y otros, a efectos de incluir dentro de las medidas  de  protección  a</w:t>
        <w:br/>
        <w:t>Darrin Roger Thomas, Haniff Hilaire y Denny  Baptiste,  respectivamente.  La</w:t>
        <w:br/>
        <w:t>Comisión consideró que las circunstancias de estas personas  eran  similares</w:t>
        <w:br/>
        <w:t>a las de los reclusos en relación con los cuales la Corte ya había  ordenado</w:t>
        <w:br/>
        <w:t>medidas provisionales y agregó que su ejecución  era  inminente  y  que  por</w:t>
        <w:br/>
        <w:t>tanto, se veían expuestas a un daño irreparable.</w:t>
        <w:br/>
        <w:br/>
        <w:t>El 29 de junio, 13 de julio y 22 de julio de 1998 el Presidente de la  Corte</w:t>
        <w:br/>
        <w:t>ordenó al Estado, inter alia, que tomara todas las medidas  necesarias  para</w:t>
        <w:br/>
        <w:t>preservar la vida de Darrin Roger Thomas, Haniff Hilaire y  Denny  Baptiste,</w:t>
        <w:br/>
        <w:t>respectivamente, a fin de que la Corte pudiera examinar la  pertinencia  del</w:t>
        <w:br/>
        <w:t>pedido de ampliación presentado por la Comisión.</w:t>
        <w:br/>
        <w:br/>
        <w:t>[22]  Mediante comunicación de 3 de mayo de 1999, recibida en la  Secretaría</w:t>
        <w:br/>
        <w:t>de la Corte el 7 del mismo mes y año, la Comisión solicitó  a  la  Corte  la</w:t>
        <w:br/>
        <w:t>ampliación de las medidas  provisionales  en  el  asunto  James  y  otros  a</w:t>
        <w:br/>
        <w:t>efectos de incluir dentro  de  las  medidas  de  protección  a  20  personas</w:t>
        <w:br/>
        <w:t>adicionales.  Los alegatos de la Comisión eran idénticos  a  los  formulados</w:t>
        <w:br/>
        <w:t>en las solicitudes anteriores de ampliación (supra nota 21).  El 11 de  mayo</w:t>
        <w:br/>
        <w:t>de 1999 el Presidente de la Corte ordenó al Estado, inter alia,  que  tomara</w:t>
        <w:br/>
        <w:t>todas las medidas necesarias para  preservar  las  vidas  de  las  supuestas</w:t>
        <w:br/>
        <w:t>víctimas, con el fin de que la Corte pudiera  examinar  la  pertinencia  del</w:t>
        <w:br/>
        <w:t>pedido de ampliación presentado por la Comisión.</w:t>
        <w:br/>
        <w:br/>
        <w:t>[23]  El 25 de mayo de 1999 la Comisión solicitó a la  Corte  la  ampliación</w:t>
        <w:br/>
        <w:t>de las medidas provisionales en el asunto James y otros, a  efectos  de  que</w:t>
        <w:br/>
        <w:t>estas se extendieran  a  ocho  personas  más,  tres  de  las  cuales  no  se</w:t>
        <w:br/>
        <w:t>encuentran incluidas en las demandas del presente Caso (Kevin  Dial,  Andrew</w:t>
        <w:br/>
        <w:t>Dottin y Anthony Johnson). La Comisión  consideró  que  las  ejecuciones  de</w:t>
        <w:br/>
        <w:t>esas ocho personas eran inminentes y, por lo tanto, se veían expuestas a  un</w:t>
        <w:br/>
        <w:t>daño irreparable, y que sus circunstancias  eran  similares  a  las  de  los</w:t>
        <w:br/>
        <w:t>reclusos para los cuales ya regían las medidas provisionales decretadas  por</w:t>
        <w:br/>
        <w:t>la Corte.</w:t>
        <w:br/>
        <w:br/>
        <w:t>[24]  El 18 de junio de 1999 la Comisión remitió a la  Corte  una  solicitud</w:t>
        <w:br/>
        <w:t>para una nueva ampliación de las  medidas  provisionales  ordenadas  por  la</w:t>
        <w:br/>
        <w:t>Corte en el asunto James y otros, a fin de  incluir  a  los  señores  Mervyn</w:t>
        <w:br/>
        <w:t>Parris y Francis Mansingh.  La Comisión  consideró  que  las  circunstancias</w:t>
        <w:br/>
        <w:t>eran similares a las de los reclusos para los cuales regían  en  Trinidad  y</w:t>
        <w:br/>
        <w:t>Tobago las medidas provisionales ya decretadas  y  que  las  ejecuciones  de</w:t>
        <w:br/>
        <w:t>esas dos personas eran inminentes y por lo tanto, se veían  expuestas  a  un</w:t>
        <w:br/>
        <w:t>daño irreparable.  El 19 de junio de 1999 el Presidente de la Corte  decidió</w:t>
        <w:br/>
        <w:t>ampliar las medidas provisionales en el asunto James y otros para incluir  a</w:t>
        <w:br/>
        <w:t>Mervyn Parris y Francis Mansingh.</w:t>
        <w:br/>
        <w:br/>
        <w:t>[25]  Cfr. Resoluciones del Presidente de la Corte y de la  Corte  I.D.H.,</w:t>
        <w:br/>
        <w:t>de fechas: 27 de mayo, 14 de junio, 29 de junio, 13 de julio, 22 de  julio</w:t>
        <w:br/>
        <w:t>y 29 de agosto de 1998; 11 de mayo, 25 de mayo, 27 de mayo, 19 de junio  y</w:t>
        <w:br/>
        <w:t>25 de septiembre de 1999; 16 de agosto y 24 de noviembre de 2000, y 25  de</w:t>
        <w:br/>
        <w:t>octubre y 26 de noviembre de 2001.</w:t>
        <w:br/>
        <w:br/>
        <w:t>[26]  La excepción preliminar en el Caso Hilaire fue interpuesta  el  16  de</w:t>
        <w:br/>
        <w:t>agosto de 1999; con ocasión de ello, sin embargo,  el  Estado  solicitó  una</w:t>
        <w:br/>
        <w:t>prórroga de dos meses  para  la  presentación  de  sus  argumentos  legales.</w:t>
        <w:br/>
        <w:t>Asimismo, solicitó a la Corte que convocara a una audiencia  especial  sobre</w:t>
        <w:br/>
        <w:t>la excepción preliminar de acuerdo con el artículo  36.6  del  Reglamento  y</w:t>
        <w:br/>
        <w:t>que suspendiera el  trámite  de  fondo  hasta  que  la  Corte  emitiera  una</w:t>
        <w:br/>
        <w:t>decisión en  relación  con  la  excepción  preliminar.   Esta  solicitud  de</w:t>
        <w:br/>
        <w:t>suspensión fue rechazada por la Corte mediante  Resolución  de  fecha  1  de</w:t>
        <w:br/>
        <w:t>octubre de 1999.</w:t>
        <w:br/>
        <w:br/>
        <w:t>[27]        Cfr.  Corte  I.D.H.,  Caso  Hilaire.  Excepciones  Preliminares,</w:t>
        <w:br/>
        <w:t>supra  nota  11;  Corte  I.D.H.,  Caso   Benjamin   y   otros.   Excepciones</w:t>
        <w:br/>
        <w:t>Preliminares, supra nota 11  y  Corte  I.D.H.,  Caso  Constantine  y  otros.</w:t>
        <w:br/>
        <w:t>Excepciones Preliminares, supra nota 11.</w:t>
        <w:br/>
        <w:br/>
        <w:t>[28]  Supra nota 2.</w:t>
        <w:br/>
        <w:br/>
        <w:t>[29]  La Comisión ofreció como peritos  para  la  audiencia  pública  a  los</w:t>
        <w:br/>
        <w:t>señores Desmond Allum, Gaietry Pargass y Nigel Eastman.   Asimismo,  ofreció</w:t>
        <w:br/>
        <w:t>la presentación de los peritajes escritos de Vivien Stern  y  Andrew  Coyle,</w:t>
        <w:br/>
        <w:t>Scharlette Holdman y Thomas Warlow.</w:t>
        <w:br/>
        <w:br/>
        <w:t>[30]   La  Comisión  Interamericana  de  Derechos   Humanos   presentó   los</w:t>
        <w:br/>
        <w:t>siguientes documentos en idioma inglés:  Summary of Individual  Petitioners;</w:t>
        <w:br/>
        <w:t>Procurator Fiscal, Linlithgow v. John Watson and Paul Burrows,  Judgment  of</w:t>
        <w:br/>
        <w:t>the Lords of the Judicial Committee of  the  Privy  Council,  delivered  the</w:t>
        <w:br/>
        <w:t>29th January 2002 y Mithu v. State of Punjab, Supreme  Court  Report:   V.Y.</w:t>
        <w:br/>
        <w:t>Chandrachud, C.J., S. Murtaza Fazal  Ali,  V.D.  Tulzapurkar,  O.  Chinnappa</w:t>
        <w:br/>
        <w:t>Reddy and A. Varadarajan, JJ.</w:t>
        <w:br/>
        <w:br/>
        <w:t>[31]  El Comité Judicial del Privy Council es la última corte  de  apelación</w:t>
        <w:br/>
        <w:t>para aquellos países del Commonwealth que hayan optado por mantenerla,  como</w:t>
        <w:br/>
        <w:t>es el caso de Trinidad y Tobago.</w:t>
        <w:br/>
        <w:br/>
        <w:t>[32]  Cfr. Patrick Reyes v. The Queen, Apelación ante el Privy  Council  No.</w:t>
        <w:br/>
        <w:t>64 de 2001, Sentencia de 11 de marzo de 2002; The  Queen  v.  Peter  Hughes,</w:t>
        <w:br/>
        <w:t>Apelación ante el Privy Council No. 91 de 2001, Sentencia de 11 de marzo  de</w:t>
        <w:br/>
        <w:t>2002 y Berthill Fox v. The Queen, Apelación ante el Privy Council No. 66  de</w:t>
        <w:br/>
        <w:t>2000, Sentencia de 11 de marzo de 2002.</w:t>
        <w:br/>
        <w:br/>
        <w:t>[33]  Cfr. Ley de Delitos contra la Persona  de  Trinidad  y  Tobago  (3  de</w:t>
        <w:br/>
        <w:t>abril  de  1925).   Legislación  de  Trinidad  y  Tobago,  Sección   4,   en</w:t>
        <w:br/>
        <w:t>expedientes que se encuentran en la Secretaría de la Corte y  se  denominan:</w:t>
        <w:br/>
        <w:t>“Haniff  Hilaire  (11.816)  v.  Trinidad  and  Tobago,   Exhibits   to   the</w:t>
        <w:br/>
        <w:t>Application of the Inter-American Commission”, anexo 9, Tomo II, págs.  766-</w:t>
        <w:br/>
        <w:t>769; “George Constantine et al. v. Trinidad  and  Tobago,  Exhibits  to  the</w:t>
        <w:br/>
        <w:t>Application of the Inter-American Commission”, anexo  24,  Tomo  VII,  págs.</w:t>
        <w:br/>
        <w:t>3784-3787 y “Peter Benjamin et al. v. Trinidad and Tobago, Exhibits  to  the</w:t>
        <w:br/>
        <w:t>Application of the Inter-American Commission”, anexo 8, Tomo IV, págs. 1242-</w:t>
        <w:br/>
        <w:t>1257.</w:t>
        <w:br/>
        <w:br/>
        <w:t>[34]  Cfr. “Haniff Hilaire (11.816) v. Trinidad and Tobago, Exhibits to  the</w:t>
        <w:br/>
        <w:t>Application of the Inter-American Commission”, anexos 1-5,  Tomos  I  y  II,</w:t>
        <w:br/>
        <w:t>págs. 1-709.</w:t>
        <w:br/>
        <w:br/>
        <w:t>[35]  Cfr. “George Constantine et al. v. Trinidad and  Tobago,  Exhibits  to</w:t>
        <w:br/>
        <w:t>the Application of the  Inter-American  Commission”,  anexos  1(a),  1(b)  y</w:t>
        <w:br/>
        <w:t>1(c), Tomo I, págs. 10-40.</w:t>
        <w:br/>
        <w:br/>
        <w:t>[36]  Cfr. “George Constantine et al. v. Trinidad and  Tobago,  Exhibits  to</w:t>
        <w:br/>
        <w:t>the Application of the  Inter-American  Commission”,  anexos  2(a),  2(b)  y</w:t>
        <w:br/>
        <w:t>2(c), Tomo I, págs. 160-240.</w:t>
        <w:br/>
        <w:br/>
        <w:t>[37]  Cfr. “George Constantine et al. v. Trinidad and  Tobago,  Exhibits  to</w:t>
        <w:br/>
        <w:t>the Application of the  Inter-American  Commission”,  anexos  3(a),  3(b)  y</w:t>
        <w:br/>
        <w:t>3(c), Tomo I, págs. 349-427.</w:t>
        <w:br/>
        <w:br/>
        <w:t>[38]  Cfr. “George Constantine et al. v. Trinidad and  Tobago,  Exhibits  to</w:t>
        <w:br/>
        <w:t>the Application of the  Inter-American  Commission”,  anexos  4(a),  4(b)  y</w:t>
        <w:br/>
        <w:t>4(c), Tomo I, págs. 433-466.</w:t>
        <w:br/>
        <w:br/>
        <w:t>[39]  Cfr. “George Constantine et al. v. Trinidad and  Tobago,  Exhibits  to</w:t>
        <w:br/>
        <w:t>the Application of the  Inter-American  Commission”,  anexos  5(a),  5(b)  y</w:t>
        <w:br/>
        <w:t>5(c), Tomo II, págs. 517-652.</w:t>
        <w:br/>
        <w:br/>
        <w:t>[40]  Cfr. “George Constantine et al. v. Trinidad and  Tobago,  Exhibits  to</w:t>
        <w:br/>
        <w:t>the Application of the  Inter-American  Commission”,  anexos  6(a),  6(b)  y</w:t>
        <w:br/>
        <w:t>6(c), Tomo II, págs. 733-777.</w:t>
        <w:br/>
        <w:br/>
        <w:t>[41]  Cfr. “George Constantine et al. v. Trinidad and  Tobago,  Exhibits  to</w:t>
        <w:br/>
        <w:t>the Application of the  Inter-American  Commission”,  anexos  7(a),  7(b)  y</w:t>
        <w:br/>
        <w:t>7(c), Tomo II, págs.799-868.</w:t>
        <w:br/>
        <w:br/>
        <w:t>[42]  Cfr. “George Constantine et al. v. Trinidad and  Tobago,  Exhibits  to</w:t>
        <w:br/>
        <w:t>the Application of the  Inter-American  Commission”,  anexos  8(a),  8(b)  y</w:t>
        <w:br/>
        <w:t>8(c), Tomo II, págs. 938-1124.</w:t>
        <w:br/>
        <w:br/>
        <w:t>[43]  Cfr. “George Constantine et al. v. Trinidad and  Tobago,  Exhibits  to</w:t>
        <w:br/>
        <w:t>the Application of the  Inter-American  Commission”,  anexos  9(a),  9(b)  y</w:t>
        <w:br/>
        <w:t>9(c), Tomo III, págs. 1231-1400.</w:t>
        <w:br/>
        <w:br/>
        <w:t>[44]  Cfr. “George Constantine et al. v. Trinidad and  Tobago,  Exhibits  to</w:t>
        <w:br/>
        <w:t>the Application of the Inter-American Commission”,  anexos  10(a),  10(b)  y</w:t>
        <w:br/>
        <w:t>10(c), Tomo III, págs. 1490-1528.</w:t>
        <w:br/>
        <w:br/>
        <w:t>[45]  Cfr. “George Constantine et al. v. Trinidad and  Tobago,  Exhibits  to</w:t>
        <w:br/>
        <w:t>the Application of the Inter-American Commission”,  anexos  11(a),  11(b)  y</w:t>
        <w:br/>
        <w:t>11(c), Tomo III, págs. 1589-1731.</w:t>
        <w:br/>
        <w:br/>
        <w:t>[46]  Cfr. “George Constantine et al. v. Trinidad and  Tobago,  Exhibits  to</w:t>
        <w:br/>
        <w:t>the Application of the Inter-American Commission”,  anexos  12(a),  12(b)  y</w:t>
        <w:br/>
        <w:t>12(c), Tomo IV, págs. 1926-1967.</w:t>
        <w:br/>
        <w:br/>
        <w:t>[47]  Cfr. “George Constantine et al. v. Trinidad and  Tobago,  Exhibits  to</w:t>
        <w:br/>
        <w:t>the Application of the Inter-American Commission”,  anexos  13(a),  13(b)  y</w:t>
        <w:br/>
        <w:t>13(c), Tomo IV, págs. 2036-2062.</w:t>
        <w:br/>
        <w:br/>
        <w:t>[48]  Cfr. “George Constantine et al. v. Trinidad and  Tobago,  Exhibits  to</w:t>
        <w:br/>
        <w:t>the Application of the Inter-American Commission”,  anexos  14(a),  14(b)  y</w:t>
        <w:br/>
        <w:t>14(c), Tomo IV, págs. 2135-2422.</w:t>
        <w:br/>
        <w:br/>
        <w:t>[49]  Cfr. “George Constantine et al. v. Trinidad and  Tobago,  Exhibits  to</w:t>
        <w:br/>
        <w:t>the Application of the Inter-American Commission”,  anexos  15(a),  15(b)  y</w:t>
        <w:br/>
        <w:t>15(c), Tomo V, págs. 2500-2576.</w:t>
        <w:br/>
        <w:br/>
        <w:t>[50]  Cfr. “George Constantine et al. v. Trinidad and  Tobago,  Exhibits  to</w:t>
        <w:br/>
        <w:t>the Application of the Inter-American Commission”,  anexos  16(a),  16(b)  y</w:t>
        <w:br/>
        <w:t>16(c), Tomo V, págs. 2643-2692.</w:t>
        <w:br/>
        <w:br/>
        <w:t>[51]  Cfr. “George Constantine et al. v. Trinidad and  Tobago,  Exhibits  to</w:t>
        <w:br/>
        <w:t>the Application of the  Inter-American  Commission”,  anexos  8(a),  8(b)  y</w:t>
        <w:br/>
        <w:t>8(c), supra nota 42.</w:t>
        <w:br/>
        <w:br/>
        <w:t>[52]  Cfr. “George Constantine et al. v. Trinidad and  Tobago,  Exhibits  to</w:t>
        <w:br/>
        <w:t>the Application of the Inter-American Commission”,  anexos  18(a),  18(b)  y</w:t>
        <w:br/>
        <w:t>18(c), Tomo V, págs. 2779-3171.</w:t>
        <w:br/>
        <w:br/>
        <w:t>[53]   Cfr. “George Constantine et al. v. Trinidad and Tobago,  Exhibits  to</w:t>
        <w:br/>
        <w:t>the Application of the Inter-American Commission”,  anexos  18(a),  18(b)  y</w:t>
        <w:br/>
        <w:t>18(c), supra nota 52.</w:t>
        <w:br/>
        <w:br/>
        <w:t>[54]  Cfr. “George Constantine et al. v. Trinidad and  Tobago,  Exhibits  to</w:t>
        <w:br/>
        <w:t>the Application of the Inter-American Commission”,  anexos  20(a),  20(b)  y</w:t>
        <w:br/>
        <w:t>20(c), Tomo VI, págs. 3339-3497.</w:t>
        <w:br/>
        <w:br/>
        <w:t>[55]  Cfr. “George Constantine et al. v. Trinidad and  Tobago,  Exhibits  to</w:t>
        <w:br/>
        <w:t>the Application of the Inter-American Commission”,  anexos  21(a),  21(b)  y</w:t>
        <w:br/>
        <w:t>21(c), Tomo VI, págs. 3526-3566.</w:t>
        <w:br/>
        <w:br/>
        <w:t>[56]  Cfr. “George Constantine et al. v. Trinidad and  Tobago,  Exhibits  to</w:t>
        <w:br/>
        <w:t>the Application of the Inter-American Commission”,  anexos  22(a),  22(b)  y</w:t>
        <w:br/>
        <w:t>22(c), Tomo VI, págs. 3694-3764.</w:t>
        <w:br/>
        <w:br/>
        <w:t>[57]  Cfr. “George Constantine et al. v. Trinidad and  Tobago,  Exhibits  to</w:t>
        <w:br/>
        <w:t>the Application of the Inter-American Commission”,  anexos  18(a),  18(b)  y</w:t>
        <w:br/>
        <w:t>18(c), supra nota 52.</w:t>
        <w:br/>
        <w:br/>
        <w:t>[58]  Cfr. “Peter Benjamin et al. v. Trinidad and Tobago,  Exhibits  to  the</w:t>
        <w:br/>
        <w:t>Application of the Inter-American Commission”, anexos  1(a),  1(b)  y  1(c),</w:t>
        <w:br/>
        <w:t>Tomo I, págs. 6-158.</w:t>
        <w:br/>
        <w:br/>
        <w:t>[59]  Cfr. “Peter Benjamin et al. v. Trinidad and Tobago,  Exhibits  to  the</w:t>
        <w:br/>
        <w:t>Application of the Inter-American Commission”, anexos  2(a),  2(b)  y  2(c),</w:t>
        <w:br/>
        <w:t>Tomo II, págs. 355-707.</w:t>
        <w:br/>
        <w:br/>
        <w:t>[60]  Cfr. “Peter Benjamin et al. v. Trinidad and Tobago,  Exhibits  to  the</w:t>
        <w:br/>
        <w:t>Application of the Inter-American Commission”, anexos  3(a),  3(b)  y  3(c),</w:t>
        <w:br/>
        <w:t>Tomo III, págs. 725-811.</w:t>
        <w:br/>
        <w:br/>
        <w:t>[61]  Cfr. “Peter Benjamin et al. v. Trinidad and Tobago,  Exhibits  to  the</w:t>
        <w:br/>
        <w:t>Application of the Inter-American Commission”, anexos  4(a),  4(b)  y  4(c),</w:t>
        <w:br/>
        <w:t>Tomo III, págs. 822-968.</w:t>
        <w:br/>
        <w:br/>
        <w:t>[62]  Cfr. “Peter Benjamin et al. v. Trinidad and Tobago,  Exhibits  to  the</w:t>
        <w:br/>
        <w:t>Application of the Inter-American Commission”, anexos  5(a),  5(b)  y  5(c),</w:t>
        <w:br/>
        <w:t>Tomo III, págs. 988-1065.</w:t>
        <w:br/>
        <w:br/>
        <w:t>[63]  Cfr. “Peter Benjamin et al. v. Trinidad and Tobago,  Exhibits  to  the</w:t>
        <w:br/>
        <w:t>Application of the Inter-American Commission”, anexos  6(a),  6(b)  y  6(c),</w:t>
        <w:br/>
        <w:t>Tomo IV, págs. 1113-1220.</w:t>
        <w:br/>
        <w:br/>
        <w:t>[64]  Cfr. “Peter Benjamin et al. v. Trinidad and Tobago,  Exhibits  to  the</w:t>
        <w:br/>
        <w:t>Application of the Inter-American Commission”, anexos  4(a),  4(b)  y  4(c),</w:t>
        <w:br/>
        <w:t>supra nota 61.</w:t>
        <w:br/>
        <w:br/>
        <w:t>[65]  Cfr. Corte  I.D.H.,  Caso  Trujillo  Oroza.  Reparaciones  (art.  63.1</w:t>
        <w:br/>
        <w:t>Convención Americana sobre Derechos Humanos).  Sentencia de  27  de  febrero</w:t>
        <w:br/>
        <w:t>de 2002. Serie C No. 92, párr. 36;  Corte  I.D.H.,  Caso  Bámaca  Velásquez.</w:t>
        <w:br/>
        <w:t>Reparaciones  (art.  63.1  Convención  Americana  sobre  Derechos  Humanos).</w:t>
        <w:br/>
        <w:t>Sentencia de 22 de febrero de 2002.  Serie  C  No.  91,  párr.  14  y  Corte</w:t>
        <w:br/>
        <w:t>I.D.H.,  Caso  Cantoral  Benavides.  Reparaciones  (art.   63.1   Convención</w:t>
        <w:br/>
        <w:t>Americana sobre Derechos Humanos). Sentencia de  3  de  diciembre  de  2001.</w:t>
        <w:br/>
        <w:t>Serie C No. 88, párr. 21.</w:t>
        <w:br/>
        <w:br/>
        <w:t>[66]  Cfr. Corte I.D.H., Caso Trujillo Oroza. Reparaciones, supra  nota  65,</w:t>
        <w:br/>
        <w:t>párr. 37; Corte I.D.H., Caso Cantoral Benavides.  Reparaciones,  supra  nota</w:t>
        <w:br/>
        <w:t>65, párr. 22 y Corte I.D.H., Caso Cesti  Hurtado.  Reparaciones  (art.  63.1</w:t>
        <w:br/>
        <w:t>Convención Americana sobre Derechos Humanos). Sentencia de  31  de  mayo  de</w:t>
        <w:br/>
        <w:t>2001. Serie C No. 78, párr. 21.</w:t>
        <w:br/>
        <w:br/>
        <w:t>[67]  Cfr. Corte I.D.H., Caso Castillo Páez. Sentencia de 3 de noviembre  de</w:t>
        <w:br/>
        <w:t>1997. Serie C  No.  34,  párr.  39  y  Corte  I.D.H.,  Caso  Loayza  Tamayo.</w:t>
        <w:br/>
        <w:t>Sentencia de 17 de septiembre de 1997.  Serie C No. 33, párr. 42.</w:t>
        <w:br/>
        <w:br/>
        <w:t>[68]  Cfr. Corte I.D.H., Caso Castillo Petruzzi y otros. Sentencia de 30  de</w:t>
        <w:br/>
        <w:t>mayo de 1999. Serie C No. 52, párr. 90; Corte  I.D.H.,  Caso  de  la  “Panel</w:t>
        <w:br/>
        <w:t>Blanca” (Paniagua Morales y otros). Sentencia de 8 de marzo de 1998.   Serie</w:t>
        <w:br/>
        <w:t>C No. 37, párr. 71 y Corte I.D.H., Caso Suárez Rosero. Sentencia  de  12  de</w:t>
        <w:br/>
        <w:t>noviembre de 1997. Serie C No. 35, párr. 37.</w:t>
        <w:br/>
        <w:br/>
        <w:t>[69]  Corte I.D.H., Caso de los “Niños de la  Calle”  (Villagrán  Morales  y</w:t>
        <w:br/>
        <w:t>otros). Sentencia de 19 de noviembre de 1999. Serie C No.  63,  párr.  75  y</w:t>
        <w:br/>
        <w:t>Corte I.D.H., Caso de la “Panel Blanca” (Paniagua Morales  y  otros),  supra</w:t>
        <w:br/>
        <w:t>nota 68, párr. 91.</w:t>
        <w:br/>
        <w:br/>
        <w:t>[70]  Cfr. Corte I.D.H., Caso de los “Niños de la Calle” (Villagrán  Morales</w:t>
        <w:br/>
        <w:t>y otros), supra  nota  69,  párr.  68;  Corte  I.D.H.,  Caso  Godínez  Cruz.</w:t>
        <w:br/>
        <w:t>Sentencia de 20 de enero de 1989.  Serie C No. 5, párr. 144 y Corte  I.D.H.,</w:t>
        <w:br/>
        <w:t>Caso Velásquez Rodríguez. Sentencia de 29 de julio de 1988.  Serie C No.  4,</w:t>
        <w:br/>
        <w:t>párr. 138.</w:t>
        <w:br/>
        <w:br/>
        <w:t>[71]  Cfr. Expedientes denominados “Haniff Hilaire (11.816) v. Trinidad  and</w:t>
        <w:br/>
        <w:t>Tobago, Exhibits to the Application of the Inter-American  Commission”,  que</w:t>
        <w:br/>
        <w:t>se encuentran en la  Secretaría  de  la  Corte  Interamericana  de  Derechos</w:t>
        <w:br/>
        <w:t>Humanos, Tomos I (págs. 1-355), II (págs. 356-837) y III (págs. 838-1275).</w:t>
        <w:br/>
        <w:br/>
        <w:t>[72]  Cfr. Expedientes denominados “George Constantine et  al.  v.  Trinidad</w:t>
        <w:br/>
        <w:t>and Tobago, Exhibits to the Application of the  Inter-American  Commission”,</w:t>
        <w:br/>
        <w:t>que se encuentran en la Secretaría de la Corte  Interamericana  de  Derechos</w:t>
        <w:br/>
        <w:t>Humanos, Tomos I (págs. 1-507), II (págs. 508-1221), III (págs.  1222-1916),</w:t>
        <w:br/>
        <w:t>IV (págs. 1917-2490), V (págs. 2491-3189), VI (págs. 3190-3783), VII  (págs.</w:t>
        <w:br/>
        <w:t>3784-4040) y VIII (págs. 4041-4515).</w:t>
        <w:br/>
        <w:br/>
        <w:t>[73]  Cfr. Expedientes denominados “Peter Benjamin et al.  v.  Trinidad  and</w:t>
        <w:br/>
        <w:t>Tobago, Exhibits to the Application of the Inter-American  Commission”,  que</w:t>
        <w:br/>
        <w:t>se encuentran en la  Secretaría  de  la  Corte  Interamericana  de  Derechos</w:t>
        <w:br/>
        <w:t>Humanos, Tomos I (págs. 1-349), II (págs. 350-719),  III  (págs.  720-1107),</w:t>
        <w:br/>
        <w:t>IV (págs. 1108-1487) y V (págs. 1488-1859).</w:t>
        <w:br/>
        <w:br/>
        <w:t>[74]  Cfr. Expediente denominado “Hilaire, Constantine and Benjamin  et  al.</w:t>
        <w:br/>
        <w:t>v. Trinidad and Tobago, Supporting Bundle of Authorities”, que se  encuentra</w:t>
        <w:br/>
        <w:t>en la Secretaría de la Corte Interamericana de Derechos Humanos,  anexos  1-</w:t>
        <w:br/>
        <w:t>18, Tomo I, págs. 1-867.</w:t>
        <w:br/>
        <w:br/>
        <w:t>[75]  El peritaje correspondiente a Thomas Alfred Warlow, fue  presentado  a</w:t>
        <w:br/>
        <w:t>la Corte como parte del acervo probatorio de la demanda  correspondiente  al</w:t>
        <w:br/>
        <w:t>Caso Benjamin y otros, y consta en el expediente denominado “Peter  Benjamin</w:t>
        <w:br/>
        <w:t>et al. v. Trinidad and Tobago, Exhibits to the  Application  of  the  Inter-</w:t>
        <w:br/>
        <w:t>American Commission”, Tomo I, págs. 344-349.</w:t>
        <w:br/>
        <w:br/>
        <w:t>[76]  Cfr. Expedientes denominados “Expert Witness Report  on  the  Criminal</w:t>
        <w:br/>
        <w:t>Justice System of Trinidad and Tobago”, que se encuentran en  la  Secretaría</w:t>
        <w:br/>
        <w:t>de la Corte Interamericana de Derechos Humanos, Tomo I (págs.  1-345),  Tomo</w:t>
        <w:br/>
        <w:t>II (págs. 1-700) y Tomo III (págs. 701-1274).</w:t>
        <w:br/>
        <w:br/>
        <w:t>[77]   Cfr.  Expediente  denominado  “Expert  Witness  Report  from  Gaietry</w:t>
        <w:br/>
        <w:t>Pargass  on  Conditions  of  Detention  in  Trinidad  and  Tobago”,  que  se</w:t>
        <w:br/>
        <w:t>encuentra en la Secretaría de la Corte Interamericana de  Derechos  Humanos,</w:t>
        <w:br/>
        <w:t>Tomo I, págs. 1-72.</w:t>
        <w:br/>
        <w:br/>
        <w:t>[78]  Cfr. Expediente denominado “Expert Witness Report  from  Vivien  Stern</w:t>
        <w:br/>
        <w:t>and Andrew Coyle on  Conditions  of  Detention”,  que  se  encuentra  en  la</w:t>
        <w:br/>
        <w:t>Secretaría de la Corte Interamericana de Derechos Humanos, Tomo I, págs. 73-</w:t>
        <w:br/>
        <w:t>88.</w:t>
        <w:br/>
        <w:br/>
        <w:t>[79]  Cfr. Expediente denominado “Hilaire, Constantine and Benjamin  et  al.</w:t>
        <w:br/>
        <w:t>v. Trinidad and Tobago, Merits” que se encuentra  en  la  Secretaría  de  la</w:t>
        <w:br/>
        <w:t>Corte Interamericana de Derechos Humanos, Tomo I, págs. 59-97.</w:t>
        <w:br/>
        <w:br/>
        <w:t>[80]   Cfr.  Expediente  denominado  “Expert  Witness  Report   from   Nigel</w:t>
        <w:br/>
        <w:t>Eastman”, que se encuentra en la Secretaría de la  Corte  Interamericana  de</w:t>
        <w:br/>
        <w:t>Derechos Humanos, Tomo I, págs. 1-121.</w:t>
        <w:br/>
        <w:br/>
        <w:t>[81]  Tres  de  dichos  peritos  rindieron  además  informes  orales  en  la</w:t>
        <w:br/>
        <w:t>audiencia pública del caso (supra nota 29 y supra párr. 52).</w:t>
        <w:br/>
        <w:br/>
        <w:t>[82]  Thomas Alfred Warlow indicó en su peritaje que es químico  autorizado,</w:t>
        <w:br/>
        <w:t>miembro del Royal Society of Chemistry del Reino Unido y  del  International</w:t>
        <w:br/>
        <w:t>Wound Ballistics Association, y que ha escrito, en  ejercicio  de  su  labor</w:t>
        <w:br/>
        <w:t>profesional y como experto en la materia, varios informes científicos  sobre</w:t>
        <w:br/>
        <w:t>el tema de las armas de fuego, que han sido publicados en el Reino  Unido  y</w:t>
        <w:br/>
        <w:t>en los  Estados  Unidos  de  América.   Cfr.  Expediente  denominado  “Peter</w:t>
        <w:br/>
        <w:t>Benjamin et al. v. Trinidad and Tobago, Exhibits to the Application  of  the</w:t>
        <w:br/>
        <w:t>Inter-American Commission”, supra nota 75.</w:t>
        <w:br/>
        <w:br/>
        <w:t>[83]  La Comisión Interamericana indicó en su demanda que el 27  de  octubre</w:t>
        <w:br/>
        <w:t>de 1997  el  señor  Peter  Benjamin  (Caso  12.148)  fue  condenado  por  el</w:t>
        <w:br/>
        <w:t>homicidio intencional de Kanhai Deodath y agregó que en su defensa  a  nivel</w:t>
        <w:br/>
        <w:t>nacional,  el  señor  Benjamin  alegó  que  no  estaba  involucrado  con  el</w:t>
        <w:br/>
        <w:t>homicidio, que no era el dueño del arma mortal  y  que  no  había  hecho  la</w:t>
        <w:br/>
        <w:t>declaración escrita que fue aportada como prueba en su contra.</w:t>
        <w:br/>
        <w:br/>
        <w:t>[84]  La Comisión Interamericana ofreció el peritaje de la  Baronesa  Vivien</w:t>
        <w:br/>
        <w:t>Stern,  Secretaria  General  Honoraria  del  Penal  Reform  International  y</w:t>
        <w:br/>
        <w:t>miembro honoraria del  London  School  of  Economics,  y  de  Andrew  Coyle,</w:t>
        <w:br/>
        <w:t>criminólogo con 25 años de experiencia a  nivel  superior  en  servicios  de</w:t>
        <w:br/>
        <w:t>prisiones del Reino Unido, a su vez, ambos  son  investigadora  y  Director,</w:t>
        <w:br/>
        <w:t>respectivamente, del International Centre for  Prison  Studies  de  Londres.</w:t>
        <w:br/>
        <w:t>Cfr. Expediente denominado “Expert Witness  Report  from  Vivien  Stern  and</w:t>
        <w:br/>
        <w:t>Andrew Coyle on Conditions of Detention”, supra nota 78.</w:t>
        <w:br/>
        <w:br/>
        <w:t>[85]  Scharlette Holdman indicó en su informe escrito que  es  la  Directora</w:t>
        <w:br/>
        <w:t>Ejecutiva del Center for Capital Assistance, de San Francisco, California  y</w:t>
        <w:br/>
        <w:t>que es especialista en investigación, desarrollo y presentación  de  pruebas</w:t>
        <w:br/>
        <w:t>atenuantes en  “casos  capitales”,  pre  y  post  condena.  Cfr.  Expediente</w:t>
        <w:br/>
        <w:t>denominado “Hilaire,  Constantine  and  Benjamin  et  al.  v.  Trinidad  and</w:t>
        <w:br/>
        <w:t>Tobago, Merits”, supra nota 79.</w:t>
        <w:br/>
        <w:br/>
        <w:t>[86]  En notas de pie de página se  hace  referencia,  en  las  páginas  que</w:t>
        <w:br/>
        <w:t>siguen, a algunos aspectos de los informes  escritos  presentados  por  esos</w:t>
        <w:br/>
        <w:t>mismos tres peritos.</w:t>
        <w:br/>
        <w:br/>
        <w:t>[87]  En su informe escrito, presentado a la Corte el 22 de  enero  de  2002</w:t>
        <w:br/>
        <w:t>(supra párr. 48), Desmond Allum S.C., indicó que  es  abogado,  miembro  del</w:t>
        <w:br/>
        <w:t>Colegio de Abogados (Bar Association) de Trinidad y Tobago y  de  Londres  y</w:t>
        <w:br/>
        <w:t>que ha ejercido su profesión en  el  sistema  penal  de  Trinidad  y  Tobago</w:t>
        <w:br/>
        <w:t>durante los últimos 35 años, actuando en innumerables  “casos  capitales”  y</w:t>
        <w:br/>
        <w:t>de tráfico de drogas.  Fue presidente del Colegio de Abogados de Trinidad  y</w:t>
        <w:br/>
        <w:t>Tobago y es un experto en la legislación de ese país atinente a la  pena  de</w:t>
        <w:br/>
        <w:t>muerte.  Además, en dicho informe presentó un estudio acerca de la  historia</w:t>
        <w:br/>
        <w:t>constitucional y las fuentes del derecho en Trinidad y Tobago, la ley  sobre</w:t>
        <w:br/>
        <w:t>homicidio intencional en el Estado, el procedimiento penal,  las  fases  del</w:t>
        <w:br/>
        <w:t>procedimiento penal en casos de homicidio intencional, la  “pena  de  muerte</w:t>
        <w:br/>
        <w:t>obligatoria” y la prerrogativa de clemencia.  Indicó que las reformas  a  la</w:t>
        <w:br/>
        <w:t>pena de muerte que se  han  llevado  a  cabo  en  Inglaterra  y  en  algunas</w:t>
        <w:br/>
        <w:t>jurisdicciones del Caribe no se han efectuado en Trinidad y  Tobago,  y  que</w:t>
        <w:br/>
        <w:t>este Estado mantiene un sistema  inflexible  de  condena  a  muerte  de  los</w:t>
        <w:br/>
        <w:t>acusados.  Sostuvo además el perito, que los asesores legales de los  presos</w:t>
        <w:br/>
        <w:t>carecen  de  experiencia  y  perciben  remuneraciones  inadecuadas,  lo  que</w:t>
        <w:br/>
        <w:t>conduce a que los acusados estén  mal  representados.   En  las  etapas  más</w:t>
        <w:br/>
        <w:t>tempranas del arresto no hay presencia de abogados, por  lo  que  en  muchas</w:t>
        <w:br/>
        <w:t>ocasiones los acusados se ven  obligados  a  confesar  delitos.   El  perito</w:t>
        <w:br/>
        <w:t>señaló también, que existen dificultades particulares para la  obtención  de</w:t>
        <w:br/>
        <w:t>prueba pericial, aunque dicha prueba se presenta cada vez más por  parte  de</w:t>
        <w:br/>
        <w:t>la fiscalía; sostuvo  que  la  falta  de  revelación  y  la  destrucción  de</w:t>
        <w:br/>
        <w:t>evidencias relevantes por parte de la fiscalía o por  parte  de  la  policía</w:t>
        <w:br/>
        <w:t>son muy comunes, y afirmó que las demoras  sustanciales  son  inherentes  al</w:t>
        <w:br/>
        <w:t>sistema, especialmente  en  su  fase  previa.   Cfr.  Expediente  denominado</w:t>
        <w:br/>
        <w:t>“Expert Witness Report on  the  Criminal  Justice  System  of  Trinidad  and</w:t>
        <w:br/>
        <w:t>Tobago”, supra nota 76, págs. 26-27.</w:t>
        <w:br/>
        <w:br/>
        <w:t>[88]   El  peritaje  de  Nigel  Eastman  fue  ofrecido   por   la   Comisión</w:t>
        <w:br/>
        <w:t>Interamericana en virtud de que el señor Eastman  es  consultor  y  Profesor</w:t>
        <w:br/>
        <w:t>Catedrático de Psiquiatría Forense en la Escuela  Médica  del  Hospital  St.</w:t>
        <w:br/>
        <w:t>George’s, Universidad de Londres.  En su informe escrito, que  fue  recibido</w:t>
        <w:br/>
        <w:t>por la Corte el 11 de febrero de 2002 (supra párr.  50),  el  perito  indicó</w:t>
        <w:br/>
        <w:t>que tiene cinco años de experiencia en casos relativos a Trinidad y  Tobago,</w:t>
        <w:br/>
        <w:t>San Vicente y las Grenadinas y Jamaica, así  como  actuando  ante  el  Privy</w:t>
        <w:br/>
        <w:t>Council, el Eastern Caribbean Court of Appeal y la Corte de  Apelaciones  de</w:t>
        <w:br/>
        <w:t>Trinidad  y  Tobago.   El  peritaje  escrito  de  Nigel  Eastman  trata  los</w:t>
        <w:br/>
        <w:t>siguientes temas:  la importancia de la psiquiatría  en  la  justicia  penal</w:t>
        <w:br/>
        <w:t>para la determinación de la culpabilidad y la  condena,  específicamente  en</w:t>
        <w:br/>
        <w:t>casos de homicidio en el Caribe; el proceso de evaluación psiquiátrica;  las</w:t>
        <w:br/>
        <w:t>disposiciones aplicables a la práctica de esas evaluaciones  en  Trinidad  y</w:t>
        <w:br/>
        <w:t>Tobago;  comparación  entre  esas  disposiciones  y  las  del  Reino  Unido;</w:t>
        <w:br/>
        <w:t>recomendaciones prácticas de cambios necesarios;  problemas  planteados  por</w:t>
        <w:br/>
        <w:t>los desórdenes mentales del procesado vis à vis la  “imposición  obligatoria</w:t>
        <w:br/>
        <w:t>de la pena de muerte”.  El perito concluyó en su  informe  escrito  que  los</w:t>
        <w:br/>
        <w:t>medios y el personal disponible, tanto en Trinidad y Tobago  como  en  otras</w:t>
        <w:br/>
        <w:t>islas del Caribe, son inadecuados para proveer una evaluación de  todos  los</w:t>
        <w:br/>
        <w:t>acusados que enfrentan cargos por homicidio y de los apelantes que han  sido</w:t>
        <w:br/>
        <w:t>condenados por  ese  delito.  Cfr.  Expediente  denominado  “Expert  Witness</w:t>
        <w:br/>
        <w:t>Report from Nigel Eastman”, supra nota 80.</w:t>
        <w:br/>
        <w:br/>
        <w:t>[89]  En su peritaje escrito, presentado a la Corte el 22 de enero  de  2002</w:t>
        <w:br/>
        <w:t>(supra párr. 48), Gaietry Pargass indicó que su estudio está  basado  en  su</w:t>
        <w:br/>
        <w:t>experiencia personal como  abogada  litigante  y  representante  del  London</w:t>
        <w:br/>
        <w:t>Panel en  Trinidad  y  Tobago,  así  como  en  entrevistas  con  prisioneros</w:t>
        <w:br/>
        <w:t>condenados a pena de muerte y con personal carcelario, principalmente en  la</w:t>
        <w:br/>
        <w:t>prisión Golden Grove, en Arouca.  En su informe escrito, la  perito  Pargass</w:t>
        <w:br/>
        <w:t>analizó el sistema  carcelario  de  Trinidad  y  Tobago,  el  acceso  a  los</w:t>
        <w:br/>
        <w:t>prisioneros por parte de sus abogados y las condiciones de  detención  tanto</w:t>
        <w:br/>
        <w:t>de las personas condenadas a  pena  de  muerte  como  de  los  detenidos  en</w:t>
        <w:br/>
        <w:t>general, principalmente en la  Prisión  Estatal,  en  Port  of  Spain  y  la</w:t>
        <w:br/>
        <w:t>Prisión de Golden Grove, Arouca. Cfr. Expediente denominado “Expert  Witness</w:t>
        <w:br/>
        <w:t>Report from Gaietry Pargass on  Conditions  of  Detention  in  Trinidad  and</w:t>
        <w:br/>
        <w:t>Tobago”, supra nota 77.</w:t>
        <w:br/>
        <w:br/>
        <w:t>[90]  Cfr. Corte I.D.H., Caso Bámaca  Velásquez.  Reparaciones,  supra  nota</w:t>
        <w:br/>
        <w:t>65, párr. 22; Corte I.D.H., Caso  Cantoral  Benavides.  Reparaciones,  supra</w:t>
        <w:br/>
        <w:t>nota 65, párr. 34 y Corte I.D.H., Caso de la Comunidad Mayagna  (Sumo)  Awas</w:t>
        <w:br/>
        <w:t>Tingni. Sentencia de 31 de agosto de 2001. Serie C No. 79, párr. 98.</w:t>
        <w:br/>
        <w:br/>
        <w:t>[91]  Cfr. Ley de Delitos contra la Persona  de  Trinidad  y  Tobago  (3  de</w:t>
        <w:br/>
        <w:t>abril de 1925).  Legislación de Trinidad y Tobago,  Sección  4,  supra  nota</w:t>
        <w:br/>
        <w:t>33.</w:t>
        <w:br/>
        <w:br/>
        <w:t>[92]  Ibid.</w:t>
        <w:br/>
        <w:br/>
        <w:t>[93]  Ibid., Sección 3, supra nota 33.</w:t>
        <w:br/>
        <w:br/>
        <w:t>[94]  Ibid., Sección 4(a) y 4(b), supra nota 33.</w:t>
        <w:br/>
        <w:br/>
        <w:t>[95]  Ibid., Sección 4, supra nota 33.</w:t>
        <w:br/>
        <w:br/>
        <w:t>[96]  Las Secciones 4 y 5  de  la  Constitución  de  Trinidad  y  Tobago  se</w:t>
        <w:br/>
        <w:t>refieren a derechos y  libertades  individuales  de  los  individuos  en  el</w:t>
        <w:br/>
        <w:t>Estado.  Cfr. Constitución de la República de Trinidad  Trinidad  y  Tobago,</w:t>
        <w:br/>
        <w:t>en “Haniff  Hilaire  (11.816)  v.  Trinidad  and  Tobago,  Exhibits  to  the</w:t>
        <w:br/>
        <w:t>Application of the Inter-American Commission”, anexo 10, Tomo II, págs. 770-</w:t>
        <w:br/>
        <w:t>816; “George Constantine et al. v. Trinidad  and  Tobago,  Exhibits  to  the</w:t>
        <w:br/>
        <w:t>Application of the Inter-American Commission”, anexo  25,  Tomo  VII,  págs.</w:t>
        <w:br/>
        <w:t>3797-3843 y “Peter Benjamin et al. v. Trinidad and Tobago, Exhibits  to  the</w:t>
        <w:br/>
        <w:t>Application of the Inter-American Commission”, anexo 9, Tomo IV, págs. 1258-</w:t>
        <w:br/>
        <w:t>1304.</w:t>
        <w:br/>
        <w:br/>
        <w:t>[97]  Cfr.  Constitución de la República de Trinidad y Tobago,  Sección  87,</w:t>
        <w:br/>
        <w:t>supra nota 96.</w:t>
        <w:br/>
        <w:br/>
        <w:t>[98]  Ibid., Sección 88, supra nota 96.</w:t>
        <w:br/>
        <w:br/>
        <w:t>[99]  Ibid., Sección 4, supra nota 96 y peritaje  de  Desmond  Allum,  supra</w:t>
        <w:br/>
        <w:t>párr. 77.a.  Ver también análisis de la sentencia de Thomas and  Hilaire  v.</w:t>
        <w:br/>
        <w:t>Baptiste et al., Apelación ante el Privy Council No. 60 de 1998, en  “Haniff</w:t>
        <w:br/>
        <w:t>Hilaire (11.816) v. Trinidad and Tobago, Exhibits to the Application of  the</w:t>
        <w:br/>
        <w:t>Inter-American  Commission”,  anexo  8,  Tomo  II,  págs.  726-765;  “George</w:t>
        <w:br/>
        <w:t>Constantine et al. v. Trinidad and Tobago, Exhibits to  the  Application  of</w:t>
        <w:br/>
        <w:t>the Inter-American Commission”,  anexo  30,  Tomo  VII,  págs.  3892-3925  y</w:t>
        <w:br/>
        <w:t>“Peter Benjamin et al. v. Trinidad and Tobago, Exhibits to  the  Application</w:t>
        <w:br/>
        <w:t>of the Inter-American Commission”, anexo 14, Tomo IV, págs. 1357-1391.</w:t>
        <w:br/>
        <w:br/>
        <w:t>[100]       Las treinta supuestas víctimas  de  que  se  trata  son:  Haniff</w:t>
        <w:br/>
        <w:t>Hilaire (Caso No. 11.816), George Constantine (Caso No. 11.787),  Wenceslaus</w:t>
        <w:br/>
        <w:t>James (Caso No. 11.814), Denny Baptiste (Caso No. 11.840), Clarence  Charles</w:t>
        <w:br/>
        <w:t>(Caso No. 11.851), Keiron Thomas (Caso No. 11.853), Wilson Prince (Caso  No.</w:t>
        <w:br/>
        <w:t>12.005), Darrin Roger Thomas (Caso No.  12.021),  Mervyn  Edmund  (Caso  No.</w:t>
        <w:br/>
        <w:t>12.042), Martin Reid (Caso No. 12.052),  Rodney  Davis  (Caso  No.  12.072),</w:t>
        <w:br/>
        <w:t>Gangadeen Tahaloo (Caso No.  12.073),  Noel  Seepersad  (Caso  No.  12.075),</w:t>
        <w:br/>
        <w:t>Wayne Matthews (Caso  No.  12.076),  Alfred  Frederick  (Caso  No.  12.082),</w:t>
        <w:br/>
        <w:t>Natasha De Leon (Caso No. 12.093), Vijay Mungroo (Caso No. 12.111),  Phillip</w:t>
        <w:br/>
        <w:t>Chotalal (Caso No. 12.112), Naresh Boodram (Caso No.  12.129),  Joey  Ramiah</w:t>
        <w:br/>
        <w:t>(Caso No. 12.129), Nigel Mark (Caso No. 12.137), Wilberforce  Bernard  (Caso</w:t>
        <w:br/>
        <w:t>No. 12.140), Steve Mungroo (Caso  No.  12.141),  Peter  Benjamin  (Caso  No.</w:t>
        <w:br/>
        <w:t>12.148), Krishendath Seepersad (Caso No. 12.149), Allan  Phillip  (Caso  No.</w:t>
        <w:br/>
        <w:t>12.151), Narine Sooklal (Caso No. 12.152), Amir Mowlah  (Caso  No.  12.153),</w:t>
        <w:br/>
        <w:t>Mervyn Parris (Caso No. 12.156) y Francis Mansingh (Caso No. 12.157).</w:t>
        <w:br/>
        <w:br/>
        <w:t>[101]       Las veintiuna  supuestas  víctimas  de  que  se  trata  son  las</w:t>
        <w:br/>
        <w:t>siguientes: Keiron Thomas  (Caso  No.  11.853),  Anthony  Garcia  (Caso  No.</w:t>
        <w:br/>
        <w:t>11.855), Darrin Roger Thomas (Caso No. 12.021), Samuel Winchester (Caso  No.</w:t>
        <w:br/>
        <w:t>12.043), Rodney  Davis  (Caso  No.  12.072),  Gangadeen  Tahaloo  (Caso  No.</w:t>
        <w:br/>
        <w:t>12.073),  Noel  Seepersad  (Caso  No.  12.075),  Wayne  Matthews  (Caso  No.</w:t>
        <w:br/>
        <w:t>12.076), Alfred  Frederick  (Caso  No.  12.082),  Vijay  Mungroo  (Caso  No.</w:t>
        <w:br/>
        <w:t>12.111), Phillip Chotalal (Caso No. 12.112), Naresh Boodram  y  Joey  Ramiah</w:t>
        <w:br/>
        <w:t>(Caso No. 12.129), Nigel Mark (Caso No. 12.137), Wilberforce  Bernard  (Caso</w:t>
        <w:br/>
        <w:t>No. 12.140), Steve Mungroo (Caso No. 12.141),  Krishendath  Seepersad  (Caso</w:t>
        <w:br/>
        <w:t>No. 12.149), Narine  Sooklal  (Caso  No.  12.152),  Amir  Mowlah  (Caso  No.</w:t>
        <w:br/>
        <w:t>12.153), Mervyn Parris (Caso  No.  12.156)  y  Francis  Mansingh  (Caso  No.</w:t>
        <w:br/>
        <w:t>12.157).</w:t>
        <w:br/>
        <w:br/>
        <w:t>[102]       Cfr. Thomas and Hilaire v. Baptiste et al.,  Apelación  ante  el</w:t>
        <w:br/>
        <w:t>Privy Council No. 60 de 1998, supra nota 99.</w:t>
        <w:br/>
        <w:br/>
        <w:t>[103]       La Ley de Delitos contra la Persona adopta en su  sección  3  la</w:t>
        <w:br/>
        <w:t>disposición de la legislación inglesa de acuerdo con la  cual  todo  acusado</w:t>
        <w:br/>
        <w:t>debe ser condenado por el delito de “homicidio intencional” si se  comprueba</w:t>
        <w:br/>
        <w:t>que ha dado muerte a otra persona con la intención  de  matarla  o  causarle</w:t>
        <w:br/>
        <w:t>graves lesiones corporales o cuando ha actuado junto con una o más  personas</w:t>
        <w:br/>
        <w:t>que comparten el designio común  de  causar  la  muerte  o  graves  lesiones</w:t>
        <w:br/>
        <w:t>corporales a otra persona  y  ha  cometido  el  acto  de  que  se  trata  en</w:t>
        <w:br/>
        <w:t>cumplimiento de ese designio común, independientemente de que  haya  sido  o</w:t>
        <w:br/>
        <w:t>no el principal autor del homicidio. Cfr. Ley de Delitos contra  la  Persona</w:t>
        <w:br/>
        <w:t>de Trinidad y Tobago (3  de  abril  de  1925).  Legislación  de  Trinidad  y</w:t>
        <w:br/>
        <w:t>Tobago, Sección 3, supra nota 33.</w:t>
        <w:br/>
        <w:br/>
        <w:t>[104]        La  Royal  Commission  on  Capital  Punishment  se   formó,   a</w:t>
        <w:br/>
        <w:t>iniciativa del Parlamento británico y por Orden de la Reina  de  Inglaterra,</w:t>
        <w:br/>
        <w:t>entre 1949 y 1950, con el fin de considerar  si  la  pena  de  muerte,  como</w:t>
        <w:br/>
        <w:t>castigo, debía ser limitada o modificada.</w:t>
        <w:br/>
        <w:br/>
        <w:t>[105]       Traducción de la Secretaría de la Corte.  El texto en inglés  es</w:t>
        <w:br/>
        <w:t>del tenor:</w:t>
        <w:br/>
        <w:br/>
        <w:t xml:space="preserve">      Yet there is perhaps no single  class  of  offences  which  varies  so</w:t>
        <w:br/>
        <w:t xml:space="preserve">      widely both in character and in culpability as  the  class  comprising</w:t>
        <w:br/>
        <w:t xml:space="preserve">      those that may fall within the comprehensive common law definition  of</w:t>
        <w:br/>
        <w:t xml:space="preserve">      murder […] we may see the multifarious variety of the crimes for which</w:t>
        <w:br/>
        <w:t xml:space="preserve">      death is the uniform sentence.  Convicted persons may be men, or  they</w:t>
        <w:br/>
        <w:t xml:space="preserve">      may be women, youths, girls, or hardly older than children.  They  may</w:t>
        <w:br/>
        <w:t xml:space="preserve">      be  normal  or  they  may  be  feeble-minded,   neurotic,   epileptic,</w:t>
        <w:br/>
        <w:t xml:space="preserve">      borderline cases, or insane; and in each case  the  mentally  abnormal</w:t>
        <w:br/>
        <w:t xml:space="preserve">      may be differently affected by their abnormality […].</w:t>
        <w:br/>
        <w:br/>
        <w:t>Royal Commission on  Capital  Punishment,  septiembre  de  1953,  Cmnd  8932</w:t>
        <w:br/>
        <w:t>(Reino Unido), pág. 6, párr. 21.</w:t>
        <w:br/>
        <w:br/>
        <w:br/>
        <w:t>[106]       Los representantes hicieron mención específica del Reino  Unido,</w:t>
        <w:br/>
        <w:t>Jamaica y Belice.</w:t>
        <w:br/>
        <w:br/>
        <w:t>[107]       Bajo  el  derecho  consuetudinario,  la  referencia  al  término</w:t>
        <w:br/>
        <w:t>“capital” se hace en relación  con  pena  capital  o  caso  capital,  en  el</w:t>
        <w:br/>
        <w:t>sentido de que es el susceptible de la pena más severa,  sea  la  castigable</w:t>
        <w:br/>
        <w:t>con muerte.</w:t>
        <w:br/>
        <w:br/>
        <w:t>[108]       República de  Trinidad  y  Tobago,  Ley  de  Delitos  contra  la</w:t>
        <w:br/>
        <w:t>Persona (Enmienda) (No.2) (2000).</w:t>
        <w:br/>
        <w:br/>
        <w:t>[109]       Corte I.D.H., Restricciones a la pena de  muerte  (arts.  4.2  y</w:t>
        <w:br/>
        <w:t>4.4 Convención Americana sobre Derechos Humanos).   Opinión  Consultiva  OC-</w:t>
        <w:br/>
        <w:t>3/83 del 8 de septiembre de 1983.  Serie A No. 3, párr. 57.</w:t>
        <w:br/>
        <w:br/>
        <w:t>[110]       Corte I.D.H., Restricciones a la pena de  muerte  (arts.  4.2  y</w:t>
        <w:br/>
        <w:t>4.4 Convención Americana sobre Derechos Humanos).   Opinión  Consultiva  OC-</w:t>
        <w:br/>
        <w:t>3/83, supra nota 109, párr.  55.   En  este  mismo  sentido,  el  Comité  de</w:t>
        <w:br/>
        <w:t>Derechos Humanos de la Organización de Naciones Unidas  ha  manifestado  que</w:t>
        <w:br/>
        <w:t>del artículo 6 (incisos del 2 al 6)  del  Pacto  Internacional  de  Derechos</w:t>
        <w:br/>
        <w:t>Civiles y Políticos, se desprende que los Estados partes están  obligados  a</w:t>
        <w:br/>
        <w:t>limitar el uso de la pena de muerte y, particularmente, a abolirla para  los</w:t>
        <w:br/>
        <w:t>crímenes que no sean los más serios,  a  efectos  de  lo  cual  estos  deben</w:t>
        <w:br/>
        <w:t>considerar la posibilidad de revisar  sus  leyes  penales.  Cfr.  Comité  de</w:t>
        <w:br/>
        <w:t>Derechos Humanos, Comentario General No.  6  (Décimo  sexta  sesión,  1982),</w:t>
        <w:br/>
        <w:t>párr. 6, en Compilation of  General  Comments  and  General  Recommendations</w:t>
        <w:br/>
        <w:t>Adopted by Human Rights Treaty Bodies, U.N.Doc.HRI/GEN/1/Rev.1 at 6 (1994).</w:t>
        <w:br/>
        <w:br/>
        <w:t>[111]       Cfr. Corte I.D.H., Caso Bámaca Velásquez.  Sentencia  de  25  de</w:t>
        <w:br/>
        <w:t>noviembre de 2000. Serie C No. 70, párr. 174; Corte I.D.H.,  Caso  Durand  y</w:t>
        <w:br/>
        <w:t>Ugarte. Sentencia de 16 de agosto de 2000. Serie C No. 68, párr. 69 y  Corte</w:t>
        <w:br/>
        <w:t>I.D.H., Caso Castillo Petruzzi y otros, supra nota 68, párrs. 89 y 204.</w:t>
        <w:br/>
        <w:br/>
        <w:t>[112]       Cfr.  Lubuto  v.  Zambia,  Comité  de  Derechos  Humanos  de  la</w:t>
        <w:br/>
        <w:t>Organización   de   las   Naciones   Unidas   (No.   390/1990)   U.N.   Doc.</w:t>
        <w:br/>
        <w:t>CCPR/C/55/D/390/1990/Rev. 1 (Oct. 1995), párr. 7.2 (reconoce la  importancia</w:t>
        <w:br/>
        <w:t>de que la autoridad que dicta las condenas tenga habilidades  discrecionales</w:t>
        <w:br/>
        <w:t>e indica que, según el artículo 6.2  del  Pacto  Internacional  de  Derechos</w:t>
        <w:br/>
        <w:t>Civiles y Políticos, la pena de muerte puede  ser  aplicada  solamente  para</w:t>
        <w:br/>
        <w:t>los “delitos más graves”) (traducción de la Secretaría de la Corte);  Ndiaye</w:t>
        <w:br/>
        <w:t>Report, 1994/82, párr. 377, U.N. Doc. E/CN.4/1995/61  (14  de  diciembre  de</w:t>
        <w:br/>
        <w:t>1994) (considera que el debido proceso requiere que se consideren todos  los</w:t>
        <w:br/>
        <w:t>elementos atenuantes en los procesos que resultan en  la  imposición  de  la</w:t>
        <w:br/>
        <w:t>pena de muerte) (traducción de la Secretaría de la Corte); Bachan  Singh  v.</w:t>
        <w:br/>
        <w:t>State of Punjab (1980) 2 S.C.C. 475, 534  (la  Corte  Suprema  de  la  India</w:t>
        <w:br/>
        <w:t>establece que el “ámbito y el concepto de  los  factores  atenuantes  en  la</w:t>
        <w:br/>
        <w:t>esfera de la pena de muerte  deben  merecer  una  interpretación  liberal  y</w:t>
        <w:br/>
        <w:t>amplia de parte de los  tribunales  de  acuerdo  con  la  política  para  la</w:t>
        <w:br/>
        <w:t>formulación de sentencias”) (traducción de la Secretaría de la  Corte);  The</w:t>
        <w:br/>
        <w:t>State v. Makwanyane and McHunu. Sentencia, Caso No. CCT/3/94 (6 de junio  de</w:t>
        <w:br/>
        <w:t>1995) (la Corte Constitucional de Sudáfrica elimina la disposición sobre  la</w:t>
        <w:br/>
        <w:t>pena de muerte de su Ley de Procedimiento Penal No. 51 por ser  incongruente</w:t>
        <w:br/>
        <w:t>con la Constitución de  1993,  y  declara,  en  parte  que  “la  Corte  debe</w:t>
        <w:br/>
        <w:t>identificar los factores atenuantes y agravantes,  teniendo  en  cuenta  que</w:t>
        <w:br/>
        <w:t>corresponde al  Estado  la  carga  de  la  prueba  más  allá  de  toda  duda</w:t>
        <w:br/>
        <w:t>razonable.  Además, debe prestarse la debida atención a  las  circunstancias</w:t>
        <w:br/>
        <w:t>personales y a los factores subjetivos que pudieran  haber  incidido  en  el</w:t>
        <w:br/>
        <w:t>comportamiento de la persona acusada, y esos factores deben  ser  ponderados</w:t>
        <w:br/>
        <w:t>con los objetivos principales del castigo” (traducción de la  Secretaría  de</w:t>
        <w:br/>
        <w:t>la Corte).</w:t>
        <w:br/>
        <w:br/>
        <w:t>[113]       La Corte Suprema de los Estados  Unidos  de  América  estableció</w:t>
        <w:br/>
        <w:t>que la condena obligatoria a la pena de muerte constituyó una  violación  de</w:t>
        <w:br/>
        <w:t>las garantías del debido proceso de la Enmienda XIV y del derecho a  no  ser</w:t>
        <w:br/>
        <w:t>sometido a un tratamiento cruel o inusual de la Enmienda VIII,  en  relación</w:t>
        <w:br/>
        <w:t>con la Constitución de Estados Unidos de América.  Allí,  la  Corte  también</w:t>
        <w:br/>
        <w:t>indicó que la imposición de la pena  de  muerte  generalmente  requiere  una</w:t>
        <w:br/>
        <w:t>consideración de los aspectos relevantes del  carácter  del  acusado  y  las</w:t>
        <w:br/>
        <w:t>circunstancias del delito particular.  Cfr. Woodson v. North  Carolina,  428</w:t>
        <w:br/>
        <w:t>US 280, 304 (1976).</w:t>
        <w:br/>
        <w:br/>
        <w:t>[114]       Corte I.D.H., Caso Godínez Cruz, supra nota 70, párr. 172.  Cfr.</w:t>
        <w:br/>
        <w:t>Corte I.D.H., Caso Durand y  Ugarte,  supra  nota  111,  párr.  76  y  Corte</w:t>
        <w:br/>
        <w:t>I.D.H., Cfr. Caso Castillo Petruzzi y otros, supra nota 68, párr. 166.</w:t>
        <w:br/>
        <w:br/>
        <w:t>[115]       Ibid.</w:t>
        <w:br/>
        <w:br/>
        <w:t>[116]       Cfr. Corte I.D.H., Caso “La Última Tentación de Cristo”  (Olmedo</w:t>
        <w:br/>
        <w:t>Bustos y otros).  Sentencia de 5 de febrero de 2001. Serie C No.  73,  párr.</w:t>
        <w:br/>
        <w:t>87.</w:t>
        <w:br/>
        <w:br/>
        <w:t>[117]       Corte I.D.H., Caso Suárez Rosero, supra nota 68, párr. 98.</w:t>
        <w:br/>
        <w:br/>
        <w:t>[118]       Cfr. Corte I.D.H., Caso Barrios Altos. Sentencia de 14 de marzo</w:t>
        <w:br/>
        <w:t>de 2001. Serie C No. 75, párr. 42.</w:t>
        <w:br/>
        <w:br/>
        <w:t>[119]       Cfr. Corte I.D.H., Caso Suárez Rosero, supra  nota 68, párr.</w:t>
        <w:br/>
        <w:t>98.</w:t>
        <w:br/>
        <w:br/>
        <w:t>[120]       Corte I.D.H., Responsabilidad  internacional  por  expedición  y</w:t>
        <w:br/>
        <w:t>aplicación de leyes violatorias de la Convención (arts.  1  y  2  Convención</w:t>
        <w:br/>
        <w:t>Americana sobre Derechos Humanos). Opinión  Consultiva  OC-14/94  del  9  de</w:t>
        <w:br/>
        <w:t>diciembre de 1994.  Serie A No. 14, párr. 43.</w:t>
        <w:br/>
        <w:br/>
        <w:t>[121]       Las veinticuatro personas de que se trata son:  Haniff  Hilaire,</w:t>
        <w:br/>
        <w:t>George Constantine, Denny Baptiste, Clarence Charles, Wilson Prince,  Darrin</w:t>
        <w:br/>
        <w:t>Roger  Thomas,  Mervyn  Edmund,  Rodney  Davis,  Gangadeen   Tahaloo,   Noel</w:t>
        <w:br/>
        <w:t>Seepersad,  Wayne  Matthews,  Alfred  Frederick,  Natasha  De  Leon,   Vijay</w:t>
        <w:br/>
        <w:t>Mungroo, Phillip Chotalal, Nigel Mark, Wilberforce Bernard,  Steve  Mungroo,</w:t>
        <w:br/>
        <w:t>Krishendath Seepersad, Allan Phillip, Narine Sooklal,  Amir  Mowlah,  Mervyn</w:t>
        <w:br/>
        <w:t>Parris y Francis Mansingh.</w:t>
        <w:br/>
        <w:br/>
        <w:t>[122]       Cfr. Expediente denominado “Haniff Hilaire (11.816) v.  Trinidad</w:t>
        <w:br/>
        <w:t>and Tobago, Exhibits to the Application of the  Inter-American  Commission”,</w:t>
        <w:br/>
        <w:t>anexos 3-7, Tomo II, págs. 682-725; “George Constantine et al.  v.  Trinidad</w:t>
        <w:br/>
        <w:t>and Tobago, Exhibits to the Application of the  Inter-American  Commission”,</w:t>
        <w:br/>
        <w:t>anexos 1-23, Tomos I-VIII, págs.  29-3776,  y  “Peter  Benjamin  et  al.  v.</w:t>
        <w:br/>
        <w:t>Trinidad and Tobago, Exhibits  to  the  Application  of  the  Inter-American</w:t>
        <w:br/>
        <w:t>Commission”, anexos 1-7, Tomos I-IV, págs. 139-1239.</w:t>
        <w:br/>
        <w:br/>
        <w:t>[123]       Por “Decisión” se entiende la resolución de admitir  o  rechazar</w:t>
        <w:br/>
        <w:t>el trámite de la solicitud de apelación ante  la  Corte  de  Apelaciones  de</w:t>
        <w:br/>
        <w:t>Trinidad y Tobago.</w:t>
        <w:br/>
        <w:br/>
        <w:t>[124]       Por “Sentencia” se entiende el análisis legal sobre el fondo  de</w:t>
        <w:br/>
        <w:t>la  resolución  de  admitir  o  rechazar  el  trámite  de  la  solicitud  de</w:t>
        <w:br/>
        <w:t>apelación.</w:t>
        <w:br/>
        <w:br/>
        <w:t>[125]       Supra nota 9.</w:t>
        <w:br/>
        <w:br/>
        <w:t>[126]        La  Comisión  manifestó  que  los  procedimientos  internos  de</w:t>
        <w:br/>
        <w:t>revisión judicial respecto  de  las  condenas  penales  pueden  adoptar  dos</w:t>
        <w:br/>
        <w:t>formas:  una  apelación  penal  contra  la   condena   o   una   acción   de</w:t>
        <w:br/>
        <w:t>inconstitucionalidad al amparo de la sección 14 de  la  Constitución  de  la</w:t>
        <w:br/>
        <w:t>República de Trinidad y Tobago.  En ambos  procedimientos  la  apelación  va</w:t>
        <w:br/>
        <w:t>del tribunal de primera instancia a la Alta Corte de Trinidad  y  Tobago,  a</w:t>
        <w:br/>
        <w:t>la Corte de Apelaciones de Trinidad y Tobago y, luego en los  casos  penales</w:t>
        <w:br/>
        <w:t>en los que tengan autorización, al Comité  Judicial  del  Privy  Council  de</w:t>
        <w:br/>
        <w:t>Londres.</w:t>
        <w:br/>
        <w:br/>
        <w:t>[127]       Corte I.D.H., Caso Suárez Rosero, supra nota 68, párr. 71.</w:t>
        <w:br/>
        <w:br/>
        <w:t>[128]       Cfr. Corte I.D.H., Caso Suárez Rosero, supra nota  68,  párr.72;</w:t>
        <w:br/>
        <w:t>Corte I.D.H., Caso Genie Lacayo. Sentencia del 29 de enero de 1997. Serie  C</w:t>
        <w:br/>
        <w:t>No. 30, párr. 77;  Corte  Europea  de  Derechos  Humanos,  Motta  v.  Italy.</w:t>
        <w:br/>
        <w:t>Sentencia de 19 de febrero de 1991, Serie  A  No.  195-A,  párr.  30;  Corte</w:t>
        <w:br/>
        <w:t>Europea de Derechos Humanos, Ruiz-Mateos  v.  Spain.   Sentencia  de  23  de</w:t>
        <w:br/>
        <w:t>junio de 1993, Serie A No. 262, párr. 30.</w:t>
        <w:br/>
        <w:br/>
        <w:t>[129]       Corte I.D.H., Caso Suárez Rosero, supra nota 68, párr. 73.</w:t>
        <w:br/>
        <w:br/>
        <w:t>[130]       Asimismo, en la referida Opinión  Consultiva  (OC-16/99)  este</w:t>
        <w:br/>
        <w:t>Tribunal dispuso que</w:t>
        <w:br/>
        <w:br/>
        <w:t xml:space="preserve">      [p]ara alcanzar sus objetivos, el proceso debe  reconocer  y  resolver</w:t>
        <w:br/>
        <w:t xml:space="preserve">      los factores de desigualdad real  de  quienes  son  llevados  ante  la</w:t>
        <w:br/>
        <w:t xml:space="preserve">      justicia.  Es así como se atiende el principio de igualdad ante la ley</w:t>
        <w:br/>
        <w:t xml:space="preserve">      y los tribunales y a la correlativa prohibición de discriminación.  La</w:t>
        <w:br/>
        <w:t xml:space="preserve">      presencia de condiciones de desigualdad real obliga a adoptar  medidas</w:t>
        <w:br/>
        <w:t xml:space="preserve">      de compensación que contribuyan a reducir o eliminar los obstáculos  y</w:t>
        <w:br/>
        <w:t xml:space="preserve">      deficiencias que impidan o reduzcan la defensa eficaz de  los  propios</w:t>
        <w:br/>
        <w:t xml:space="preserve">      intereses.  Si no existieran esos medios de compensación,  ampliamente</w:t>
        <w:br/>
        <w:t xml:space="preserve">      reconocidos en diversas vertientes del procedimiento, difícilmente  se</w:t>
        <w:br/>
        <w:t xml:space="preserve">      podría decir que quienes se encuentran en  condiciones  de  desventaja</w:t>
        <w:br/>
        <w:t xml:space="preserve">      disfrutan de un verdadero acceso a la justicia y se benefician  de  un</w:t>
        <w:br/>
        <w:t xml:space="preserve">      debido proceso  legal  en  condiciones  de  igualdad  con  quienes  no</w:t>
        <w:br/>
        <w:t xml:space="preserve">      afrontan esas desventajas.</w:t>
        <w:br/>
        <w:br/>
        <w:t>Corte I.D.H., El Derecho a la Información sobre la  Asistencia  Consular  en</w:t>
        <w:br/>
        <w:t>el Marco de las Garantías del Debido Proceso Legal.  Opinión Consultiva  OC-</w:t>
        <w:br/>
        <w:t>16/99, de 1 de octubre de 1999.  Serie A No. 16, párrs. 117 y 119.</w:t>
        <w:br/>
        <w:br/>
        <w:t>[131]       Corte I.D.H., El Hábeas  Corpus  bajo  suspensión  de  garantías</w:t>
        <w:br/>
        <w:t>(arts. 27.2, 25.1  y  7.6  Convención  Americana  sobre  Derechos  Humanos).</w:t>
        <w:br/>
        <w:t>Opinión Consultiva OC-8/87 del  30  de  enero  de  1987.   Serie  A  No.  8;</w:t>
        <w:br/>
        <w:t>párr.25.</w:t>
        <w:br/>
        <w:br/>
        <w:t>[132]       Corte I.D.H., Garantías  judiciales  en  Estados  de  Emergencia</w:t>
        <w:br/>
        <w:t>(arts. 27.2, 25 y 8 Convención Americana sobre Derechos  Humanos).   Opinión</w:t>
        <w:br/>
        <w:t>Consultiva OC-9/87 del 6 de octubre de 1987.  Serie A  No.  9;  párr.  28  y</w:t>
        <w:br/>
        <w:t>Corte I.D.H., El Derecho a la Información sobre la  Asistencia  Consular  en</w:t>
        <w:br/>
        <w:t>el Marco de las Garantías del Debido Proceso Legal.  Opinión Consultiva  OC-</w:t>
        <w:br/>
        <w:t>16/99, supra nota 130, párr. 118.</w:t>
        <w:br/>
        <w:br/>
        <w:t>[133]       Cfr.  Corte  I.D.H.,  El  Derecho  a  la  Información  sobre  la</w:t>
        <w:br/>
        <w:t>Asistencia Consular en el marco de las Garantías del Debido  Proceso  Legal.</w:t>
        <w:br/>
        <w:t>Opinión Consultiva OC-16/99, supra nota 130, párrs. 134 y 135.</w:t>
        <w:br/>
        <w:br/>
        <w:t>[134]       Cfr. Peritaje de Desmond Allum, supra párr. 77.a.  Ver  también:</w:t>
        <w:br/>
        <w:t>Comité  de  Derechos  Humanos  de  Naciones  Unidas,  Currie   v.   Jamaica,</w:t>
        <w:br/>
        <w:t>Comunicación No. 377/1989, U.N. Doc. No. CCPR/C/50/D/377/1989 (1994),  párr.</w:t>
        <w:br/>
        <w:t>13.4 (concluye que en los casos en que  un  condenado  desea  presentar  una</w:t>
        <w:br/>
        <w:t>revisión constitucional debido  a  irregularidades  en  su  juicio  penal  y</w:t>
        <w:br/>
        <w:t>carece de medios suficientes para solventar  los  costos  de  la  asistencia</w:t>
        <w:br/>
        <w:t>letrada, y si los intereses de la justicia así  lo  requieren,  el  artículo</w:t>
        <w:br/>
        <w:t>14.1 del Pacto Internacional de Derechos Civiles y Políticos  exige  que  el</w:t>
        <w:br/>
        <w:t>Estado  proporcione  asistencia  letrada   gratuita)   (traducción   de   la</w:t>
        <w:br/>
        <w:t>Secretaría de la Corte); Comité de  Derechos  Humanos  de  Naciones  Unidas,</w:t>
        <w:br/>
        <w:t>Willard Collins  v.  Jamaica,  Comunicación  No.  240/1987,  U.N.  Doc.  No.</w:t>
        <w:br/>
        <w:t>CCPR/C/43/D/240/1987 (1991), párr.7.6 (estima  que  en  los  casos  de  pena</w:t>
        <w:br/>
        <w:t>capital, la asistencia letrada no sólo debe estar disponible sino  que  debe</w:t>
        <w:br/>
        <w:t>permitirse que el asesor prepare la defensa de su cliente en  circunstancias</w:t>
        <w:br/>
        <w:t>que garanticen la justicia) (traducción  de  la  Secretaría  de  la  Corte);</w:t>
        <w:br/>
        <w:t>Corte Europea de Derechos Humanos, Benham v. United  Kingdom.  Sentencia  de</w:t>
        <w:br/>
        <w:t>24 de mayo de 1996. Caso No. 7/1995/513/597,  párr.  64  (la  Corte  Europea</w:t>
        <w:br/>
        <w:t>llegó a la conclusión que en vista de la  gravedad  de  la  pena  que  podía</w:t>
        <w:br/>
        <w:t>recibir el demandante y la complejidad  de  la  legislación  aplicable,  los</w:t>
        <w:br/>
        <w:t>intereses de la justicia exigían que, a  efecto  de  recibir  una  audiencia</w:t>
        <w:br/>
        <w:t>imparcial, el demandante  debía  haber  contado  con  el  beneficio  de  una</w:t>
        <w:br/>
        <w:t>representación  letrada  gratuita  ante  los  jueces)  (traducción   de   la</w:t>
        <w:br/>
        <w:t>Secretaría de la Corte), y Corte Europea de Derechos Humanos,  Artico  Case.</w:t>
        <w:br/>
        <w:t>Sentencia de 13  de  mayo  de  1980.  Petición  No.  00006694/74,  párr.  35</w:t>
        <w:br/>
        <w:t>(establece que no  es  necesario  presentar  pruebas  demostrando  perjuicio</w:t>
        <w:br/>
        <w:t>actual para establecer una violación del derecho protegido  en  el  artículo</w:t>
        <w:br/>
        <w:t>6.3.c de la Convención Europea, sino  que  es  suficiente  que  una  víctima</w:t>
        <w:br/>
        <w:t>demuestre que se le negó asistencia legal) (traducción de la  Secretaría  de</w:t>
        <w:br/>
        <w:t>la Corte).</w:t>
        <w:br/>
        <w:br/>
        <w:t>[135]       Cfr. Corte I.D.H.,  Caso  Cesti  Hurtado.  Sentencia  de  29  de</w:t>
        <w:br/>
        <w:t>septiembre de 1999.  Serie C No. 56, párr. 125; Corte  I.D.H.,  Caso  de  la</w:t>
        <w:br/>
        <w:t>“Panel Blanca” (Paniagua Morales y otros). Sentencia de 8 de marzo de  1998,</w:t>
        <w:br/>
        <w:t>supra nota 68, párr. 164; Corte I.D.H., Caso Suárez Rosero. Sentencia de  12</w:t>
        <w:br/>
        <w:t>de noviembre de 1997, supra nota 68, párr. 63.  En este  mismo  sentido,  el</w:t>
        <w:br/>
        <w:t>Tribunal  también  ha  indicado  que  “[n]o  pueden  considerarse  efectivos</w:t>
        <w:br/>
        <w:t>aquellos recursos que, por las condiciones generales del país o incluso  por</w:t>
        <w:br/>
        <w:t>las circunstancias  particulares  de  un  caso  dado,  resulten  ilusorios”.</w:t>
        <w:br/>
        <w:t>Corte I.D.H., Garantías Judiciales en Estados de Emergencia (arts. 27.2,  25</w:t>
        <w:br/>
        <w:t>y 8 Convención Americana sobre Derechos Humanos).   Opinión  Consultiva  OC-</w:t>
        <w:br/>
        <w:t>9/87 del 6 de octubre de 1987, supra nota 132, párr. 24.</w:t>
        <w:br/>
        <w:br/>
        <w:t>[136]       Corte I.D.H.,  Caso  Cantoral  Benavides.  Sentencia  de  18  de</w:t>
        <w:br/>
        <w:t>agosto de 2000.  Serie C No. 69, párr. 163.  Cfr. Corte I.D.H., Caso  Durand</w:t>
        <w:br/>
        <w:t>y Ugarte, supra nota 111, párr. 101 y Corte I.D.H., Caso de  los  “Niños  de</w:t>
        <w:br/>
        <w:t>la Calle” (Villagrán Morales y otros), supra nota 69, párr. 234.</w:t>
        <w:br/>
        <w:br/>
        <w:t>[137]        Corte  I.D.H.,  Excepciones  al  agotamiento  de  los  recursos</w:t>
        <w:br/>
        <w:t>internos (arts. 46.1, 46.2.a y 46.2.b Convención  Americana  sobre  Derechos</w:t>
        <w:br/>
        <w:t>Humanos).  Opinión Consultiva OC-11/90 del 10 de agosto de  1990.   Serie  A</w:t>
        <w:br/>
        <w:t>No. 11, párr. 34.</w:t>
        <w:br/>
        <w:br/>
        <w:t>[138]       Las veintiuna víctimas de que se trata son: Keiron Thomas  (Caso</w:t>
        <w:br/>
        <w:t>No. 11.853), Anthony Garcia (Caso No. 11.855),  Darrin  Roger  Thomas  (Caso</w:t>
        <w:br/>
        <w:t>No. 12.021), Rodney Davis (Caso No. 12.072),  Gangadeen  Tahaloo  (Caso  No.</w:t>
        <w:br/>
        <w:t>12.073),  Noel  Seepersad  (Caso  No.  12.075),  Wayne  Matthews  (Caso  No.</w:t>
        <w:br/>
        <w:t>12.076), Alfred Frederick (Caso No.  12.082),  Natasha  De  Leon  (Caso  No.</w:t>
        <w:br/>
        <w:t>12.093), Vijay  Mungroo  (Caso  No.  12.111),  Phillip  Chotalal  (Caso  No.</w:t>
        <w:br/>
        <w:t>12.112), Naresh Boodram y Joey Ramiah (Caso No. 12.129),  Nigel  Mark  (Caso</w:t>
        <w:br/>
        <w:t>No. 12.137), Wilberforce Bernard (Caso No. 12.140), Steve Mungroo (Caso  No.</w:t>
        <w:br/>
        <w:t>12.141), Krishendath Seepersad (Caso No. 12.149), Narine Sooklal  (Caso  No.</w:t>
        <w:br/>
        <w:t>12.152), Amir Mowlah (Caso No. 12.153), Mervyn Parris (Caso  No.  12.156)  y</w:t>
        <w:br/>
        <w:t>Francis Mansingh (Caso No. 12.157).</w:t>
        <w:br/>
        <w:br/>
        <w:t>[139]       Corte I.D.H., Caso Cantoral Benavides,  supra  nota  136,  párr.</w:t>
        <w:br/>
        <w:t>89.</w:t>
        <w:br/>
        <w:br/>
        <w:t>[140]       Cfr. Corte I.D.H., Caso Neira Alegría y otros. Sentencia  de  19</w:t>
        <w:br/>
        <w:t>de enero de 1995.  Serie C No. 20, párr. 60 y Corte  I.D.H.,  Caso  Cantoral</w:t>
        <w:br/>
        <w:t>Benavides, supra nota 136, párr. 87.</w:t>
        <w:br/>
        <w:br/>
        <w:t>[141]       Cfr. Corte I.D.H., Caso Cantoral Benavides. Sentencia de  18  de</w:t>
        <w:br/>
        <w:t>agosto de 2000, supra nota 136, párr.  86,  que  cita:  Comité  de  Derechos</w:t>
        <w:br/>
        <w:t>Humanos de Naciones Unidas.   Moriana  Hernández  Valentini  de  Bazzano  v.</w:t>
        <w:br/>
        <w:t>Uruguay, No 5/1977 de 15 de agosto de 1979, párrs. 9 y 10.</w:t>
        <w:br/>
        <w:br/>
        <w:t>[142]       Cfr. Corte  Europea  de  Derechos  Humanos,  Soering  v.  United</w:t>
        <w:br/>
        <w:t>Kingdom. Sentencia de 7 de julio de 1989. Serie A,  Vol.  161.   Igualmente,</w:t>
        <w:br/>
        <w:t>la Corte Suprema de los Estados Unidos de América ha  reconocido  en  Furman</w:t>
        <w:br/>
        <w:t>v. Georgia que el período de espera en lo que se lleva a cabo una  sentencia</w:t>
        <w:br/>
        <w:t>de  ejecución  destruye  al  espíritu  humano  y  constituye   una   tortura</w:t>
        <w:br/>
        <w:t>psicológica que muchas veces conduce a la locura.  Cfr. Furman  v.  Georgia,</w:t>
        <w:br/>
        <w:t>408 US 238, 287-88 (1972).</w:t>
        <w:br/>
        <w:br/>
        <w:t>[143]       Cfr. Peritajes de Gaietry Pargass, Vivien Stern y Andrew  Coyle,</w:t>
        <w:br/>
        <w:t>supra párrs. 76.b y 77.c.</w:t>
        <w:br/>
        <w:br/>
        <w:t>[144]       Cfr. Neville Lewis y otros vs. Procurador  General  de  Jamaica.</w:t>
        <w:br/>
        <w:t>Sentencia del Comité Judicial del Privy  Council  de  12  de  septiembre  de</w:t>
        <w:br/>
        <w:t>2000.</w:t>
        <w:br/>
        <w:br/>
        <w:t>[145]       Al respecto, el Privy Council indicó lo siguiente:</w:t>
        <w:br/>
        <w:br/>
        <w:t xml:space="preserve">      [la prerrogativa de clemencia] debe  a  la  luz  de  las  obligaciones</w:t>
        <w:br/>
        <w:t xml:space="preserve">      internacionales del [E]stado, ser ejercida por procedimientos que sean</w:t>
        <w:br/>
        <w:t xml:space="preserve">      justos,  adecuados  y  sujetos  a  revisión  judicial;  que,   en   la</w:t>
        <w:br/>
        <w:t xml:space="preserve">      consideración de lo que requería la justicia  natural,  era  relevante</w:t>
        <w:br/>
        <w:t xml:space="preserve">      tomar en cuenta normas internacionales  de  derechos  humanos  que  se</w:t>
        <w:br/>
        <w:t xml:space="preserve">      encuentran  en  tratados  a   los   que   el   [E]stado   era   parte,</w:t>
        <w:br/>
        <w:t xml:space="preserve">      independientemente de que tuvieran o no aplicación en la ley  interna;</w:t>
        <w:br/>
        <w:t xml:space="preserve">      y que  por  lo  tanto,  la  persona  condenada  tenía  derecho  a  ser</w:t>
        <w:br/>
        <w:t xml:space="preserve">      notificada con tiempo, acerca de cuándo el [Privy Council de  Jamaica]</w:t>
        <w:br/>
        <w:t xml:space="preserve">      consideraría su caso, para que así él o sus abogados pudieran preparar</w:t>
        <w:br/>
        <w:t xml:space="preserve">      sus alegatos, los cuales debían ser considerados [por el Privy Council</w:t>
        <w:br/>
        <w:t xml:space="preserve">      de Jamaica] antes  de  decidir  y  cuando  un  informe  de  un  órgano</w:t>
        <w:br/>
        <w:t xml:space="preserve">      internacional de derechos  humanos  estuviera  disponible,  el  [Privy</w:t>
        <w:br/>
        <w:t xml:space="preserve">      Council de Jamaica] debe considerarlo y dar una explicación en caso de</w:t>
        <w:br/>
        <w:t xml:space="preserve">      no aceptar las recomendaciones  del  informe;  que  a  los  condenados</w:t>
        <w:br/>
        <w:t xml:space="preserve">      normalmente se les daría una copia de todos los documentos disponibles</w:t>
        <w:br/>
        <w:t xml:space="preserve">      para el [Privy Council de Jamaica] y no meramente una idea general  de</w:t>
        <w:br/>
        <w:t xml:space="preserve">      los mismos; que los defectos en el procedimiento adoptado, en relación</w:t>
        <w:br/>
        <w:t xml:space="preserve">      con las peticiones de clemencia de los demandantes, resultaron  en  la</w:t>
        <w:br/>
        <w:t xml:space="preserve">      violación de las  reglas  de  justicia  y  justicia  natural;  y  que,</w:t>
        <w:br/>
        <w:t xml:space="preserve">      respectivamente, ellos habían sido privados de la protección de la ley</w:t>
        <w:br/>
        <w:t xml:space="preserve">      a la cual tienen derecho  […]  (traducción  de  la  Secretaría  de  la</w:t>
        <w:br/>
        <w:t xml:space="preserve">      Corte).</w:t>
        <w:br/>
        <w:br/>
        <w:t>Cfr. Neville Lewis y otros vs. Procurador  General  de  Jamaica.   Sentencia</w:t>
        <w:br/>
        <w:t>del Comité Judicial del Privy Council de 12 de  septiembre  de  2000,  supra</w:t>
        <w:br/>
        <w:t>nota 144, pág. 1786.</w:t>
        <w:br/>
        <w:br/>
        <w:t>[146]       Cfr. Corte I.D.H., Caso Durand y Ugarte, supra nota  111,  párr.</w:t>
        <w:br/>
        <w:t>76; Corte I.D.H., Caso Castillo Petruzzi y otros, supra nota 68,  párr.  166</w:t>
        <w:br/>
        <w:t>y Corte I.D.H., Caso Godínez Cruz, supra nota 70, párr. 172.</w:t>
        <w:br/>
        <w:br/>
        <w:t>[147]        Cfr.  Corte  I.D.H.,  Medidas  Provisionales  James  y   otros.</w:t>
        <w:br/>
        <w:t>Resolución de 25 de mayo de 1999.  Serie E No. 2, Resolutivo 2(b).</w:t>
        <w:br/>
        <w:br/>
        <w:t>[148]        Cfr.  Corte  I.D.H.,  Medidas  Provisionales  James  y   otros.</w:t>
        <w:br/>
        <w:t>Resoluciones de 14 de junio de 1998, 29 de agosto de 1998 y 25  de  mayo  de</w:t>
        <w:br/>
        <w:t>1999. Serie E No. 2.</w:t>
        <w:br/>
        <w:br/>
        <w:t>[149]        Cfr.  Corte  I.D.H.,  Medidas  Provisionales  James  y   otros.</w:t>
        <w:br/>
        <w:t>Resolución de 16 de agosto de 2000. Serie E No. 3, vistos 1 y 4.</w:t>
        <w:br/>
        <w:br/>
        <w:t>[150]       Comunicación del Estado de 4 de septiembre de 2000  en  la  cual</w:t>
        <w:br/>
        <w:t>presentó información sobre las circunstancias que condujeron a la  ejecución</w:t>
        <w:br/>
        <w:t>de Joey Ramiah, cfr. Corte I.D.H.,  Medidas  Provisionales  James  y  otros.</w:t>
        <w:br/>
        <w:t>Resolución de 24 de noviembre de 2000. Serie E No. 3, visto 3.</w:t>
        <w:br/>
        <w:br/>
        <w:t>[151]       Cfr. Corte I.D.H., Caso Cantoral Benavides. Reparaciones,  supra</w:t>
        <w:br/>
        <w:t>nota 65, párr. 40; Corte I.D.H., Caso  Cesti  Hurtado.  Reparaciones,  supra</w:t>
        <w:br/>
        <w:t>nota 66, párr.  35  y  Corte  I.D.H.,  Caso  de  los  “Niños  de  la  Calle”</w:t>
        <w:br/>
        <w:t>(Villagrán Morales y otros). Reparaciones (art.  63.1  Convención  Americana</w:t>
        <w:br/>
        <w:t>sobre Derechos Humanos).  Sentencia de 26 de mayo de 2001.  Serie C No.  77,</w:t>
        <w:br/>
        <w:t>párr. 62.</w:t>
        <w:br/>
        <w:br/>
        <w:t>[152]       Cfr. Corte I.D.H., Caso Cantoral Benavides. Reparaciones,  supra</w:t>
        <w:br/>
        <w:t>nota 65, párr. 41; Corte I.D.H., Caso Durand y  Ugarte.  Reparaciones  (art.</w:t>
        <w:br/>
        <w:t>63.1 Convención  Americana  sobre  Derechos  Humanos).  Sentencia  de  3  de</w:t>
        <w:br/>
        <w:t>diciembre de 2001. Serie C No. 89, párr. 25 y  Corte  I.D.H.,  Caso  Barrios</w:t>
        <w:br/>
        <w:t>Altos.  Reparaciones  (art.  63.1  Convención   Americana   sobre   Derechos</w:t>
        <w:br/>
        <w:t>Humanos). Sentencia de 30 de noviembre de 2001. Serie C No. 87, párr. 25.</w:t>
        <w:br/>
        <w:br/>
        <w:t>[153]       Cfr. Corte I.D.H., Caso Cantoral Benavides. Reparaciones,  supra</w:t>
        <w:br/>
        <w:t>nota 65, párr. 41; Corte I.D.H., Caso  Cesti  Hurtado.  Reparaciones,  supra</w:t>
        <w:br/>
        <w:t>nota 66, párr.  34  y  Corte  I.D.H.,  Caso  de  los  “Niños  de  la  Calle”</w:t>
        <w:br/>
        <w:t>(Villagrán Morales y otros). Reparaciones, supra nota 151, párr. 61.</w:t>
        <w:br/>
        <w:br/>
        <w:t>[154]       Cfr. Corte I.D.H., Caso de la “Panel Blanca”  (Paniagua  Morales</w:t>
        <w:br/>
        <w:t>y otros).  Reparaciones  (art.  63.1  Convención  Americana  sobre  Derechos</w:t>
        <w:br/>
        <w:t>Humanos).  Sentencia de 25 de mayo de 2001.   Serie  C  No.  76,  párr.  80;</w:t>
        <w:br/>
        <w:t>Corte  I.D.H.,  Caso  Castillo  Páez.  Reparaciones  (art.  63.1  Convención</w:t>
        <w:br/>
        <w:t>Americana sobre Derechos Humanos). Sentencia de 27  de  noviembre  de  1998.</w:t>
        <w:br/>
        <w:t>Serie C No.  43,  párr.  52  y  Corte  I.D.H.,  Caso  Garrido  y  Baigorria.</w:t>
        <w:br/>
        <w:t>Reparaciones  (art.  63.1  Convención  Americana  sobre  Derechos  Humanos).</w:t>
        <w:br/>
        <w:t>Sentencia de 27 de agosto de 1998. Serie C No. 39, párr. 41.</w:t>
        <w:br/>
        <w:br/>
        <w:t>[155]       Cfr. Corte I.D.H., Caso Cantoral Benavides. Reparaciones,  supra</w:t>
        <w:br/>
        <w:t>nota 65, párr. 42; Corte I.D.H., Caso  Cesti  Hurtado.  Reparaciones,  supra</w:t>
        <w:br/>
        <w:t>nota 66, párr.  36  y  Corte  I.D.H.,  Caso  de  los  “Niños  de  la  Calle”</w:t>
        <w:br/>
        <w:t>(Villagrán Morales y otros). Reparaciones, supra nota 151, párr. 63.</w:t>
        <w:br/>
        <w:br/>
        <w:t>[156]       Corte I.D.H., Caso  “La  Última  Tentación  de  Cristo”  (Olmedo</w:t>
        <w:br/>
        <w:t>Bustos y otros), supra nota 116, párrs. 85 y 87.</w:t>
        <w:br/>
        <w:br/>
        <w:t>[157]       Ver también la jurisprudencia  del  Privy  Council  en  el  Caso</w:t>
        <w:br/>
        <w:t>Neville Lewis v. Jamaica, supra nota 144.</w:t>
        <w:br/>
        <w:br/>
        <w:t>[158]       Cfr. Corte I.D.H.,  Caso  Cesti  Hurtado.   Reparaciones,  supra</w:t>
        <w:br/>
        <w:t>nota 66, párr. 72; Corte I.D.H., Caso de  los  “Niños  de  la  Calle”  (Caso</w:t>
        <w:br/>
        <w:t>Villagrán Morales y otros). Reparaciones, supra nota 151, párr. 109  y  Caso</w:t>
        <w:br/>
        <w:t>de la “Panel Blanca” (Caso Paniagua Morales y otros).   Reparaciones,  supra</w:t>
        <w:br/>
        <w:t>nota 154, párr. 213.</w:t>
        <w:br/>
        <w:t xml:space="preserve">    [159]. Cf., en ese sentido, Corte  Interamericana  de  Derechos  Humanos</w:t>
        <w:br/>
        <w:t>(CtIADH), caso de los "Niños de la Calle" (Villagrán Morales y Otros  versus</w:t>
        <w:br/>
        <w:t>Guatemala, Fondo), Sentencia del 19.11.1999, Serie  C,  n.  63,  pp.  64-65,</w:t>
        <w:br/>
        <w:t>párr. 144.</w:t>
        <w:br/>
        <w:br/>
        <w:t xml:space="preserve">    [160]. Cf. párrafos 103-104, 106 y 108 de la presente Sentencia.</w:t>
        <w:br/>
        <w:br/>
        <w:t xml:space="preserve">    [161]. En su libro  Dernier  jour  d'un  condamné  (1829),  uno  de  los</w:t>
        <w:br/>
        <w:t>grandes escritores del siglo XIX, Victor Hugo, se refirió a las  ejecuciones</w:t>
        <w:br/>
        <w:t>judiciales como "crímenes públicos", que afectaban "todos  los  miembros  de</w:t>
        <w:br/>
        <w:t>la comunidad social"  que  las  convalidaba.  -  También  en  el  campo  del</w:t>
        <w:br/>
        <w:t>Derecho, en su monografía clásica La Lucha por el  Derecho  (1872),  Rudolph</w:t>
        <w:br/>
        <w:t>von Ihering, al referirse a la  pena  capital,  comentó  que  "el  asesinato</w:t>
        <w:br/>
        <w:t>judicial,  como  lo  llama  perfectamente  nuestra  lengua  alemana,  es  el</w:t>
        <w:br/>
        <w:t>verdadero pecado mortal del derecho";  R.  von  Ihering,  La  Lucha  por  el</w:t>
        <w:br/>
        <w:t>Derecho, Madrid, Ed. Civitas, 1989 (reimpr.), p. 110.</w:t>
        <w:br/>
        <w:br/>
        <w:t xml:space="preserve">    [162].  Aún  en  el  siglo  XIX,   otro   escritor   universal,   Fyodor</w:t>
        <w:br/>
        <w:t>Dostoïevski, en sus Souvenirs de la maison des morts (1862), se  manifestaba</w:t>
        <w:br/>
        <w:t>con elocuencia en contra el "poder  ilimitado"  de  determinados  individuos</w:t>
        <w:br/>
        <w:t>sobre otros, generador de la brutalidad y perversión, las  cuales  contagían</w:t>
        <w:br/>
        <w:t>la sociedad como un todo; en la visión del gran escritor ruso,  es  este  el</w:t>
        <w:br/>
        <w:t>caso de las puniciones corporales, aplicadas en medio a la  indiferencia  de</w:t>
        <w:br/>
        <w:t>la sociedad "ya contaminada" y es estado  de  descomposición.  En  el  mismo</w:t>
        <w:br/>
        <w:t>libro Recuerdos de la Casa de  los  Muertos,  Dostoïevski  advirtió  que  el</w:t>
        <w:br/>
        <w:t>grado de civilización  alcanzado  por  cualquier  sociedad  podía  evaluarse</w:t>
        <w:br/>
        <w:t>entrando en sus cárceles; F. Dostoïevski, Souvenirs de la maison des  morts,</w:t>
        <w:br/>
        <w:t>Paris, Gallimard, 1997 (reimpr.), pp. 35-416. Bajo  este  prisma,  rarísimos</w:t>
        <w:br/>
        <w:t>países, aún en nuestros días, en ese inicio del siglo XXI,  se  calificarían</w:t>
        <w:br/>
        <w:t>como "civilizados".</w:t>
        <w:br/>
        <w:br/>
        <w:t xml:space="preserve">    [163]. No deja de ser una paradoja que ya se  ha  formado,  en  nuestros</w:t>
        <w:br/>
        <w:t>días, un consenso universal  en  cuanto  a  la  proibición  absoluta  de  la</w:t>
        <w:br/>
        <w:t>tortura, de las desapariciones forzadas de personas  y  de  las  ejecuciones</w:t>
        <w:br/>
        <w:t>sumarias,  extra-legales  o  arbitrarias,   pero   no   en   cuanto   a   la</w:t>
        <w:br/>
        <w:t>inviolabilidad incondicional de la vida humana; C.K. Boyle, "The Concept  of</w:t>
        <w:br/>
        <w:t>Arbitrary Deprivation of Life", in The Right to Life  in  International  Law</w:t>
        <w:br/>
        <w:t>(ed. B.G. Ramcharan), Dordrecht, Nijhoff, 1985, p.  223,  y  cf.  241;  N.S.</w:t>
        <w:br/>
        <w:t>Rodley, The  Treatment  of  Prisoners  under  International  Law,  2a.  ed.,</w:t>
        <w:br/>
        <w:t>Oxford, University Press, 2000 (reprint), p. 206.</w:t>
        <w:br/>
        <w:br/>
        <w:t xml:space="preserve">    [164]. También las penas reflejan la escala de valores prevaleciente  en</w:t>
        <w:br/>
        <w:t>determinado medio social; R. von Ihering,  El  Fin  en  el  Derecho,  Buenos</w:t>
        <w:br/>
        <w:t>Aires, Omeba Ed., 1960, p. 236.</w:t>
        <w:br/>
        <w:br/>
        <w:t xml:space="preserve">    [165]. C. Beccaria, De los Delitos y de las Penas, Madrid, Alianza  Ed.,</w:t>
        <w:br/>
        <w:t>2000 (reed.), capítulo 28, pp. 81 y 86-87. En su comentario, de 1766,  sobre</w:t>
        <w:br/>
        <w:t>la referida obra de Beccaria, Voltaire subrayó  el  suplicio  -  "mucho  más</w:t>
        <w:br/>
        <w:t>terrible que el de la muerte" - de la incertidumbre y la espera,  y  ponderó</w:t>
        <w:br/>
        <w:t>que "los suplicios refinados que el entendimiento humano ha  inventado  para</w:t>
        <w:br/>
        <w:t>hacer la muerte horrible, parecen haber sido  inventados  más  bien  por  la</w:t>
        <w:br/>
        <w:t>tiranía que por la justicia"; cit. in ibid.,  pp.  129  y  149.  -  En  otro</w:t>
        <w:br/>
        <w:t>ensayo, El Precio de la Justicia (1777),  Voltaire  volvió  a  referirse  al</w:t>
        <w:br/>
        <w:t>"suplicio" que es la prisión, y añadió que no se  debe  punir  el  homicidio</w:t>
        <w:br/>
        <w:t>con otro homicidio, pues "la muerte  nada  repara";  Voltaire,  O  Preço  da</w:t>
        <w:br/>
        <w:t>Justiça, São Paulo, Martins Fontes, 2001, pp.  17-19  y  101;  para  él,  la</w:t>
        <w:br/>
        <w:t>raison d'État no pasaba de una "expresión inventada para servir de  disculpa</w:t>
        <w:br/>
        <w:t>a los tiranos"; ibid., p. 80.</w:t>
        <w:br/>
        <w:br/>
        <w:t xml:space="preserve">    [166]. L. Recaséns Siches,  "La  Pena  de  Muerte,  Grave  Problema  con</w:t>
        <w:br/>
        <w:t>Múltiples Facetas", in A Pena de Morte (Coloquio  Internacional  de  Coimbra</w:t>
        <w:br/>
        <w:t>de 1967), vol. II, Coimbra, Universidad de Coimbra, 1967, pp. 12 e 14-16.</w:t>
        <w:br/>
        <w:br/>
        <w:t xml:space="preserve">    [167]. Ibid., pp. 17 e 19-20.</w:t>
        <w:br/>
        <w:br/>
        <w:t xml:space="preserve">    [168]. L. Recaséns Siches,  Panorama  del  Pensamiento  Jurídico  en  el</w:t>
        <w:br/>
        <w:t>Siglo XX, vol. II (1a. ed.), México, Ed. Porrúa, 1963, p. 796.</w:t>
        <w:br/>
        <w:br/>
        <w:t xml:space="preserve">    [169]. Capital Punishment, N.Y., United Nations, 1962, p. 11,  par.  14,</w:t>
        <w:br/>
        <w:t>cit. in R. Hood, op. cit. infra n. (12), p. 85.</w:t>
        <w:br/>
        <w:br/>
        <w:t xml:space="preserve">    [170]. R. Hood, The Death Penalty - A World-Wide Perspective  (A  Report</w:t>
        <w:br/>
        <w:t>to the United Nations Committee on Crime Prevention  and  Control),  Oxford,</w:t>
        <w:br/>
        <w:t>Clarendon Press, 1990 (reprint), p. 87.</w:t>
        <w:br/>
        <w:br/>
        <w:t xml:space="preserve">    [171]. Como se desprende de sus medulares párrafos 103-104, 106 y 108.</w:t>
        <w:br/>
        <w:br/>
        <w:t xml:space="preserve">    [172]. En cuanto a peticiones de amnistía, indulto o conmutación  de  la</w:t>
        <w:br/>
        <w:t>pena.</w:t>
        <w:br/>
        <w:br/>
        <w:t xml:space="preserve">    [173]. L. Recaséns Siches, Tratado General  de  Filosofía  del  Derecho,</w:t>
        <w:br/>
        <w:t>7a. ed., México, Ed. Porrúa, 1981, p. 216.</w:t>
        <w:br/>
        <w:br/>
        <w:t xml:space="preserve">    [174]. Ibid., p. 217.</w:t>
        <w:br/>
        <w:br/>
        <w:t xml:space="preserve">    [175]. CtIADH, Resolución de 13.09.1997, Serie C, n. 45.</w:t>
        <w:br/>
        <w:br/>
        <w:t xml:space="preserve">    [176]. La misma posición la sostuve  igualmente  en  mi  Voto  Disidente</w:t>
        <w:br/>
        <w:t>(párr.  21)  en  el  caso  Caballero  Delgado  y  Santana  versus   Colombia</w:t>
        <w:br/>
        <w:t>(Reparaciones, 1997). - Sobre la construcción jurisprudencial  del  concepto</w:t>
        <w:br/>
        <w:t>de "víctima potencial", cf. A.A. Cançado  Trindade,  "Co-Existence  and  Co-</w:t>
        <w:br/>
        <w:t>Ordination of Mechanisms of International Protection  of  Human  Rights  (At</w:t>
        <w:br/>
        <w:t>Global and Regional Levels)", 202 Recueil des Cours de l'Académie  de  Droit</w:t>
        <w:br/>
        <w:t>International de La Haye (1987) pp. 271-283.</w:t>
        <w:br/>
        <w:br/>
        <w:t xml:space="preserve">    [177]. Del latín reparatio, derivado de reparare, "preparar  o  disponer</w:t>
        <w:br/>
        <w:t>de nuevo".</w:t>
        <w:br/>
        <w:br/>
        <w:t xml:space="preserve">    [178]. Cf., v.g., sus decisiones en los casos C. Wright  versus  Jamaica</w:t>
        <w:br/>
        <w:t>(1992, párr. 8.7), L. Simmonds versus Jamaica (1992, párr. 8.5),  A.  Little</w:t>
        <w:br/>
        <w:t>versus Jamaica (1991, párr. 8.6), y R. Henry  versus  Jamaica  (1991,  párr.</w:t>
        <w:br/>
        <w:t>8.5).</w:t>
        <w:br/>
        <w:br/>
        <w:t xml:space="preserve">    [179]. L. Ferrajoli, Derecho y Razón - Teoría del Garantismo Penal,  5a.</w:t>
        <w:br/>
        <w:t>ed., Madrid, Ed. Trotta, 2001, p. 162, y cf. pp. 158 y 160.</w:t>
        <w:br/>
        <w:br/>
        <w:t xml:space="preserve">    [180].  La  pena  (en  general)  también  persigue  el  objetivo  de  la</w:t>
        <w:br/>
        <w:t>seguridad  jurídica.  Pero  la  pena  de  muerte  (o  asesinato  legalizado)</w:t>
        <w:br/>
        <w:t>sobrepasa  los  grados  de  culpabilidad,   excluyendo   por   completo   la</w:t>
        <w:br/>
        <w:t>resocialización (del condenado); además, es la  más  radical  de  las  penas</w:t>
        <w:br/>
        <w:t>corporales, que se ejecuta sobre el propio cuerpo del condenado.</w:t>
        <w:br/>
        <w:br/>
        <w:t xml:space="preserve">    [181]. Cf. C. Beccaria, De los Delitos y de las Penas,  op.  cit.  supra</w:t>
        <w:br/>
        <w:t>n. (7), cap. 28, p. 83. Este mismo argumento - en el  sentido  de  que  "the</w:t>
        <w:br/>
        <w:t>real deterrent is not the level of punishment, but its inevitability", -  ha</w:t>
        <w:br/>
        <w:t>sido, en nuestros días, invocado por la Delegación de Italia en la  Comisión</w:t>
        <w:br/>
        <w:t>de Derechos Humanos de Naciones Unidas, en los debates de  1997-1998,  desde</w:t>
        <w:br/>
        <w:t>la adopción de la resolución 1997/12, de 03.04.1997, - por  ella  presentada</w:t>
        <w:br/>
        <w:t>y copatrocinada por 45 otros países, - propugnando por la suspensión  de  la</w:t>
        <w:br/>
        <w:t>ejecución de las penas de muerte con miras a su completa abolición.  Cf.  R.</w:t>
        <w:br/>
        <w:t>Toscano, "The United Nations and the Abolition of  the  Death  Penalty",  in</w:t>
        <w:br/>
        <w:t>The Death Penalty - Abolition in  Europe,  Strasbourg,  Council  of  Europe,</w:t>
        <w:br/>
        <w:t>1999, pp. 95-99, y cf. p. 101.</w:t>
        <w:br/>
        <w:br/>
        <w:t xml:space="preserve">    [182]. N. Bobbio, El Tiempo de los Derechos, Madrid, Ed. Sistema,  1991,</w:t>
        <w:br/>
        <w:t>pp. 222, 230-231, 234 y 241.</w:t>
        <w:br/>
        <w:br/>
        <w:t xml:space="preserve">    [183]. K. Jaspers, El Problema de la Culpa, Barcelona, Ed. Paidós,  1998</w:t>
        <w:br/>
        <w:t>(reed.), p. 77.</w:t>
        <w:br/>
        <w:br/>
        <w:t xml:space="preserve">    [184]. En realidad, la frontera final  de  la  existencia  humana  -  la</w:t>
        <w:br/>
        <w:t>muerte - siempre ha presentado a los juristas interrogantes y desafíos,  que</w:t>
        <w:br/>
        <w:t>se renuevan con  las  transformaciones  de  los  modelos  culturales  y  los</w:t>
        <w:br/>
        <w:t>avances  en  el  conocimiento  científico-tecnológico.  De   ahí   la   gran</w:t>
        <w:br/>
        <w:t>responsabilidad que recae sobre los juristas, que no pueden limitarse a  las</w:t>
        <w:br/>
        <w:t>reglas del derecho positivo, sino además deben estar  atentos  al  orden  de</w:t>
        <w:br/>
        <w:t>los valores y a la evolución del conocimiento humano. Cf.  S.  Rodotà,  "Law</w:t>
        <w:br/>
        <w:t>and Moral Dilemmas Affecting Life and Death - A General Presentation of  the</w:t>
        <w:br/>
        <w:t>Issues", Law and Moral Dilemmas Affecting Life  and  Death  (Proceedings  of</w:t>
        <w:br/>
        <w:t>the Glasgow Colloquy on European Law, 1990), Strasbourg, Council of  Europe,</w:t>
        <w:br/>
        <w:t>1992, p. 14, y cf. pp. 11 y 25.</w:t>
        <w:br/>
        <w:br/>
        <w:t xml:space="preserve">    [185]. Cf., en este sentido, P. Hodgkinson, "Victims of  Crime  and  the</w:t>
        <w:br/>
        <w:t>Death Penalty", in The Death Penalty  -  Abolition  in  Europe,  Strasbourg,</w:t>
        <w:br/>
        <w:t>Council of Europe, 1999, pp. 37 y 47-53.</w:t>
        <w:br/>
        <w:br/>
        <w:t xml:space="preserve">    [186]. Ibid., pp. 47 y 51.</w:t>
        <w:br/>
        <w:br/>
        <w:t xml:space="preserve">    [187]. A. Camus, "Réflexions sur la guillotine", in A.  Camus  y  A.  A.</w:t>
        <w:br/>
        <w:t>Koestler, Réflexions  sur  la  peine  capitale,  Paris,  Calmann-Lévy,  1979</w:t>
        <w:br/>
        <w:t>(reimpr. 1997), pp. 140-141, 143 y 146.</w:t>
        <w:br/>
        <w:br/>
        <w:t xml:space="preserve">    [188]. European Court of Human Rights,  Soering  versus  United  Kingdom</w:t>
        <w:br/>
        <w:t>case, Judgment of 07.07.1989, Strasbourg, Council of Europe,  1989,  pp.  1-</w:t>
        <w:br/>
        <w:t>42, esp. párrs. 88-92, 99, 104, 106, 109 y 111.</w:t>
        <w:br/>
        <w:br/>
        <w:t xml:space="preserve">    [189]. Ibid., p. 31, párr. 102.</w:t>
        <w:br/>
        <w:br/>
        <w:t xml:space="preserve">    [190]. Para un estudio general de la aplicación de  esa  disposición  de</w:t>
        <w:br/>
        <w:t>la Convención Europea, cf. H. Fourteau, L'application de l'article 3  de  la</w:t>
        <w:br/>
        <w:t>Convention Européenne des Droits de l'Homme dans le droit interne des  États</w:t>
        <w:br/>
        <w:t>membres, Paris, LGDJ, 1996, pp. 1ss.</w:t>
        <w:br/>
        <w:br/>
        <w:t xml:space="preserve">    [191]. Para un estudio general al respecto, en relación con la  pena  de</w:t>
        <w:br/>
        <w:t>muerte, cf., v.g., W.A. Schabas, op. cit. infra n.  (44),  pp.  3-303,  esp.</w:t>
        <w:br/>
        <w:t>pp. 126, 138, 144 y 229; A. Salado Osuna,  La  Pena  de  Muerte  en  Derecho</w:t>
        <w:br/>
        <w:t>Internacional - Una Excepción al Derecho a la Vida,  Madrid,  Tecnos,  1999,</w:t>
        <w:br/>
        <w:t>pp. 1-278; Amnesty International,  When  the  State  Kills...  -  The  Death</w:t>
        <w:br/>
        <w:t>Penalty v. Human Rights, London, A.I., 1989, pp. 68-70.</w:t>
        <w:br/>
        <w:br/>
        <w:t xml:space="preserve">    [192]. Párrafo 137 y punto resolutivo n.  7  de  la  mencionada  Opinión</w:t>
        <w:br/>
        <w:t>Consultiva.</w:t>
        <w:br/>
        <w:br/>
        <w:t xml:space="preserve">    [193]. S. Kovalev, "Conclusion", in The Death  Penalty  -  Abolition  in</w:t>
        <w:br/>
        <w:t>Europe, Strasbourg, Council of Europe, 1999, p. 158.</w:t>
        <w:br/>
        <w:br/>
        <w:t xml:space="preserve">    [194]. A. Camus, op. cit. supra n. (  ), pp. 159-160, 164,  166  y  170.</w:t>
        <w:br/>
        <w:t>[Traducción: "No hay justos, sino solamente corazones más o menos pobres  en</w:t>
        <w:br/>
        <w:t>justicia. Vivir, al menos, nos  permite  saberlo  y  juntar  a  la  suma  de</w:t>
        <w:br/>
        <w:t>nuestras acciones un poco de bien que  compensará,  en  parte,  el  mal  que</w:t>
        <w:br/>
        <w:t>hemos lanzado en el mundo. Este derecho de vivir que coincide con la  chance</w:t>
        <w:br/>
        <w:t>de reparación es el derecho natural de todo hombre, incluso el  peor.  (...)</w:t>
        <w:br/>
        <w:t>Sin este derecho, la vida moral es estrictamente imposible. (...) Ni  en  el</w:t>
        <w:br/>
        <w:t>corazón de los individuos ni en las costumbres de las  sociedades  no  habrá</w:t>
        <w:br/>
        <w:t>paz durable mientras la muerte no sea puesta fuera de la ley"].</w:t>
        <w:br/>
        <w:br/>
        <w:t xml:space="preserve">    [195]. Cf., e.g., Council of Europe, Serious Crime and  the  Requirement</w:t>
        <w:br/>
        <w:t>of Respect for Human Rights in European Democracies  (Seminar  of  Taormina,</w:t>
        <w:br/>
        <w:t>Italy, November 1996), Strasbourg, C. of E., 1997, pp. 7-199, esp.  pp.  91-</w:t>
        <w:br/>
        <w:t>92 (intervenção de J. Meyer-Ladewig).</w:t>
        <w:br/>
        <w:br/>
        <w:t xml:space="preserve">    [196]. Ibid., p. 194 (intervenção de B. Geremek).</w:t>
        <w:br/>
        <w:br/>
        <w:t xml:space="preserve">    [197].  Cf.,   e.g.,   Corte   Interamericana   de   Derechos   Humanos,</w:t>
        <w:br/>
        <w:t>Restricciones  a  la  Pena  de  Muerte,  Opinión  Consultiva   OC-3/83,   de</w:t>
        <w:br/>
        <w:t>08.09.1983, pp. 3-45, párrs. 1-76.</w:t>
        <w:br/>
        <w:br/>
        <w:t xml:space="preserve">    [198]. Aquella tendencia  de  supresión  final  de  la  pena  de  muerte</w:t>
        <w:br/>
        <w:t>encuentra expresión en el [Segundo]  Protocolo  a  la  Convención  Americana</w:t>
        <w:br/>
        <w:t>sobre Derechos Humanos Referente  a  la  Abolición  de  la  Pena  de  Muerte</w:t>
        <w:br/>
        <w:t>(1990), en el [Segundo] Protocolo Facultativo al Pacto de  Derechos  Civiles</w:t>
        <w:br/>
        <w:t>y Políticos de las Naciones Unidas sobre la Abolición de la Pena  de  Muerte</w:t>
        <w:br/>
        <w:t>(l989), y en el Protocolo n. 6 a la Convención Europea de  Derechos  Humanos</w:t>
        <w:br/>
        <w:t>sobre la Abolición de la Pena de Muerte  (l983).  Dichos  Protocolos  vienen</w:t>
        <w:br/>
        <w:t>fortalecer  los  compromisos  ya  asumidos  al  respecto   en   tratados   y</w:t>
        <w:br/>
        <w:t>convenciones anteriores sobre la protección de los derechos  de  la  persona</w:t>
        <w:br/>
        <w:t>humana.</w:t>
        <w:br/>
        <w:br/>
        <w:t xml:space="preserve">    [199]. A ejemplo de las normas humanitarias pertinentes  de  las  cuatro</w:t>
        <w:br/>
        <w:t>Convenciones de Ginebra de  1949  sobre  Derecho  Internacional  Humanitario</w:t>
        <w:br/>
        <w:t>(Convención III, artículo 101;  Convención  IV,  artículo  68(1)  y  (4),  y</w:t>
        <w:br/>
        <w:t>artículo 75(1),(2) y  (3);  y  artículo  3  (1)(1)(d)  común  a  las  cuatro</w:t>
        <w:br/>
        <w:t>Convenciones de Ginebra), y de los  dos  Protocolos  Adicionais  de  1977  a</w:t>
        <w:br/>
        <w:t>aquellas  Convenciones  (e.g.,  Protocolo  I,  artículos  77(5)   y   76(3);</w:t>
        <w:br/>
        <w:t>Protocolo  II,  artículo  6(2),(4)  y  (5)),  que  impõnem  proibiciones   y</w:t>
        <w:br/>
        <w:t>restricciones a la pena de muerte. A dichas normas se suma la  práctica  del</w:t>
        <w:br/>
        <w:t>Comité Internacional de la Cruz Roja (cf. Le CICR  et  les  condamnations  à</w:t>
        <w:br/>
        <w:t>mort, 1982,  rev.  1987)  de  intervenciones  para  impedir  ejecuciones  de</w:t>
        <w:br/>
        <w:t>personas de determinadas categorías o en determinadas circunstancias.</w:t>
        <w:br/>
        <w:br/>
        <w:t xml:space="preserve">    [200]. No  hay  que  pasar  desapercibido  que  los  Tribunales  Penales</w:t>
        <w:br/>
        <w:t>Internacionales ad hoc para la ex-Yugoslavia (1993) y para Ruanda (1994)  no</w:t>
        <w:br/>
        <w:t>aplican la pena de muerte, que tampoco está prevista en el  Estuto  de  Roma</w:t>
        <w:br/>
        <w:t>(de 1998) del Tribunal Penal Internacional permanente.</w:t>
        <w:br/>
        <w:br/>
        <w:t xml:space="preserve">    [201]. v.g., en  el  seno  del  Comité  de  Derechos  Humanos  (bajo  el</w:t>
        <w:br/>
        <w:t>artículo 7 del Pacto  de  Derechos  Civiles  y  Políticos  de  las  Naciones</w:t>
        <w:br/>
        <w:t>Unidas); cf. W.A. Schabas, op. cit. infra n. (44), p. 138, y cf. p. 140.</w:t>
        <w:br/>
        <w:br/>
        <w:t xml:space="preserve">    [202].  W.A.  Schabas,  The  Abolition   of   the   Death   Penalty   in</w:t>
        <w:br/>
        <w:t>International Law, 2a. ed., Cambridge, University Press, 1997, pp. 110,  119</w:t>
        <w:br/>
        <w:t>y 295, y cf. p. 303. Además, en realidad, nunca se demonstró  el  efecto  de</w:t>
        <w:br/>
        <w:t>deterrence de la pena capital, la cual, en adición, una vez  aplicada,  crea</w:t>
        <w:br/>
        <w:t>una situación irreversible mismo en la eventualidad de  errores  judiciales.</w:t>
        <w:br/>
        <w:t>Ibid., p. 188;  R.  Sapienza,  "International  Legal  Standards  on  Capital</w:t>
        <w:br/>
        <w:t>Punishment",  in  The  Right  to  Life  in  International  Law   (ed.   B.G.</w:t>
        <w:br/>
        <w:t>Ramcharan), Dordrecht, Nijhoff/Kluwer, 1985, pp. 284-296.</w:t>
        <w:br/>
        <w:br/>
        <w:t xml:space="preserve">    [203]. Cf. A. Camus y A. Koestler, Réflexions  sur  la  peine  capitale,</w:t>
        <w:br/>
        <w:t>Paris, Calmann-Lévy, 1997 (reimpr.), pp. 25-286.</w:t>
        <w:br/>
        <w:br/>
        <w:t xml:space="preserve">    [204]. Cf. Derrick McKoy, "Capital and  Corporal  Punishment  and  Human</w:t>
        <w:br/>
        <w:t>Rights Law", in Seminar for Caribbean  Judicial  Officers  on  International</w:t>
        <w:br/>
        <w:t>Human Rights Norms and  the  Judicial  Function  (Proceedings  of  the  1993</w:t>
        <w:br/>
        <w:t>Barbados  Seminar,  eds.  O.  Jackman  y   A.A.   Cançado   Trindade),   San</w:t>
        <w:br/>
        <w:t>José/Bridgetown, 1995, pp. 51-76.</w:t>
        <w:br/>
        <w:br/>
        <w:t xml:space="preserve">    [205]. Cf., v.g., Lloyd Barnett, "Human  Rights  and  the  Machinery  of</w:t>
        <w:br/>
        <w:t>Justice - Caribbean Judicial Approach  to  Constitutional  and  Conventional</w:t>
        <w:br/>
        <w:t>Human Rights Provisions", in Seminar  for  Caribbean  Judicial  Officers...,</w:t>
        <w:br/>
        <w:t>op. cit. supra n. (24), pp. 31-49; y cf. M.  Demerieux,  Fundamental  Rights</w:t>
        <w:br/>
        <w:t>in Commonwealth Caribbean Constitutions, Bridgetown, University of the  West</w:t>
        <w:br/>
        <w:t>Indies, 1992, pp. 115-123, 134-135, 144, 152 y 301.</w:t>
        <w:br/>
        <w:br/>
        <w:t xml:space="preserve">    [206].  Cf.  también,  al  respecto,  e.g.,  Association  Internationale</w:t>
        <w:br/>
        <w:t>Vitoria-Suárez, Vitoria et Suárez - Contribution des  théologiens  au  droit</w:t>
        <w:br/>
        <w:t>international moderne, Paris, Pédone,  1939,  pp.  3-170;  L.  Le  Fur,  "La</w:t>
        <w:br/>
        <w:t>théorie du droit naturel depuis le XVIIe. siècle et  la  doctrine  moderne",</w:t>
        <w:br/>
        <w:t>18 Recueil des Cours de l'Académie de Droit International de La Haye  (1927)</w:t>
        <w:br/>
        <w:t>pp. 297-399; J. Puente Egido,  "Natural  Law",  in  Encyclopedia  of  Public</w:t>
        <w:br/>
        <w:t>International  Law  (ed.  R.  Bernhardt,  Max  Plack  Institute),  vol.   7,</w:t>
        <w:br/>
        <w:t>Amsterdam, North-Holland,  1984,  pp.  344-349;  A.A.  Cançado  Trindade,  O</w:t>
        <w:br/>
        <w:t>Direito Internacional em um Mundo em  Transformação,  Rio  de  Janeiro,  Ed.</w:t>
        <w:br/>
        <w:t>Renovar, 2002, pp. 540-550 y 1048-1109.</w:t>
        <w:br/>
        <w:br/>
        <w:t xml:space="preserve">    [207]. G. Radbruch, Introducción a la Filosofía del  Derecho,  3a.  ed.,</w:t>
        <w:br/>
        <w:t>México/Buenos Aires, Fondo de Cultura Económica, 1965, p. 112-113.</w:t>
        <w:br/>
        <w:br/>
        <w:t xml:space="preserve">    [208]. Ibid., p.  156.  Para  el  autor,  la  pena  de  muerte  era,  en</w:t>
        <w:br/>
        <w:t>perspectiva histórica, el "punto final" de una serie de  penas,  sobre  todo</w:t>
        <w:br/>
        <w:t>corporales (incluyendo la pena de mutilación), - y es hoy  un  resquicio  de</w:t>
        <w:br/>
        <w:t>dichas penas, - la cual "está separada de los otros tipos  de  pena  por  un</w:t>
        <w:br/>
        <w:t>abismo insuperable"; G. Radbruch,  Introdução  à  Ciência  do  Direito,  São</w:t>
        <w:br/>
        <w:t>Paulo, Martins Fontes, 1999, pp. 111-112.</w:t>
        <w:br/>
        <w:br/>
        <w:t xml:space="preserve">    [209]. L. Ferrajoli, Derecho y Razón..., op. cit. supra  n.  (   ),  pp.</w:t>
        <w:br/>
        <w:t>385-387.</w:t>
        <w:br/>
        <w:br/>
        <w:t xml:space="preserve">    [210]. O sea, por un lado, con los argumentos de los  defensores  de  la</w:t>
        <w:br/>
        <w:t>pena de muerte invocando la teoría de la retribución, o la  intimidación,  o</w:t>
        <w:br/>
        <w:t>la defensa social, o "la idea de la sociedad como  organismo  del  que  está</w:t>
        <w:br/>
        <w:t>bien amputar el órgano afectado"; y, por otro lado, los críticos de la  pena</w:t>
        <w:br/>
        <w:t>de muerte, invocando su ineficacia disuasoria, o la "ausencia de  beneficio"</w:t>
        <w:br/>
        <w:t>en su aplicación, o su carácter irreversible, o  su  efecto  "deseducativo";</w:t>
        <w:br/>
        <w:t>ibid., p. 387.</w:t>
        <w:br/>
        <w:br/>
        <w:t xml:space="preserve">    [211]. Cf. ibid., pp. 390 y 411.</w:t>
        <w:br/>
        <w:br/>
        <w:t xml:space="preserve">    [212]. Privy Council Office/Judicial Committee, Privy Council Appeal  n.</w:t>
        <w:br/>
        <w:t>60 of 1998 - D.R. Thomas and H. Hilaire (Trinidad and Tobago),  Decision  of</w:t>
        <w:br/>
        <w:t>27.01.1999, p. 12.</w:t>
        <w:br/>
        <w:br/>
        <w:t xml:space="preserve">    [213]. Ibid., pp. 12-13.</w:t>
        <w:br/>
        <w:br/>
        <w:t xml:space="preserve">    [214]. Con  base  en  las  disposiciones  aplicables  de  la  Convención</w:t>
        <w:br/>
        <w:t>Americana (artículos 62(3) y 78(2)).</w:t>
        <w:br/>
        <w:br/>
        <w:t xml:space="preserve">    [215].  M.  Lachs,  "Some  Thoughts  on  the  Role  of  Good  Faith   in</w:t>
        <w:br/>
        <w:t>International Law", in Declarations on Principles,  a  Quest  for  Universal</w:t>
        <w:br/>
        <w:t>Peace - Liber Amicorum  Discipulorumque  B.V.A.  Roling,  Leyden,  Sijthoff,</w:t>
        <w:br/>
        <w:t>1977, pp. 47-55; M.K. Yasseen,  "L'interprétation  des  traités  d'après  la</w:t>
        <w:br/>
        <w:t>Convention de Vienne sur le Droit des Traités", 151  Recueil  des  Cours  de</w:t>
        <w:br/>
        <w:t>l'Académie de Droit International de La Haye  (1976)  p.  20;  Clive  Parry,</w:t>
        <w:br/>
        <w:t>"Derecho de los Tratados", in Manual de Derecho Internacional  Público  (ed.</w:t>
        <w:br/>
        <w:t>M. Sorensen), 5a. reimpr., México, Fondo de  Cultura  Económica,  1994,  pp.</w:t>
        <w:br/>
        <w:t>229 y 200-201.</w:t>
        <w:br/>
        <w:br/>
        <w:t xml:space="preserve">    [216]. V.g., B. Conforti, Derecho Internacional, Buenos  Aires,  Zavalía</w:t>
        <w:br/>
        <w:t>Ed., 1995, p. 67; y cf. H. Mosler, "The International  Society  as  a  Legal</w:t>
        <w:br/>
        <w:t>Community", 140 Recueil des Cours de l'Académie de  Droit  International  de</w:t>
        <w:br/>
        <w:t>La Haye (1974) pp. 115-116. - Reglas  (como  la  del  pacta  sunt  servanda)</w:t>
        <w:br/>
        <w:t>consagradas en tratados  pueden  perfectamente  ser  evidencia  del  derecho</w:t>
        <w:br/>
        <w:t>internacional consuetudinario;  R.R.  Baxter,  "Treaties  and  Custom",  129</w:t>
        <w:br/>
        <w:t>Recueil des Cours de l'Académie de Droit International  de  La  Haye  (1970)</w:t>
        <w:br/>
        <w:t>pp. 31, 43, 57 y 102-103.</w:t>
        <w:br/>
        <w:br/>
        <w:t xml:space="preserve">    [217]. Ian Brownlie, Principles of Public International  Law,  5a.  ed.,</w:t>
        <w:br/>
        <w:t>Oxford, University Press, 1998, p. 620.</w:t>
        <w:br/>
        <w:br/>
        <w:t xml:space="preserve">    [218]. Cf. Lord McNair, The Law of Treaties,  Oxford,  Clarendon  Press,</w:t>
        <w:br/>
        <w:t>1961, pp. 493 y 505; y, para la evolución histórica y doctrinal de la  regla</w:t>
        <w:br/>
        <w:t>pacta sunt servanda, cf., v.g., M. Sibert, "The Rule  Pacta  Sunt  Servanda:</w:t>
        <w:br/>
        <w:t>From the Middle Ages to the Beginning of Modern Times", 5  Indian  Yearboook</w:t>
        <w:br/>
        <w:t>of International Affairs (1956) pp. 219-226; J.B. Whitton, "La  règle  pacta</w:t>
        <w:br/>
        <w:t>sunt servanda", 49 Recueil des Cours de l'Académie  de  Droit  International</w:t>
        <w:br/>
        <w:t>de La Haye (1934) pp. 151-268.</w:t>
        <w:br/>
        <w:br/>
        <w:t xml:space="preserve">    [219]. E. de la Guardia y M. Delpech, El Derecho de los  Tratados  y  la</w:t>
        <w:br/>
        <w:t>Convención de Viena, Buenos Aires, La Ley, 1970, p. 276.</w:t>
        <w:br/>
        <w:br/>
        <w:t xml:space="preserve">    [220]. Paul Reuter, Introduction au droit des traités, 2a.  ed.,  Paris,</w:t>
        <w:br/>
        <w:t>PUF, 1985, p. 32.</w:t>
        <w:br/>
        <w:br/>
        <w:t xml:space="preserve">    [221]. Quizás la base última de  una  obligación  internacional  sea  de</w:t>
        <w:br/>
        <w:t>cuño metajurídico; J.L. Brierly, The Basis of  Obligation  in  International</w:t>
        <w:br/>
        <w:t>Law, Oxford, Clarendon  Press,  1958,  p.  65;  J.L.  Brierly,  The  Law  of</w:t>
        <w:br/>
        <w:t>Nations, 6a. ed., Oxford, Clarendon Press, 1963, p. 54.</w:t>
        <w:br/>
        <w:br/>
        <w:t xml:space="preserve">    [222]. M. Lachs,  "Pacta  Sunt  Servanda",  in  Encyclopedia  of  Public</w:t>
        <w:br/>
        <w:t>International Law (ed. R. Bernhardt), vol. 7,  Amsterdam,  North-Holland/Max</w:t>
        <w:br/>
        <w:t>Planck Institut, 1984, pp. 364-371.</w:t>
        <w:br/>
        <w:br/>
        <w:t>[223] Offences against the Person Act, del 3 de abril de 1925, aplicada  por</w:t>
        <w:br/>
        <w:t>los tribunales  del  Estado  para  conocer  y  resolver  diversos  casos  de</w:t>
        <w:br/>
        <w:t>homicidio sancionados con pena  capital,  que  se  han  reunido  --para  los</w:t>
        <w:br/>
        <w:t>efectos del presente conocimiento por parte de la Corte Interamericana--  en</w:t>
        <w:br/>
        <w:t>el Caso Hilaire, Constatine y Benjamin y otros vs. Trinidad y Tobago.</w:t>
        <w:br/>
        <w:br/>
        <w:t>[224] En el punto que ahora interesa, la reserva expresada por el Estado  se</w:t>
        <w:br/>
        <w:t>concibió en los siguientes términos: “Con  respecto al  artículo  62  de  la</w:t>
        <w:br/>
        <w:t>Convención, el Gobierno de la República de Trinidad  y  Tobago  reconoce  la</w:t>
        <w:br/>
        <w:t>jurisdicción obligatoria de la Corte Interamericana de Derechos Humanos  que</w:t>
        <w:br/>
        <w:t>se estipula en dicho artículo sólo en la medida en  que  tal  reconocimiento</w:t>
        <w:br/>
        <w:t>sea compatible con las  secciones  pertinentes  de  la  Constitución  de  la</w:t>
        <w:br/>
        <w:t>República de Trinidad y Tobago,  y siempre que una sentencia de la Corte  no</w:t>
        <w:br/>
        <w:t>contravenga, establezca o anule derechos o deberes existentes de  ciudadanos</w:t>
        <w:br/>
        <w:t>particulares”.</w:t>
        <w:br/>
        <w:br/>
        <w:t>[225] Cfr. Caso Hilaire,  Excepciones  preliminares.  Sentencia  de  1º   de</w:t>
        <w:br/>
        <w:t>septiembre de 2001 (con correspondencia en las sentencias sobre  excepciones</w:t>
        <w:br/>
        <w:t>preliminares, de la misma fecha, dictadas en los Casos Constantine y  otros,</w:t>
        <w:br/>
        <w:t>y Benjamin y otros),  párrs.  78 y ss. Emití  Voto razonado concurrente  con</w:t>
        <w:br/>
        <w:t>respecto a estas sentencias, en la misma fecha en que fueron adoptadas.</w:t>
        <w:br/>
        <w:br/>
        <w:t>[226] Cfr. id.,  párrs. 27-28.</w:t>
        <w:br/>
        <w:br/>
        <w:t>[227] Esta disposición, que figura en el artículo 27  de  la  Convención  de</w:t>
        <w:br/>
        <w:t>Viena sobre el Derecho de los Tratados,  de  1969  (de  la  que  Trinidad  y</w:t>
        <w:br/>
        <w:t>Tobago no es Estado parte), constituye una regla del  Derecho  internacional</w:t>
        <w:br/>
        <w:t>consuetudinario.   El  enunciado  contenido  en  el  artículo  27  “hace  al</w:t>
        <w:br/>
        <w:t>fundamento mismo  del  Derecho  internacional,  y  cuenta  a  su  favor  con</w:t>
        <w:br/>
        <w:t>precedentes de significación”. De la Guardia, Ernesto, y  Delpech,  Marcelo,</w:t>
        <w:br/>
        <w:t>El Derecho de los tratados y la Convención de Viena, Buenos Aires,  La  Ley,</w:t>
        <w:br/>
        <w:t>1970,   p.  286.  La  propia  Convención  de  Viena  es,  en  esencia,   una</w:t>
        <w:br/>
        <w:t>codificación del  Derecho  internacional  preexistente,  y  por  ello  tiene</w:t>
        <w:br/>
        <w:t>efectos incluso para Estados que no lo han ratificado. Cfr. Harris,  D.  J.,</w:t>
        <w:br/>
        <w:t>Cases and materials on International Law, London, Sweet &amp; Maxwell, 1998,  p.</w:t>
        <w:br/>
        <w:t>765;  Van  Hoof,  G.J.H.,  Rethinking  the  sources  of  International  Law,</w:t>
        <w:br/>
        <w:t>Deventer, The Netherlands, Kluwer Law and  Taxation  Publishers,  1983,   n.</w:t>
        <w:br/>
        <w:t>464; en sentido semejante, Tunkin, Grigory, “Is  general  International  Law</w:t>
        <w:br/>
        <w:t>Customary Law only?”, European Journal of International Law,  vol.  4,   no.</w:t>
        <w:br/>
        <w:t>4, 1993,  pp.  534  y  ss.  En  cuanto  a  la  jurisprudencia  de  la  Corte</w:t>
        <w:br/>
        <w:t>Interamericana a propósito de la inoponibilidad  del  Derecho  interno  para</w:t>
        <w:br/>
        <w:t>cumplir obligaciones  internacionales,  cfr.  Responsabilidad  internacional</w:t>
        <w:br/>
        <w:t>por expedición y aplicación de leyes violatorias de la Convención  (arts.  1</w:t>
        <w:br/>
        <w:t>y 2 Convención Americana sobre Derechos  Humanos),  Opinión  Consultiva  OC-</w:t>
        <w:br/>
        <w:t>14/94 del 9 de diciembre de 1994.  Serie  A,  núm.  14,  párr.  35,  y  Caso</w:t>
        <w:br/>
        <w:t>Castillo Petruzzi y otros, Cumplimiento de sentencia,  17  de  noviembre  de</w:t>
        <w:br/>
        <w:t>1999, considerando 4.</w:t>
        <w:br/>
        <w:br/>
        <w:t>[228] Así, entre estos últimos,  el  Protocolo  a  la  Convención  Americana</w:t>
        <w:br/>
        <w:t>sobre Derechos Humanos relativo a la abolición de la pena de muerte,  del  8</w:t>
        <w:br/>
        <w:t>de  junio  de  1990,  y  el  Segundo   Protocolo   facultativo   del   Pacto</w:t>
        <w:br/>
        <w:t>Internacional de Derechos Civiles y Políticos, destinado a  abolir  la  pena</w:t>
        <w:br/>
        <w:t>de muerte, aprobado por la Asamblea General de  Naciones  Unidas  el  15  de</w:t>
        <w:br/>
        <w:t>diciembre de 1989.</w:t>
        <w:br/>
        <w:br/>
        <w:t>[229] Catorce  Estados  suscriptores  de  la  Convención  Americana  dejaron</w:t>
        <w:br/>
        <w:t>explícita constancia del deseo de abolir la pena de muerte, a través  de  un</w:t>
        <w:br/>
        <w:t>futuro  Protocolo  adicional  a  aquélla.  Cfr.  Conferencia   Especializada</w:t>
        <w:br/>
        <w:t>Interamericana sobre  Derechos  Humanos,  San  José,  Costa  Rica,  7-22  de</w:t>
        <w:br/>
        <w:t>noviembre de 1969, Actas y  Documentos,  OEA/Ser.K/XVI/1.2,  Washington,  D.</w:t>
        <w:br/>
        <w:t>C., 1973,  p. 467. La Corte hizo notar, en otra ocasión, que el  artículo  4</w:t>
        <w:br/>
        <w:t>del Pacto de San  José  “revela  una  inequívoca  tendencia  limitativa  del</w:t>
        <w:br/>
        <w:t>ámbito  de  (la)  pena  (de  muerte),  sea  en  su  imposición,  sea  en  su</w:t>
        <w:br/>
        <w:t>aplicación”; y que “(e)n esta materia, la Convención expresa una clara  nota</w:t>
        <w:br/>
        <w:t>de progresividad, consistente en que, sin llegar a decidir la  abolición  de</w:t>
        <w:br/>
        <w:t>la  pena  de  muerte,  adopta  las  disposiciones  requeridas  para  limitar</w:t>
        <w:br/>
        <w:t>definitivamente su aplicación  y  su  ámbito,  de  modo  que  éste  se  vaya</w:t>
        <w:br/>
        <w:t>reduciendo hasta su supresión final”. Restricciones  a  la  pena  de  muerte</w:t>
        <w:br/>
        <w:t>(artículos 4.2 y 4.4 Convención Americana sobre Derechos  Humanos).  Opinión</w:t>
        <w:br/>
        <w:t>Consultiva OC-3/83 del 8 de septiembre de 1983. Serie A, núm. 3,  párrs.  52</w:t>
        <w:br/>
        <w:t>y 57.</w:t>
        <w:br/>
        <w:br/>
        <w:t>[230] Dice Antonio Beristáin que la pena de muerte es un “tema  radical”  en</w:t>
        <w:br/>
        <w:t>el Derecho penal; influye  en  el  conjunto  del  sistema  y  en  todas  las</w:t>
        <w:br/>
        <w:t>decisiones que a este respecto se adopten. Cfr. “Pro y contra de  la  muerte</w:t>
        <w:br/>
        <w:t>en  la  política  criminal   contemporánea”,   en   Cuestiones   penales   y</w:t>
        <w:br/>
        <w:t>criminológicas, Madrid,  Reus, 1979,  p. 579.</w:t>
        <w:br/>
        <w:br/>
        <w:t>[231] “No es la crueldad de las penas uno de los más grandes frenos  de  los</w:t>
        <w:br/>
        <w:t>delitos,  sino la infalibilidad de ellas (...) La  certidumbre  del  castigo</w:t>
        <w:br/>
        <w:t>(...) hará siempre mayor impresión que el temor de otro más terrible,  unido</w:t>
        <w:br/>
        <w:t>con la esperanza de la impunidad”, enseñó,  más  de  dos  siglos  atrás,  el</w:t>
        <w:br/>
        <w:t>reformador César Beccaria, De los  delitos  y  de  las  penas,   trad.  Juan</w:t>
        <w:br/>
        <w:t>Antonio de las Casas, Madrid, Alianza Editorial, 1982,  pp. 71-72.</w:t>
        <w:br/>
        <w:br/>
        <w:t>[232] Cfr. Caso Genie Lacayo, Excepciones Preliminares, Sentencia de  27  de</w:t>
        <w:br/>
        <w:t>enero de 1995. Serie C, núm. 21, párr. 50</w:t>
        <w:br/>
        <w:br/>
        <w:t>[233] En la OC-13,  la  Corte  se  refirió  a  formas  de  violación  de  la</w:t>
        <w:br/>
        <w:t>Convención Americana: omitiendo dictar normas a las que  está  obligado  por</w:t>
        <w:br/>
        <w:t>el artículo 2º. de ese pacto, o dictando normas contrarias a la  Convención.</w:t>
        <w:br/>
        <w:t>Ciertas atribuciones de  la  Comisión  Interamericana  de  Derechos  Humanos</w:t>
        <w:br/>
        <w:t>(arts. 41, 42, 44, 46,  47,  50  y  51  de  la  Convención  Americana  sobre</w:t>
        <w:br/>
        <w:t>Derechos Humanos, Opinión Consultiva OC-13/93  del  16  de  julio  de  1993.</w:t>
        <w:br/>
        <w:t>Serie A, núm. 13, párr. 26. En la OC-14, el tribunal distinguió entre  leyes</w:t>
        <w:br/>
        <w:t>que no necesariamente afectan la esfera jurídica de  personas  determinadas,</w:t>
        <w:br/>
        <w:t>por  hallarse  sujetas  a  actos  normativos  posteriores,  cumplimiento  de</w:t>
        <w:br/>
        <w:t>condiciones  o  aplicación  por  funcionarios  del  Estado,  y   “leyes   de</w:t>
        <w:br/>
        <w:t>aplicación inmediata”, en las que “la violación  de  los  derechos  humanos,</w:t>
        <w:br/>
        <w:t>individual o colectiva, se produce por el  solo  hecho  de  su  expedición”.</w:t>
        <w:br/>
        <w:t>Responsabilidad  internacional  por  expedición  y   aplicación   de   leyes</w:t>
        <w:br/>
        <w:t>violatorias de la Convención (artículos 1º y 2º de la  Convención  Americana</w:t>
        <w:br/>
        <w:t>sobre Derechos Humanos). Opinión Consultiva OC-14/94 del 9 de  diciembre  de</w:t>
        <w:br/>
        <w:t>1994. Serie A,  núm. 14,  párrs. 41-43 y 49.  En  un  caso  contencioso,  el</w:t>
        <w:br/>
        <w:t>tribunal estimó que determinada norma penal que niega  a  una  categoría  de</w:t>
        <w:br/>
        <w:t>procesados ciertos derechos que concede a otros, “per se viola  el  artículo</w:t>
        <w:br/>
        <w:t>2º de la Convención Americana, independientemente de que haya sido  aplicada</w:t>
        <w:br/>
        <w:t>en el presente caso”.  Caso Suárez Rosero. Sentencia de 12 de  noviembre  de</w:t>
        <w:br/>
        <w:t>1997. Serie C, núm. 35,  párr.  98  y   punto  resolutivo  5.  En  el  mismo</w:t>
        <w:br/>
        <w:t>sentido, cfr. Caso Castillo Petruzzi y otros, Sentencia de  30  de  mayo  de</w:t>
        <w:br/>
        <w:t>1999. Serie C,  núm. 52, párr. 205.</w:t>
        <w:br/>
        <w:br/>
        <w:t>[234] No sobre recordar la enseñanza  que  a  este  respecto  suministra  el</w:t>
        <w:br/>
        <w:t>Derecho penal, con su propia técnica tutelar  de  bienes  jurídicos:  no  se</w:t>
        <w:br/>
        <w:t>sanciona solamente la privación de la vida, sino  también  la  tentativa  de</w:t>
        <w:br/>
        <w:t>suprimirla, y en algunos  casos  inclusive  el  acuerdo  o  la  conspiración</w:t>
        <w:br/>
        <w:t>(conspiracy) para hacerlo. La punición  aparece  en  diversos  momentos  del</w:t>
        <w:br/>
        <w:t>iter criminis.</w:t>
        <w:br/>
        <w:br/>
        <w:t>[235] En varios casos, el Comité de Derechos Humanos de Naciones  Unidas  ha</w:t>
        <w:br/>
        <w:t>determinado que se violó el derecho a la vida del condenado a  muerte   --no</w:t>
        <w:br/>
        <w:t>ejecutado todavía--  cuando la condena se dictó sin observar  las  garantías</w:t>
        <w:br/>
        <w:t>del debido proceso. Wright v. Jamaica, Communication No. 349/1989;  Simmonds</w:t>
        <w:br/>
        <w:t>v. Jamaica, Communication No. 338/1988;  Daniel  Monguya  Mbenge  v.  Zaire,</w:t>
        <w:br/>
        <w:t>Communication No. 16/1977; Little v. Jamaica, Communication No. 283/1988;  y</w:t>
        <w:br/>
        <w:t>Henry v. Jamaica, Communication No. 230/1987.</w:t>
        <w:br/>
        <w:br/>
        <w:t>[236] Beccaria, De los delitos y de las penas,  cit., p. 37. El mismo  autor</w:t>
        <w:br/>
        <w:t>advierte que la conminación de penas gravísimas para muchos  delitos,  acaba</w:t>
        <w:br/>
        <w:t>por impedir “la proporción esencial entre el delito y la pena”. Id., p.  73.</w:t>
        <w:br/>
        <w:t>En esta edición, anotada  por  Juan  Antonio  Delval,   se  recogen  algunas</w:t>
        <w:br/>
        <w:t>observaciones pertinentes de Montesquieu. En una de ellas, éste  expresa  su</w:t>
        <w:br/>
        <w:t>asombro por el hecho de que haya “ciento sesenta (acciones) que un acto  del</w:t>
        <w:br/>
        <w:t>Parlamento  ha  declarado  crímenes  capitales,  es  decir,  que  deben  ser</w:t>
        <w:br/>
        <w:t>castigados con la pena de muerte”, y en este  número  figuran  conductas  de</w:t>
        <w:br/>
        <w:t>muy desigual gravedad (Observations d’  un  voyageur  anglais  sur  Bicêtre,</w:t>
        <w:br/>
        <w:t>1788).</w:t>
        <w:br/>
        <w:br/>
        <w:t>[237] En torno a este punto, cfr. las opiniones  que  recoge  Rodley,  Nigel</w:t>
        <w:br/>
        <w:t>S.,  The treatment of prisoners under International Law,  Oxford  University</w:t>
        <w:br/>
        <w:t>Press, 2nd. ed.,  1999,  p. 219.</w:t>
        <w:br/>
        <w:br/>
        <w:t>[238] “Según  la intensidad de la afectación al bien jurídico los  tipos  se</w:t>
        <w:br/>
        <w:t>clasifican en fundamentales o básicos y calificados  (o  cualificados).  Los</w:t>
        <w:br/>
        <w:t>tipos fundamentales o básicos siempre lo son en relación con otros: son  los</w:t>
        <w:br/>
        <w:t>que sientan el concepto fundamental de  la  conducta  que  se  sanciona,  en</w:t>
        <w:br/>
        <w:t>tanto que los calificados  perfilan  una  modalidad  circunstanciada  más  o</w:t>
        <w:br/>
        <w:t>menos grave. Si es más grave,  por ser mayor  la  intensidad  de  afectación</w:t>
        <w:br/>
        <w:t>del bien o la antinormatividad (...)  será  calificado  agravado,  en  tanto</w:t>
        <w:br/>
        <w:t>que en el supuesto contrario será calificado  privilegiado”.  Zaffaroni,  E.</w:t>
        <w:br/>
        <w:t>Raúl, Tratado de Derecho penal, Parte  general,  Buenos  Aires,  EDIAR,   t.</w:t>
        <w:br/>
        <w:t>III, 1981.</w:t>
        <w:br/>
        <w:br/>
        <w:t>[239] Es aplicable, en buena medida, la reflexión de Ihering:  “Al  elemento</w:t>
        <w:br/>
        <w:t>objetivo del bien amenazado en la sociedad, se agrega por el delincuente  el</w:t>
        <w:br/>
        <w:t>elemento subjetivo del peligro que para aquélla constituye, en  razón  a  su</w:t>
        <w:br/>
        <w:t>voluntad de dañar y  al  procedimiento  que  ha  elegido  para  ejecutar  su</w:t>
        <w:br/>
        <w:t>delito. Todos los delincuentes culpables del mismo hecho  no  comprometen  a</w:t>
        <w:br/>
        <w:t>la  sociedad  en  igual  grado”.   El  fin  en  el  Derecho,  Buenos  Aires,</w:t>
        <w:br/>
        <w:t>Bibliográfica Omeba, 1960, p. 237.</w:t>
        <w:br/>
        <w:br/>
        <w:t>[240] “Tradicionalmente el parricidio ha sido considerado como el más  grave</w:t>
        <w:br/>
        <w:t>delito contra la vida, seguido del asesinato y el homicidio simple. Por  eso</w:t>
        <w:br/>
        <w:t>aparecen en este orden, de mayor  a  menor,  en  nuestros  códigos  penales”</w:t>
        <w:br/>
        <w:t>(alude a legislación española). Ortego Costales, José, Teoría  de  la  parte</w:t>
        <w:br/>
        <w:t>especial del Derecho penal, Salamanca, Ed. Dykinson, 1988,  p. 240.</w:t>
        <w:br/>
        <w:br/>
        <w:t>[241] Desde luego, no pretendo agotar los casos que pudieran  ser  invocados</w:t>
        <w:br/>
        <w:t>en este punto. En la exposición  de  estos  ejemplos  resumo  los  supuestos</w:t>
        <w:br/>
        <w:t>penales y omito detalles que extenderían innecesariamente las  descripciones</w:t>
        <w:br/>
        <w:t>aportadas y no modificarían el valor de aquéllos. Cito los ordenamientos  en</w:t>
        <w:br/>
        <w:t>los términos  en  que  figuran  en  las  publicaciones  con  que  cuenta  la</w:t>
        <w:br/>
        <w:t>Biblioteca de la Corte Interamericana-Instituto Interamericano  de  Derechos</w:t>
        <w:br/>
        <w:t>Humanos al tiempo  en  que  redacto  este  Voto  razonado.  Si  esos  textos</w:t>
        <w:br/>
        <w:t>hubieran sido modificados con posterioridad, las reformas no  afectarían  la</w:t>
        <w:br/>
        <w:t>esencia del problema ni la eficacia intrínseca de los ejemplos.</w:t>
        <w:br/>
        <w:br/>
        <w:t>[242] A este respecto, es interesante y significativa la sentencia en el</w:t>
        <w:br/>
        <w:t>caso Patrick Reyes v. The Queen, del 11 de marzo de 2002, asunto</w:t>
        <w:br/>
        <w:t>previamente conocido por la Corte de Apelaciones de Belice. Cfr., esp.,</w:t>
        <w:br/>
        <w:t>párrs. 29, 30, 32, 34, 36 y 40-43 de dicha resolución emitida por la</w:t>
        <w:br/>
        <w:t>justicia británica.</w:t>
        <w:br/>
        <w:br/>
        <w:t>[243] Esta ley de reforma fue aprobada por la Casa de Representantes  el  13</w:t>
        <w:br/>
        <w:t>de octubre de 2000 y por el Senado el 24 de los mismos mes y año, y  entrará</w:t>
        <w:br/>
        <w:t>en vigor cuando sea promulgada por el Presidente de la República.</w:t>
        <w:br/>
        <w:br/>
        <w:t>[244] Entre los elementos calificativos que agravan el homicidio y  extreman</w:t>
        <w:br/>
        <w:t>la pena, figuran: que la víctima sea miembro de las  fuerzas  de  seguridad,</w:t>
        <w:br/>
        <w:t>funcionario de prisión o funcionario judicial; que se prive  de  la  vida  a</w:t>
        <w:br/>
        <w:t>quien participa como testigo o jurado en un juicio criminal; que  el  delito</w:t>
        <w:br/>
        <w:t>se cometa con bombas o explosivos;  que se delinca  por  la  expectativa  de</w:t>
        <w:br/>
        <w:t>retribución; que la crueldad en la comisión del delito acredite  excepcional</w:t>
        <w:br/>
        <w:t>depravación; que se incurra en homicidio  por  motivos  de  raza,  religión,</w:t>
        <w:br/>
        <w:t>nacionalidad o país de origen, etcétera (secciones 4D y siguientes).</w:t>
        <w:br/>
        <w:br/>
        <w:t>[245] Cfr., por lo que toca a Jamaica, la Act to amend the Offences  against</w:t>
        <w:br/>
        <w:t>the Person Act (14 de octubre de 1992), que distingue entre capital  murder,</w:t>
        <w:br/>
        <w:t>punible con pena de muerte, y non-capital murder,  sancionable  con  prisión</w:t>
        <w:br/>
        <w:t>perpetua.</w:t>
        <w:br/>
        <w:br/>
        <w:t>[246] Así, en el Caso Neira Alegría y otros, Sentencia de 19 de enero de</w:t>
        <w:br/>
        <w:t>1995. Serie C,  núm. 20,  párr. 74.</w:t>
        <w:br/>
        <w:br/>
        <w:t>[247] En la OC-16, la Corte hizo ver que cuando  se  afectan  las  garantías</w:t>
        <w:br/>
        <w:t>del debido proceso legal, “la imposición de la  pena  de  muerte  constituye</w:t>
        <w:br/>
        <w:t>una violación del derecho a no ser privado de la vida ‘arbitrariamente’,  en</w:t>
        <w:br/>
        <w:t>los términos de las disposiciones relevantes de  los  tratados  de  derechos</w:t>
        <w:br/>
        <w:t>humanos (v.g. Convención Americana sobre Derechos Humanos, artículo  4º...),</w:t>
        <w:br/>
        <w:t>con  las  consecuencias  jurídicas  inherentes  a  una  violación  de   esta</w:t>
        <w:br/>
        <w:t>naturaleza, es decir, las atinentes a la responsabilidad  internacional  del</w:t>
        <w:br/>
        <w:t>Estado y al deber de reparación”. El  derecho  a  la  información  sobre  la</w:t>
        <w:br/>
        <w:t>asistencia consular. Opinión Consultiva OC-16/99 de 1 de  octubre  de  1999.</w:t>
        <w:br/>
        <w:t>Serie A,  núm. 16,  punto 7.</w:t>
        <w:br/>
        <w:br/>
        <w:t>[248] En Barren Roger  Thomas  and  Haniff  Hilaire  v.  Cipriani  Baptieste</w:t>
        <w:br/>
        <w:t>(Commissioner of Prisons), Evelyn Ann Peterson  (Registrar  of  the  Supreme</w:t>
        <w:br/>
        <w:t>Court) and  The Attorney General  of  Trinidad  and  Tobago,  Privy  Council</w:t>
        <w:br/>
        <w:t>Appeal No. 60 of 1998 (resolución del 27 de enero  de  1999),  ese  tribunal</w:t>
        <w:br/>
        <w:t>sostuvo: “Their  Lordships  declare  (...)  that  to  carry  out  the  death</w:t>
        <w:br/>
        <w:t>sentences imposed on the appellants  before  the  final  disposal  of  their</w:t>
        <w:br/>
        <w:t>respectives applications to the  Inter  American  Commission  and  Court  of</w:t>
        <w:br/>
        <w:t>Human Rights would be a breach of  their  constitutional  rights  and  orden</w:t>
        <w:br/>
        <w:t>that the carrying out of the said death sentences be stayed accordingly”.</w:t>
        <w:br/>
        <w:br/>
        <w:br/>
        <w:br/>
        <w:t>[249] Así lo ha señalado  la  Corte  en  el  Caso  Neira  Alegría  y  otros,</w:t>
        <w:br/>
        <w:t>Sentencia de 19 de enero de 1995. Serie  C,  núm.  20,   párr.  60,  que  se</w:t>
        <w:br/>
        <w:t>menciona en la sentencia a la que corresponde este Voto y en el que  también</w:t>
        <w:br/>
        <w:t>se alude al criterio del Comité de Derechos Humanos de Naciones  Unidas,  en</w:t>
        <w:br/>
        <w:t>Moriana Hernández Valenti de Bazzano vs.  Uruguay,   no.  5/1977  de  15  de</w:t>
        <w:br/>
        <w:t>agosto de 1979, párrs. 9-10.</w:t>
        <w:br/>
        <w:br/>
        <w:t>[250] Así  --y para referirme sólo  a  los  instrumentos  mejor  conocidos--</w:t>
        <w:br/>
        <w:t>mencionaré las Reglas Mínimas para el Tratamiento de los Reclusos  (Ginebra,</w:t>
        <w:br/>
        <w:t>1955), aprobadas por el Consejo Económico y Social de Naciones Unidas el  31</w:t>
        <w:br/>
        <w:t>de julio de 1957,  y reformadas el 13  de  mayo  de  1977,  el  Conjunto  de</w:t>
        <w:br/>
        <w:t>principios para la protección de todas las personas  sometidas  a  cualquier</w:t>
        <w:br/>
        <w:t>forma de detención o prisión, adoptado por la Asamblea General  de  Naciones</w:t>
        <w:br/>
        <w:t>Unidas el 9 de diciembre de 1988 (Res. 43/173),  y  los  Principios  básicos</w:t>
        <w:br/>
        <w:t>para el tratamiento de los reclusos, adoptados por la  Asamblea  General  de</w:t>
        <w:br/>
        <w:t>Naciones Unidas el 14 de diciembre de 1990 (Res. 45/111).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