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Godínez Cruz Vs. Honduras</w:t>
        <w:br/>
        <w:br/>
        <w:br/>
        <w:t xml:space="preserve">                      Sentencia de 21 de julio de 1989</w:t>
        <w:br/>
        <w:t xml:space="preserve">                           (Reparaciones y Costas)</w:t>
        <w:br/>
        <w:br/>
        <w:br/>
        <w:br/>
        <w:t>En el caso Godínez Cruz,</w:t>
        <w:br/>
        <w:br/>
        <w:t>la Corte Interamericana de Derechos Humanos, integrada  por  los  siguientes</w:t>
        <w:br/>
        <w:t>jueces:</w:t>
        <w:br/>
        <w:br/>
        <w:br/>
        <w:t xml:space="preserve">      Héctor Gros Espiell, Presidente</w:t>
        <w:br/>
        <w:t xml:space="preserve">      Héctor Fix-Zamudio, Vicepresidente</w:t>
        <w:br/>
        <w:t xml:space="preserve">      Rodolfo E. Piza E., Juez</w:t>
        <w:br/>
        <w:t xml:space="preserve">      Pedro Nikken, Juez</w:t>
        <w:br/>
        <w:t xml:space="preserve">      Rafael Nieto Navia, Juez</w:t>
        <w:br/>
        <w:t xml:space="preserve">      Rigoberto Espinal Irías, Juez ad hoc</w:t>
        <w:br/>
        <w:br/>
        <w:br/>
        <w:t>presente, además,</w:t>
        <w:br/>
        <w:br/>
        <w:br/>
        <w:t xml:space="preserve">            Manuel E. Ventura Robles, Secretario a.i.</w:t>
        <w:br/>
        <w:br/>
        <w:br/>
        <w:t>de acuerdo con  el  artículo  44.1  de  su  Reglamento  dicta  la  siguiente</w:t>
        <w:br/>
        <w:t>sentencia en relación con el artículo 63.1 de la Convención Americana  sobre</w:t>
        <w:br/>
        <w:t>Derechos Humanos (en adelante "la Convención" o "la Convención  Americana"),</w:t>
        <w:br/>
        <w:t>sobre el  presente  caso  introducido  por  la  Comisión  Interamericana  de</w:t>
        <w:br/>
        <w:t>Derechos Humanos contra el Estado  de  Honduras  y  en  cumplimiento  de  la</w:t>
        <w:br/>
        <w:t>sentencia sobre el fondo de 20 de enero de 1989.</w:t>
        <w:br/>
        <w:br/>
        <w:t>1.    Este caso fue sometido a la Corte Interamericana de  Derechos  Humanos</w:t>
        <w:br/>
        <w:t>(en adelante "la Corte") por la Comisión Interamericana de Derechos  Humanos</w:t>
        <w:br/>
        <w:t>(en adelante "la Comisión") el 24 de abril  de  1986.   Se  originó  en  una</w:t>
        <w:br/>
        <w:t>denuncia (No. 8097) contra el Estado de Honduras (en adelante  "Honduras"  o</w:t>
        <w:br/>
        <w:t>"el Gobierno"), recibida en la Secretaría de la Comisión el 9 de octubre  de</w:t>
        <w:br/>
        <w:t>1982.</w:t>
        <w:br/>
        <w:br/>
        <w:t>2.    En su sentencia sobre el fondo de 20 de enero de 1989, la Corte</w:t>
        <w:br/>
        <w:br/>
        <w:t xml:space="preserve">     5.     Decide  que  Honduras  está  obligada   a   pagar   una   justa</w:t>
        <w:br/>
        <w:t xml:space="preserve">     indemnización compensatoria a los familiares de la víctima.</w:t>
        <w:br/>
        <w:br/>
        <w:br/>
        <w:t xml:space="preserve">     6.    Decide que la forma y la cuantía  de  esta  indemnización  serán</w:t>
        <w:br/>
        <w:t xml:space="preserve">     fijadas por la Corte en caso  de  que  el  Estado  de  Honduras  y  la</w:t>
        <w:br/>
        <w:t xml:space="preserve">     Comisión no se pongan de acuerdo al respecto en  un  período  de  seis</w:t>
        <w:br/>
        <w:t xml:space="preserve">     meses contados a partir de la fecha de esta sentencia, y deja abierto,</w:t>
        <w:br/>
        <w:t xml:space="preserve">     para ese efecto, el procedimiento.</w:t>
        <w:br/>
        <w:br/>
        <w:br/>
        <w:t xml:space="preserve">     (Caso Godínez Cruz, Sentencia de 20 de enero de 1989.  Serie C No.  5,</w:t>
        <w:br/>
        <w:t xml:space="preserve">     párr. 203).</w:t>
        <w:br/>
        <w:br/>
        <w:br/>
        <w:t xml:space="preserve">                                      I</w:t>
        <w:br/>
        <w:br/>
        <w:t>3.     La  Corte  es  competente  para  disponer  el  pago  de   una   justa</w:t>
        <w:br/>
        <w:t>indemnización a la parte lesionada  en  el  presente  caso  porque  Honduras</w:t>
        <w:br/>
        <w:t>ratificó la Convención el 8 de septiembre  de  1977  y  depositó,  el  9  de</w:t>
        <w:br/>
        <w:t>septiembre de 1981, el  instrumento  de  reconocimiento  de  la  competencia</w:t>
        <w:br/>
        <w:t>contenciosa de la Corte a que se refiere el artículo 62  de  la  Convención.</w:t>
        <w:br/>
        <w:t>El caso fue elevado  a  la  Corte  por  la  Comisión,  de  acuerdo  con  los</w:t>
        <w:br/>
        <w:t>artículos 61 de la Convención y 50.1 y 50.2 de su Reglamento y  fallado  por</w:t>
        <w:br/>
        <w:t>la Corte el 20 de enero de 1989.</w:t>
        <w:br/>
        <w:br/>
        <w:br/>
        <w:t xml:space="preserve">                                     II</w:t>
        <w:br/>
        <w:br/>
        <w:t>4.    Por resolución de 20 de enero de 1989 la Corte resolvió:</w:t>
        <w:br/>
        <w:br/>
        <w:t xml:space="preserve">      1.    Autorizar al Presidente para que, en consulta  con  la  Comisión</w:t>
        <w:br/>
        <w:t xml:space="preserve">      Permanente de la Corte, inicie los estudios y designe los expertos que</w:t>
        <w:br/>
        <w:t xml:space="preserve">      considere convenientes, con el fin de que  la  Corte  cuente  con  los</w:t>
        <w:br/>
        <w:t xml:space="preserve">      elementos de juicio necesarios para fijar la forma  y  cuantía  de  la</w:t>
        <w:br/>
        <w:t xml:space="preserve">      indemnización.</w:t>
        <w:br/>
        <w:br/>
        <w:br/>
        <w:t xml:space="preserve">      2.    Autorizar al Presidente para recabar el parecer al  respecto  de</w:t>
        <w:br/>
        <w:t xml:space="preserve">      los familiares  de  la  víctima,  de  la  Comisión  Interamericana  de</w:t>
        <w:br/>
        <w:t xml:space="preserve">      Derechos Humanos y del Gobierno de Honduras.</w:t>
        <w:br/>
        <w:br/>
        <w:br/>
        <w:t xml:space="preserve">      3.    Autorizar al Presidente para que,  si  fuere  necesario,  previa</w:t>
        <w:br/>
        <w:t xml:space="preserve">      consulta con la Comisión  Permanente  de  la  Corte,  convoque  a  una</w:t>
        <w:br/>
        <w:t xml:space="preserve">      audiencia sobre este asunto.</w:t>
        <w:br/>
        <w:br/>
        <w:br/>
        <w:t>5.    Los abogados acreditados como consejeros o  asesores  de  la  Comisión</w:t>
        <w:br/>
        <w:t>(en  adelante  "los  abogados")  solicitaron  a  la  Corte  convocar  a  una</w:t>
        <w:br/>
        <w:t>audiencia pública para presentar un informe de peritos psiquiatras sobre  la</w:t>
        <w:br/>
        <w:t>extensión del daño moral sufrido por los familiares de  la  víctima  y  para</w:t>
        <w:br/>
        <w:t>que uno de tales peritos explicara a la Corte el procedimiento  utilizado  y</w:t>
        <w:br/>
        <w:t>las conclusiones.</w:t>
        <w:br/>
        <w:br/>
        <w:t>6.    La señora Enmidida Escoto de Godínez, cónyuge de  Saúl  Godínez  Cruz,</w:t>
        <w:br/>
        <w:t>haciendo uso del numeral 2  de  la  resolución  de  20  de  enero  de  1989,</w:t>
        <w:br/>
        <w:t>presentó un escrito fechado el 26 de febrero de 1989 en el cual  solicita  a</w:t>
        <w:br/>
        <w:t>la Corte que ordene al Gobierno el cumplimiento de los siguientes puntos:</w:t>
        <w:br/>
        <w:br/>
        <w:t xml:space="preserve">      1)   El cese definitivo de la desapariciones forzadas en Honduras.</w:t>
        <w:br/>
        <w:br/>
        <w:br/>
        <w:t xml:space="preserve">      2)   La realización de una investigación sobre cada uno  de  los  150</w:t>
        <w:br/>
        <w:t xml:space="preserve">           casos.</w:t>
        <w:br/>
        <w:br/>
        <w:br/>
        <w:t xml:space="preserve">      3)   El otorgamiento público de un informe oficial, completo y veraz,</w:t>
        <w:br/>
        <w:t xml:space="preserve">           sobre la situación y destino de todos los desaparecidos.</w:t>
        <w:br/>
        <w:br/>
        <w:br/>
        <w:t xml:space="preserve">      4)   La ejecución de un juicio contra los responsables  de  llevar  a</w:t>
        <w:br/>
        <w:t xml:space="preserve">           cabo esta práctica y el correspondiente castigo.</w:t>
        <w:br/>
        <w:br/>
        <w:br/>
        <w:t xml:space="preserve">      5)   Un compromiso  público  y  oficial  de  que  se  respetarán  los</w:t>
        <w:br/>
        <w:t xml:space="preserve">           derechos humanos, particularmente  el  respeto  a  la  vida,  la</w:t>
        <w:br/>
        <w:t xml:space="preserve">           libertad y la integridad personal.</w:t>
        <w:br/>
        <w:br/>
        <w:br/>
        <w:t xml:space="preserve">      6)   Un reconocimiento público y oficial para honrar y dignificar  la</w:t>
        <w:br/>
        <w:t xml:space="preserve">           memoria  de  los  desaparecidos.   Una  calle,  un  parque,  una</w:t>
        <w:br/>
        <w:t xml:space="preserve">           escuela, un colegio, un hospital podrían llevar el nombre de las</w:t>
        <w:br/>
        <w:t xml:space="preserve">           víctimas de la desaparición.</w:t>
        <w:br/>
        <w:br/>
        <w:br/>
        <w:t xml:space="preserve">      7)   La desmovilización y desintegración de  los  cuerpos  represivos</w:t>
        <w:br/>
        <w:t xml:space="preserve">           que fueron  especialmente  creadas  para  secuestrar,  torturar,</w:t>
        <w:br/>
        <w:t xml:space="preserve">           desaparecer y asesinar personas.</w:t>
        <w:br/>
        <w:br/>
        <w:br/>
        <w:t xml:space="preserve">      8)   Garantías de respeto a la labor de los organismos humanitarios y</w:t>
        <w:br/>
        <w:t xml:space="preserve">           de familiares y reconocimiento público a la útil función  social</w:t>
        <w:br/>
        <w:t xml:space="preserve">           que cumplen.</w:t>
        <w:br/>
        <w:br/>
        <w:br/>
        <w:t xml:space="preserve">      9)   Cese de todas las formas de agresión  y  presiones,  abiertas  o</w:t>
        <w:br/>
        <w:t xml:space="preserve">           solapadas, ejercidas contra las familias de los desaparecidos  y</w:t>
        <w:br/>
        <w:t xml:space="preserve">           reconocimiento público de su honorabilidad.</w:t>
        <w:br/>
        <w:br/>
        <w:br/>
        <w:t xml:space="preserve">      10)  La creación de un fondo para la educación primaria, secundaria y</w:t>
        <w:br/>
        <w:t xml:space="preserve">           universitaria de los hijos de los desaparecidos.</w:t>
        <w:br/>
        <w:br/>
        <w:br/>
        <w:t xml:space="preserve">      11)  La garantía de un empleo para los hijos  de  los  desaparecidos,</w:t>
        <w:br/>
        <w:t xml:space="preserve">           que están en edad de trabajar.</w:t>
        <w:br/>
        <w:br/>
        <w:br/>
        <w:t xml:space="preserve">      12)  La creación de un fondo de pensiones  para  los  padres  de  los</w:t>
        <w:br/>
        <w:t xml:space="preserve">           desaparecidos.</w:t>
        <w:br/>
        <w:br/>
        <w:br/>
        <w:t>7.    En cumplimiento de lo dispuesto por la resolución de 20  de  enero  de</w:t>
        <w:br/>
        <w:t>1989, la Comisión presentó su  parecer  el  1  de  marzo  de  1989.   En  su</w:t>
        <w:br/>
        <w:t>opinión, la justa indemnización compensatoria que Honduras debe pagar a  los</w:t>
        <w:br/>
        <w:t>familiares de Saúl Godínez ha de comprender los siguientes aspectos:</w:t>
        <w:br/>
        <w:br/>
        <w:t xml:space="preserve">      1.   La adopción de medidas por parte  del  Estado  de  Honduras  que</w:t>
        <w:br/>
        <w:t xml:space="preserve">           expresen su enérgica condena  a  los  hechos  que  motivaron  la</w:t>
        <w:br/>
        <w:t xml:space="preserve">           sentencia  de  la  Corte.    En   particular,   deberá   dejarse</w:t>
        <w:br/>
        <w:t xml:space="preserve">           establecida la obligación del Gobierno de Honduras de investigar</w:t>
        <w:br/>
        <w:t xml:space="preserve">           exhaustivamente las circunstancias de la  desaparición  de  Saúl</w:t>
        <w:br/>
        <w:t xml:space="preserve">           Godínez y procesar a toda persona que  resulte  responsable  por</w:t>
        <w:br/>
        <w:t xml:space="preserve">           esta desaparición.</w:t>
        <w:br/>
        <w:br/>
        <w:br/>
        <w:t xml:space="preserve">      2.   El otorgamiento al cónyuge  e  hija  de  Saúl  Godínez,  de  los</w:t>
        <w:br/>
        <w:t xml:space="preserve">           siguientes beneficios copulativos:</w:t>
        <w:br/>
        <w:br/>
        <w:br/>
        <w:t xml:space="preserve">            a)   El pago de la más alta pensión vitalicia que existe  en  la</w:t>
        <w:br/>
        <w:t xml:space="preserve">                 actualidad en Honduras  para  la  viuda  de  Saúl  Godínez,</w:t>
        <w:br/>
        <w:t xml:space="preserve">                 señora Enmidida Escoto de Godínez.</w:t>
        <w:br/>
        <w:br/>
        <w:br/>
        <w:t xml:space="preserve">            b)   El pago de una pensión o de un subsidio hasta  concluir  la</w:t>
        <w:br/>
        <w:t xml:space="preserve">                 educación universitaria para la hija de Saúl Godínez:  Emma</w:t>
        <w:br/>
        <w:t xml:space="preserve">                 Patricia Godínez Escoto, y</w:t>
        <w:br/>
        <w:br/>
        <w:br/>
        <w:t xml:space="preserve">            c)    El  otorgamiento  en  propiedad  de  una  vivienda   digna</w:t>
        <w:br/>
        <w:t xml:space="preserve">                 equivalente a la que habita la familia de un profesional de</w:t>
        <w:br/>
        <w:t xml:space="preserve">                 clase media.</w:t>
        <w:br/>
        <w:br/>
        <w:br/>
        <w:t xml:space="preserve">      3.   El pago en favor del cónyuge e hija de Saúl Godínez de una cifra</w:t>
        <w:br/>
        <w:t xml:space="preserve">            de dinero al contado cuya cuantía deberá corresponder  al  daño</w:t>
        <w:br/>
        <w:t xml:space="preserve">            emergente,  lucro  cesante  y  daño  moral  sufrido   por   los</w:t>
        <w:br/>
        <w:t xml:space="preserve">            familiares de Saúl Godínez y cuyo monto deberá ser  determinado</w:t>
        <w:br/>
        <w:t xml:space="preserve">            por esa Ilustre Corte de acuerdo a  los  antecedentes  técnicos</w:t>
        <w:br/>
        <w:t xml:space="preserve">            que le presenten los representantes de  los  familiares  de  la</w:t>
        <w:br/>
        <w:t xml:space="preserve">            víctima.</w:t>
        <w:br/>
        <w:br/>
        <w:br/>
        <w:t>8.    Los abogados presentaron el 10 de marzo de 1989 un escrito en  el  que</w:t>
        <w:br/>
        <w:t>afirman que conforme al artículo 63 de la Convención la reparación debe  ser</w:t>
        <w:br/>
        <w:t>tanto ética como monetaria.</w:t>
        <w:br/>
        <w:br/>
        <w:t>Las medidas de reparación ética que solicitan son las siguientes:</w:t>
        <w:br/>
        <w:br/>
        <w:t xml:space="preserve">      -    Declaración pública de condena a la práctica de la  desaparición</w:t>
        <w:br/>
        <w:t xml:space="preserve">           forzada de personas llevada a cabo entre 1981 y 1984;</w:t>
        <w:br/>
        <w:br/>
        <w:br/>
        <w:t xml:space="preserve">      -    Expresión de solidaridad  con  las  víctimas  de  esa  práctica,</w:t>
        <w:br/>
        <w:t xml:space="preserve">           incluido Saúl Godínez.  Homenaje público  a  dichas  víctimas  a</w:t>
        <w:br/>
        <w:t xml:space="preserve">           través de la imposición de  sus  nombres  a  una  calle,  paseo,</w:t>
        <w:br/>
        <w:t xml:space="preserve">           escuela u otro lugar público;</w:t>
        <w:br/>
        <w:br/>
        <w:br/>
        <w:t xml:space="preserve">      -    Investigación exhaustiva del fenómeno de la desaparición forzada</w:t>
        <w:br/>
        <w:t xml:space="preserve">           de personas en Honduras, con especial atención a la  suerte  que</w:t>
        <w:br/>
        <w:t xml:space="preserve">           haya corrido cada uno  de  los  desaparecidos.   La  información</w:t>
        <w:br/>
        <w:t xml:space="preserve">           resultante debe hacerse conocer a los  familiares  y  ponerse  a</w:t>
        <w:br/>
        <w:t xml:space="preserve">           disposición del público;</w:t>
        <w:br/>
        <w:br/>
        <w:br/>
        <w:t xml:space="preserve">      -     Procesamiento  y  eventual   sanción   a   quienes   resultaran</w:t>
        <w:br/>
        <w:t xml:space="preserve">           responsables de instigar, planificar, implementar o encubrir las</w:t>
        <w:br/>
        <w:t xml:space="preserve">           desapariciones, conforme a las respectivas  responsabilidades  y</w:t>
        <w:br/>
        <w:t xml:space="preserve">           de conformidad con la legislación y procedimientos  vigentes  en</w:t>
        <w:br/>
        <w:t xml:space="preserve">           Honduras.</w:t>
        <w:br/>
        <w:br/>
        <w:br/>
        <w:br/>
        <w:t>En cuanto a la reparación monetaria manifestaron  que,  en  su  opinión,  la</w:t>
        <w:br/>
        <w:t>indemnización que debe pagar el Gobierno a la familia de Saúl  Godínez  debe</w:t>
        <w:br/>
        <w:t>comprender los siguientes rubros:  daño emergente, doscientos mil  lempiras;</w:t>
        <w:br/>
        <w:t>lucro cesante, dos millones ochenta y tres mil trescientos  ocho   lempiras;</w:t>
        <w:br/>
        <w:t>daño moral, cuatro millones quinientos sesenta y siete mil lempiras y  daños</w:t>
        <w:br/>
        <w:t>punitivos, dos millones doscientos ochenta y tres mil lempiras.</w:t>
        <w:br/>
        <w:br/>
        <w:t>Solicitan especialmente,</w:t>
        <w:br/>
        <w:br/>
        <w:t xml:space="preserve">      que se establezca que Enmidida Escoto de Godínez y su  hija  menor  de</w:t>
        <w:br/>
        <w:t xml:space="preserve">      edad, Emma Patricia Godínez Escoto, son las titulares de este crédito,</w:t>
        <w:br/>
        <w:t xml:space="preserve">      y que se  ordene  al  Gobierno  de  Honduras  adopte  una  legislación</w:t>
        <w:br/>
        <w:t xml:space="preserve">      especial  que  así  lo  determine,  para  facilitar  el  pago  de   la</w:t>
        <w:br/>
        <w:t xml:space="preserve">      indemnización sin necesidad de trámites judiciales de  declaración  de</w:t>
        <w:br/>
        <w:t xml:space="preserve">      ausencia, fallecimiento presunto o declaratoria de herederos.   A  tal</w:t>
        <w:br/>
        <w:t xml:space="preserve">      fin, por nuestro intermedio las personas aludidas declaran formalmente</w:t>
        <w:br/>
        <w:t xml:space="preserve">      que no existen otras personas con mejor derecho sucesorio respecto  de</w:t>
        <w:br/>
        <w:t xml:space="preserve">      Saúl Godínez.</w:t>
        <w:br/>
        <w:br/>
        <w:t>Además, en cuanto a la reparación  de  contenido  ético,  solicitan  que  la</w:t>
        <w:br/>
        <w:t>Corte establezca un calendario para que el Gobierno proceda  a  cumplir  con</w:t>
        <w:br/>
        <w:t>él, reservándose la Corte la competencia  para  verificar  su  cumplimiento.</w:t>
        <w:br/>
        <w:t>Sobre la reparación monetaria solicitan que se fije un "término de  90  días</w:t>
        <w:br/>
        <w:t>a partir de que quede firme y ejecutoriada la sentencia, y que  el  pago  se</w:t>
        <w:br/>
        <w:t>haga efectivo antes de tal vencimiento en una suma única, en la  persona  de</w:t>
        <w:br/>
        <w:t>Enmidida Escoto de Godínez".</w:t>
        <w:br/>
        <w:br/>
        <w:t>9.    El 10 de marzo de 1989 el Delegado de la Comisión acompañó un  informe</w:t>
        <w:br/>
        <w:t>clínico elaborado por un equipo de médicos psiquiatras sobre  el  estado  de</w:t>
        <w:br/>
        <w:t>salud de los familiares de Saúl Godínez Cruz.</w:t>
        <w:br/>
        <w:br/>
        <w:t>10.   El Agente comunicó a la Corte el 14 de marzo  de  1989  que,  para  el</w:t>
        <w:br/>
        <w:t>pago de la indemnización, su Gobierno estaba  dispuesto  a  aplicar  la  ley</w:t>
        <w:br/>
        <w:t>hondureña del Instituto Nacional de Previsión  del  Magisterio,  considerada</w:t>
        <w:br/>
        <w:t>como la más beneficiosa para el caso ya que establece el derecho al pago  de</w:t>
        <w:br/>
        <w:t>catorce mil ochocientos sesenta y tres lempiras  con  cincuenta  centésimos,</w:t>
        <w:br/>
        <w:t>que incluye el pago de 36 salarios  mensuales  más  un  70  por  ciento  por</w:t>
        <w:br/>
        <w:t>beneficio de separación.  Además, el Gobierno  ofreció  una  suma  adicional</w:t>
        <w:br/>
        <w:t>como liberalidad del Gobierno, hasta completar sesenta  mil  lempiras  "todo</w:t>
        <w:br/>
        <w:t>de acuerdo con la Ley de Jubilaciones y Pensiones de los Maestros,  por  ser</w:t>
        <w:br/>
        <w:t>'GODINEZ CRUZ' participante de este sistema".</w:t>
        <w:br/>
        <w:br/>
        <w:t>11.   El 15 de marzo de 1989 la Corte celebró una audiencia pública  con  el</w:t>
        <w:br/>
        <w:t>propósito de escuchar el  parecer  de  las  partes  sobre  la  indemnización</w:t>
        <w:br/>
        <w:t>decretada por el Tribunal.</w:t>
        <w:br/>
        <w:br/>
        <w:t>Comparecieron ante la Corte</w:t>
        <w:br/>
        <w:br/>
        <w:t>a)    por el Gobierno de Honduras:</w:t>
        <w:br/>
        <w:br/>
        <w:t xml:space="preserve">      Embajador Edgardo Sevilla Idiáquez, Agente</w:t>
        <w:br/>
        <w:br/>
        <w:t>b)    por la Comisión Interamericana de Derechos Humanos:</w:t>
        <w:br/>
        <w:br/>
        <w:t xml:space="preserve">      Dr. Edmundo Vargas Carreño, Delegado</w:t>
        <w:br/>
        <w:t xml:space="preserve">      Dr. Claudio Grossman, Asesor</w:t>
        <w:br/>
        <w:br/>
        <w:t>c)    a solicitud de la Comisión el doctor en  Psiquiatría  Federico  Allodi</w:t>
        <w:br/>
        <w:t xml:space="preserve">      declaró sobre la extensión del daño moral sufrido por  los  familiares</w:t>
        <w:br/>
        <w:t xml:space="preserve">      de la víctima.</w:t>
        <w:br/>
        <w:br/>
        <w:t>12.   La Secretaría de la Corte, siguiendo instrucciones del Presidente,  se</w:t>
        <w:br/>
        <w:t>dirigió al Gobierno el 3 de  abril  de  1989  para  solicitar  la  siguiente</w:t>
        <w:br/>
        <w:t>información   debidamente   certificada   por   los   registros    oficiales</w:t>
        <w:br/>
        <w:t>correspondientes:</w:t>
        <w:br/>
        <w:br/>
        <w:t xml:space="preserve">      1.    Fecha de nacimiento de Manfredo Godínez Cruz y de  Saúl  Godínez</w:t>
        <w:br/>
        <w:t xml:space="preserve">      Cruz, con sus calidades al momento de su desaparición  de  conformidad</w:t>
        <w:br/>
        <w:t xml:space="preserve">      con la legislación hondureña;</w:t>
        <w:br/>
        <w:br/>
        <w:br/>
        <w:t xml:space="preserve">      2.    Posición o posiciones que ocupaban y salarios u  otros  ingresos</w:t>
        <w:br/>
        <w:t xml:space="preserve">      que devengaban, tanto si con el Gobierno o  entidades  gubernamentales</w:t>
        <w:br/>
        <w:t xml:space="preserve">      como si con instituciones privadas,  junto  con  su  situación  en  el</w:t>
        <w:br/>
        <w:t xml:space="preserve">      sistema de seguridad social o  equivalente,  y  sus  declaraciones  de</w:t>
        <w:br/>
        <w:t xml:space="preserve">      impuesto sobre la renta, si las hubiere;</w:t>
        <w:br/>
        <w:br/>
        <w:br/>
        <w:t xml:space="preserve">      3.    Preparación académica o profesional o calificaciones  especiales</w:t>
        <w:br/>
        <w:t xml:space="preserve">      que permitan determinar su situación económica y social en el  momento</w:t>
        <w:br/>
        <w:t xml:space="preserve">      de su desaparición, así como certificación de cualesquiera propiedades</w:t>
        <w:br/>
        <w:t xml:space="preserve">      a su nombre;</w:t>
        <w:br/>
        <w:br/>
        <w:br/>
        <w:t xml:space="preserve">      4.    Nombres y calidades de sus esposas; y, en su caso, concubinas si</w:t>
        <w:br/>
        <w:t xml:space="preserve">      las tuvieran y aparecieran registradas  en  algún  documento  oficial;</w:t>
        <w:br/>
        <w:t xml:space="preserve">      edades de unas u otras a la fecha de las desapariciones; bienes  a  su</w:t>
        <w:br/>
        <w:t xml:space="preserve">      nombre u otros ingresos conocidos, y derechos de las  primeras  en  la</w:t>
        <w:br/>
        <w:t xml:space="preserve">      sociedad conyugal (gananciales u otros);</w:t>
        <w:br/>
        <w:br/>
        <w:br/>
        <w:t xml:space="preserve">      5.    Nombres y calidades de sus hijos, tanto matrimoniales como extra</w:t>
        <w:br/>
        <w:t xml:space="preserve">      matrimoniales si los hubiere; edades de los mismos en la fecha de  las</w:t>
        <w:br/>
        <w:t xml:space="preserve">      desapariciones; si eran  estudiantes  o  no,  y  si  alguno  de  ellos</w:t>
        <w:br/>
        <w:t xml:space="preserve">      aparecía o aparece como incapacitado física o mentalmente;</w:t>
        <w:br/>
        <w:br/>
        <w:br/>
        <w:t xml:space="preserve">      6.    Nombres y calidades de sus padres, edades de los  mismos  en  la</w:t>
        <w:br/>
        <w:t xml:space="preserve">      fecha de las desapariciones; si  poseían  o  poseen  bienes  o  rentas</w:t>
        <w:br/>
        <w:t xml:space="preserve">      propias,  y  si  aparecían  o  aparecen  como  dependientes   de   los</w:t>
        <w:br/>
        <w:t xml:space="preserve">      desaparecidos;</w:t>
        <w:br/>
        <w:br/>
        <w:br/>
        <w:t xml:space="preserve">      7.    Nombres, calidades, edades y  situación  de  cualesquiera  otros</w:t>
        <w:br/>
        <w:t xml:space="preserve">      causahabientes de conformidad con  la  legislación  hondureña,  en  el</w:t>
        <w:br/>
        <w:t xml:space="preserve">      momento  de  las  desapariciones,  inclusive  cualquier  otra  persona</w:t>
        <w:br/>
        <w:t xml:space="preserve">      declarada como dependiente suyo en los documentos de seguro social, de</w:t>
        <w:br/>
        <w:t xml:space="preserve">      impuesto  sobre  la  renta  u  otros  en  que  se  haga  constar   esa</w:t>
        <w:br/>
        <w:t xml:space="preserve">      circunstancia;</w:t>
        <w:br/>
        <w:br/>
        <w:br/>
        <w:t xml:space="preserve">      8.    Si  los  desaparecidos  tenían  algún  seguro  de  vida  u  otro</w:t>
        <w:br/>
        <w:t xml:space="preserve">      personal, por qué monto y, en su caso,  plazo  y  quiénes  fueran  sus</w:t>
        <w:br/>
        <w:t xml:space="preserve">      beneficiarios;</w:t>
        <w:br/>
        <w:br/>
        <w:br/>
        <w:t xml:space="preserve">      9.    Tablas de mortalidad y de conmutación (éstas utilizadas para los</w:t>
        <w:br/>
        <w:t xml:space="preserve">      descuentos de rentas futuras por pronto pago) vigentes en Honduras  en</w:t>
        <w:br/>
        <w:t xml:space="preserve">      la época de las desapariciones y  actualmente,  para  hombres  y  para</w:t>
        <w:br/>
        <w:t xml:space="preserve">      mujeres;</w:t>
        <w:br/>
        <w:br/>
        <w:br/>
        <w:t xml:space="preserve">      10.   Certificación  de  la  legislación  hondureña  respecto  de:  a)</w:t>
        <w:br/>
        <w:t xml:space="preserve">      herederos legítimos conforme a las legislaciones civil  y  labora;  b)</w:t>
        <w:br/>
        <w:t xml:space="preserve">      derechos de los  cónyuges  en  la  sociedad  conyugal  (gananciales  u</w:t>
        <w:br/>
        <w:t xml:space="preserve">      otros);  c)  derechohabientes  alimenticios,  con  indicación  de  los</w:t>
        <w:br/>
        <w:t xml:space="preserve">      criterios legales para fijar a su favor una pensión; d)  beneficiarios</w:t>
        <w:br/>
        <w:t xml:space="preserve">      de  cualquier  régimen  oficial  de  pensiones  por  fallecimiento   o</w:t>
        <w:br/>
        <w:t xml:space="preserve">      incapacidad permanente; e) criterios establecidos por la legislación y</w:t>
        <w:br/>
        <w:t xml:space="preserve">      por la jurisprudencia hondureñas sobre indemnizaciones  por  causa  de</w:t>
        <w:br/>
        <w:t xml:space="preserve">      muerte, accidental y no accidental.</w:t>
        <w:br/>
        <w:br/>
        <w:br/>
        <w:t>13.   El 26 de abril de 1989 el Gobierno presentó un  escrito  que  contiene</w:t>
        <w:br/>
        <w:t>observaciones al de la Comisión de 1  de  marzo  de  1989  (supra  7).   Tal</w:t>
        <w:br/>
        <w:t>escrito se refiere, además, a aspectos que, en su opinión,  debe  comprender</w:t>
        <w:br/>
        <w:t>la indemnización compensatoria a los familiares de Saúl Godínez.  Acerca  de</w:t>
        <w:br/>
        <w:t>la adopción de medidas que expresen su censura a los  hechos  que  motivaron</w:t>
        <w:br/>
        <w:t>su condena por la Corte y a su obligación de investigar la  desaparición  de</w:t>
        <w:br/>
        <w:t>Saúl Godínez y procesar a toda persona responsable por su  desaparición,  el</w:t>
        <w:br/>
        <w:t>Gobierno considera que la sentencia de la Corte de 20 de enero de  1989  "es</w:t>
        <w:br/>
        <w:t>muy clara y precisa en lo que concierne a la obligación  de  indemnizar  que</w:t>
        <w:br/>
        <w:t>impuso a Honduras que es la de pagar una justa  indemnización  compensatoria</w:t>
        <w:br/>
        <w:t>a los familiares de la víctima, y nada más" (subrayado en el original).   En</w:t>
        <w:br/>
        <w:t>cuanto a los beneficios que la Comisión cree que deben pagarse a la  cónyuge</w:t>
        <w:br/>
        <w:t>de Saúl Godínez, el Gobierno considera que tal pago "sólo  es  admisible  en</w:t>
        <w:br/>
        <w:t>lo que disponga a ese efecto el régimen respectivo  al  que  hubiese  estado</w:t>
        <w:br/>
        <w:t>afiliado el señor GODINEZ CRUZ".  Sobre el pago del  daño  emergente,  lucro</w:t>
        <w:br/>
        <w:t>cesante y daño moral opina que es inadmisible porque  el  propósito  de  los</w:t>
        <w:br/>
        <w:t>mismos "no es simplemente el resarcimiento de daños  a  la  familia  GODINEZ</w:t>
        <w:br/>
        <w:t>CRUZ, sino. .  .  pagar  los  gastos  de  la  intensa  campaña  publicitaria</w:t>
        <w:br/>
        <w:t>desplegada en contra de Honduras dentro y  fuera  del  país  auspiciada  por</w:t>
        <w:br/>
        <w:t>asociaciones nacionales y extranjeras, así como sufragar los  honorarios  de</w:t>
        <w:br/>
        <w:t>los abogados y de otros profesionales que han cooperado con la  Comisión  en</w:t>
        <w:br/>
        <w:t>este caso".</w:t>
        <w:br/>
        <w:br/>
        <w:t>14.   En respuesta al punto 2 de la comunicación que la Corte le dirigió  el</w:t>
        <w:br/>
        <w:t>3 de abril de 1989 (supra 12), el Gobierno presentó el 19 de  mayo  de  1989</w:t>
        <w:br/>
        <w:t>diversos oficios y acuerdos que contienen información de la  solicitada  por</w:t>
        <w:br/>
        <w:t>la Corte.</w:t>
        <w:br/>
        <w:br/>
        <w:t>15.   En esa misma fecha, en respuesta al  punto  1  de  dicha  comunicación</w:t>
        <w:br/>
        <w:t>(supra 12), el Gobierno presentó copia de la certificación de nacimiento  de</w:t>
        <w:br/>
        <w:t>Saúl Godínez Cruz.</w:t>
        <w:br/>
        <w:br/>
        <w:t>16.   En contestación a los puntos 2 y 9, el  Gobierno  presentó  el  26  de</w:t>
        <w:br/>
        <w:t>mayo de 1989 la siguiente información:</w:t>
        <w:br/>
        <w:br/>
        <w:t xml:space="preserve">       a)    Certificación  del  Secretario  de  la  Dirección  General   de</w:t>
        <w:br/>
        <w:t xml:space="preserve">           Tributación  según  la  cual  los  señores   MANFREDO   VELASQUEZ</w:t>
        <w:br/>
        <w:t xml:space="preserve">           RODRIGUEZ Y SAUL GODINEZ CRUZ no  presentaron  declaraciones  del</w:t>
        <w:br/>
        <w:t xml:space="preserve">           impuesto sobre la renta en los años 1979, 1980 y 1981.</w:t>
        <w:br/>
        <w:br/>
        <w:br/>
        <w:t xml:space="preserve">       b)   Tablas de  Mortalidad  CSO  1958,  valores  conmutativos  al  7%</w:t>
        <w:br/>
        <w:t xml:space="preserve">           utilizados por la Superintendencia de Bancos y Seguros.</w:t>
        <w:br/>
        <w:br/>
        <w:t>17.   En esa  misma  fecha,  en  cumplimiento  del  punto  10,  el  Gobierno</w:t>
        <w:br/>
        <w:t>presentó la siguiente documentación:</w:t>
        <w:br/>
        <w:br/>
        <w:t xml:space="preserve">       1.   Disposiciones legales sobre la Sucesión por causa de muerte y de</w:t>
        <w:br/>
        <w:t xml:space="preserve">           las Donaciones entre vivos, contenidas en el Libro III del Código</w:t>
        <w:br/>
        <w:t xml:space="preserve">           Civil de Honduras de 1906.</w:t>
        <w:br/>
        <w:br/>
        <w:br/>
        <w:t xml:space="preserve">       2.    Disposiciones  reglamentarias  de  la  Ley  del  Seguro  Social</w:t>
        <w:br/>
        <w:t xml:space="preserve">           aplicables en Honduras  en  el  caso  de  muerte  de  la  persona</w:t>
        <w:br/>
        <w:t xml:space="preserve">           asegurada (Acuerdo No. 193 del 17 de diciembre de 1971).</w:t>
        <w:br/>
        <w:br/>
        <w:br/>
        <w:t xml:space="preserve">       3.   Disposiciones legales del Código de Familia:   Deberes  Derechos</w:t>
        <w:br/>
        <w:t xml:space="preserve">           que nacen del matrimonio,  Unión  de  Hecho,  Régimen  Económico,</w:t>
        <w:br/>
        <w:t xml:space="preserve">           Patrimonio Familiar, Paternidad y Filiación (Decreto No. 76-84).</w:t>
        <w:br/>
        <w:br/>
        <w:br/>
        <w:t xml:space="preserve">       4.   Disposiciones de la Ley de Previsión Militar (Decreto No. 905).</w:t>
        <w:br/>
        <w:br/>
        <w:br/>
        <w:t xml:space="preserve">       5.   Ley de Jubilaciones para el Ramo de Justicia  (Decreto  No.  114</w:t>
        <w:br/>
        <w:t xml:space="preserve">           del Congreso Nacional emitido el 5 de mayo de 1954).</w:t>
        <w:br/>
        <w:br/>
        <w:br/>
        <w:t xml:space="preserve">       6.   Ley de Jubilaciones y Pensiones de los Empleados y  Funcionarios</w:t>
        <w:br/>
        <w:t xml:space="preserve">           del Poder Ejecutivo.</w:t>
        <w:br/>
        <w:br/>
        <w:br/>
        <w:t xml:space="preserve">       7.   Ley del Instituto Nacional de Previsión del Magisterio.</w:t>
        <w:br/>
        <w:br/>
        <w:br/>
        <w:br/>
        <w:t>18.   Con referencia a información aún faltante  de  la  solicitada  por  la</w:t>
        <w:br/>
        <w:t>Corte, el Gobierno manifestó el 13 de junio de 1989 que</w:t>
        <w:br/>
        <w:br/>
        <w:t xml:space="preserve">       ... ha enviado notas a diferentes instituciones, de las cuales se han</w:t>
        <w:br/>
        <w:t xml:space="preserve">       recibido pocas respuestas, sin embargo y a pesar de las dificultades,</w:t>
        <w:br/>
        <w:t xml:space="preserve">       oportunamente se harán llegar los documentos que  atendiendo  nuestra</w:t>
        <w:br/>
        <w:t xml:space="preserve">       solicitud se vayan proporcionando.</w:t>
        <w:br/>
        <w:br/>
        <w:br/>
        <w:t xml:space="preserve">       Asimismo, hago de su conocimiento además, que lo concerniente  a  los</w:t>
        <w:br/>
        <w:t xml:space="preserve">       números 4, 5 y 6 de la ya referida nota de esa  Honorable  Corte,  mi</w:t>
        <w:br/>
        <w:t xml:space="preserve">       Gobierno considera  que  existen  algunos  documentos  imposibles  de</w:t>
        <w:br/>
        <w:t xml:space="preserve">       remitirlos ya que son de carácter sumamente personal;  razón  por  la</w:t>
        <w:br/>
        <w:t xml:space="preserve">       cual sugiere que esta información le corresponde proporcionarla a  la</w:t>
        <w:br/>
        <w:t xml:space="preserve">       Comisión  Interamericana  o  a  los  representantes  legales  de  los</w:t>
        <w:br/>
        <w:t xml:space="preserve">       demandantes del Estado de Honduras.</w:t>
        <w:br/>
        <w:br/>
        <w:t>19.   Se recibieron escritos en calidad de amici  curiae  de  la  Asociación</w:t>
        <w:br/>
        <w:t>Centroamericana de Familiares de  Detenidos-Desaparecidos  y  otro  suscrito</w:t>
        <w:br/>
        <w:t>por  los  siguientes  doce  juristas:   Jean-Denis  Archambault,   Alejandro</w:t>
        <w:br/>
        <w:t>Artucio, Alfredo Etcheberry, Gustavo Gallón  Giraldo,  Diego  García  Sayán,</w:t>
        <w:br/>
        <w:t>Alejandro M. Garro, Robert K. Goldman, Jorge Mera,  Denis  Racicot,  Joaquín</w:t>
        <w:br/>
        <w:t>Ruiz Giménez, Arturo Valencia Zea y Eugenio Raúl Zaffaroni.</w:t>
        <w:br/>
        <w:br/>
        <w:br/>
        <w:t xml:space="preserve">                                     III</w:t>
        <w:br/>
        <w:br/>
        <w:t>20.   De acuerdo con el punto resolutivo número 6 de la sentencia  sobre  el</w:t>
        <w:br/>
        <w:t>fondo dictada el 20 de enero de 1989, la Corte debe decidir sobre  la  forma</w:t>
        <w:br/>
        <w:t>y cuantía de la  indemnización compensatoria que el Gobierno  está  obligado</w:t>
        <w:br/>
        <w:t>a pagar a los familiares de Saúl Godínez Cruz.  (Caso  Godínez  Cruz,  supra</w:t>
        <w:br/>
        <w:t>2).</w:t>
        <w:br/>
        <w:br/>
        <w:br/>
        <w:br/>
        <w:br/>
        <w:br/>
        <w:t xml:space="preserve">                                     IV</w:t>
        <w:br/>
        <w:br/>
        <w:br/>
        <w:t>21.   Los distintos planteamientos formulados por las partes ante la  Corte,</w:t>
        <w:br/>
        <w:t>tanto por escrito como en la audiencia,  muestran  sustanciales  diferencias</w:t>
        <w:br/>
        <w:t>de criterio en cuanto a la extensión, bases y  monto  de  la  indemnización.</w:t>
        <w:br/>
        <w:t>Algunos de esos planteamientos hacen referencia a la necesidad  de  utilizar</w:t>
        <w:br/>
        <w:t>el derecho interno hondureño o parte de él en la determinación o  aplicación</w:t>
        <w:br/>
        <w:t>de la misma.</w:t>
        <w:br/>
        <w:br/>
        <w:t>22.   En presencia de tales desacuerdos y en cumplimiento  de  la  sentencia</w:t>
        <w:br/>
        <w:t>sobre el fondo de 20  de  enero  de  1989,  corresponde  ahora  a  la  Corte</w:t>
        <w:br/>
        <w:t>precisar  los  alcances  y  el   contenido   de   la   justa   indemnización</w:t>
        <w:br/>
        <w:t>compensatoria que debe pagar el Gobierno a los familiares de Saúl Godínez.</w:t>
        <w:br/>
        <w:br/>
        <w:t>23.   Es un principio de Derecho internacional,  que  la  jurisprudencia  ha</w:t>
        <w:br/>
        <w:t>considerado "incluso una concepción general de derecho", que toda  violación</w:t>
        <w:br/>
        <w:t>a una obligación internacional que haya producido un daño comporta el  deber</w:t>
        <w:br/>
        <w:t>de repararlo adecuadamente.  La indemnización, por su parte,  constituye  la</w:t>
        <w:br/>
        <w:t>forma más usual de hacerlo (Factory at Chorzów, Jurisdiction,  Judgment  No.</w:t>
        <w:br/>
        <w:t>8, 1927, P.C.I.J., Series A, No. 9, pág. 21 y Factory  at  Chorzów,  Merits,</w:t>
        <w:br/>
        <w:t>Judgment No. 13, 1928, P.C.I.J., Series A, No. 17, pág. 29;  Reparation  for</w:t>
        <w:br/>
        <w:t>Injuries Suffered in the Service of the United  Nations,  Advisory  Opinion,</w:t>
        <w:br/>
        <w:t>I.C.J. Reports 1949, pág. 184).</w:t>
        <w:br/>
        <w:br/>
        <w:t>24.   La reparación del daño ocasionado por la infracción de una  obligación</w:t>
        <w:br/>
        <w:t>internacional consiste en la plena restitución (restitutio in integrum),  lo</w:t>
        <w:br/>
        <w:t>que incluye el restablecimiento de la situación anterior y la reparación  de</w:t>
        <w:br/>
        <w:t>las consecuencias que la infracción produjo y el pago de  una  indemnización</w:t>
        <w:br/>
        <w:t>como  compensación  por  los  daños   patrimoniales   y   extrapatrimoniales</w:t>
        <w:br/>
        <w:t>incluyendo el daño moral.</w:t>
        <w:br/>
        <w:br/>
        <w:t>25.   En lo que se refiere al daño moral,  la  Corte  declara  que  éste  es</w:t>
        <w:br/>
        <w:t>resarcible según el Derecho internacional y, en particular, en los casos  de</w:t>
        <w:br/>
        <w:t>violación de los derechos humanos.  Su  liquidación  debe  ajustarse  a  los</w:t>
        <w:br/>
        <w:t>principios de la equidad.</w:t>
        <w:br/>
        <w:br/>
        <w:t>26.   La indemnización por  violación  de  los  derechos  humanos  encuentra</w:t>
        <w:br/>
        <w:t>fundamento  en  instrumentos  internacionales  de   carácter   universal   y</w:t>
        <w:br/>
        <w:t>regional.  El Comité de Derechos Humanos, creado por el Pacto  Internacional</w:t>
        <w:br/>
        <w:t>de Derechos  Civiles  y  Políticos  de  las  Naciones  Unidas,  ha  acordado</w:t>
        <w:br/>
        <w:t>repetidamente,  con  base  en  el  Protocolo   Facultativo,   el   pago   de</w:t>
        <w:br/>
        <w:t>indemnizaciones por violaciones de derechos humanos reconocidos en el  Pacto</w:t>
        <w:br/>
        <w:t>(véanse por ejemplo las comunicaciones 4/1977;  6/1977;  11/1977;  132/1982;</w:t>
        <w:br/>
        <w:t>138/1983; 147/1983; 161/1983; 188/1984; 194/1985; etc., Informes del  Comité</w:t>
        <w:br/>
        <w:t>de Derechos Humanos, Naciones Unidas).  Lo propio ha hecho la Corte  Europea</w:t>
        <w:br/>
        <w:t>de Derechos Humanos con base en el artículo 50  de  la  Convención  para  la</w:t>
        <w:br/>
        <w:t>Protección de los Derechos Humanos y de las Libertades Fundamentales.</w:t>
        <w:br/>
        <w:br/>
        <w:t>27.   El artículo 63.1 de la Convención Americana establece:</w:t>
        <w:br/>
        <w:br/>
        <w:t xml:space="preserve">       1.   Cuando decida que  hubo  violación  de  un  derecho  o  libertad</w:t>
        <w:br/>
        <w:t xml:space="preserve">       protegidos en esta Convención, la Corte dispondrá que se garantice al</w:t>
        <w:br/>
        <w:t xml:space="preserve">       lesionado en el goce de su derecho o libertad conculcados.  Dispondrá</w:t>
        <w:br/>
        <w:t xml:space="preserve">       asimismo, si ello fuera procedente, que se reparen las  consecuencias</w:t>
        <w:br/>
        <w:t xml:space="preserve">       de la medida o situación que ha configurado la  vulneración  de  esos</w:t>
        <w:br/>
        <w:t xml:space="preserve">       derechos y el pago de una justa indemnización a la parte lesionada.</w:t>
        <w:br/>
        <w:br/>
        <w:t>28.   Ninguna  parte  de  este  artículo  hace  mención  ni  condiciona  las</w:t>
        <w:br/>
        <w:t>disposiciones de la Corte a la eficacia de los  instrumentos  de  reparación</w:t>
        <w:br/>
        <w:t>existentes en  el  derecho  interno  del  Estado  Parte  responsable  de  la</w:t>
        <w:br/>
        <w:t>infracción, de manera  que  aquélla  no  se  establece  en  función  de  los</w:t>
        <w:br/>
        <w:t>defectos, imperfecciones o insuficiencias del  derecho  nacional,  sino  con</w:t>
        <w:br/>
        <w:t>independencia del mismo.</w:t>
        <w:br/>
        <w:br/>
        <w:t>29.    Esto  implica   que   la   Corte,   para   fijar   la   indemnización</w:t>
        <w:br/>
        <w:t>correspondiente,  debe  fundarse  en  la  Convención  Americana  y  en   los</w:t>
        <w:br/>
        <w:t>principios de Derecho internacional aplicables a la materia.</w:t>
        <w:br/>
        <w:br/>
        <w:br/>
        <w:t xml:space="preserve">                                      V</w:t>
        <w:br/>
        <w:br/>
        <w:t>30.   La Comisión y los abogados sostienen que, en ejecución del  fallo,  la</w:t>
        <w:br/>
        <w:t>Corte debe ordenar algunas medidas a  cargo  del  Gobierno,  tales  como  la</w:t>
        <w:br/>
        <w:t>investigación de los hechos relativos a  la  desaparición  forzada  de  Saúl</w:t>
        <w:br/>
        <w:t>Godínez  Cruz;  el  castigo  de  los  responsables  de  estos   hechos;   la</w:t>
        <w:br/>
        <w:t>declaración pública de la reprobación de esta  práctica;  la  reivindicación</w:t>
        <w:br/>
        <w:t>de la memoria de la víctima y otras similares.</w:t>
        <w:br/>
        <w:br/>
        <w:t>31.   Medidas de  esta  clase  formarían  parte  de  la  reparación  de  las</w:t>
        <w:br/>
        <w:t>consecuencias de la situación violatoria de los derechos o libertades  y  no</w:t>
        <w:br/>
        <w:t>de las indemnizaciones, al tenor del artículo 63.1 de la Convención.</w:t>
        <w:br/>
        <w:br/>
        <w:t>32.   No obstante la Corte ya señaló en su sentencia sobre  el  fondo  (Caso</w:t>
        <w:br/>
        <w:t>Godínez  Cruz,  supra  2,  párr.  191),  la  subsistencia   del   deber   de</w:t>
        <w:br/>
        <w:t>investigación  que  corresponde  al  Gobierno,  mientras  se   mantenga   la</w:t>
        <w:br/>
        <w:t>incertidumbre sobre la suerte final de la persona desaparecida  (supra  30).</w:t>
        <w:br/>
        <w:t>A este deber de investigar se suma el deber de prevenir la posible  comisión</w:t>
        <w:br/>
        <w:t>de desapariciones forzadas y de sancionar a  los  responsables  directos  de</w:t>
        <w:br/>
        <w:t>las mismas (Caso Godínez Cruz, supra 2, párr. 184).</w:t>
        <w:br/>
        <w:br/>
        <w:t>33.   Aunque estas obligaciones no quedaron expresamente incorporadas en  la</w:t>
        <w:br/>
        <w:t>parte resolutiva de la  sentencia  sobre  el  fondo,  es  un  principio  del</w:t>
        <w:br/>
        <w:t>derecho procesal que los fundamentos de una decisión judicial  forman  parte</w:t>
        <w:br/>
        <w:t>de la misma.  La Corte declara, en consecuencia, que  tales  obligaciones  a</w:t>
        <w:br/>
        <w:t>cargo de Honduras subsisten hasta su total cumplimiento.</w:t>
        <w:br/>
        <w:br/>
        <w:t>34.   Por lo demás, la Corte entiende que la sentencia sobre el fondo de  20</w:t>
        <w:br/>
        <w:t>de enero de 1989  constituye,  en  sí  misma,  una  forma  de  reparación  y</w:t>
        <w:br/>
        <w:t>satisfacción moral de significación e importancia  para  los  familiares  de</w:t>
        <w:br/>
        <w:t>las víctimas.</w:t>
        <w:br/>
        <w:br/>
        <w:t>35.   Los abogados solicitan, igualmente, el pago por el Gobierno  de  daños</w:t>
        <w:br/>
        <w:t>punitivos, como parte de la  indemnización,  por  tratarse  en  el  caso  de</w:t>
        <w:br/>
        <w:t>violaciones extremadamente graves de los derechos humanos.</w:t>
        <w:br/>
        <w:br/>
        <w:t>36.   La expresión "justa indemnización" que utiliza el artículo 63.1 de  la</w:t>
        <w:br/>
        <w:t>Convención, por referirse a una parte de la  reparación  y  dirigirse  a  la</w:t>
        <w:br/>
        <w:t>"parte lesionada", es compensatoria  y  no  sancionatoria.   Aunque  algunos</w:t>
        <w:br/>
        <w:t>tribunales   internos,   en   particular    los    angloamericanos,    fijan</w:t>
        <w:br/>
        <w:t>indemnizaciones  cuyos   valores   tienen   propósitos   ejemplarizantes   o</w:t>
        <w:br/>
        <w:t>disuasivos, este principio no es aplicable en el estado actual  del  Derecho</w:t>
        <w:br/>
        <w:t>internacional.</w:t>
        <w:br/>
        <w:br/>
        <w:t>37.   Por todo lo anterior  la  Corte  considera,  entonces,  que  la  justa</w:t>
        <w:br/>
        <w:t>indemnización, que la sentencia sobre el  fondo  de  20  de  enero  de  1989</w:t>
        <w:br/>
        <w:t>calificó como "compensatoria", comprende la reparación a los  familiares  de</w:t>
        <w:br/>
        <w:t>la víctima de los daños y perjuicios materiales y morales que sufrieron  con</w:t>
        <w:br/>
        <w:t>motivo de la desaparición forzada de Saúl Godínez Cruz.</w:t>
        <w:br/>
        <w:br/>
        <w:br/>
        <w:t xml:space="preserve">                                     VI</w:t>
        <w:br/>
        <w:br/>
        <w:t>38.    Precisados  así  el  alcance  y  las   limitaciones   de   la   justa</w:t>
        <w:br/>
        <w:t>indemnización compensatoria que se señala en el punto  resolutivo  número  6</w:t>
        <w:br/>
        <w:t>de la sentencia sobre el fondo, pasa la Corte a  señalar  las  bases  de  la</w:t>
        <w:br/>
        <w:t>liquidación respectiva.</w:t>
        <w:br/>
        <w:br/>
        <w:t>39.   A este respecto los abogados piden  que  se  resarzan  los  perjuicios</w:t>
        <w:br/>
        <w:t>patrimoniales comprendidos dentro del concepto de daño emergente e  incluyen</w:t>
        <w:br/>
        <w:t>en éstos los gastos efectuados por los familiares de la víctima  con  motivo</w:t>
        <w:br/>
        <w:t>de sus gestiones para investigar el paradero de Saúl Godínez Cruz.</w:t>
        <w:br/>
        <w:br/>
        <w:t>40.   La Corte no puede acoger en el presente caso el  señalado  pedimiento.</w:t>
        <w:br/>
        <w:t>En efecto, si bien es cierto  que,  conceptualmente,  los  referidos  gastos</w:t>
        <w:br/>
        <w:t>caben dentro de la noción de daño emergente, ellos  no  son  resarcibles  en</w:t>
        <w:br/>
        <w:t>este caso, puesto que no fueron  demostrados  ni  reclamados  oportunamente.</w:t>
        <w:br/>
        <w:t>Durante el juicio no fue presentada ninguna estimación  ni  comprobación  de</w:t>
        <w:br/>
        <w:t>los desembolsos hechos en diligencias destinadas a  establecer  el  paradero</w:t>
        <w:br/>
        <w:t>de la víctima.  De la misma manera, en relación con los  gastos  ocasionados</w:t>
        <w:br/>
        <w:t>por el proceso ante la Corte,  en  la  sentencia  sobre  el  fondo  ya  ésta</w:t>
        <w:br/>
        <w:t>decidió la improcedencia de la condenatoria  en  costas,  toda  vez  que  no</w:t>
        <w:br/>
        <w:t>aparece en los autos solicitud alguna en ese  sentido  (Caso  Godínez  Cruz,</w:t>
        <w:br/>
        <w:t>supra 2, párr. 202).</w:t>
        <w:br/>
        <w:br/>
        <w:t>41.   El Gobierno ha considerado  que  la  indemnización  debe  establecerse</w:t>
        <w:br/>
        <w:t>conforme al tratamiento más favorable para los familiares  de  Saúl  Godínez</w:t>
        <w:br/>
        <w:t>Cruz en su ordenamiento interno, que es el que otorga la Ley  del  Instituto</w:t>
        <w:br/>
        <w:t>Nacional de Previsión del Magisterio para el supuesto de muerte  accidental.</w:t>
        <w:br/>
        <w:t xml:space="preserve"> Según el Gobierno los familiares tendrían derecho a  un  total  de  catorce</w:t>
        <w:br/>
        <w:t>mil ochocientos sesenta y tres lempiras con cincuenta centésimos, suma a  la</w:t>
        <w:br/>
        <w:t>cual se agrega una cantidad adicional para completar sesenta mil lempiras.</w:t>
        <w:br/>
        <w:br/>
        <w:t>42.   La Comisión no propone una liquidación  sino  que  manifiesta  que  la</w:t>
        <w:br/>
        <w:t>indemnización debe comprender dos elementos:  a)   el  otorgamiento  de  los</w:t>
        <w:br/>
        <w:t>mayores beneficios que la legislación de Honduras confiere a los  nacionales</w:t>
        <w:br/>
        <w:t>en casos de esta naturaleza y que, según la Comisión, son los que otorga  el</w:t>
        <w:br/>
        <w:t>Instituto de Pensiones Militares y   b)   una  suma  de  dinero  cuyo  monto</w:t>
        <w:br/>
        <w:t>deberá establecerse de  conformidad  con  lo  dispuesto  en  el  Derecho  de</w:t>
        <w:br/>
        <w:t>Honduras y el Derecho internacional.</w:t>
        <w:br/>
        <w:br/>
        <w:t>43.   Los abogados han considerado que debería tomarse como  base  el  lucro</w:t>
        <w:br/>
        <w:t>cesante calculado de acuerdo con el ingreso que percibía Saúl  Godínez  Cruz</w:t>
        <w:br/>
        <w:t>en el  momento  de  su  secuestro,  su  edad  de  32  años  y  las  posibles</w:t>
        <w:br/>
        <w:t>promociones,  aguinaldos,  bonificaciones  y  otros  beneficios  que  habría</w:t>
        <w:br/>
        <w:t>recibido en el momento de su jubilación.  Con estos elementos  calculan  una</w:t>
        <w:br/>
        <w:t>suma que llega a un  millón  trescientos  ochenta  y  ocho  mil  ochocientos</w:t>
        <w:br/>
        <w:t>ochenta  y  siete  lempiras.   Agregan  a   lo   anterior   los   beneficios</w:t>
        <w:br/>
        <w:t>jubilatorios por diez años,  de  acuerdo  con  la  expectativa  de  vida  en</w:t>
        <w:br/>
        <w:t>Honduras para una persona de la condición social de la  víctima,  calculados</w:t>
        <w:br/>
        <w:t>en seiscientos noventa y cuatro mil cuatrocientos  veintiún  lempiras,  todo</w:t>
        <w:br/>
        <w:t>lo cual arroja un total de dos millones ochenta y tres mil trescientos  ocho</w:t>
        <w:br/>
        <w:t>lempiras.</w:t>
        <w:br/>
        <w:br/>
        <w:t>44.   La Corte observa que la desaparición de Saúl  Godínez  Cruz  no  puede</w:t>
        <w:br/>
        <w:t>considerarse muerte accidental para efectos de la indemnización, puesto  que</w:t>
        <w:br/>
        <w:t>ella es el resultado de graves hechos imputables a Honduras.  La  base  para</w:t>
        <w:br/>
        <w:t>fijar el monto de la indemnización no puede, por consiguiente,  apoyarse  en</w:t>
        <w:br/>
        <w:t>prestaciones tales como el seguro de  vida,  sino  que  debe  calcularse  un</w:t>
        <w:br/>
        <w:t>lucro cesante de acuerdo con los ingresos que habría de recibir  la  víctima</w:t>
        <w:br/>
        <w:t>hasta su posible fallecimiento natural.  En este  sentido  se  puede  partir</w:t>
        <w:br/>
        <w:t>del sueldo que, según la constancia que expidió el Director Ejecutivo de  la</w:t>
        <w:br/>
        <w:t>Oficina de Personal y Escalafón del Magisterio, dependencia  del  Ministerio</w:t>
        <w:br/>
        <w:t>de Educación Pública de Honduras, el 13 de  marzo  de  1989,  percibía  Saúl</w:t>
        <w:br/>
        <w:t>Godínez Cruz en el momento  de  su  desaparición  (405  lempiras  mensuales)</w:t>
        <w:br/>
        <w:t>hasta el momento de su jubilación obligatoria a los sesenta  años  de  edad,</w:t>
        <w:br/>
        <w:t>según lo dispuesto por el artículo 69 de la Ley del  Instituto  Nacional  de</w:t>
        <w:br/>
        <w:t>Previsión del Magisterio, que el  propio  Gobierno  considera  como  la  más</w:t>
        <w:br/>
        <w:t>favorable.  Con posterioridad le habría correspondido una pensión  hasta  su</w:t>
        <w:br/>
        <w:t>fallecimiento.</w:t>
        <w:br/>
        <w:br/>
        <w:t>45.   Sin embargo es preciso tener  en  cuenta  que  el  cálculo  del  lucro</w:t>
        <w:br/>
        <w:t>cesante debe hacerse considerando  dos  situaciones  distintas.   Cuando  el</w:t>
        <w:br/>
        <w:t>destinatario de la indemnización  es  la  víctima  afectada  de  incapacidad</w:t>
        <w:br/>
        <w:t>total y absoluta, la indemnización debe  comprender  todo  lo  que  dejó  de</w:t>
        <w:br/>
        <w:t>percibir con los ajustes correspondientes según su expectativa  probable  de</w:t>
        <w:br/>
        <w:t>vida.  En este supuesto, el único ingreso para la víctima es lo  que  habría</w:t>
        <w:br/>
        <w:t>recibido como importe de ese lucro cesante y que ya no percibirá.</w:t>
        <w:br/>
        <w:br/>
        <w:t>46.   Si los beneficiarios  de  la  indemnización  son  los  familiares,  la</w:t>
        <w:br/>
        <w:t>cuestión se plantea  en  términos  distintos.   Los  familiares  tienen,  en</w:t>
        <w:br/>
        <w:t>principio, la posibilidad actual o futura de trabajar o tener  ingresos  por</w:t>
        <w:br/>
        <w:t>sí mismos.  Los hijos,  a  los  que  debe  garantizarse  la  posibilidad  de</w:t>
        <w:br/>
        <w:t>estudiar hasta una  edad  que  puede  estimarse  en  los  veinticinco  años,</w:t>
        <w:br/>
        <w:t>podrían, por ejemplo, trabajar a partir de ese momento.  No  es  procedente,</w:t>
        <w:br/>
        <w:t>entonces, en estos casos atenerse a criterios rígidos,  más  propios  de  la</w:t>
        <w:br/>
        <w:t>situación descrita en  el  párrafo  anterior,  sino  hacer  una  apreciación</w:t>
        <w:br/>
        <w:t>prudente de los daños, vistas las circunstancias de cada caso.</w:t>
        <w:br/>
        <w:br/>
        <w:t>47.   Con base en una estimación prudente de los  ingresos  posibles  de  la</w:t>
        <w:br/>
        <w:t>víctima durante el resto de su vida probable y en el hecho de  que  en  este</w:t>
        <w:br/>
        <w:t>caso la indemnización está destinada  exclusivamente  a  los  familiares  de</w:t>
        <w:br/>
        <w:t>Saúl Godínez Cruz mencionados en el proceso, la Corte fija el lucro  cesante</w:t>
        <w:br/>
        <w:t>en cuatrocientos mil lempiras, que se pagarán a la cónyuge y a  la  hija  de</w:t>
        <w:br/>
        <w:t>Saúl Godínez Cruz en la forma que después se precisará.</w:t>
        <w:br/>
        <w:br/>
        <w:t>48.   La Corte debe abordar ahora la cuestión relativa  a  la  indemnización</w:t>
        <w:br/>
        <w:t>del daño moral  (supra  25),  que  resulta  principalmente  de  los  efectos</w:t>
        <w:br/>
        <w:t>psíquicos que han sufrido los familiares de Saúl Godínez Cruz en  virtud  de</w:t>
        <w:br/>
        <w:t>la violación de los  derechos  y  libertades  que  garantiza  la  Convención</w:t>
        <w:br/>
        <w:t>Americana,  especialmente  por  las   características   dramáticas   de   la</w:t>
        <w:br/>
        <w:t>desaparición forzada de personas.</w:t>
        <w:br/>
        <w:br/>
        <w:t>49.   Los daños morales están demostrados en los documentos periciales y  en</w:t>
        <w:br/>
        <w:t>la declaración rendida por el doctor en Psiquiatría Federico  Allodi  (supra</w:t>
        <w:br/>
        <w:t>11), profesor de Psicología en la Universidad  de  Toronto,  Canadá.   Según</w:t>
        <w:br/>
        <w:t>tal declaración el mencionado doctor realizó exámenes a la  esposa  de  Saúl</w:t>
        <w:br/>
        <w:t>Godínez Cruz, señora Enmidida Escoto de Godínez y a la  niña  Emma  Patricia</w:t>
        <w:br/>
        <w:t>Godínez Escoto.  En tales exámenes aparece que sufrían de diversos  síntomas</w:t>
        <w:br/>
        <w:t>de sobresalto, angustia, depresión y retraimiento, todo ello con  motivo  de</w:t>
        <w:br/>
        <w:t>la desaparición del padre de familia.  El Gobierno  no  pudo  desvirtuar  la</w:t>
        <w:br/>
        <w:t>existencia de problemas psicológicos que afectan  a  los  familiares  de  la</w:t>
        <w:br/>
        <w:t>víctima.   La  Corte  considera  evidente  que,   como   resultado   de   la</w:t>
        <w:br/>
        <w:t>desaparición de Saúl Godínez Cruz,  se  produjeron  consecuencias  psíquicas</w:t>
        <w:br/>
        <w:t>nocivas en sus familiares inmediatos, las que deben  ser  indemnizadas  bajo</w:t>
        <w:br/>
        <w:t>el concepto de daño moral.</w:t>
        <w:br/>
        <w:br/>
        <w:t>50.   La Corte estima la indemnización que debe cubrir el Gobierno por  daño</w:t>
        <w:br/>
        <w:t>moral, en la cantidad de doscientos cincuenta mil lempiras que se pagarán  a</w:t>
        <w:br/>
        <w:t>la cónyuge y a la hija de Saúl Godínez  Cruz,  en  la  forma  que  luego  se</w:t>
        <w:br/>
        <w:t>precisará.</w:t>
        <w:br/>
        <w:br/>
        <w:br/>
        <w:t xml:space="preserve">                                     VII</w:t>
        <w:br/>
        <w:br/>
        <w:t>51    Es preciso ahora determinar la forma en que el Gobierno  debe  cumplir</w:t>
        <w:br/>
        <w:t>con el pago de la indemnización a los familiares de Saúl Godínez Cruz.</w:t>
        <w:br/>
        <w:br/>
        <w:t>52.   El pago de los setecientos  cincuenta  mil  lempiras  fijados  por  la</w:t>
        <w:br/>
        <w:t>Corte debe ser hecho dentro de los noventa días  contados  a  partir  de  la</w:t>
        <w:br/>
        <w:t>notificación de la sentencia,  libre  de  todo  impuesto  que  eventualmente</w:t>
        <w:br/>
        <w:t>pudiera considerarse aplicable.  Sin embargo, el pago podrá  ser  hecho  por</w:t>
        <w:br/>
        <w:t>el Gobierno en seis cuotas mensuales iguales,  la  primera  pagadera  a  los</w:t>
        <w:br/>
        <w:t>noventa días mencionados y así sucesivamente, pero en este caso  los  saldos</w:t>
        <w:br/>
        <w:t>se acrecentarán con los intereses correspondientes, que serán los  bancarios</w:t>
        <w:br/>
        <w:t>corrientes en ese momento en Honduras.</w:t>
        <w:br/>
        <w:br/>
        <w:t>53.   De la indemnización total la cuarta parte corresponderá a  la  cónyuge</w:t>
        <w:br/>
        <w:t>que recibirá directamente la suma  que  se  le  asigna.   Los  tres  cuartos</w:t>
        <w:br/>
        <w:t>restantes a su la hija.  Con la suma atribuida a la hija se  constituirá  un</w:t>
        <w:br/>
        <w:t>fideicomiso en  el  Banco  Central  de  Honduras,  en  las  condiciones  más</w:t>
        <w:br/>
        <w:t>favorables  según  la  práctica  bancaria  hondureña.   La   hija   recibirá</w:t>
        <w:br/>
        <w:t>mensualmente  los  beneficios  de  este  fideicomiso  y   al   cumplir   los</w:t>
        <w:br/>
        <w:t>veinticinco años de edad percibirá el capital.</w:t>
        <w:br/>
        <w:br/>
        <w:t>54.   Todo el proceso de  cumplimiento  de  la  indemnización  compensatoria</w:t>
        <w:br/>
        <w:t>estará bajo la supervisión de la Corte.  El proceso se  dará  por  concluido</w:t>
        <w:br/>
        <w:t>una vez que el Gobierno  haya  dado  cumplimiento  integral  a  la  presente</w:t>
        <w:br/>
        <w:t>sentencia.</w:t>
        <w:br/>
        <w:br/>
        <w:br/>
        <w:t xml:space="preserve">                                     IX</w:t>
        <w:br/>
        <w:br/>
        <w:t>55.   POR TANTO,</w:t>
        <w:br/>
        <w:br/>
        <w:br/>
        <w:t>LA CORTE</w:t>
        <w:br/>
        <w:br/>
        <w:br/>
        <w:t>por unanimidad,</w:t>
        <w:br/>
        <w:br/>
        <w:t>1.     Fija  en  setecientos  cincuenta  mil   lempiras   la   indemnización</w:t>
        <w:br/>
        <w:t>compensatoria que el Estado de Honduras  debe  pagar  a  los  familiares  de</w:t>
        <w:br/>
        <w:t>Saúl Godínez Cruz.</w:t>
        <w:br/>
        <w:br/>
        <w:br/>
        <w:t>por unanimidad,</w:t>
        <w:br/>
        <w:br/>
        <w:br/>
        <w:t>2.    Decide que la cantidad correspondiente a la cónyuge  de  Saúl  Godínez</w:t>
        <w:br/>
        <w:t>Cruz será de ciento sesenta y dos mil quinientos lempiras.</w:t>
        <w:br/>
        <w:br/>
        <w:br/>
        <w:t>por unanimidad,</w:t>
        <w:br/>
        <w:br/>
        <w:br/>
        <w:t>3.    Decide que la cantidad correspondiente a la hija de Saúl Godínez  Cruz</w:t>
        <w:br/>
        <w:t>será de cuatrocientos ochenta y siete mil quinientos lempiras.</w:t>
        <w:br/>
        <w:br/>
        <w:br/>
        <w:t>por unanimidad,</w:t>
        <w:br/>
        <w:br/>
        <w:br/>
        <w:t>4.    Ordena que la forma y modalidades de pago de  la  indemnización  serán</w:t>
        <w:br/>
        <w:t>las especificadas en los párrafos 52 y 53 de esta sentencia.</w:t>
        <w:br/>
        <w:br/>
        <w:br/>
        <w:t>por unanimidad,</w:t>
        <w:br/>
        <w:br/>
        <w:br/>
        <w:t>5.    Resuelve que supervisará el cumplimiento del pago de la  indemnización</w:t>
        <w:br/>
        <w:t>acordada y que sólo después de su cancelación archivará el expediente.</w:t>
        <w:br/>
        <w:br/>
        <w:br/>
        <w:br/>
        <w:t>Redactada en español e inglés haciendo fe el texto  en  español.   Leída  en</w:t>
        <w:br/>
        <w:t>sesión pública en la sede de la Corte en San José,  Costa  Rica,  el  21  de</w:t>
        <w:br/>
        <w:t>julio de 1989.</w:t>
        <w:br/>
        <w:br/>
        <w:br/>
        <w:br/>
        <w:t xml:space="preserve">                             Héctor Gros Espiell</w:t>
        <w:br/>
        <w:t xml:space="preserve">                                 Presidente</w:t>
        <w:br/>
        <w:br/>
        <w:t>Héctor Fix-Zamudio     Rodolfo E. Piza E.</w:t>
        <w:br/>
        <w:br/>
        <w:br/>
        <w:t>Pedro Nikken     Rafael Nieto Navia</w:t>
        <w:br/>
        <w:br/>
        <w:br/>
        <w:br/>
        <w:t xml:space="preserve">                           Rigoberto Espinal Irías</w:t>
        <w:br/>
        <w:br/>
        <w:br/>
        <w:t xml:space="preserve">                          Manuel E. Ventura Robles</w:t>
        <w:br/>
        <w:t xml:space="preserve">                               Secretario a.i.</w:t>
        <w:br/>
        <w:br/>
        <w:t>Comuníquese y ejecútese</w:t>
        <w:br/>
        <w:br/>
        <w:br/>
        <w:br/>
        <w:t xml:space="preserve">                                                         Héctor Gros Espiell</w:t>
        <w:br/>
        <w:t xml:space="preserve">      Presidente</w:t>
        <w:br/>
        <w:br/>
        <w:br/>
        <w:br/>
        <w:t>Manuel E. Ventura Robles</w:t>
        <w:br/>
        <w:t xml:space="preserve">      Secretario a.i.</w:t>
        <w:br/>
        <w:br/>
        <w:br/>
        <w:br/>
        <w:t>El Juez Thomas  Buergenthal  estuvo   imposibilitado  de  participar  en  la</w:t>
        <w:br/>
        <w:t>elaboración y firma de la sentencia por razones de salud.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