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 Caso Bulacio Vs. Argentina</w:t>
        <w:br/>
        <w:br/>
        <w:br/>
        <w:t xml:space="preserve">                    Sentencia de 18 de septiembre de 2003</w:t>
        <w:br/>
        <w:t xml:space="preserve">                       (Fondo, Reparaciones y Costas)</w:t>
        <w:br/>
        <w:br/>
        <w:br/>
        <w:t>En el caso Bulacio,</w:t>
        <w:br/>
        <w:br/>
        <w:t>la Corte Interamericana de Derechos Humanos (en adelante “la  Corte”  o  “la</w:t>
        <w:br/>
        <w:t>Corte Interamericana”), integrada por los siguientes jueces*:</w:t>
        <w:br/>
        <w:br/>
        <w:t xml:space="preserve">      Antônio A. Cançado Trindade, Presidente;</w:t>
        <w:br/>
        <w:t xml:space="preserve">      Sergio García Ramírez,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Juez; y</w:t>
        <w:br/>
        <w:t xml:space="preserve">      Ricardo Gil Lavedra, Juez ad hoc;</w:t>
        <w:br/>
        <w:br/>
        <w:t>presentes, además,</w:t>
        <w:br/>
        <w:br/>
        <w:t xml:space="preserve">      Manuel E. Ventura Robles, Secretario; y</w:t>
        <w:br/>
        <w:t xml:space="preserve">      Pablo Saavedra Alessandri, Secretario Adjunto,</w:t>
        <w:br/>
        <w:br/>
        <w:t>de acuerdo con los artículos  29, 55, 56 y 57 del Reglamento de la  Corte[1]</w:t>
        <w:br/>
        <w:t>(en adelante “el Reglamento”) y  con  el  artículo  63.1  de  la  Convención</w:t>
        <w:br/>
        <w:t>Americana  sobre  Derechos  Humanos  (en  adelante  “la  Convención”  o  “la</w:t>
        <w:br/>
        <w:t>Convención Americana”), la Corte  dicta  la  siguiente  Sentencia  sobre  el</w:t>
        <w:br/>
        <w:t>presente caso.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24 de enero de  2001,  de  conformidad  con  lo  dispuesto  en  los</w:t>
        <w:br/>
        <w:t>artículos 50 y 51 de la Convención  Americana  sobre  Derechos  Humanos,  la</w:t>
        <w:br/>
        <w:t>Comisión Interamericana de Derechos Humanos (en  adelante  “la  Comisión”  o</w:t>
        <w:br/>
        <w:t>“la Comisión Interamericana”) sometió a  la  Corte  una  demanda  contra  la</w:t>
        <w:br/>
        <w:t>República Argentina (en adelante “el Estado” o “Argentina”) que  se  originó</w:t>
        <w:br/>
        <w:t>en la denuncia No. 11.752, recibida en la Secretaría de la  Comisión  el  13</w:t>
        <w:br/>
        <w:t>de mayo de 1997.</w:t>
        <w:br/>
        <w:br/>
        <w:br/>
        <w:br/>
        <w:t>2.    En razón  de  lo  anterior,  la  Comisión  solicitó  a  la  Corte  que</w:t>
        <w:br/>
        <w:t>declarara  la  violación  en  perjuicio  de  Walter  David  Bulacio  de  los</w:t>
        <w:br/>
        <w:t>artículos 4 (Derecho a la Vida), 5 (Derecho a  la  Integridad  Personal),  7</w:t>
        <w:br/>
        <w:t>(Derecho a la Libertad Personal) y 19 (Derechos  del  Niño),  así  como  los</w:t>
        <w:br/>
        <w:t>artículos 8 (Garantías Judiciales) y 25 (Protección Judicial) en  detrimento</w:t>
        <w:br/>
        <w:t>de aquél y sus familiares,  todos  ellos  en  relación  con  el  artículo  1</w:t>
        <w:br/>
        <w:t>(Obligación  de  Respetar  los  Derechos)  de   la   Convención   Americana.</w:t>
        <w:br/>
        <w:t>Igualmente, la Comisión solicitó a la Corte que ordenara al  Estado  adoptar</w:t>
        <w:br/>
        <w:t>diversas reparaciones pecuniarias y no pecuniarias  (infra  82,  92,  107  y</w:t>
        <w:br/>
        <w:t>147).</w:t>
        <w:br/>
        <w:br/>
        <w:br/>
        <w:t xml:space="preserve">                                     II</w:t>
        <w:br/>
        <w:br/>
        <w:t xml:space="preserve">                                   Hechos</w:t>
        <w:br/>
        <w:br/>
        <w:t>3.    De las exposiciones formuladas por la Comisión y por el Centro por  la</w:t>
        <w:br/>
        <w:t>Justicia y el Derecho Internacional (en  adelante  “CEJIL”),  el  Centro  de</w:t>
        <w:br/>
        <w:t>Estudios Legales y Sociales (en adelante “CELS”) y  la  Coordinadora  contra</w:t>
        <w:br/>
        <w:t>la Represión Policial e Institucional (en  adelante  “CORREPI”)  quienes  se</w:t>
        <w:br/>
        <w:t>desempeñan también como representantes de  los  familiares  de  la  presunta</w:t>
        <w:br/>
        <w:t>víctima (en adelante  los  “representantes  de  la  presunta  víctima”),  se</w:t>
        <w:br/>
        <w:t>desprenden los siguientes hechos:</w:t>
        <w:br/>
        <w:br/>
        <w:t xml:space="preserve">   1) el 19 de abril de 1991,  la  Policía  Federal  Argentina  realizó  una</w:t>
        <w:br/>
        <w:t xml:space="preserve">      detención masiva o “razzia” de “más de ochenta personas” en la  ciudad</w:t>
        <w:br/>
        <w:t xml:space="preserve">      de  Buenos  Aires,  en  las  inmediaciones  del  estadio  Club   Obras</w:t>
        <w:br/>
        <w:t xml:space="preserve">      Sanitarias de la Nación, lugar en donde se iba a realizar un concierto</w:t>
        <w:br/>
        <w:t xml:space="preserve">      de música  rock.  Entre  los  detenidos  se  encontraba  Walter  David</w:t>
        <w:br/>
        <w:t xml:space="preserve">      Bulacio, con 17  años  de  edad,  quien  luego  de  su  detención  fue</w:t>
        <w:br/>
        <w:t xml:space="preserve">      trasladado a la Comisaría 35a, específicamente a la “sala de  menores”</w:t>
        <w:br/>
        <w:t xml:space="preserve">      de la misma. En este lugar fue golpeado por  agentes  policiales.  Los</w:t>
        <w:br/>
        <w:t xml:space="preserve">      detenidos fueron liberados progresivamente sin que  se  abriera  causa</w:t>
        <w:br/>
        <w:t xml:space="preserve">      penal en su contra y sin que conocieran,  tampoco,  el  motivo  de  su</w:t>
        <w:br/>
        <w:t xml:space="preserve">      detención. En  el  caso  de  los  menores,  no  se  notificó  al  Juez</w:t>
        <w:br/>
        <w:t xml:space="preserve">      Correccional de Menores de turno, tal como lo  requería  la  ley   No.</w:t>
        <w:br/>
        <w:t xml:space="preserve">      10.903 y, en el caso particular de Walter David  Bulacio,  tampoco  se</w:t>
        <w:br/>
        <w:t xml:space="preserve">      notificó  a  sus  familiares.   Durante  su  detención,  los   menores</w:t>
        <w:br/>
        <w:t xml:space="preserve">      estuvieron bajo condiciones de detención inadecuadas;</w:t>
        <w:br/>
        <w:br/>
        <w:br/>
        <w:t xml:space="preserve">   2) el 20 de abril de 1991, el joven  Walter  David  Bulacio,  tras  haber</w:t>
        <w:br/>
        <w:t xml:space="preserve">      vomitado en la mañana, fue llevado en ambulancia  cerca  de  las  once</w:t>
        <w:br/>
        <w:t xml:space="preserve">      horas al Hospital Municipal Pirovano, sin que sus padres o un Juez  de</w:t>
        <w:br/>
        <w:t xml:space="preserve">      Menores fueran notificados.  El médico que lo atendió en ese  hospital</w:t>
        <w:br/>
        <w:t xml:space="preserve">      señaló que el joven presentaba lesiones y diagnosticó un  “traumatismo</w:t>
        <w:br/>
        <w:t xml:space="preserve">      craneano”.  Esa misma tarde la  presunta  víctima  fue  trasladada  al</w:t>
        <w:br/>
        <w:t xml:space="preserve">      Hospital Municipal Fernández para efectuarle un estudio radiológico  y</w:t>
        <w:br/>
        <w:t xml:space="preserve">      regresado  al  Hospital  Municipal  Pirovano.  Walter  David   Bulacio</w:t>
        <w:br/>
        <w:t xml:space="preserve">      manifestó al médico que lo atendió que  había  sido  golpeado  por  la</w:t>
        <w:br/>
        <w:t xml:space="preserve">      policía, y esa noche fue visitado por sus padres en  dicho  centro  de</w:t>
        <w:br/>
        <w:t xml:space="preserve">      salud, aquéllos se habían enterado poco antes  de  lo  sucedido  a  su</w:t>
        <w:br/>
        <w:t xml:space="preserve">      hijo, a través de un vecino;</w:t>
        <w:br/>
        <w:br/>
        <w:t xml:space="preserve">   3) el 21 de abril de 1991, el joven Walter David Bulacio  fue  trasladado</w:t>
        <w:br/>
        <w:t xml:space="preserve">      al Sanatorio Mitre. El médico de guardia denunció ante la Comisaría 7a</w:t>
        <w:br/>
        <w:t xml:space="preserve">      que  había  ingresado  “un  menor  de  edad  con   lesiones”   y,   en</w:t>
        <w:br/>
        <w:t xml:space="preserve">      consecuencia, ésta inició una investigación policial por el delito  de</w:t>
        <w:br/>
        <w:t xml:space="preserve">      lesiones;</w:t>
        <w:br/>
        <w:br/>
        <w:t xml:space="preserve">   4) el 23 de abril de 1991 el Juzgado Nacional de Primera Instancia en  lo</w:t>
        <w:br/>
        <w:t xml:space="preserve">      Criminal de Instrucción de Menores No. 9 (en adelante “el Juzgado  No.</w:t>
        <w:br/>
        <w:t xml:space="preserve">      9”) conoció sobre las denuncias de lesiones  en  perjuicio  de  Walter</w:t>
        <w:br/>
        <w:t xml:space="preserve">      David Bulacio;</w:t>
        <w:br/>
        <w:br/>
        <w:t xml:space="preserve">   5) el 26 de abril siguiente el joven Walter David Bulacio murió. El 30 de</w:t>
        <w:br/>
        <w:t xml:space="preserve">      abril de 1991 el Juzgado recién mencionado se declaró  incompetente  y</w:t>
        <w:br/>
        <w:t xml:space="preserve">      remitió la causa “contra NN en perjuicio de Walter [David] Bulacio por</w:t>
        <w:br/>
        <w:t xml:space="preserve">      lesiones seguidas de muerte” al Juzgado Nacional de Primera  Instancia</w:t>
        <w:br/>
        <w:t xml:space="preserve">      en lo Criminal de Instrucción No. 5 (en adelante “el Juzgado No.  5”),</w:t>
        <w:br/>
        <w:t xml:space="preserve">      que conoce de delitos cometidos por mayores de edad. Los padres de  la</w:t>
        <w:br/>
        <w:t xml:space="preserve">      presunta víctima  se  constituyeron  en  querellantes  el  3  de  mayo</w:t>
        <w:br/>
        <w:t xml:space="preserve">      siguiente ante el Juzgado No. 9 en la causa sobre  las  circunstancias</w:t>
        <w:br/>
        <w:t xml:space="preserve">      en que ocurrieron las detenciones y otros  ilícitos  cometidos  contra</w:t>
        <w:br/>
        <w:t xml:space="preserve">      Walter David Bulacio y otras personas. La  causa  fue  dividida  y  el</w:t>
        <w:br/>
        <w:t xml:space="preserve">      Juzgado No. 5 retuvo la investigación de las lesiones y la  muerte  de</w:t>
        <w:br/>
        <w:t xml:space="preserve">      Walter David Bulacio;</w:t>
        <w:br/>
        <w:br/>
        <w:t xml:space="preserve">   6) los Juzgados  Nacionales  de  Primera  Instancia  en  lo  Criminal  de</w:t>
        <w:br/>
        <w:t xml:space="preserve">      Instrucción de Menores No. 9 y No. 16 se declararon incompetentes  con</w:t>
        <w:br/>
        <w:t xml:space="preserve">      respecto a las detenciones y otros  ilícitos  cometidos  contra  otras</w:t>
        <w:br/>
        <w:t xml:space="preserve">      personas. Sucesivamente, el 22 de mayo de 1991, la Sala Especial de la</w:t>
        <w:br/>
        <w:t xml:space="preserve">      Cámara Nacional de Apelaciones en lo Criminal y  Correccional  unificó</w:t>
        <w:br/>
        <w:t xml:space="preserve">      la causa y la envió al Juzgado No. 9, que la denominó “Bulacio  Walter</w:t>
        <w:br/>
        <w:t xml:space="preserve">      s/muerte”. El 28 de mayo siguiente, dicha autoridad  decidió  procesar</w:t>
        <w:br/>
        <w:t xml:space="preserve">      al Comisario Miguel Ángel Espósito por delitos de privación ilegal  de</w:t>
        <w:br/>
        <w:t xml:space="preserve">      la libertad, abuso de autoridad e incumplimiento  de  los  deberes  de</w:t>
        <w:br/>
        <w:t xml:space="preserve">      funcionario público. Durante siete meses  se  tomaron  aproximadamente</w:t>
        <w:br/>
        <w:t xml:space="preserve">      200 declaraciones y la causa se mantuvo en “secreto de sumario”;</w:t>
        <w:br/>
        <w:br/>
        <w:t xml:space="preserve">   7) el 28 de diciembre  de  1991  los  querellantes  tuvieron  acceso  por</w:t>
        <w:br/>
        <w:t xml:space="preserve">      primera vez a las  declaraciones  del  expediente  en  trámite  en  el</w:t>
        <w:br/>
        <w:t xml:space="preserve">      Juzgado No. 9 y solicitaron el procesamiento de todos los  implicados,</w:t>
        <w:br/>
        <w:t xml:space="preserve">      entre  los  cuales  figuraban  autoridades  superiores  al   Comisario</w:t>
        <w:br/>
        <w:t xml:space="preserve">      Espósito;</w:t>
        <w:br/>
        <w:br/>
        <w:t xml:space="preserve">   8) el 21 de  febrero  de  1992  el  Fiscal  pidió  “sobreseer  parcial  y</w:t>
        <w:br/>
        <w:t xml:space="preserve">      definitivamente” a Miguel Ángel Espósito  en  lo  que  respecta  a  la</w:t>
        <w:br/>
        <w:t xml:space="preserve">      muerte del menor Walter David Bulacio. A su vez, en lo que se  refiere</w:t>
        <w:br/>
        <w:t xml:space="preserve">      a  la  privación  ilegal  de  la  libertad  requerida  y  solicitó  el</w:t>
        <w:br/>
        <w:t xml:space="preserve">      “sobreseimiento parcial y provisional” del Comisario Espósito.El 20 de</w:t>
        <w:br/>
        <w:t xml:space="preserve">      marzo de 1992 el Juzgado  No.  9  ordenó  la  prisión  preventiva  del</w:t>
        <w:br/>
        <w:t xml:space="preserve">      procesado, Comisario Miguel Ángel Espósito, por el delito de privación</w:t>
        <w:br/>
        <w:t xml:space="preserve">      ilegal de la libertad calificada en perjuicio de Walter David  Bulacio</w:t>
        <w:br/>
        <w:t xml:space="preserve">      y otros, medida que “no se har(ía( efectiva en razón  de  hallarse  el</w:t>
        <w:br/>
        <w:t xml:space="preserve">      mismo  excarcelado”;  dictó  un  embargo;  ordenó  el   sobreseimiento</w:t>
        <w:br/>
        <w:t xml:space="preserve">      provisional “con relación a la averiguación de  lesiones  seguidas  de</w:t>
        <w:br/>
        <w:t xml:space="preserve">      muerte del menor Walter David Bulacio, […] hecho por  el  cual  no  se</w:t>
        <w:br/>
        <w:t xml:space="preserve">      procesó a persona alguna” y dictó el sobreseimiento  provisional  “con</w:t>
        <w:br/>
        <w:t xml:space="preserve">      relación a los demás hechos [averiguación de diversas imputaciones por</w:t>
        <w:br/>
        <w:t xml:space="preserve">      lesiones, amenazas, severidades, vejaciones o apremios ilegales, hurto</w:t>
        <w:br/>
        <w:t xml:space="preserve">      o  retención  indebida,  falsedad  ideológica  de  documento  público,</w:t>
        <w:br/>
        <w:t xml:space="preserve">      requisa de transporte y otros más mencionados por el Sr. Agente Fiscal</w:t>
        <w:br/>
        <w:t xml:space="preserve">      […] e ínsitos en el petitorio de la parte querellante], por los que no</w:t>
        <w:br/>
        <w:t xml:space="preserve">      se procesó a persona alguna”. Ante un recurso de apelación del abogado</w:t>
        <w:br/>
        <w:t xml:space="preserve">      del imputado, el 19 de mayo de 1992 la Cámara Nacional de  Apelaciones</w:t>
        <w:br/>
        <w:t xml:space="preserve">      en lo Criminal y Correccional (en adelante  “Cámara  de  Apelaciones”)</w:t>
        <w:br/>
        <w:t xml:space="preserve">      revocó la prisión preventiva por  entender  que  “las  consideraciones</w:t>
        <w:br/>
        <w:t xml:space="preserve">      precedentes impiden responsabilizar al procesado por la aplicación  de</w:t>
        <w:br/>
        <w:t xml:space="preserve">      un instrumento inconstitucional (Memorandum 40( cuando  [Miguel  Ángel</w:t>
        <w:br/>
        <w:t xml:space="preserve">      Espósito] pudo no ser consciente de ello” y basado en que su  conducta</w:t>
        <w:br/>
        <w:t xml:space="preserve">      “se ajustó a las prácticas habitualmente vigentes”. Del  análisis  del</w:t>
        <w:br/>
        <w:t xml:space="preserve">      expediente, se desprende que según el  Informe  del  Comisario  Miguel</w:t>
        <w:br/>
        <w:t xml:space="preserve">      Ángel Espósito, funcionario que llevó a  cabo  las  detenciones,  éste</w:t>
        <w:br/>
        <w:t xml:space="preserve">      actuó oficiosamente aplicando el Memorandum No. 40 de la Dirección  de</w:t>
        <w:br/>
        <w:t xml:space="preserve">      Asuntos Judiciales de la Policía Federal Argentina adoptado el  19  de</w:t>
        <w:br/>
        <w:t xml:space="preserve">      abril de 1965. Dicho Memorandum era una comunicación interna  dirigida</w:t>
        <w:br/>
        <w:t xml:space="preserve">      por un funcionario a cargo de la  Dirección  Judicial  de  la  Policía</w:t>
        <w:br/>
        <w:t xml:space="preserve">      Federal Argentina a otro funcionario  encargado  de  la  Dirección  de</w:t>
        <w:br/>
        <w:t xml:space="preserve">      Seguridad, el cual “dejaba en [las] manos [del Comisario Espósito]  la</w:t>
        <w:br/>
        <w:t xml:space="preserve">      apreciación de labrar  actuaciones  sin  promover  consulta  a  ningún</w:t>
        <w:br/>
        <w:t xml:space="preserve">      tribunal, siendo la actuación extrajudicial”;</w:t>
        <w:br/>
        <w:br/>
        <w:br/>
        <w:t xml:space="preserve">   9) el 28  de  agosto  de  1992  el  Juzgado  No.  9  resolvió  “sobreseer</w:t>
        <w:br/>
        <w:t xml:space="preserve">      provisionalmente en el presente sumario […]  y  dejar  sin  efecto  el</w:t>
        <w:br/>
        <w:t xml:space="preserve">      procesamiento de Miguel Ángel Espósito […] en cuanto a los hechos  por</w:t>
        <w:br/>
        <w:t xml:space="preserve">      los que fuera indagado”, sean éstos por la  “privación  ilegal  de  la</w:t>
        <w:br/>
        <w:t xml:space="preserve">      libertad calificada en perjuicio de quien en vida fuera  Walter  David</w:t>
        <w:br/>
        <w:t xml:space="preserve">      Bulacio y demás personas mencionadas en esa resolución”. Ambas  partes</w:t>
        <w:br/>
        <w:t xml:space="preserve">      apelaron  esta  resolución:  la  defensa  solicitó  el  sobreseimiento</w:t>
        <w:br/>
        <w:t xml:space="preserve">      definitivo y la querella solicitó que se revocara el sobreseimiento  y</w:t>
        <w:br/>
        <w:t xml:space="preserve">      continuara la investigación;</w:t>
        <w:br/>
        <w:br/>
        <w:t xml:space="preserve">  10) el 13 de noviembre de 1992 la Sala VI  de  la  Cámara  de  Apelaciones</w:t>
        <w:br/>
        <w:t xml:space="preserve">      decidió  “transformar  en  definitivo   el   sobreseimiento   (((   en</w:t>
        <w:br/>
        <w:t xml:space="preserve">      definitivo” respecto de Miguel Ángel Espósito en esta causa,  lo  cual</w:t>
        <w:br/>
        <w:t xml:space="preserve">      motivó que los querellantes buscaran la recusación  de  los  jueces  e</w:t>
        <w:br/>
        <w:t xml:space="preserve">      inclusive un juicio político contra ellos. Lo  primero  fue  rechazado</w:t>
        <w:br/>
        <w:t xml:space="preserve">      por la Sala VI de la Cámara de Apelaciones  y  lo  segundo  “hasta  el</w:t>
        <w:br/>
        <w:t xml:space="preserve">      momento [de la presentación de la demanda ante la  Corte]  no  ha[bía]</w:t>
        <w:br/>
        <w:t xml:space="preserve">      sido decidido”;</w:t>
        <w:br/>
        <w:br/>
        <w:t xml:space="preserve">  11)  en 1993, los representantes de los familiares de Walter David Bulacio</w:t>
        <w:br/>
        <w:t xml:space="preserve">      iniciaron una demanda civil contra la Policía Federal Argentina  y  el</w:t>
        <w:br/>
        <w:t xml:space="preserve">      Comisario Miguel Ángel  Espósito  por  $300.000,00   (trescientos  mil</w:t>
        <w:br/>
        <w:t xml:space="preserve">      pesos). Este  proceso se encuentra suspendido hasta que  se  dicte  la</w:t>
        <w:br/>
        <w:t xml:space="preserve">      sentencia penal;</w:t>
        <w:br/>
        <w:br/>
        <w:t xml:space="preserve">  12) los querellantes presentaron un recurso  extraordinario  en  la  causa</w:t>
        <w:br/>
        <w:t xml:space="preserve">      penal, que fue rechazado el 12 de febrero de 1993 por la Sala VI de la</w:t>
        <w:br/>
        <w:t xml:space="preserve">      Cámara de Apelaciones, y un recurso de queja, resuelto  por  la  Corte</w:t>
        <w:br/>
        <w:t xml:space="preserve">      Suprema de Justicia de la Nación el 5 de abril de 1994, haciendo lugar</w:t>
        <w:br/>
        <w:t xml:space="preserve">      a  la  queja,  declarando   procedente   el   recurso   extraordinario</w:t>
        <w:br/>
        <w:t xml:space="preserve">      interpuesto y dejando sin efecto el pronunciamiento  impugnado  al  no</w:t>
        <w:br/>
        <w:t xml:space="preserve">      considerarlo un “acto judicial válido”, por carecer de fundamentos  de</w:t>
        <w:br/>
        <w:t xml:space="preserve">      hecho y de derecho;</w:t>
        <w:br/>
        <w:br/>
        <w:t xml:space="preserve">  13) el 7 de julio de 1994, la Sala VI de la Cámara de Apelaciones  decidió</w:t>
        <w:br/>
        <w:t xml:space="preserve">      que “aparec[ía] necesario continuar investigando los  alcances  de  la</w:t>
        <w:br/>
        <w:t xml:space="preserve">      conducta  enrostrada  al  imputado  y  revoc[ó]   el   [sobreseimiento</w:t>
        <w:br/>
        <w:t xml:space="preserve">      provisional]”;</w:t>
        <w:br/>
        <w:br/>
        <w:t xml:space="preserve">  14) “en atención a lo resuelto por la Corte  Suprema  de  Justicia  de  la</w:t>
        <w:br/>
        <w:t xml:space="preserve">      Nación” se designó al Juzgado Nacional de Menores No. 4  (en  adelante</w:t>
        <w:br/>
        <w:t xml:space="preserve">      “el Juzgado No. 4”) para conocer de la causa. El 30 de  septiembre  de</w:t>
        <w:br/>
        <w:t xml:space="preserve">      1994 dicho Juzgado ordenó la detención preventiva del Comisario Miguel</w:t>
        <w:br/>
        <w:t xml:space="preserve">      Ángel  Espósito  por  el  delito  de  privación  ilegal  de   libertad</w:t>
        <w:br/>
        <w:t xml:space="preserve">      calificada y dispuso un embargo por $100.000,00 (cien mil pesos). El 7</w:t>
        <w:br/>
        <w:t xml:space="preserve">      de  febrero  de  1995  la  instancia  superior  confirmó  la   prisión</w:t>
        <w:br/>
        <w:t xml:space="preserve">      preventiva ante una apelación planteada por la defensa de Miguel Ángel</w:t>
        <w:br/>
        <w:t xml:space="preserve">      Espósito. Ese mismo  día,  los  familiares  de  Walter  David  Bulacio</w:t>
        <w:br/>
        <w:t xml:space="preserve">      aportaron  nuevas  pruebas  y  solicitaron   la   reapertura   de   la</w:t>
        <w:br/>
        <w:t xml:space="preserve">      investigación  sobre  las  “lesiones,  apremios  ilegales  y  tormento</w:t>
        <w:br/>
        <w:t xml:space="preserve">      seguidos de muerte”. El  Ministerio  Público  Fiscal  adhirió  a  esta</w:t>
        <w:br/>
        <w:t xml:space="preserve">      solicitud y el 22 de febrero de 1995  el  Juzgado  No.  4  decretó  la</w:t>
        <w:br/>
        <w:t xml:space="preserve">      reapertura de la investigación, ordenando el desalojo de  las  pruebas</w:t>
        <w:br/>
        <w:t xml:space="preserve">      solicitadas;</w:t>
        <w:br/>
        <w:br/>
        <w:t xml:space="preserve">  15) el 22 de febrero de 1995 se reabrió el sumario y se  llamó  a  brindar</w:t>
        <w:br/>
        <w:t xml:space="preserve">      declaración testimonial a Fabián Rodolfo Sliwa, “ex-oficial que  había</w:t>
        <w:br/>
        <w:t xml:space="preserve">      presenciado, según [él mismo] dijo ante  los  medios  de  comunicación</w:t>
        <w:br/>
        <w:t xml:space="preserve">      social, el castigo físico  impuesto  por  el  Comisario  Miguel  Ángel</w:t>
        <w:br/>
        <w:t xml:space="preserve">      Espósito a Walter (David( Bulacio”. La defensa del Comisario  Espósito</w:t>
        <w:br/>
        <w:t xml:space="preserve">      intentó, sin éxito, impugnar al testigo y planteó una recusación;</w:t>
        <w:br/>
        <w:br/>
        <w:t xml:space="preserve">  16) el 22 de mayo de 1995 la  defensa  del  Comisario  Espósito  hizo  una</w:t>
        <w:br/>
        <w:t xml:space="preserve">      “promoción de especialidad” y solicitó que interviniese un juzgado  de</w:t>
        <w:br/>
        <w:t xml:space="preserve">      instrucción para mayores de edad y no  el  juzgado  para  menores  que</w:t>
        <w:br/>
        <w:t xml:space="preserve">      venía interviniendo desde 1991, en razón  de  lo  cual  se  declararon</w:t>
        <w:br/>
        <w:t xml:space="preserve">      incompetentes el Juzgado Nacional de Menores  No.  4  y  los  Juzgados</w:t>
        <w:br/>
        <w:t xml:space="preserve">      Nacionales de Primera Instancia en lo Criminal de Instrucción No. 5  y</w:t>
        <w:br/>
        <w:t xml:space="preserve">      No. 32;</w:t>
        <w:br/>
        <w:br/>
        <w:t xml:space="preserve">  17) el 24 de agosto de 1995 la Cámara de  Apelaciones  decidió  que  debía</w:t>
        <w:br/>
        <w:t xml:space="preserve">      continuar conociendo el caso el Juzgado No. 4;</w:t>
        <w:br/>
        <w:br/>
        <w:t xml:space="preserve">  18) entre noviembre de 1995 y febrero de 1996 el Juzgado  No.  4  llevó  a</w:t>
        <w:br/>
        <w:t xml:space="preserve">      cabo diligencias judiciales con el fin de confirmar lo señalado en  la</w:t>
        <w:br/>
        <w:t xml:space="preserve">      declaración del testigo Sliwa. Sin perjuicio  de  lo  anterior,  dicho</w:t>
        <w:br/>
        <w:t xml:space="preserve">      Juzgado “sobreseyó provisionalmente” en el sumario  con  relación  “al</w:t>
        <w:br/>
        <w:t xml:space="preserve">      hecho de lesiones seguidas de muerte” en perjuicio  del  joven  Walter</w:t>
        <w:br/>
        <w:t xml:space="preserve">      David Bulacio el 8 de marzo de 1996. No se había procesado  a  persona</w:t>
        <w:br/>
        <w:t xml:space="preserve">      alguna por este hecho. La defensa del Comisario Espósito  solicitó  el</w:t>
        <w:br/>
        <w:t xml:space="preserve">      “sobreseimiento definitivo”, lo que fue denegado el  19  de  marzo  de</w:t>
        <w:br/>
        <w:t xml:space="preserve">      1996, manteniéndose el “sobreseimiento provisional” y  clausurando  el</w:t>
        <w:br/>
        <w:t xml:space="preserve">      sumario respecto de la privación ilegal de la libertad, delito por  el</w:t>
        <w:br/>
        <w:t xml:space="preserve">      que se había dictado la prisión preventiva;</w:t>
        <w:br/>
        <w:br/>
        <w:br/>
        <w:t xml:space="preserve">  19) los autos principales fueron enviados al Juzgado Nacional  de  Primera</w:t>
        <w:br/>
        <w:t xml:space="preserve">      Instancia en lo Criminal de Sentencia “W”  (en  adelante  “Juzgado  de</w:t>
        <w:br/>
        <w:t xml:space="preserve">      Sentencia W”), donde los días 18 de  abril  y  16  de  mayo  de  1996,</w:t>
        <w:br/>
        <w:t xml:space="preserve">      respectivamente, la fiscal, en representación de un grupo de víctimas,</w:t>
        <w:br/>
        <w:t xml:space="preserve">      y los representantes de los padres de Walter David Bulacio  plantearon</w:t>
        <w:br/>
        <w:t xml:space="preserve">      acusación  y  querella  en  etapa  de  plenario  contra  el  Comisario</w:t>
        <w:br/>
        <w:t xml:space="preserve">      Espósito;</w:t>
        <w:br/>
        <w:br/>
        <w:t xml:space="preserve">  20) el 28 de junio de 1996 la defensa del Comisario  Espósito  planteó  un</w:t>
        <w:br/>
        <w:t xml:space="preserve">      incidente de recusación contra la fiscal, así  como  la  excepción  de</w:t>
        <w:br/>
        <w:t xml:space="preserve">      falta de jurisdicción. El 2 de julio de 1996 el Juzgado de Sentencia W</w:t>
        <w:br/>
        <w:t xml:space="preserve">      rechazó la recusación y el  26  de  marzo  de  1998  se  desestimó  el</w:t>
        <w:br/>
        <w:t xml:space="preserve">      incidente de “excepción de falta de jurisdicción”;</w:t>
        <w:br/>
        <w:br/>
        <w:t xml:space="preserve">  21) el 2 de diciembre de  1996  el  Juzgado  de  Sentencia  W  reabrió  el</w:t>
        <w:br/>
        <w:t xml:space="preserve">      incidente por “falta de jurisdicción”,  en  el  cual  se  declaró  una</w:t>
        <w:br/>
        <w:t xml:space="preserve">      “cuestión de derecho”, y la Cámara de Apelaciones confirmó el  rechazo</w:t>
        <w:br/>
        <w:t xml:space="preserve">      de la excepción el 22 de septiembre de 1998. Asimismo, se requirió  al</w:t>
        <w:br/>
        <w:t xml:space="preserve">      Juzgado de grado que “imprim(ier(a la debida celeridad al trámite  del</w:t>
        <w:br/>
        <w:t xml:space="preserve">      cuerpo principal”;</w:t>
        <w:br/>
        <w:br/>
        <w:t xml:space="preserve">  22)  el  28  de  octubre  de  1998  la  defensa   interpuso   un   recurso</w:t>
        <w:br/>
        <w:t xml:space="preserve">      extraordinario para que la Corte Suprema  de  Justicia  de  la  Nación</w:t>
        <w:br/>
        <w:t xml:space="preserve">      decidiera en definitiva la cuestión de  competencia  planteada  en  la</w:t>
        <w:br/>
        <w:t xml:space="preserve">      excepción. El 30 de octubre de  1998  la  misma  defensa  solicitó  la</w:t>
        <w:br/>
        <w:t xml:space="preserve">      suspensión temporal de este  recurso  e  interpuso  un   incidente  de</w:t>
        <w:br/>
        <w:t xml:space="preserve">      nulidad. Este incidente de nulidad fue resuelto el 29 de abril de 1999</w:t>
        <w:br/>
        <w:t xml:space="preserve">      y reconfirmado su rechazo el 16 de diciembre de  1999.  La  Cámara  de</w:t>
        <w:br/>
        <w:t xml:space="preserve">      Apelaciones, con fecha de 18 de mayo de 1999, resolvió no hacer  lugar</w:t>
        <w:br/>
        <w:t xml:space="preserve">      al recurso extraordinario y  devolvió  el  expediente  al  Juzgado  de</w:t>
        <w:br/>
        <w:t xml:space="preserve">      Instrucción No. 48, ex Juzgado de Sentencia W  (en  adelante  “Juzgado</w:t>
        <w:br/>
        <w:t xml:space="preserve">      No. 48”);</w:t>
        <w:br/>
        <w:br/>
        <w:t xml:space="preserve">  23) el 27 de diciembre de 1999 se formó un nuevo incidente de nulidad.  La</w:t>
        <w:br/>
        <w:t xml:space="preserve">      querellante y el Ministerio Público Fiscal solicitaron el  rechazo  de</w:t>
        <w:br/>
        <w:t xml:space="preserve">      este recurso. Por su parte, el Juzgado No. 48, con fecha 9 de marzo de</w:t>
        <w:br/>
        <w:t xml:space="preserve">      2000, decidió no hacer lugar al pedido de nulidad  absoluta  ni  a  la</w:t>
        <w:br/>
        <w:t xml:space="preserve">      solicitud de que fuera declarado firme el sobreseimiento.  La  defensa</w:t>
        <w:br/>
        <w:t xml:space="preserve">      apeló esta resolución. La Cámara de Apelaciones no  hizo  lugar  a  lo</w:t>
        <w:br/>
        <w:t xml:space="preserve">      solicitado y la defensa interpuso un recurso extraordinario  para  que</w:t>
        <w:br/>
        <w:t xml:space="preserve">      fuera la Corte Suprema de  Justicia  de  la  Nación  quien  tomara  la</w:t>
        <w:br/>
        <w:t xml:space="preserve">      decisión final acerca de la nulidad  y  el  sobreseimiento.  El  7  de</w:t>
        <w:br/>
        <w:t xml:space="preserve">      diciembre de 2000 la Cámara de Apelaciones decidió no hacer  lugar  al</w:t>
        <w:br/>
        <w:t xml:space="preserve">      recurso extraordinario;</w:t>
        <w:br/>
        <w:br/>
        <w:t xml:space="preserve">  24) el 15 de junio de  2001,  ya  firme  la  denegatoria  del  recurso  de</w:t>
        <w:br/>
        <w:t xml:space="preserve">      nulidad, el expediente  volvió  al  Juzgado  No.  48  para  seguir  el</w:t>
        <w:br/>
        <w:t xml:space="preserve">      procedimiento en la causa principal. El 25 de junio de 2001 la defensa</w:t>
        <w:br/>
        <w:t xml:space="preserve">      del   procesado   formuló   “excepciones   de   previo   y    especial</w:t>
        <w:br/>
        <w:t xml:space="preserve">      pronunciamiento”, que se encuentran en trámite, tendientes a  que  sea</w:t>
        <w:br/>
        <w:t xml:space="preserve">      declarada la extinción de la acción penal por prescripción  y  que  se</w:t>
        <w:br/>
        <w:t xml:space="preserve">      deseche la querella por falta de legitimación; y</w:t>
        <w:br/>
        <w:br/>
        <w:t xml:space="preserve">  25) la Sala VI de la Cámara de Apelaciones, con fecha 21 de  noviembre  de</w:t>
        <w:br/>
        <w:t xml:space="preserve">      2002 resolvió que había prescrito la acción penal. Esta resolución fue</w:t>
        <w:br/>
        <w:t xml:space="preserve">      impugnada por la Fiscalía y hasta la fecha de  la  presente  Sentencia</w:t>
        <w:br/>
        <w:t xml:space="preserve">      las partes no han comunicado a esta Corte  decisión  alguna  sobre  el</w:t>
        <w:br/>
        <w:t xml:space="preserve">      particular.</w:t>
        <w:br/>
        <w:br/>
        <w:br/>
        <w:br/>
        <w:t xml:space="preserve">                                     iii</w:t>
        <w:br/>
        <w:br/>
        <w:br/>
        <w:t xml:space="preserve">                                 Competencia</w:t>
        <w:br/>
        <w:br/>
        <w:br/>
        <w:t>4.    La Corte  es  competente  para  conocer  del  presente  caso,  en  los</w:t>
        <w:br/>
        <w:t>términos de  los  artículos  62  y  63.1  de  la  Convención  Americana.  La</w:t>
        <w:br/>
        <w:t>Argentina es Estado Parte de la Convención  desde  el  5  de  septiembre  de</w:t>
        <w:br/>
        <w:t>1984, fecha en el que también reconoció la  competencia  contenciosa  de  la</w:t>
        <w:br/>
        <w:t>Corte.</w:t>
        <w:br/>
        <w:br/>
        <w:br/>
        <w:br/>
        <w:t xml:space="preserve">                                     iv</w:t>
        <w:br/>
        <w:br/>
        <w:br/>
        <w:t xml:space="preserve">                       Procedimiento ante la comision</w:t>
        <w:br/>
        <w:br/>
        <w:br/>
        <w:t>5.    El 13 de mayo de 1997 la Comisión  recibió  una  denuncia  interpuesta</w:t>
        <w:br/>
        <w:t>por María del Carmen Verdú y Daniel A. Stragá, en representación  de  Víctor</w:t>
        <w:br/>
        <w:t>David Bulacio y Graciela Rosa Scavone, padres de la  presunta  víctima,  con</w:t>
        <w:br/>
        <w:t>el  co-patrocinio  de  la  Coordinadora  contra  la  Represión  Policial   e</w:t>
        <w:br/>
        <w:t>Institucional (en adelante “CORREPI”),  el  Centro  por  la  Justicia  y  el</w:t>
        <w:br/>
        <w:t>Derecho Internacional (en adelante “CEJIL”) y el Centro de Estudios  Legales</w:t>
        <w:br/>
        <w:t>y Sociales (en adelante el “CELS”) (en adelante “los peticionarios”).</w:t>
        <w:br/>
        <w:br/>
        <w:t>6.    El 16 de mayo de  1997  la  Comisión  remitió  al  Estado  las  partes</w:t>
        <w:br/>
        <w:t>pertinentes de la denuncia y le solicitó  que  suministrara  la  información</w:t>
        <w:br/>
        <w:t>correspondiente dentro de un plazo de  90  días.  El  Estado  solicitó  tres</w:t>
        <w:br/>
        <w:t>prórrogas consecutivas, que fueron concedidas  por  la  Comisión.  El  3  de</w:t>
        <w:br/>
        <w:t>diciembre de 1997, el  Estado  solicitó  que  se  declarara  inadmisible  la</w:t>
        <w:br/>
        <w:t>reclamación, como consecuencia de la falta de agotamiento  de  los  recursos</w:t>
        <w:br/>
        <w:t>internos y de no haberse acreditado ninguna de las  excepciones  presentadas</w:t>
        <w:br/>
        <w:t>por el artículo 46.2 de la Convención. Los peticionarios  replicaron  el  26</w:t>
        <w:br/>
        <w:t>de febrero de 1998.</w:t>
        <w:br/>
        <w:br/>
        <w:t>7.     El  5  de  mayo  de  1998  la  Comisión  aprobó  el   Informe   sobre</w:t>
        <w:br/>
        <w:t>Admisibilidad No. 29/98, durante su 99˚ Período Extraordinario de  Sesiones,</w:t>
        <w:br/>
        <w:t>y se puso a disposición de las partes  con  el  propósito  de  alcanzar  una</w:t>
        <w:br/>
        <w:t>solución amistosa.</w:t>
        <w:br/>
        <w:br/>
        <w:t>8.    El 18 de diciembre de 1998 los peticionarios informaron a la  Comisión</w:t>
        <w:br/>
        <w:t>que había finalizado el proceso de negociación de una solución amistosa  con</w:t>
        <w:br/>
        <w:t>el Estado y solicitaron que continuara el trámite del caso.</w:t>
        <w:br/>
        <w:br/>
        <w:t>9.     Entre  marzo  de  1999  y  septiembre  de  2000,  el  Estado  y   los</w:t>
        <w:br/>
        <w:t>peticionarios remitieron algunos escritos en relación con el agotamiento  de</w:t>
        <w:br/>
        <w:t>los recursos internos, así como información  complementaria  relevante  para</w:t>
        <w:br/>
        <w:t>el caso.</w:t>
        <w:br/>
        <w:br/>
        <w:t>10.   El 3 de octubre de 2000 la  Comisión  aprobó  el  Informe  No.  72/00,</w:t>
        <w:br/>
        <w:t>durante el 108˚ Período Ordinario de Sesiones. En dicho informe se  concluyó</w:t>
        <w:br/>
        <w:t>que la Argentina violó los derechos  a  la  vida  (artículo  4),  integridad</w:t>
        <w:br/>
        <w:t>personal (artículo 5), libertad personal (artículo 7), garantías  judiciales</w:t>
        <w:br/>
        <w:t>(artículo 8), del niño (artículo 19), y protección judicial  (artículo  25),</w:t>
        <w:br/>
        <w:t>así como la obligación  de  respetar  los  derechos  humanos  (artículo  1),</w:t>
        <w:br/>
        <w:t>establecidos en la Convención  Americana,  en  perjuicio  del  joven  Walter</w:t>
        <w:br/>
        <w:t>David Bulacio. La parte  dispositiva  de  dicho  informe  establece  que  el</w:t>
        <w:br/>
        <w:t>Estado debe:</w:t>
        <w:br/>
        <w:br/>
        <w:br/>
        <w:t xml:space="preserve">     1.     Adoptar todas las medidas necesarias para que los  hechos  antes</w:t>
        <w:br/>
        <w:t xml:space="preserve">     narrados  no  queden  impunes,  entre  ellas,   llevar   a   cabo   una</w:t>
        <w:br/>
        <w:t xml:space="preserve">     investigación  completa,  imparcial  y  efectiva  para  determinar  las</w:t>
        <w:br/>
        <w:t xml:space="preserve">     circunstancias en que ocurrieron la detención,  lesiones  y  muerte  de</w:t>
        <w:br/>
        <w:t xml:space="preserve">     Walter David Bulacio y sancionar a los responsables de acuerdo  con  la</w:t>
        <w:br/>
        <w:t xml:space="preserve">     legislación Argentina.</w:t>
        <w:br/>
        <w:br/>
        <w:br/>
        <w:t xml:space="preserve">     2.     Adoptar las medidas necesarias para que los familiares de Walter</w:t>
        <w:br/>
        <w:t xml:space="preserve">     David Bulacio, Víctor David Bulacio  y  Graciela  Scavone  de  Bulacio,</w:t>
        <w:br/>
        <w:t xml:space="preserve">     reciban  adecuada  y  oportuna  reparación  por  las  violaciones   […]</w:t>
        <w:br/>
        <w:t xml:space="preserve">     establecidas.</w:t>
        <w:br/>
        <w:br/>
        <w:br/>
        <w:t xml:space="preserve">      La Comisión acuerda transmitir [el] informe al Estado y  otorgarle  un</w:t>
        <w:br/>
        <w:t xml:space="preserve">     plazo  de  dos  meses  para  dar  cumplimiento  a  las  recomendaciones</w:t>
        <w:br/>
        <w:t xml:space="preserve">     formuladas. Dicho plazo se contará a partir de la fecha de  transmisión</w:t>
        <w:br/>
        <w:t xml:space="preserve">     del […] informe al Estado, el cual no estará facultado para publicarlo.</w:t>
        <w:br/>
        <w:t xml:space="preserve">     Igualmente, la Comisión acuerda notificar a  los  peticionarios  de  la</w:t>
        <w:br/>
        <w:t xml:space="preserve">     aprobación  de  un  informe  bajo  el  artículo  50  de  la  Convención</w:t>
        <w:br/>
        <w:t xml:space="preserve">     Americana.</w:t>
        <w:br/>
        <w:br/>
        <w:br/>
        <w:t>11.   La Comisión transmitió al  Estado  el  mencionado  informe  el  24  de</w:t>
        <w:br/>
        <w:t>octubre de 2000; sin embargo, aquél no dio respuesta a  las  recomendaciones</w:t>
        <w:br/>
        <w:t>adoptadas.</w:t>
        <w:br/>
        <w:br/>
        <w:br/>
        <w:br/>
        <w:br/>
        <w:br/>
        <w:br/>
        <w:t xml:space="preserve">                                      v</w:t>
        <w:br/>
        <w:br/>
        <w:t xml:space="preserve">                         Procedimiento ante la Corte</w:t>
        <w:br/>
        <w:br/>
        <w:br/>
        <w:t>12.    La  Comisión  presentó  ante  la  Corte  Interamericana  la   demanda</w:t>
        <w:br/>
        <w:t>correspondiente a este caso el 24 de enero de 2001 (supra 1).</w:t>
        <w:br/>
        <w:br/>
        <w:t>13.   La Comisión designó  como  sus  delegados  a  los  señores  Robert  K.</w:t>
        <w:br/>
        <w:t>Goldman y Víctor Abramovich y como  asesora  jurídica  a  la  señora  Raquel</w:t>
        <w:br/>
        <w:t>Poitevien. Además, la Comisión acreditó en calidad de asistentes  a  Viviana</w:t>
        <w:br/>
        <w:t>Krsticevic, de CEJIL, Andrea Pochak, del CELS y María del Carmen  Verdú,  de</w:t>
        <w:br/>
        <w:t>la Coordinadora contra la Represión Policial e  Institucional  (en  adelante</w:t>
        <w:br/>
        <w:t>“CORREPI”),  quienes  se  desempeñan  también  como  representantes  de  los</w:t>
        <w:br/>
        <w:t>familiares de la presunta víctima.</w:t>
        <w:br/>
        <w:br/>
        <w:t>14.   El 6 de febrero de 2001 la Secretaría de la  Corte  (en  adelante  “la</w:t>
        <w:br/>
        <w:t>Secretaría”),  siguiendo  instrucciones  del  Presidente  de  la  Corte  (en</w:t>
        <w:br/>
        <w:t>adelante “el Presidente”), de conformidad con lo dispuesto en los  artículos</w:t>
        <w:br/>
        <w:t>33 y 34 del Reglamento, solicitó a la Comisión que remitiera,  en  un  plazo</w:t>
        <w:br/>
        <w:t>de 20 días, diversas informaciones y documentación, así como ciertos  anexos</w:t>
        <w:br/>
        <w:t>de la demanda que se encontraban incompletos o ilegibles. Los días 12  y  28</w:t>
        <w:br/>
        <w:t>de febrero 2001 la Comisión envió los documentos solicitados.</w:t>
        <w:br/>
        <w:br/>
        <w:t>15.   Mediante nota de 20 de marzo de 2001, la Corte notificó al  Estado  la</w:t>
        <w:br/>
        <w:t>demanda y sus anexos y, a su  vez,  informó  a  éste  que  tenía  derecho  a</w:t>
        <w:br/>
        <w:t>nombrar un juez ad hoc para que participara en la  consideración  del  caso.</w:t>
        <w:br/>
        <w:t>El 11 de abril de 2001 el Estado nombró juez ad hoc  al  señor  Ricardo  Gil</w:t>
        <w:br/>
        <w:t>Lavedra, y designó como agente  al  señor  Alberto  Pedro  D’Alotto  y  como</w:t>
        <w:br/>
        <w:t>agente alterna a la señora María Teresa Flores.  El 4 de julio  de  2001  el</w:t>
        <w:br/>
        <w:t>Estado nombró, en sustitución de los anteriores, a las  señoras  María  Rosa</w:t>
        <w:br/>
        <w:t>Cilurzo, como agente, y Andrea G.  Gualde,  como  agente  alterna.  Mediante</w:t>
        <w:br/>
        <w:t>comunicación  recibida  el  5  de  marzo  de  2003,  el  Estado  informó  el</w:t>
        <w:br/>
        <w:t>nombramiento de la señora Silvia  Susana  Testoni  como  agente  titular  en</w:t>
        <w:br/>
        <w:t>sustitución de la señora Cilurzo. Finalmente, el  4  de  julio  de  2003  el</w:t>
        <w:br/>
        <w:t>señor Horacio Daniel Rosatti fue nombrado agente titular en  sustitución  de</w:t>
        <w:br/>
        <w:t>la señora Testoni.</w:t>
        <w:br/>
        <w:br/>
        <w:t>16.   Mediante comunicación de 18 de julio de 2001,  el  Estado  remitió  la</w:t>
        <w:br/>
        <w:t>contestación de la demanda y los anexos respectivos, varios  de  los  cuales</w:t>
        <w:br/>
        <w:t>eran ilegibles o carecían de algunas  piezas.  La  Secretaría  de  la  Corte</w:t>
        <w:br/>
        <w:t>solicitó al Estado, en varias oportunidades, copia de los  folios  faltantes</w:t>
        <w:br/>
        <w:t>o ilegibles de los anexos de contestación de la demanda. El  14  de  octubre</w:t>
        <w:br/>
        <w:t>de 2001 la Secretaría pudo remitir la  contestación  de  la  demanda  y  sus</w:t>
        <w:br/>
        <w:t>anexos a la Comisión.</w:t>
        <w:br/>
        <w:br/>
        <w:t>17.   El 2 de noviembre de  2001  la  Comisión  solicitó  al  Presidente  la</w:t>
        <w:br/>
        <w:t>posibilidad  de  presentar  otros  actos  del  procedimiento   escrito,   de</w:t>
        <w:br/>
        <w:t>conformidad con lo establecido en el artículo 38 del Reglamento vigente.  El</w:t>
        <w:br/>
        <w:t>8 de noviembre de 2001, el Presidente concedió a las partes  la  oportunidad</w:t>
        <w:br/>
        <w:t>de presentar escritos de réplica y dúplica, otorgando  para  tal  efecto  un</w:t>
        <w:br/>
        <w:t>plazo de un mes a cada parte. Dichas comunicaciones fueron presentadas el  7</w:t>
        <w:br/>
        <w:t>de diciembre de 2001 por la Comisión y el 9 de enero de 2002 por el Estado.</w:t>
        <w:br/>
        <w:br/>
        <w:t>18.   El 24 de noviembre  de  2001  la  Corte  solicitó  a  las  partes  que</w:t>
        <w:br/>
        <w:t>presentaran sus argumentaciones sobre las eventuales reparaciones, sobre  la</w:t>
        <w:br/>
        <w:t>base del principio de economía procesal y con apoyo en los  artículos  31  y</w:t>
        <w:br/>
        <w:t>44 del Reglamento de la Corte. El  20  de  diciembre  de  2001  la  Comisión</w:t>
        <w:br/>
        <w:t>solicitó una prórroga para el envío de sus argumentos y  pruebas  sobre  las</w:t>
        <w:br/>
        <w:t>eventuales reparaciones, en razón de la situación que  estaba  viviendo  ese</w:t>
        <w:br/>
        <w:t>país. Se concedió prórroga hasta el 4 de enero de 2002, y el  documento  fue</w:t>
        <w:br/>
        <w:t>presentado por la Comisión en esa fecha. El 7 de febrero de 2002  el  Estado</w:t>
        <w:br/>
        <w:t>envió sus observaciones y pruebas en cuanto a las eventuales reparaciones.</w:t>
        <w:br/>
        <w:br/>
        <w:t>19.   El 15 de enero de 2002 la Comisión, previa  consulta  con  el  Estado,</w:t>
        <w:br/>
        <w:t>solicitó  el  diferimiento  de  la  audiencia  pública,  en  razón  de   las</w:t>
        <w:br/>
        <w:t>circunstancias que se estabam viviendo en la Argentina.  Al  día  siguiente,</w:t>
        <w:br/>
        <w:t>la Secretaría informó a las partes que el Presidente había accedido  a  esta</w:t>
        <w:br/>
        <w:t>petición.</w:t>
        <w:br/>
        <w:br/>
        <w:t>20.   El 18 de abril de 2002 la Comisión informó que la acción penal  en  la</w:t>
        <w:br/>
        <w:t>que se investigaba la privación ilegítima de la  libertad  de  Walter  David</w:t>
        <w:br/>
        <w:t>Bulacio prescribiría el 16 de mayo siguiente. El 22  de  abril  de  2002  el</w:t>
        <w:br/>
        <w:t>Presidente solicitó al Estado sus observaciones al respecto y  éstas  fueron</w:t>
        <w:br/>
        <w:t>presentadas una semana después indicando que  no  se  podría  presentar  una</w:t>
        <w:br/>
        <w:t>prescripción. El 3 de junio de 2002 el Estado envió copia  de  la  actuación</w:t>
        <w:br/>
        <w:t>judicial, mediante la cual se activaba la causa citada anteriormente.</w:t>
        <w:br/>
        <w:br/>
        <w:t>21.   El 19 de junio de 2002  la  Secretaría  solicitó  al  Estado  y  a  la</w:t>
        <w:br/>
        <w:t>Comisión el envío de la  lista  definitiva  de  testigos  y  peritos,  cuyas</w:t>
        <w:br/>
        <w:t>declaraciones y peritajes propondrían en una futura audiencia pública  sobre</w:t>
        <w:br/>
        <w:t>el fondo y eventuales reparaciones en este caso. Mediante comunicación de  3</w:t>
        <w:br/>
        <w:t>de julio de 2002, la  Comisión  informó  que  se  estaban  llevando  a  cabo</w:t>
        <w:br/>
        <w:t>gestiones para lograr una solución amistosa. El 20 de noviembre de  2002  la</w:t>
        <w:br/>
        <w:t>Secretaría solicitó nuevamente al Estado y a la  Comisión  el  envío  de  la</w:t>
        <w:br/>
        <w:t>lista definitiva de testigos y peritos.  El  26  de  noviembre  de  2002  el</w:t>
        <w:br/>
        <w:t>Estado informó que  las  partes  realizaban  gestiones  para  llegar  a  una</w:t>
        <w:br/>
        <w:t>solución  amistosa  y,  consecuentemente,  solicitó  la  suspensión  de   la</w:t>
        <w:br/>
        <w:t>audiencia  pública  que  se  estaba  programando.  En  la  misma  fecha,  el</w:t>
        <w:br/>
        <w:t>Presidente requirió a la Comisión que enviase  sus  observaciones  sobre  la</w:t>
        <w:br/>
        <w:t>petición del Estado. El 11 de diciembre de 2002  la  Comisión  indicó  a  la</w:t>
        <w:br/>
        <w:t>Corte que no consideraba oportuno que se suspendiera la  audiencia.  Al  día</w:t>
        <w:br/>
        <w:t>siguiente, la Secretaría reiteró la solicitud acerca de la remisión  de  las</w:t>
        <w:br/>
        <w:t>listas definitivas de los testigos y peritos ofrecidos por las  partes.  Los</w:t>
        <w:br/>
        <w:t>días 16, 18 y 20 del  mismo  mes,  la  Comisión  y  el  Estado  presentaron,</w:t>
        <w:br/>
        <w:t>respectivamente, la información requerida.</w:t>
        <w:br/>
        <w:br/>
        <w:t>22.   Mediante Resolución de 20 de diciembre de 2002, el Presidente  convocó</w:t>
        <w:br/>
        <w:t>a la Comisión Interamericana y al Estado a  una  audiencia  pública  que  se</w:t>
        <w:br/>
        <w:t>celebraría en la sede de la Corte a partir del día 6 de marzo de  2003,  con</w:t>
        <w:br/>
        <w:t>el propósito de recibir  la  declaración  de  los  testigos  y  los  peritos</w:t>
        <w:br/>
        <w:t>ofrecidos por las partes y  sus  alegatos  finales  verbales.  Asimismo,  se</w:t>
        <w:br/>
        <w:t>admitieron los dictámenes por escrito de los peritos Osvaldo Héctor Curci  y</w:t>
        <w:br/>
        <w:t>Osvaldo Hugo Raffo, ofrecidos por el Estado. Por último, se indicó  que  las</w:t>
        <w:br/>
        <w:t>partes podrían presentar sus alegatos finales escritos.</w:t>
        <w:br/>
        <w:br/>
        <w:t>23.   El 23 de enero de 2003 el Estado remitió las declaraciones juradas  de</w:t>
        <w:br/>
        <w:t>los dos peritos ofrecidos (supra 22). El 7 de febrero siguiente la  Comisión</w:t>
        <w:br/>
        <w:t>remitió sus observaciones a las mismas.</w:t>
        <w:br/>
        <w:br/>
        <w:t>24.   El 5 de febrero  de  2003  el  Estado  envió  copia  del  Decreto  No.</w:t>
        <w:br/>
        <w:t>161/2003, mediante el cual el Presidente de la República Argentina  ordenaba</w:t>
        <w:br/>
        <w:t>a la Procuración del Tesoro de la Nación llegar a  un  acuerdo  de  solución</w:t>
        <w:br/>
        <w:t>amistosa en el presente  caso. Al día siguiente,  la  Secretaría,  siguiendo</w:t>
        <w:br/>
        <w:t>instrucciones  del  Presidente,  solicitó  a  la   Comisión   Interamericana</w:t>
        <w:br/>
        <w:t>observaciones al citado decreto. El  14  de  febrero  de  2003  la  Comisión</w:t>
        <w:br/>
        <w:t>señaló que, previa consulta con los representantes de los familiares  de  la</w:t>
        <w:br/>
        <w:t>presunta víctima, aquélla “mant[enía] su postura sobre la importancia de  la</w:t>
        <w:br/>
        <w:t>audiencia pública prevista para el 6 de marzo de 2003”.</w:t>
        <w:br/>
        <w:br/>
        <w:t>25.   El 27 de febrero de 2003 la Comisión remitió una copia del acuerdo  de</w:t>
        <w:br/>
        <w:t>solución amistosa celebrado el 26 de febrero de 2003  entre  el  Estado,  la</w:t>
        <w:br/>
        <w:t>Comisión y los representantes de los familiares de la presunta  víctima,  en</w:t>
        <w:br/>
        <w:t>el que el Estado reconocía su responsabilidad internacional  en  este  caso.</w:t>
        <w:br/>
        <w:t>Asimismo, solicitó que el dictamen del señor Emilio García Méndez,  ofrecido</w:t>
        <w:br/>
        <w:t>como perito para la audiencia pública, fuera recibido por  escrito  mediante</w:t>
        <w:br/>
        <w:t>declaración  jurada.  Al  día  siguiente,   la   Secretaría   solicitó   las</w:t>
        <w:br/>
        <w:t>observaciones del  Estado.  El  3  de  marzo  de  2003  el  Estado  presentó</w:t>
        <w:br/>
        <w:t>objeciones a los ofrecimientos de prueba hechos por la Comisión.</w:t>
        <w:br/>
        <w:br/>
        <w:t>26.   La Corte celebró dos audiencias públicas, en las cuales  comparecieron</w:t>
        <w:br/>
        <w:t>ante la Corte:</w:t>
        <w:br/>
        <w:br/>
        <w:t>Por la Comisión Interamericana de Derechos Humanos:</w:t>
        <w:br/>
        <w:br/>
        <w:t xml:space="preserve">      Robert K. Goldman, delegado;</w:t>
        <w:br/>
        <w:t xml:space="preserve">      Víctor Abramovich, delegado; y</w:t>
        <w:br/>
        <w:t xml:space="preserve">      Elizabeth Abi-Mershed, asesora jurídica.</w:t>
        <w:br/>
        <w:br/>
        <w:br/>
        <w:t>Por los representantes de los familiares de la presunta víctima:</w:t>
        <w:br/>
        <w:br/>
        <w:t xml:space="preserve">      Andrea Pochak, representante; y</w:t>
        <w:br/>
        <w:t xml:space="preserve">      María del Carmen Verdú; representante.</w:t>
        <w:br/>
        <w:br/>
        <w:br/>
        <w:t>Por el Estado de la República Argentina:</w:t>
        <w:br/>
        <w:br/>
        <w:br/>
        <w:t xml:space="preserve">      Silvia Susana Testoni, agente</w:t>
        <w:br/>
        <w:t xml:space="preserve">      Andrea G. Gualde, agente alterna; y</w:t>
        <w:br/>
        <w:t xml:space="preserve">      Embajador Juan José Arcuri.</w:t>
        <w:br/>
        <w:br/>
        <w:t>Testigo propuesto por la Comisión Interamericana:</w:t>
        <w:br/>
        <w:br/>
        <w:t xml:space="preserve">      Graciela Rosa Scavone.</w:t>
        <w:br/>
        <w:br/>
        <w:br/>
        <w:t>Peritos propuestos por la Comisión Interamericana:</w:t>
        <w:br/>
        <w:br/>
        <w:br/>
        <w:t xml:space="preserve">      Sofía Tiscornia; y</w:t>
        <w:br/>
        <w:t xml:space="preserve">      Graciela Marisa Guilis.</w:t>
        <w:br/>
        <w:br/>
        <w:t>27.   Como consecuencia del acuerdo de solución amistosa alcanzado  por  las</w:t>
        <w:br/>
        <w:t>partes y en el que el Estado reconoció su responsabilidad internacional,  el</w:t>
        <w:br/>
        <w:t>6 de marzo de 2003 la Corte celebró dos audiencias públicas (supra  26).  En</w:t>
        <w:br/>
        <w:t>la primera, las partes leyeron y  entregaron  un  documento  aclaratorio  al</w:t>
        <w:br/>
        <w:t>sentido y el alcance de  los  términos  del  acuerdo  (infra  33).  Una  vez</w:t>
        <w:br/>
        <w:t>finalizada  dicha  audiencia,  la  Corte  observó  que   había   cesado   la</w:t>
        <w:br/>
        <w:t>controversia sobre el fondo de los hechos y las consecuencias  jurídicas  de</w:t>
        <w:br/>
        <w:t>los mismos y dictó la siguiente Resolución:</w:t>
        <w:br/>
        <w:br/>
        <w:t xml:space="preserve">      1.    Escuchar los alegatos de la Comisión Interamericana de  Derechos</w:t>
        <w:br/>
        <w:t xml:space="preserve">      Humanos y del Estado de la República Argentina sobre las  reparaciones</w:t>
        <w:br/>
        <w:t xml:space="preserve">      en el presente caso,  así  como  las  declaraciones  de  la  siguiente</w:t>
        <w:br/>
        <w:t xml:space="preserve">      testigo [Graciela  Rosa  Scavone]  y  las  siguientes  peritos  [Sofía</w:t>
        <w:br/>
        <w:t xml:space="preserve">      Tiscornia y  Graciela  Marisa   Guilis]  propuestas  por  la  Comisión</w:t>
        <w:br/>
        <w:t xml:space="preserve">      Interamericana de Derechos Humanos[.]</w:t>
        <w:br/>
        <w:br/>
        <w:br/>
        <w:br/>
        <w:br/>
        <w:t>[…]</w:t>
        <w:br/>
        <w:br/>
        <w:br/>
        <w:t xml:space="preserve">      2.     Admitir  los  dictámenes  periciales  por  escrito  del  perito</w:t>
        <w:br/>
        <w:t xml:space="preserve">      propuesto por la Comisión Interamericana de Derechos Humanos, el señor</w:t>
        <w:br/>
        <w:t xml:space="preserve">      Emilio García Méndez, sobre la legislación y las prácticas internas en</w:t>
        <w:br/>
        <w:t xml:space="preserve">      relación con personas menores de edad y los estándares internacionales</w:t>
        <w:br/>
        <w:t xml:space="preserve">      que se aplican en la materia y del perito que nombre el Estado  de  la</w:t>
        <w:br/>
        <w:t xml:space="preserve">      República Argentina.</w:t>
        <w:br/>
        <w:br/>
        <w:br/>
        <w:t xml:space="preserve">      3.    Requerir al Estado de la República Argentina que a más tardar el</w:t>
        <w:br/>
        <w:t xml:space="preserve">      13 de marzo de 2003 informe a  la  Corte  Interamericana  de  Derechos</w:t>
        <w:br/>
        <w:t xml:space="preserve">      Humanos  el  nombre  del  perito  al  que  hace  referencia  el  punto</w:t>
        <w:br/>
        <w:t xml:space="preserve">      resolutivo anterior.</w:t>
        <w:br/>
        <w:br/>
        <w:br/>
        <w:t xml:space="preserve">      4.    Requerir que los peritajes del punto  resolutivo  anterior  sean</w:t>
        <w:br/>
        <w:t xml:space="preserve">      rendidos mediante un dictamen escrito que deberá ser reconocido en  su</w:t>
        <w:br/>
        <w:t xml:space="preserve">      contenido así como su firma ante notario público.</w:t>
        <w:br/>
        <w:br/>
        <w:br/>
        <w:t xml:space="preserve">      5.    Requerir,  respectivamente,  a  la  Comisión  Interamericana  de</w:t>
        <w:br/>
        <w:t xml:space="preserve">      Derechos Humanos y al Estado de la República Argentina que coordine  y</w:t>
        <w:br/>
        <w:t xml:space="preserve">      lleve a cabo las diligencias necesarias para  evacuar  los  dictámenes</w:t>
        <w:br/>
        <w:t xml:space="preserve">      escritos ofrecidos por éstos.</w:t>
        <w:br/>
        <w:br/>
        <w:br/>
        <w:t xml:space="preserve">      6.    Requerir a la Comisión Interamericana de Derechos Humanos  y  al</w:t>
        <w:br/>
        <w:t xml:space="preserve">      Estado  de  la  República  Argentina  que  presenten  ante  la   Corte</w:t>
        <w:br/>
        <w:t xml:space="preserve">      Interamericana de Derechos Humanos los  dictámenes  periciales  a  más</w:t>
        <w:br/>
        <w:t xml:space="preserve">      tardar el 15 de abril de 2003.</w:t>
        <w:br/>
        <w:br/>
        <w:br/>
        <w:t xml:space="preserve">      7.    Solicitar a la Secretaría de la Corte Interamericana de Derechos</w:t>
        <w:br/>
        <w:t xml:space="preserve">      Humanos que, una vez recibidos por escrito los dictámenes  periciales,</w:t>
        <w:br/>
        <w:t xml:space="preserve">      éstos sean transmitidos  a  la  Comisión  Interamericana  de  Derechos</w:t>
        <w:br/>
        <w:t xml:space="preserve">      Humanos o al Estado de la República Argentina, según corresponda  para</w:t>
        <w:br/>
        <w:t xml:space="preserve">      que, en un plazo improrrogable de 30 días a partir de su notificación,</w:t>
        <w:br/>
        <w:t xml:space="preserve">      presente sus observaciones si lo considera pertinente.</w:t>
        <w:br/>
        <w:br/>
        <w:t>Al inicio de la segunda audiencia, el Presidente informó  de  la  Resolución</w:t>
        <w:br/>
        <w:t>antes citada y comunicó a las partes que se  continuaría  con  la  etapa  de</w:t>
        <w:br/>
        <w:t>reparaciones.</w:t>
        <w:br/>
        <w:br/>
        <w:t>28.   El 14 de marzo siguiente el Estado presentó el  curriculum  vitae  del</w:t>
        <w:br/>
        <w:t>perito Máximo Emiliano Sozzo, ofrecido por aquél  en  la  primera  audiencia</w:t>
        <w:br/>
        <w:t>pública (supra 26  y  27).  En  igual  sentido,  la  Comisión  y  el  Estado</w:t>
        <w:br/>
        <w:t>presentaron  dictámenes  el  15  de  abril  de  2003,  los   cuales   fueron</w:t>
        <w:br/>
        <w:t>trasladados a la parte contraria  los  días  21  y  22  de  abril  de  2003,</w:t>
        <w:br/>
        <w:t>respectivamente.  Las  partes  remitieron  sus  observaciones  treinta  días</w:t>
        <w:br/>
        <w:t>después.</w:t>
        <w:br/>
        <w:br/>
        <w:t>29.   En razón de lo decidido por el Presidente de la Corte (supra  22),  la</w:t>
        <w:br/>
        <w:t>Secretaría, siguiendo instrucciones de aquél, informó a las partes el  7  de</w:t>
        <w:br/>
        <w:t>marzo de 2003 que el plazo para la  presentación  de  los  alegatos  finales</w:t>
        <w:br/>
        <w:t>escritos  vencería  30  días  después  de  que  se   les   transmitiera   la</w:t>
        <w:br/>
        <w:t>transcripción de la audiencia pública. Esta última fue enviada a las  partes</w:t>
        <w:br/>
        <w:t>el 30 de mayo de 2003 y los alegatos finales escritos fueron  remitidos  por</w:t>
        <w:br/>
        <w:t>la Comisión, los representantes de los familiares de la presunta  víctima  y</w:t>
        <w:br/>
        <w:t>el Estado el 4 de julio siguiente.</w:t>
        <w:br/>
        <w:br/>
        <w:t>30.   El 9 de julio de 2003 la Secretaría,  siguiendo  instrucciones  de  la</w:t>
        <w:br/>
        <w:t>Corte y de conformidad con el artículo 44 del  Reglamento,  solicitó  a  los</w:t>
        <w:br/>
        <w:t>representantes de los familiares de la  presunta  víctima  y  al  Estado  la</w:t>
        <w:br/>
        <w:t>remisión de ciertos documentos como prueba para mejor resolver (infra  54  y</w:t>
        <w:br/>
        <w:t>55). El 16 de julio de  2003  los  representantes  de  la  presunta  víctima</w:t>
        <w:br/>
        <w:t>presentaron la prueba para mejor resolver solicitada por la Corte. El 12  de</w:t>
        <w:br/>
        <w:t>agosto de 2003 el Estado remitió la documentación requerida.</w:t>
        <w:br/>
        <w:br/>
        <w:br/>
        <w:t xml:space="preserve">                                     vi</w:t>
        <w:br/>
        <w:br/>
        <w:t xml:space="preserve">     Reconocimiento de responsabilidad internacional y Solución Amistosa</w:t>
        <w:br/>
        <w:br/>
        <w:br/>
        <w:br/>
        <w:t>31.   Según se desprende del acuerdo de solución amistosa alcanzado por  las</w:t>
        <w:br/>
        <w:t>partes el 26 de febrero de 2003 y del documento aclaratorio de  6  de  marzo</w:t>
        <w:br/>
        <w:t>de  2003,  el  Estado  reconoció  su  responsabilidad  internacional  en  el</w:t>
        <w:br/>
        <w:t>presente caso (supra 27 e infra 32 y 33).</w:t>
        <w:br/>
        <w:br/>
        <w:t>32.   El acuerdo de solución amistosa suscrito por el  Estado,  la  Comisión</w:t>
        <w:br/>
        <w:t>Interamericana de Derechos Humanos y los representantes  de  los  familiares</w:t>
        <w:br/>
        <w:t>de la presunta víctima el 26 de febrero de 2003 establece que</w:t>
        <w:br/>
        <w:br/>
        <w:t xml:space="preserve">      En la ciudad de Buenos Aires, a los 26 días  del  mes  de  febrero  de</w:t>
        <w:br/>
        <w:t xml:space="preserve">      2003, reunidos en la sede de la Procuración del Tesoro de la Nación se</w:t>
        <w:br/>
        <w:t xml:space="preserve">      encuentran presentes las partes en el caso que  tramita  por  ante  la</w:t>
        <w:br/>
        <w:t xml:space="preserve">      Corte Interamericana de Derechos Humanos bajo el  Nº  11.752,  “Walter</w:t>
        <w:br/>
        <w:t xml:space="preserve">      David Bulacio”.  Por el Gobierno Nacional, se encuentran presentes  el</w:t>
        <w:br/>
        <w:t xml:space="preserve">      señor Procurador del Tesoro de la Nación, Dr. Rubén Miguel Citara,  el</w:t>
        <w:br/>
        <w:t xml:space="preserve">      señor Minisro de Justicia, Seguridad y Derechos Humanos Dr. Juan  José</w:t>
        <w:br/>
        <w:t xml:space="preserve">      Alvarez y el señor Director de  Derechos  Humanos  del  Ministerio  de</w:t>
        <w:br/>
        <w:t xml:space="preserve">      Relaciones  Exteriores,  Comercio  Internacional  y  culto,  Embajador</w:t>
        <w:br/>
        <w:t xml:space="preserve">      Horacio  Basabe  (en  adelante  EL   GOBIERNO).    Por   la   Comisión</w:t>
        <w:br/>
        <w:t xml:space="preserve">      Interamericana de  Derechos  Humanos,  envió  su  conformidad  con  el</w:t>
        <w:br/>
        <w:t xml:space="preserve">      contenido del acuerdo el Comisionado Robert Goldman,  y  se  encuentra</w:t>
        <w:br/>
        <w:t xml:space="preserve">      presente el Dr. Víctor Abramovich, en su carácter de  Delegado  de  la</w:t>
        <w:br/>
        <w:t xml:space="preserve">      Comisión Interamericana de Derechos Humanos (en adelante LA COMISIÓN).</w:t>
        <w:br/>
        <w:t xml:space="preserve">       Y por la familia de Walter David Bulacio, se encuentran presentes  la</w:t>
        <w:br/>
        <w:t xml:space="preserve">      Dra. María del Carmen Verdú, en su carácter  de  representante  de  la</w:t>
        <w:br/>
        <w:t xml:space="preserve">      familia de Walter David Bulacio (en adelante LA  REPRESENTANTE  DE  LA</w:t>
        <w:br/>
        <w:t xml:space="preserve">      FAMILIA) y la señora Graciela Rosa Scavone de Bulacio, madre de Walter</w:t>
        <w:br/>
        <w:t xml:space="preserve">      David Bulacio.  En el marco de la solución amistosa propuesta  por  la</w:t>
        <w:br/>
        <w:t xml:space="preserve">      Comisión Interamericana de Derechos Humanos y aceptada  por  el  Poder</w:t>
        <w:br/>
        <w:t xml:space="preserve">      Ejecutivo Nacional mediante Decreto Nº 161 de fecha  31  de  enero  de</w:t>
        <w:br/>
        <w:t xml:space="preserve">      2003, EL GOBIERNO, LA  COMISIÓN  Y  LA  REPRESENTANTE  DE  LA  FAMILIA</w:t>
        <w:br/>
        <w:t xml:space="preserve">      acuerdan:</w:t>
        <w:br/>
        <w:br/>
        <w:br/>
        <w:t xml:space="preserve">      1) Sin perjuicio de los  planteos  y  argumentos  formulados  por  las</w:t>
        <w:br/>
        <w:t xml:space="preserve">      partes y en el  ámbito  de  la  solución  amistosa  propuesta  por  la</w:t>
        <w:br/>
        <w:t xml:space="preserve">      Comisión Interamericana de Derechos Humanos y aceptada por el  Decreto</w:t>
        <w:br/>
        <w:t xml:space="preserve">      Presidencial Nº 161 de fecha 31 de enero de 2003, EL GOBIERNO reconoce</w:t>
        <w:br/>
        <w:t xml:space="preserve">      la responsabilidad por la violación a los derechos humanos  de  Walter</w:t>
        <w:br/>
        <w:t xml:space="preserve">      David Bulacio y su familia con base en la  demanda  efectuada  por  la</w:t>
        <w:br/>
        <w:t xml:space="preserve">      Comisión Interamericana de Derechos Humanos.  En ese sentido  se  deja</w:t>
        <w:br/>
        <w:t xml:space="preserve">      constancia que Walter David Bulacio fue víctima de una violación a sus</w:t>
        <w:br/>
        <w:t xml:space="preserve">      derechos en cuanto a un inapropiado ejercicio del deber de custodia  y</w:t>
        <w:br/>
        <w:t xml:space="preserve">      a una detención ilegítima por incumplimientos procedimentales y vistas</w:t>
        <w:br/>
        <w:t xml:space="preserve">      las consecuencias jurídicas y la irrenunciable vocación del Gobierno y</w:t>
        <w:br/>
        <w:t xml:space="preserve">      del Estado Argentino  de  cumplir  integralmente  con  las  normas  de</w:t>
        <w:br/>
        <w:t xml:space="preserve">      derechos   humanos   a   las   que   se   ha   obligado   nacional   e</w:t>
        <w:br/>
        <w:t xml:space="preserve">      internacionalmente, resuelve asumir la responsabilidad internacional y</w:t>
        <w:br/>
        <w:t xml:space="preserve">      sujetarse  a  las  reparaciones  correspondientes  que  determine   la</w:t>
        <w:br/>
        <w:t xml:space="preserve">      Honorable Corte Interamericana de Derechos Humanos.</w:t>
        <w:br/>
        <w:br/>
        <w:br/>
        <w:t xml:space="preserve">      2)    EL GOBIERNO, LA COMISIÓN  Y  LA  REPRESENTANTE  DE  LA  FAMILIA,</w:t>
        <w:br/>
        <w:t xml:space="preserve">      solicitan a la Honorable  Corte  Interamericana  de  Derechos  Humanos</w:t>
        <w:br/>
        <w:t xml:space="preserve">      tenga a bien pronunciarse sobre las cuestiones de  derecho  discutidas</w:t>
        <w:br/>
        <w:t xml:space="preserve">      en el caso, en lo correspondiente a la aplicación del Artículo 7 de la</w:t>
        <w:br/>
        <w:t xml:space="preserve">      Convención Americana  sobre  Derechos  Humanos;  en  el  marco  de  lo</w:t>
        <w:br/>
        <w:t xml:space="preserve">      establecido por la Honorable Corte Interamericana de Derechos  Humanos</w:t>
        <w:br/>
        <w:t xml:space="preserve">      en su Opinión Consultiva Nº 17.</w:t>
        <w:br/>
        <w:br/>
        <w:br/>
        <w:t xml:space="preserve">      3)    De acuerdo con lo dispuesto en el Artículo 2  de  la  Convención</w:t>
        <w:br/>
        <w:t xml:space="preserve">      Americana sobre Derechos  Humanos,  EL  GOBIERNO,  LA  COMISIÓN  Y  LA</w:t>
        <w:br/>
        <w:t xml:space="preserve">      REPRESENTANTE  DE  [LA]  FAMILIA  solicitan  a  la   Honorable   Corte</w:t>
        <w:br/>
        <w:t xml:space="preserve">      Interamericana de  Derechos  Humanos  que  tenga  a  bien  aceptar  la</w:t>
        <w:br/>
        <w:t xml:space="preserve">      constitución  de  una  instancia  de  consulta  con  el   objeto,   si</w:t>
        <w:br/>
        <w:t xml:space="preserve">      correspondiere, de la  adecuación  y  modernización  de  la  normativa</w:t>
        <w:br/>
        <w:t xml:space="preserve">      interna en las temáticas relacionadas con el caso en discusión para lo</w:t>
        <w:br/>
        <w:t xml:space="preserve">      cual se invitará a expertos y  otras  organizaciones  de  la  sociedad</w:t>
        <w:br/>
        <w:t xml:space="preserve">      civil.</w:t>
        <w:br/>
        <w:br/>
        <w:br/>
        <w:t xml:space="preserve">      4)    EL GOBIERNO, LA  COMISIÓN  Y  LA  REPRESENTANTE  DE  LA  FAMILIA</w:t>
        <w:br/>
        <w:t xml:space="preserve">      solicitan a la Honorable Corte Interamericana de Derechos  Humanos  la</w:t>
        <w:br/>
        <w:t xml:space="preserve">      celebración de la audiencia del día 6 de marzo de 2003, a los  efectos</w:t>
        <w:br/>
        <w:t xml:space="preserve">      de  que  las  partes  aleguen  y  la  Honorable  Corte  determine  las</w:t>
        <w:br/>
        <w:t xml:space="preserve">      reparaciones que correspondan, de conformidad con el reconocimiento de</w:t>
        <w:br/>
        <w:t xml:space="preserve">      responsabilidad internacional efectuado por la República Argentina  en</w:t>
        <w:br/>
        <w:t xml:space="preserve">      el punto 1 del […] acuerdo.</w:t>
        <w:br/>
        <w:br/>
        <w:t>33.   En lo que respecta  al  documento  aclaratorio  sobre  el  acuerdo  de</w:t>
        <w:br/>
        <w:t>solución amistosa, el delegado Goldman, con la anuencia  del  Estado  y  los</w:t>
        <w:br/>
        <w:t>representantes de los familiares de la presunta víctima, dio lectura a  éste</w:t>
        <w:br/>
        <w:t>en la primera audiencia pública. Dicho documento establece:</w:t>
        <w:br/>
        <w:br/>
        <w:t xml:space="preserve">      Los representantes del Estado Argentino, los delegados de la  Comisión</w:t>
        <w:br/>
        <w:t xml:space="preserve">      Interamericana  de  Derechos  Humanos  y  los  representantes  de  las</w:t>
        <w:br/>
        <w:t xml:space="preserve">      víctimas se presentan  ante  la  Honorable   Corte  Interamericana  de</w:t>
        <w:br/>
        <w:t xml:space="preserve">      Derechos Humanos a fin de clarificar el alcance de la cláusula primera</w:t>
        <w:br/>
        <w:t xml:space="preserve">      del acuerdo de solución amistosa alcanzado con fecha 26 de febrero  de</w:t>
        <w:br/>
        <w:t xml:space="preserve">      2003.</w:t>
        <w:br/>
        <w:br/>
        <w:br/>
        <w:t xml:space="preserve">      En este sentido, el Estado reconoce su  responsabilidad  internacional</w:t>
        <w:br/>
        <w:t xml:space="preserve">      por la violación de los artículos 2, 7,  5,  19,  4,  8  y  25  de  la</w:t>
        <w:br/>
        <w:t xml:space="preserve">      Convención Americana, y, por  tanto  reconoce  que  está  dispuesto  a</w:t>
        <w:br/>
        <w:t xml:space="preserve">      asumir una plena reparación.</w:t>
        <w:br/>
        <w:br/>
        <w:br/>
        <w:t xml:space="preserve">      El Estado reconoce que la detención fue ilegal.  Ello porque se aplicó</w:t>
        <w:br/>
        <w:t xml:space="preserve">      normativa que luego fue declarada inconstitucional como el memo 40, el</w:t>
        <w:br/>
        <w:t xml:space="preserve">      cual era contrario a los estándares internacionales, y, además, porque</w:t>
        <w:br/>
        <w:t xml:space="preserve">      se  incumplieron  normas  internas  que  obligan  a  los  funcionarios</w:t>
        <w:br/>
        <w:t xml:space="preserve">      policiales a dar aviso a los padres, e informar a las personas menores</w:t>
        <w:br/>
        <w:t xml:space="preserve">      de edad sobre las causas de la detención, y dar intervención a un juez</w:t>
        <w:br/>
        <w:t xml:space="preserve">      sin demora.  Como consecuencia de ello se violaron los incisos  1,  2,</w:t>
        <w:br/>
        <w:t xml:space="preserve">      3, 4 y 5 del artículo 7 de la Convención.</w:t>
        <w:br/>
        <w:br/>
        <w:br/>
        <w:t xml:space="preserve">      El Estado reconoce responsabilidad por la violación del derecho  a  la</w:t>
        <w:br/>
        <w:t xml:space="preserve">      vida y la integridad física, en  los  términos  del  acuerdo,  por  un</w:t>
        <w:br/>
        <w:t xml:space="preserve">      inapropiado ejercicio de su deber de custodia.</w:t>
        <w:br/>
        <w:br/>
        <w:br/>
        <w:t xml:space="preserve">      En función de la responsabilidad internacional por las violaciones  de</w:t>
        <w:br/>
        <w:t xml:space="preserve">      los artículos 4, 5 y 7  el  Estado  reconoce  responsabilidad  por  la</w:t>
        <w:br/>
        <w:t xml:space="preserve">      violación del artículo 19, por  la  no  adopción  de  las  medidas  de</w:t>
        <w:br/>
        <w:t xml:space="preserve">      protección que la condición de menor requería.</w:t>
        <w:br/>
        <w:br/>
        <w:br/>
        <w:t xml:space="preserve">      El Estado reconoce la violación de los artículos  8  y  25.  Ello  por</w:t>
        <w:br/>
        <w:t xml:space="preserve">      cuanto, basados en las circunstancias particulares del  caso,  se  han</w:t>
        <w:br/>
        <w:t xml:space="preserve">      excedido los estándares internacionales en materia de plazo  razonable</w:t>
        <w:br/>
        <w:t xml:space="preserve">      y no se ha alcanzado el cumplimiento de los estándares internacionales</w:t>
        <w:br/>
        <w:t xml:space="preserve">      en materia de recursos efectivos.</w:t>
        <w:br/>
        <w:br/>
        <w:t>Consideraciones de la Corte</w:t>
        <w:br/>
        <w:br/>
        <w:t>34.   El artículo 52 del Reglamento de la Corte Interamericana de Derechos</w:t>
        <w:br/>
        <w:t>Humanos establece que:</w:t>
        <w:br/>
        <w:br/>
        <w:t xml:space="preserve">      […]</w:t>
        <w:br/>
        <w:br/>
        <w:t>Si el demandado comunicare a la Corte su allanamiento a las pretensiones  de</w:t>
        <w:br/>
        <w:t xml:space="preserve">      la parte demandante, la Corte, oído  el  parecer  de  ésta  y  de  los</w:t>
        <w:br/>
        <w:t xml:space="preserve">      representantes de las víctimas o de sus familiares, resolverá sobre la</w:t>
        <w:br/>
        <w:t xml:space="preserve">      procedencia  del  allanamiento  y  sus  efectos  jurídicos.  En   este</w:t>
        <w:br/>
        <w:t xml:space="preserve">      supuesto, la Corte procederá a determinar, cuando fuere el  caso,  las</w:t>
        <w:br/>
        <w:t xml:space="preserve">      reparaciones e indemnizaciones correspondientes.</w:t>
        <w:br/>
        <w:br/>
        <w:br/>
        <w:br/>
        <w:t>35.   El artículo 53 del Reglamento dispone que</w:t>
        <w:br/>
        <w:br/>
        <w:t>[c]uando las partes  en  un  caso  ante  la  Corte  comunicaren  a  ésta  la</w:t>
        <w:br/>
        <w:t xml:space="preserve">      existencia de una solución amistosa, de un avenimiento o de otro hecho</w:t>
        <w:br/>
        <w:t xml:space="preserve">      idóneo para la solución del litigio, la Corte podrá, llegado el caso y</w:t>
        <w:br/>
        <w:t xml:space="preserve">      después de haber oído a los  representantes  de  las  víctimas  o  sus</w:t>
        <w:br/>
        <w:t xml:space="preserve">      familiares sobreseer y declarar terminado el asunto.</w:t>
        <w:br/>
        <w:br/>
        <w:t>36.   El artículo 54 del Reglamento estatuye que</w:t>
        <w:br/>
        <w:br/>
        <w:t>[l]a Corte, teniendo en cuenta las  responsabilidades  que  le  incumben  de</w:t>
        <w:br/>
        <w:t xml:space="preserve">      proteger los derechos humanos, podrá decidir que prosiga el examen del</w:t>
        <w:br/>
        <w:t xml:space="preserve">      caso, aun en presencia de los supuestos  señalados  en  los  artículos</w:t>
        <w:br/>
        <w:t xml:space="preserve">      precedentes.</w:t>
        <w:br/>
        <w:br/>
        <w:t>37.   La Corte Interamericana  reconoce  que  el  acuerdo  suscrito  por  el</w:t>
        <w:br/>
        <w:t>Estado, la Comisión y los representantes de los  familiares  de  la  víctima</w:t>
        <w:br/>
        <w:t>(en adelante “los familiares de la  víctima”)  constituye  una  contribución</w:t>
        <w:br/>
        <w:t>positiva al desarrollo de este proceso y a la  vigencia  de  los  principios</w:t>
        <w:br/>
        <w:t>que inspiran la Convención Americana sobre  Derechos  Humanos.  El  Tribunal</w:t>
        <w:br/>
        <w:t>destaca  la  buena  fe  que  ha  mostrado  el  Estado  argentino  ante  esta</w:t>
        <w:br/>
        <w:t>jurisdicción,  como  también,  anteriormente,  en  otro  caso[2],  lo   cual</w:t>
        <w:br/>
        <w:t>demuestra el compromiso del Estado con el  respeto  y  la  vigencia  de  los</w:t>
        <w:br/>
        <w:t>derechos humanos.</w:t>
        <w:br/>
        <w:br/>
        <w:t>38.   Esta Corte considera que existe un consenso básico entre  las  partes,</w:t>
        <w:br/>
        <w:t>que las ha llevado a suscribir tanto un acuerdo de  solución  amistosa  como</w:t>
        <w:br/>
        <w:t>un documento aclarativo del mismo, con el  objeto  de  que  no  exista  duda</w:t>
        <w:br/>
        <w:t>alguna sobre los alcances de éste. A la luz de los documentos anteriores  la</w:t>
        <w:br/>
        <w:t>Corte constata la voluntad de las partes de poner fin a la  controversia  en</w:t>
        <w:br/>
        <w:t>lo que respecta al fondo del asunto. En razón de lo anterior, y tal como  lo</w:t>
        <w:br/>
        <w:t>había determinado este Tribunal en su Resolución de 6 de marzo de  2003,  ha</w:t>
        <w:br/>
        <w:t>cesado la controversia entre el Estado y la Comisión en cuanto a los  hechos</w:t>
        <w:br/>
        <w:t>que dieron origen a este caso[3]. A la luz del acuerdo de solución  amistosa</w:t>
        <w:br/>
        <w:t>suscrito por las partes  y  su  documento  aclaratorio,  y  de  las  pruebas</w:t>
        <w:br/>
        <w:t>aportadas por éstas, la Corte concluye que  el  Estado  violó,  como  lo  ha</w:t>
        <w:br/>
        <w:t>reconocido:</w:t>
        <w:br/>
        <w:br/>
        <w:t xml:space="preserve">      a. El derecho a la libertad personal, consagrado en el artículo  7  de</w:t>
        <w:br/>
        <w:t xml:space="preserve">      la Convención Americana, en perjuicio de Walter David  Bulacio,  quien</w:t>
        <w:br/>
        <w:t xml:space="preserve">      fue detenido por la policía de manera ilegal y arbitraria dentro de un</w:t>
        <w:br/>
        <w:t xml:space="preserve">      operativo de razzia sin que mediara orden judicial, y al no  habérsele</w:t>
        <w:br/>
        <w:t xml:space="preserve">      informado de los derechos que le correspondían como detenido, ni haber</w:t>
        <w:br/>
        <w:t xml:space="preserve">      dado pronto aviso  a  sus  padres  y  al  juez  de  menores  sobre  la</w:t>
        <w:br/>
        <w:t xml:space="preserve">      detención.</w:t>
        <w:br/>
        <w:br/>
        <w:br/>
        <w:t xml:space="preserve">      b. El derecho a la integridad personal, consagrado en el artículo 5 de</w:t>
        <w:br/>
        <w:t xml:space="preserve">      la Convención Americana, en perjuicio de Walter David  Bulacio,  quien</w:t>
        <w:br/>
        <w:t xml:space="preserve">      fue golpeado por agentes de policía y sometido a malos  tratos,  según</w:t>
        <w:br/>
        <w:t xml:space="preserve">      se manifiesta en la demanda (supra 3).</w:t>
        <w:br/>
        <w:br/>
        <w:br/>
        <w:t xml:space="preserve">      c. El derecho a la vida, consagrado en el artículo 4 de la  Convención</w:t>
        <w:br/>
        <w:t xml:space="preserve">      Americana, en perjuicio de Walter David Bulacio,  ya  que  el  Estado,</w:t>
        <w:br/>
        <w:t xml:space="preserve">      que se hallaba en una posición de garante, no  observó  “un  apropiado</w:t>
        <w:br/>
        <w:t xml:space="preserve">      ejercicio del deber de custodia”.</w:t>
        <w:br/>
        <w:br/>
        <w:br/>
        <w:t xml:space="preserve">      d. El derecho a la protección judicial y a las  garantías  judiciales,</w:t>
        <w:br/>
        <w:t xml:space="preserve">      consagrado en los artículos 8 y 25  de  la  Convención  Americana,  en</w:t>
        <w:br/>
        <w:t xml:space="preserve">      perjuicio de Walter David Bulacio, al no haber informado  al  juez  de</w:t>
        <w:br/>
        <w:t xml:space="preserve">      menores inmediatamente de la detención de aquél. Por  otra  parte,  se</w:t>
        <w:br/>
        <w:t xml:space="preserve">      privó de estos mismos  derechos  a  los  familiares  de  Walter  David</w:t>
        <w:br/>
        <w:t xml:space="preserve">      Bulacio al no haber provisto a éstos de un recurso  judicial  efectivo</w:t>
        <w:br/>
        <w:t xml:space="preserve">      para esclarecer las causas de la detención y muerte de  Walter  David,</w:t>
        <w:br/>
        <w:t xml:space="preserve">      sancionar a los responsables y reparar el daño causado.</w:t>
        <w:br/>
        <w:br/>
        <w:br/>
        <w:t xml:space="preserve">      e. El derecho a las medidas especiales de protección a  favor  de  los</w:t>
        <w:br/>
        <w:t xml:space="preserve">      menores, consagradas en el artículo 19 de la Convención Americana, que</w:t>
        <w:br/>
        <w:t xml:space="preserve">      no fueron adoptadas a favor de Walter David  Bulacio,  como  menor  de</w:t>
        <w:br/>
        <w:t xml:space="preserve">      edad.</w:t>
        <w:br/>
        <w:br/>
        <w:br/>
        <w:t xml:space="preserve">      f.    Las  obligaciones  generales  del  Estado,  consagradas  en  los</w:t>
        <w:br/>
        <w:t xml:space="preserve">      artículos 1.1 y 2 de la Convención Americana, respecto de los derechos</w:t>
        <w:br/>
        <w:t xml:space="preserve">      violados tanto a Walter David Bulacio como a sus familiares.</w:t>
        <w:br/>
        <w:br/>
        <w:t xml:space="preserve">                                     vii</w:t>
        <w:br/>
        <w:br/>
        <w:t xml:space="preserve">                       Prueba en cuanto a Reparaciones</w:t>
        <w:br/>
        <w:br/>
        <w:t>39.   Antes del examen de las pruebas recibidas, la Corte  formulará,  a  la</w:t>
        <w:br/>
        <w:t>luz de lo establecido en los artículos  43  y  44  del  Reglamento,  algunas</w:t>
        <w:br/>
        <w:t>consideraciones aplicables al caso específico, la mayoría de las cuales  han</w:t>
        <w:br/>
        <w:t>sido desarrolladas en la jurisprudencia de este Tribunal.</w:t>
        <w:br/>
        <w:br/>
        <w:t>40.   En materia  probatoria  rige  el  principio  del  contradictorio,  que</w:t>
        <w:br/>
        <w:t>respeta  el  derecho  de  defensa  de  las  partes.  Este  principio   tiene</w:t>
        <w:br/>
        <w:t>importancia fundamentada en el artículo  43  del  Reglamento.  El  mismo  se</w:t>
        <w:br/>
        <w:t>refiere a la oportunidad en que debe ofrecerse la prueba, con el fin de  que</w:t>
        <w:br/>
        <w:t>prevalezca la igualdad entre las partes[4].</w:t>
        <w:br/>
        <w:br/>
        <w:t>41.   Según la práctica reiterada del Tribunal, durante el  inicio  de  cada</w:t>
        <w:br/>
        <w:t>etapa procesal las partes deben señalar, en la primera  oportunidad  que  se</w:t>
        <w:br/>
        <w:t>les concede para pronunciarse por escrito, qué  pruebas  ofrecerán.  Además,</w:t>
        <w:br/>
        <w:t>en ejercicio de las potestades discrecionales contempladas  en  el  artículo</w:t>
        <w:br/>
        <w:t>44 de su Reglamento,  la  Corte  podrá  solicitar  a  las  partes  elementos</w:t>
        <w:br/>
        <w:t>probatorios adicionales, como prueba para mejor resolver, sin  que  ello  se</w:t>
        <w:br/>
        <w:t>traduzca en una nueva oportunidad para ampliar o complementar  sus  alegatos</w:t>
        <w:br/>
        <w:t>u ofrecer nueva prueba, salvo que el Tribunal así lo permitiere[5].</w:t>
        <w:br/>
        <w:br/>
        <w:t>42.    Asimismo,  la  Corte  ha  señalado  anteriormente,  en  cuanto  a  la</w:t>
        <w:br/>
        <w:t>recepción y la valoración de  la  prueba,  que  los  procedimientos  que  se</w:t>
        <w:br/>
        <w:t>siguen ante ella  no  están  sujetos  a  las  mismas  formalidades  que  las</w:t>
        <w:br/>
        <w:t>actuaciones judiciales internas  y  que  la  incorporación  de  determinados</w:t>
        <w:br/>
        <w:t>elementos al acervo  probatorio  debe  ser  efectuada  prestando  particular</w:t>
        <w:br/>
        <w:t>atención a las circunstancias del caso concreto, y  teniendo  presentes  los</w:t>
        <w:br/>
        <w:t>límites que implican el respeto a la  seguridad  jurídica  y  al  equilibrio</w:t>
        <w:br/>
        <w:t>procesal entre las partes[6]. Además, la Corte ha tenido en  cuenta  que  la</w:t>
        <w:br/>
        <w:t>jurisprudencia   internacional,   al   considerar   que    los    tribunales</w:t>
        <w:br/>
        <w:t>internacionales tienen la potestad de apreciar y valorar las  pruebas  según</w:t>
        <w:br/>
        <w:t>las reglas de la  sana  crítica,  siempre  ha  evitado  adoptar  una  rígida</w:t>
        <w:br/>
        <w:t>determinación del quantum de la prueba necesaria para  fundar  un  fallo[7].</w:t>
        <w:br/>
        <w:t>Este criterio  es  especialmente  válido  en  relación  con  los  tribunales</w:t>
        <w:br/>
        <w:t>internacionales de derechos  humanos,  que  disponen,  para  efectos  de  la</w:t>
        <w:br/>
        <w:t>determinación de la responsabilidad  internacional  de  un  Estado,  de  una</w:t>
        <w:br/>
        <w:t>amplia flexibilidad en la valoración de la prueba rendida ante  ellos  sobre</w:t>
        <w:br/>
        <w:t>los hechos correpondientes, de acuerdo con las reglas de  la  lógica  y  con</w:t>
        <w:br/>
        <w:t>base en la experiencia[8].</w:t>
        <w:br/>
        <w:br/>
        <w:t>43.   Con apoyo en lo dicho, la Corte procederá  a  examinar  y  valorar  el</w:t>
        <w:br/>
        <w:t>conjunto de los elementos que conforman el acervo probatorio de  este  caso,</w:t>
        <w:br/>
        <w:t>según la regla de la sana crítica y dentro del marco legal aplicable.</w:t>
        <w:br/>
        <w:br/>
        <w:t xml:space="preserve">                            A) Prueba Documental</w:t>
        <w:br/>
        <w:br/>
        <w:t>44.   Al presentar su demanda, la Comisión adjuntó  como  prueba  32  anexos</w:t>
        <w:br/>
        <w:t>correspondientes al mismo número de documentos (supra 1 y 12)[9].</w:t>
        <w:br/>
        <w:br/>
        <w:t>45.   El Estado acompañó a su escrito de contestación de la  demanda  (supra</w:t>
        <w:br/>
        <w:t>16) dos anexos correspondientes a los expedientes completos  de  dos  causas</w:t>
        <w:br/>
        <w:t>tramitadas en el fuero interno[10].  El 20 de septiembre de 2001  el  Estado</w:t>
        <w:br/>
        <w:t>presentó, asimismo, una  certificación  del  Tribunal  interviniente  en  la</w:t>
        <w:br/>
        <w:t>causa  penal  interna,  señalando  que  no  tenían  mejores  copias  de  las</w:t>
        <w:br/>
        <w:t>actuaciones aportadas como anexos de la contestación de la demanda[11].</w:t>
        <w:br/>
        <w:br/>
        <w:t>46.   Al formular su réplica (supra 17), la  Comisión  presentó  dos  anexos</w:t>
        <w:br/>
        <w:t>correspondientes a igual número de documentos[12].</w:t>
        <w:br/>
        <w:br/>
        <w:t>47.   El Estado adjuntó a su escrito de 29 de abril de  2002  cuatro  anexos</w:t>
        <w:br/>
        <w:t>correspondientes a cuatro expedientes tramitados  en  el  fuero  interno,  e</w:t>
        <w:br/>
        <w:t>hizo  observaciones  sobre  la  prescripción  de  la  causa  penal   interna</w:t>
        <w:br/>
        <w:t>mencionada por la Comisión (supra 20)[13].</w:t>
        <w:br/>
        <w:br/>
        <w:t>48.   El 3 de junio de  2002  el  Estado  remitió  copia  de  una  nota  del</w:t>
        <w:br/>
        <w:t>Secretario de  Derechos  Humanos  del  Ministerio  de  Justicia  y  Derechos</w:t>
        <w:br/>
        <w:t>Humanos de la Nación, en la que se comunicó a la Procuración del  Tesoro  de</w:t>
        <w:br/>
        <w:t>la Nación un recuento de las actuaciones llevado a cabo  por  la  magistrada</w:t>
        <w:br/>
        <w:t>que intervino en la causa interna (supra 20)[14].</w:t>
        <w:br/>
        <w:br/>
        <w:t>49.   Previa autorización del Presidente de la Corte (supra 22),  el  Estado</w:t>
        <w:br/>
        <w:t>presentó por escrito las declaraciones de los peritos Osvaldo  Héctor  Curci</w:t>
        <w:br/>
        <w:t>y Osvaldo Hugo Raffo[15].</w:t>
        <w:br/>
        <w:br/>
        <w:t>50.   Con su escrito sobre reparaciones (supra  18),  la  Comisión  presentó</w:t>
        <w:br/>
        <w:t>cuatro anexos correspondientes a otros tantos documentos[16]. Por su  parte,</w:t>
        <w:br/>
        <w:t>el  Estado  remitió  con  su  comunicación   sobre   observaciones   a   las</w:t>
        <w:br/>
        <w:t>reparaciones, tres anexos correspondientes a igual número de  documentos[17]</w:t>
        <w:br/>
        <w:t>(supra 18).</w:t>
        <w:br/>
        <w:br/>
        <w:t>51.   El 11  de  febrero  de  2002  la  Comisión  presentó  tres  documentos</w:t>
        <w:br/>
        <w:t>relativos a la libreta de matrimonio de los padres de Walter  David  Bulacio</w:t>
        <w:br/>
        <w:t>y a los poderes de los representantes de Lorena Beatriz Bulacio y la  señora</w:t>
        <w:br/>
        <w:t>María Ramona Armas de Bulacio[18].</w:t>
        <w:br/>
        <w:br/>
        <w:t>52.   El 6 de marzo de 2003, durante la exposición de los  alegatos  finales</w:t>
        <w:br/>
        <w:t>de las partes  en  la  segunda  audiencia  pública  (supra  26  y  27),  los</w:t>
        <w:br/>
        <w:t>representantes  de  los  familiares  de   la   víctima   presentaron   siete</w:t>
        <w:br/>
        <w:t>documentos[19].</w:t>
        <w:br/>
        <w:br/>
        <w:t>53.   Adicionalmente, la Comisión y el Estado  presentaron,  respectivamente</w:t>
        <w:br/>
        <w:t>las declaraciones juradas de los peritajes  de  los  señores  Emilio  García</w:t>
        <w:br/>
        <w:t>Méndez y Máximo Emiliano Sozzo, ambas  rendidas  por  escrito  ante  notario</w:t>
        <w:br/>
        <w:t>público (supra 28), según lo ordenado mediante la Resolución de la Corte  de</w:t>
        <w:br/>
        <w:t>6 de marzo de 2003 (supra 27)[20].   A  continuación  se  sintetizan  dichas</w:t>
        <w:br/>
        <w:t>declaraciones:</w:t>
        <w:br/>
        <w:br/>
        <w:t xml:space="preserve">      a)    Dictamen de Emilio García Méndez, Doctor  en  Derecho,  abogado,</w:t>
        <w:br/>
        <w:t xml:space="preserve">           experto en legislación sobre niños y adolescentes</w:t>
        <w:br/>
        <w:br/>
        <w:t>Los abusos policiales mantienen una intensidad y frecuencia  preocupante  en</w:t>
        <w:br/>
        <w:t>América Latina. Es razonable plantear la hipótesis de que existe una  fuerte</w:t>
        <w:br/>
        <w:t>relación de causa-efecto entre la frecuencia  e  intensidad  de  los  abusos</w:t>
        <w:br/>
        <w:t>policiales y las detenciones arbitrarias, y de estas últimas, a  su  vez,  y</w:t>
        <w:br/>
        <w:t>con el concepto de “protección”, tal como éste se  presenta  en  la  cultura</w:t>
        <w:br/>
        <w:t>jurídica “minorista”.</w:t>
        <w:br/>
        <w:br/>
        <w:br/>
        <w:t>Respecto  de  las  aprehensiones  policiales   arbitrarias   en   Argentina,</w:t>
        <w:br/>
        <w:t>pareciera regir un criterio estricto y restrictivo para los mayores de  edad</w:t>
        <w:br/>
        <w:t>y un criterio mucho más laxo y discrecional para los menores.</w:t>
        <w:br/>
        <w:br/>
        <w:br/>
        <w:t>Durante casi 70 años, desde 1919 hasta la aprobación y  ratificación  de  la</w:t>
        <w:br/>
        <w:t>Convención sobre los Derechos del Niño en 1989, las detenciones  arbitrarias</w:t>
        <w:br/>
        <w:t>de menores no sólo constituyeron una  práctica  habitual,  sino  que  además</w:t>
        <w:br/>
        <w:t>convivieron pacíficamente con la doctrina y la legislación vigente.</w:t>
        <w:br/>
        <w:br/>
        <w:br/>
        <w:t>Ha sido la Convención sobre  los  Derechos  del  Niño  de  1989  la  que  ha</w:t>
        <w:br/>
        <w:t>permitido,   paradójicamente,   entender    el    carácter    flagrantemente</w:t>
        <w:br/>
        <w:t>inconstitucional de todo el soporte jurídico  de  “protección-represión”  de</w:t>
        <w:br/>
        <w:t>la infancia  pobre  en  la  Argentina.  En  este  sentido,  la  política  de</w:t>
        <w:br/>
        <w:t>asistencia social de los niños pobres  y  de  los  adolescentes  rebeldes  y</w:t>
        <w:br/>
        <w:t>marginados fue organizada con base en la violación sistemática  de  los  más</w:t>
        <w:br/>
        <w:t>elementales preceptos constitucionales.</w:t>
        <w:br/>
        <w:br/>
        <w:br/>
        <w:t>Para  que  una  aprehensión  policial  sea   acorde   con   los   estándares</w:t>
        <w:br/>
        <w:t>internacionales  de  derechos  humanos,  las  causales  para  privar  de  la</w:t>
        <w:br/>
        <w:t>libertad a una persona (mayor o  menor  de  edad)  deben  estar  previamente</w:t>
        <w:br/>
        <w:t>establecidas por una ley en sentido formal, obviamente  de  conformidad  con</w:t>
        <w:br/>
        <w:t>la Constitución Nacional[21]. En  segundo  lugar,  los  procedimientos  para</w:t>
        <w:br/>
        <w:t>llevarla a cabo deben estar objetivamente definidos en una  ley.  En  tercer</w:t>
        <w:br/>
        <w:t>lugar, aún cuando la aprehensión policial se ajuste a  lo  señalado  por  la</w:t>
        <w:br/>
        <w:t>ley, no debe ser arbitraria, es decir,  debe  ser  razonable,  previsible  y</w:t>
        <w:br/>
        <w:t>proporcional en el caso particular. Asimismo,  debe  asegurarse  un  respeto</w:t>
        <w:br/>
        <w:t>irrestricto de las  garantías  judiciales  a  toda  persona  privada  de  la</w:t>
        <w:br/>
        <w:t>libertad. Tratándose de  una  persona  menor  de  edad,  es  imprescindible,</w:t>
        <w:br/>
        <w:t>además, que su familia sea notificada de la medida y de los motivos de  ésta</w:t>
        <w:br/>
        <w:t>en forma inmediata o en el plazo más breve posible, como resguardo  esencial</w:t>
        <w:br/>
        <w:t>para la tutela de sus derechos.</w:t>
        <w:br/>
        <w:br/>
        <w:br/>
        <w:t>Los principales obstáculos para el respeto de los  derechos  humanos  de  la</w:t>
        <w:br/>
        <w:t>infancia no están constituidos sólo  por  una  técnica  jurídica  ambigua  y</w:t>
        <w:br/>
        <w:t>defectuosa, sino sobre todo por una cultura jurídica estereotipada en  torno</w:t>
        <w:br/>
        <w:t>al sentido y alcance de la debida protección a sujetos cuya  vulnerabilidad,</w:t>
        <w:br/>
        <w:t>en buena medida, ha sido artificialmente construida.</w:t>
        <w:br/>
        <w:br/>
        <w:br/>
        <w:t>En el Caso Bulacio se presentaron varios  elementos  que  lo  convierten  en</w:t>
        <w:br/>
        <w:t>emblemático. En primer lugar,  la  existencia  de  una  efectiva  regulación</w:t>
        <w:br/>
        <w:t>normativa  violatoria  de  la  Constitución  Nacional  y  de  los   tratados</w:t>
        <w:br/>
        <w:t>internacionales de derechos humanos, incluido el  Memorandum  No.  40.   Por</w:t>
        <w:br/>
        <w:t>otro lado, la persistencia de  una  política  más  o  menos  sistemática  de</w:t>
        <w:br/>
        <w:t>razzias, aceptada, sobre todo en relación con los jóvenes,  como  una  forma</w:t>
        <w:br/>
        <w:t>de prevención especial. Asimismo,  estuvo  presente  la  vigencia  de  altos</w:t>
        <w:br/>
        <w:t>niveles de impunidad de acciones  delictivas  policiales,  especialmente  en</w:t>
        <w:br/>
        <w:t>relación con los menores de  edad.   Finalmente,  en  el  caso  Bulacio  fue</w:t>
        <w:br/>
        <w:t>determinante la persistencia de  una  cultura  de  la  “protección”  que  no</w:t>
        <w:br/>
        <w:t>quiere, no puede o no sabe proteger a sectores vulnerables,  si  no  es  por</w:t>
        <w:br/>
        <w:t>medio del abandono o debilitamiento de derechos y garantías.</w:t>
        <w:br/>
        <w:br/>
        <w:br/>
        <w:t>Finalmente, es indispensable una adecuada interpretación  de  las  garantías</w:t>
        <w:br/>
        <w:t>que establece la Convención Americana para mayores y  menores  de  edad,  en</w:t>
        <w:br/>
        <w:t>consonancia con lo afirmado en la  Opinión  Consultiva  OC-17/02,  Condición</w:t>
        <w:br/>
        <w:t>jurídica y derechos humanos del niño, emitida por la  Corte  Interamericana,</w:t>
        <w:br/>
        <w:t>como orientación para encauzar la actividad estatal en el  respeto  riguroso</w:t>
        <w:br/>
        <w:t>de los derechos humanos de todas las personas.</w:t>
        <w:br/>
        <w:br/>
        <w:t xml:space="preserve">      b)    Dictamen de Máximo Emiliano Sozzo, abogado</w:t>
        <w:br/>
        <w:br/>
        <w:t>La  República  Argentina  posee  un  régimen  político  federal  en  el  que</w:t>
        <w:br/>
        <w:t>coexisten  un  Estado  Nacional  y  23  Estados  Provinciales.  La  política</w:t>
        <w:br/>
        <w:t>criminal  se  desarrolla  en  ambos  niveles,  con  diferentes  competencias</w:t>
        <w:br/>
        <w:t>establecidas para cada uno.</w:t>
        <w:br/>
        <w:br/>
        <w:br/>
        <w:t>La ciudad de Buenos Aires obtuvo, a través de la reforma  constitucional  de</w:t>
        <w:br/>
        <w:t>1994,  un  status  de  “gobierno  autónomo”.  Sin   embargo,   este   cambio</w:t>
        <w:br/>
        <w:t>constitucional   no   trajo   aparejada   la   inmediata   conformación   de</w:t>
        <w:br/>
        <w:t>instituciones del sistema penal, al estilo de las existentes  en  los  demás</w:t>
        <w:br/>
        <w:t>Estados Provinciales –policía, justicia penal, ejecución penal–.</w:t>
        <w:br/>
        <w:br/>
        <w:br/>
        <w:t>Durante el período de 1991 a 2003, la política de control del delito  en  la</w:t>
        <w:br/>
        <w:t>ciudad de Buenos Aires fue en gran parte  diseñada  e  implementada  por  el</w:t>
        <w:br/>
        <w:t>Estado Nacional –con  diversas  excepciones–.   En  ese  mismo  período,  la</w:t>
        <w:br/>
        <w:t>institución policial en esta ciudad ha sido la  Policía  Federal  Argentina.</w:t>
        <w:br/>
        <w:t>Desde el establecimiento de la Policía de la Capital Federal -su antecesora-</w:t>
        <w:br/>
        <w:t xml:space="preserve"> ésta desarrolló técnicas de intervención cuya finalidad es  la  “prevención</w:t>
        <w:br/>
        <w:t>del  delito”,  las  cuales  han  estado  tradicionalmente   sustentadas   en</w:t>
        <w:br/>
        <w:t>instrumentos  legales  y  reglamentarios  y  han  sido  moldeadas   por   la</w:t>
        <w:br/>
        <w:t>implementación cultural  de  la  criminología  positivista.  Estas  técnicas</w:t>
        <w:br/>
        <w:t>comprenden la presencia y vigilancia policial en el  espacio  público  y  la</w:t>
        <w:br/>
        <w:t>detención policial de personas sin orden  judicial.  En  el  marco  de  esta</w:t>
        <w:br/>
        <w:t>segunda técnica de intervención policial puede  destacarse,  a  su  vez,  la</w:t>
        <w:br/>
        <w:t>detención policial de personas sin orden  judicial,  con  apoyo  en  edictos</w:t>
        <w:br/>
        <w:t>policiales.</w:t>
        <w:br/>
        <w:br/>
        <w:br/>
        <w:t>La institución policial, especialmente en el  caso  de  la  Policía  Federal</w:t>
        <w:br/>
        <w:t>Argentina, se presentaba como una organización compleja  con  altos  niveles</w:t>
        <w:br/>
        <w:t>de autonomía con respecto a los gobiernos nacional  y  provinciales.  Recién</w:t>
        <w:br/>
        <w:t>en la década  de  1990  se  dieron  diversos  intentos  de  incidir  en  las</w:t>
        <w:br/>
        <w:t>instituciones policiales argentinas, tratando de  enfrentar  su  tradicional</w:t>
        <w:br/>
        <w:t>autonomía  y  modificando  la  normativa,  la  organización  y  la   cultura</w:t>
        <w:br/>
        <w:t>policiales.</w:t>
        <w:br/>
        <w:br/>
        <w:br/>
        <w:t>La “detención por averiguación de antecedentes” estuvo regulada hasta  1991,</w:t>
        <w:br/>
        <w:t>para la jurisdicción federal, por el Decreto-Ley No.333/58,  ratificado  por</w:t>
        <w:br/>
        <w:t>Ley No. 14467 –la Ley Orgánica de la Policía Federal Argentina-.  En  aquél,</w:t>
        <w:br/>
        <w:t>se  facultaba  a  los  funcionarios  policiales  a  “detener  con  fines  de</w:t>
        <w:br/>
        <w:t>identificación en circunstancias que lo justifiquen y por un lapso no  mayor</w:t>
        <w:br/>
        <w:t>de  24  horas  a  toda  persona  de  la  cual  sea  necesario  conocer   sus</w:t>
        <w:br/>
        <w:t>antecedentes”. En 1991 el Congreso de la Nación reformó esta ley orgánica  a</w:t>
        <w:br/>
        <w:t>través de la Ley No. 23.950.  Ésta modificó la finalidad  de  la  detención,</w:t>
        <w:br/>
        <w:t>que no perseguiría la “averiguación de antecedentes” sino  la  “averiguación</w:t>
        <w:br/>
        <w:t>de identidad”. La “detención  por  averiguación  de  identidad”  tiene  como</w:t>
        <w:br/>
        <w:t>conditio sine qua  non  que  la  persona  no  acredite  “fehacientemente  su</w:t>
        <w:br/>
        <w:t>identidad”, lo que pretendía limitar los casos en los  que  procediera  esta</w:t>
        <w:br/>
        <w:t>privación de la libertad.  Asimismo, es necesario, de conformidad  con  esta</w:t>
        <w:br/>
        <w:t>ley, que “exist[an] circunstancias debidamente fundadas que  hagan  presumir</w:t>
        <w:br/>
        <w:t>que alguien  hubiese  cometido  o  pudiese  cometer  un  hecho  delictivo  o</w:t>
        <w:br/>
        <w:t>contravencional”. Se trata de que la  detención  ocurra  cuando  se  presuma</w:t>
        <w:br/>
        <w:t>fundadamente que la persona ha cometido un delito o  una  contravención,  la</w:t>
        <w:br/>
        <w:t>cual debe sustentarse  en  criterios  objetivos.  Sin  embargo,  también  la</w:t>
        <w:br/>
        <w:t>“detención por averiguación de identidad”  del  nuevo  texto  legal  procede</w:t>
        <w:br/>
        <w:t>cuando se presume fundadamente que la persona pudiera cometer en  el  futuro</w:t>
        <w:br/>
        <w:t>un delito o una  contravención,  que  es  la  tradicional  función  policial</w:t>
        <w:br/>
        <w:t>genérica de prevenir los delitos, plenamente subjetiva.</w:t>
        <w:br/>
        <w:br/>
        <w:br/>
        <w:t>Asimismo, la reforma legal estableció que el tiempo  de  la  detención  debe</w:t>
        <w:br/>
        <w:t>ser el “mínimo necesario para  establecer  la  identidad”,  sin  superar  10</w:t>
        <w:br/>
        <w:t>horas. Por otro lado, el nuevo texto legal otorga a la persona detenida  por</w:t>
        <w:br/>
        <w:t>averiguación de su identidad el derecho de comunicarse  inmediatamente  “con</w:t>
        <w:br/>
        <w:t>un familiar o persona de su confianza a fin de informar  su  situación”.  De</w:t>
        <w:br/>
        <w:t>esta forma,  se  pretende  asegurar  la  “transparencia”  del  procedimiento</w:t>
        <w:br/>
        <w:t>policial. Finalmente,  el  nuevo  texto  legal  impone  a  los  funcionarios</w:t>
        <w:br/>
        <w:t>policiales  intervinientes  la  obligación  de  dar  “noticia  al  juez  con</w:t>
        <w:br/>
        <w:t>competencia en lo  correccional  de  turno”.  Se  observa  la  intención  de</w:t>
        <w:br/>
        <w:t>generar un mecanismo de control judicial de la utilización de esta  facultad</w:t>
        <w:br/>
        <w:t>policial.</w:t>
        <w:br/>
        <w:br/>
        <w:br/>
        <w:t>Desde 1870, el Jefe de la Policía de la Provincia de Buenos Aires –luego  de</w:t>
        <w:br/>
        <w:t>la  Policía   Federal   Argentina-   redactaba   los   edictos   policiales,</w:t>
        <w:br/>
        <w:t>instrumentos  normativos  en  los  que  se  especificaban  prohibiciones   y</w:t>
        <w:br/>
        <w:t>sanciones de carácter contravencional. Los tipos  contravencionales  estaban</w:t>
        <w:br/>
        <w:t>formulados arbitrariamente, con términos vagos y ambiguos, que muchas  veces</w:t>
        <w:br/>
        <w:t>describían caracteres personales típicos de ciertos grupos de  personas  –en</w:t>
        <w:br/>
        <w:t>función  de  su  orientación  sexual,  condición  social  o  edad-  más  que</w:t>
        <w:br/>
        <w:t>comportamientos.   Las   personas   que   cometían   una   infracción   eran</w:t>
        <w:br/>
        <w:t>aprehendidas,  procesadas  y  condenadas  por  la  autoridad  policial,  sin</w:t>
        <w:br/>
        <w:t>intervención de la institución judicial.  Si  bien  existía  la  posibilidad</w:t>
        <w:br/>
        <w:t>legal de apelar al control judicial del proceso policial, el  escaso  tiempo</w:t>
        <w:br/>
        <w:t>para hacerlo la tornaba prácticamente imposible. En  este  proceso  policial</w:t>
        <w:br/>
        <w:t>no se encontraba asegurado el derecho de defensa ni  las  mínimas  garantías</w:t>
        <w:br/>
        <w:t>del debido proceso. Las  sanciones  que  se  imponían  podían  ser  multa  o</w:t>
        <w:br/>
        <w:t>arresto, que no podía exceder de ocho días. Con la aprobación del Código  de</w:t>
        <w:br/>
        <w:t>Instrucción Criminal de 1889, dicho máximo fue aumentado a 30 días.</w:t>
        <w:br/>
        <w:br/>
        <w:br/>
        <w:t>Esta estructura normativa funcionó hasta marzo  de  1998,  por  vía  de  los</w:t>
        <w:br/>
        <w:t>edictos policiales  y  el  Reglamento  de  Procedimientos  Contravencionales</w:t>
        <w:br/>
        <w:t>emanados de la Jefatura de la Policía Federal.</w:t>
        <w:br/>
        <w:br/>
        <w:t>A partir de la reforma de la Constitución Nacional de 1994 y de  la  sanción</w:t>
        <w:br/>
        <w:t>de la Constitución de la Ciudad  de  Buenos  Aires  de  1996,  se  abrió  un</w:t>
        <w:br/>
        <w:t>escenario en el que se insertó el debate político y jurídico  acerca  de  la</w:t>
        <w:br/>
        <w:t>necesidad de abolir el sistema de edictos policiales.</w:t>
        <w:br/>
        <w:br/>
        <w:br/>
        <w:t>En marzo de 1998 se sancionó por unanimidad el Código de Convivencia  Urbana</w:t>
        <w:br/>
        <w:t>de la Ciudad de  Buenos  Aires,  un  instrumento  legal  respetuoso  de  los</w:t>
        <w:br/>
        <w:t>principios del Estado de Derecho, que regula las conductas  que  vulneren  o</w:t>
        <w:br/>
        <w:t>pongan   en   riesgo   diversos   bienes   jurídicos.   Las   tipificaciones</w:t>
        <w:br/>
        <w:t>contravencionales establecidas en este instrumento legal,  a  diferencia  de</w:t>
        <w:br/>
        <w:t>las recogidas en los edictos policiales,  revelaron  una  clara  orientación</w:t>
        <w:br/>
        <w:t>hacia  el  “acto”  más  que  hacia  el  “actor”,  con  un  fuerte  contenido</w:t>
        <w:br/>
        <w:t>“objetivizante”  de  las  infracciones.  En  cuanto  a  las  sanciones,   es</w:t>
        <w:br/>
        <w:t>excepcional la privación de la libertad como  sanción  contravencional.  Por</w:t>
        <w:br/>
        <w:t>otro lado, en el mismo mes de marzo de 1998 la legislatura de la  ciudad  de</w:t>
        <w:br/>
        <w:t>Buenos Aires sancionó la Ley de Procedimiento Contravencional, en la que  se</w:t>
        <w:br/>
        <w:t>concreta la completa  judicialización  de  la  materia  contravencional.  La</w:t>
        <w:br/>
        <w:t>policía  abandona  su  doble  rol  de  “legislador”  y  “juez”  en   materia</w:t>
        <w:br/>
        <w:t>contravencional, y  se  suprime  la  posibilidad  de  que  los  funcionarios</w:t>
        <w:br/>
        <w:t>policiales detengan personas fuera del control de los fiscales.  Además,  la</w:t>
        <w:br/>
        <w:t>persona detenida debe ser “informada de las causas  de  su  aprehensión,  de</w:t>
        <w:br/>
        <w:t>los cargos que  se  le  formulan,  del  juez  o  jueza  y  el  o  la  fiscal</w:t>
        <w:br/>
        <w:t>intervinientes y de los derechos que le asisten”.</w:t>
        <w:br/>
        <w:br/>
        <w:t xml:space="preserve">                                      *</w:t>
        <w:br/>
        <w:t xml:space="preserve">                                   *     *</w:t>
        <w:br/>
        <w:br/>
        <w:t>54.   El 16 de julio de 2003 los representantes  de  los  familiares  de  la</w:t>
        <w:br/>
        <w:t>víctima presentaron la prueba para mejor resolver solicitada  por  la  Corte</w:t>
        <w:br/>
        <w:t>(supra 30)[22].</w:t>
        <w:br/>
        <w:br/>
        <w:t>55.   El 12 de agosto de 2003 el Estado presentó los  documentos  requeridos</w:t>
        <w:br/>
        <w:t>por la Corte como prueba para mejor resolver (supra 30)[23].</w:t>
        <w:br/>
        <w:br/>
        <w:t xml:space="preserve">                      B) Prueba Testimonial y Pericial</w:t>
        <w:br/>
        <w:br/>
        <w:t>56.   El 6 de marzo de 2003 la Corte recibió la declaración de la testigo  y</w:t>
        <w:br/>
        <w:t>los dictámenes de las peritos ofrecidas por la  Comisión  Interamericana.  A</w:t>
        <w:br/>
        <w:t>continuación,  el  Tribunal  resume  las   partes   relevantes   de   dichas</w:t>
        <w:br/>
        <w:t>declaraciones.</w:t>
        <w:br/>
        <w:br/>
        <w:t xml:space="preserve">      a)    Testimonio de la señora  Graciela  Rosa  Scavone,  madre  de  la</w:t>
        <w:br/>
        <w:t xml:space="preserve">      víctima</w:t>
        <w:br/>
        <w:br/>
        <w:t>Al momento de los hechos, Walter  David  Bulacio  tenía  17  años  y  estaba</w:t>
        <w:br/>
        <w:t>terminando la escuela secundaria. Era  buen  alumno  y  planeaba  seguir  la</w:t>
        <w:br/>
        <w:t>carrera de derecho y orientarse a la  diplomacia.  Además,  trabajaba  medio</w:t>
        <w:br/>
        <w:t>tiempo como caddie en un campo de golf. Su ingreso dependía de  lo  que  sus</w:t>
        <w:br/>
        <w:t>clientes le dieran; sin embargo, “podría llegar a  ser  20  pesos”  diarios,</w:t>
        <w:br/>
        <w:t>que utilizaba, en parte, para apoyar a su familia.</w:t>
        <w:br/>
        <w:br/>
        <w:t>El grupo familiar estaba  compuesto  por  Víctor  David  Bulacio,  padre  de</w:t>
        <w:br/>
        <w:t>Walter David; la testigo, madre de Walter  David;  Lorena  Beatriz  Bulacio,</w:t>
        <w:br/>
        <w:t>hermana de Walter David; y Walter  David  Bulacio.  Integraban  una  familia</w:t>
        <w:br/>
        <w:t>normal. Ambos padres trabajaban y mantenían el hogar.</w:t>
        <w:br/>
        <w:br/>
        <w:t>Walter David salió el viernes 19 de abril de  1991  alrededor  de  las  8:00</w:t>
        <w:br/>
        <w:t>p.m., a un recital de música. Aquél comentó a  su  madre  que  ese  tipo  de</w:t>
        <w:br/>
        <w:t>recitales generalmente se atrasaban y que si esto sucedía no iría esa  noche</w:t>
        <w:br/>
        <w:t>a su casa, sino directamente a trabajar. Le dijo que se quedara tranquila  y</w:t>
        <w:br/>
        <w:t>que al otro día, alrededor de las 6:00 p.m.  de  la  tarde,  volvería  a  su</w:t>
        <w:br/>
        <w:t>casa.</w:t>
        <w:br/>
        <w:br/>
        <w:t>Ese sábado notó que Walter David no había pasado la noche  en  la  casa.  La</w:t>
        <w:br/>
        <w:t>declarante se dedicó a hacer las tareas del hogar. Alrededor de las  3:00  ó</w:t>
        <w:br/>
        <w:t>4:00 p.m. llegó un muchacho, quien le dijo que se  habían  llevado  preso  a</w:t>
        <w:br/>
        <w:t>Walter David y que debían ir a buscarlo. Buscó a su marido en su  trabajo  y</w:t>
        <w:br/>
        <w:t>de allí fueron a la comisaría, donde les dijeron que Walter David estaba  en</w:t>
        <w:br/>
        <w:t>otro lugar. Finalmente lo encontraron a las 11:00 p. m. ó 12:00 a.m. de  ese</w:t>
        <w:br/>
        <w:t>mismo día, hospitalizado.</w:t>
        <w:br/>
        <w:br/>
        <w:t>El cuerpo de Walter David  está  enterrado  en  un  cementerio  privado;  en</w:t>
        <w:br/>
        <w:t>principio estuvo en uno público.</w:t>
        <w:br/>
        <w:br/>
        <w:t>A partir de la muerte de su hermano,  Lorena  Beatriz  Bulacio  tuvo  muchos</w:t>
        <w:br/>
        <w:t>problemas de salud. Padeció  de  una  depresión  muy  profunda,  luego  tuvo</w:t>
        <w:br/>
        <w:t>bulimia y debió ser internada varias veces para salvar su vida.  Actualmente</w:t>
        <w:br/>
        <w:t>tiene 26 años y es una joven que “no sale de su casa nunca”.</w:t>
        <w:br/>
        <w:br/>
        <w:t>Víctor David Bulacio,  el  padre  de  Walter,  era  trabajador,  y  aportaba</w:t>
        <w:br/>
        <w:t>económicamente a la familia. Cuando sucedieron los hechos, enloqueció  y  su</w:t>
        <w:br/>
        <w:t>vida se derrumbó: comenzó a faltar al trabajo, hasta que sus empleadores  lo</w:t>
        <w:br/>
        <w:t>despidieron, en razón de lo cual realizaba  trabajos  temporales;  empezó  a</w:t>
        <w:br/>
        <w:t>consumir drogas y se fue de su casa. No  veía  a  su  hija  Lorena  Beatriz,</w:t>
        <w:br/>
        <w:t>porque decía que le causaba mucho dolor verla a ella y a la testigo,  y  que</w:t>
        <w:br/>
        <w:t>“no podía soportarlo”.</w:t>
        <w:br/>
        <w:br/>
        <w:t>Además Víctor David Bulacio tuvo algunas  relaciones  temporales  con  otras</w:t>
        <w:br/>
        <w:t>personas. Como producto de una de ellas tuvo a  dos  hijos:  Matías  Emanuel</w:t>
        <w:br/>
        <w:t>Bulacio y Tamara Florencia Bulacio, a quienes abandonaron éste  y  su  nueva</w:t>
        <w:br/>
        <w:t>pareja. En estas circunstancias, Tamara Florencia, de dos años y medio,  fue</w:t>
        <w:br/>
        <w:t>a vivir con la madre de Víctor David Bulacio y  Matías  Emanuel,  de  año  y</w:t>
        <w:br/>
        <w:t>medio, con Lorena Beatriz Bulacio y la testigo.  Estos  niños  permanecieron</w:t>
        <w:br/>
        <w:t>varios años como “NN”; antes de morir, el señor Víctor David  Bulacio  pidió</w:t>
        <w:br/>
        <w:t>que se reconociera su paternidad sobre ellos. Fue entonces que comenzaron  a</w:t>
        <w:br/>
        <w:t>tramitar sus documentos. Actualmente,  Tamara  Florencia  y  Matías  Emanuel</w:t>
        <w:br/>
        <w:t>están en trámite de adopción por parte de su abuela paterna  y  la  testigo,</w:t>
        <w:br/>
        <w:t>respectivamente, porque su madre nunca más apareció.  Hoy  su  suegra  y  la</w:t>
        <w:br/>
        <w:t>testigo  son  las  representantes  legales  de  Matías  Emanuel   y   Tamara</w:t>
        <w:br/>
        <w:t>Florencia, respectivamente.</w:t>
        <w:br/>
        <w:br/>
        <w:t>Víctor David Bulacio  sufrió  dos  infartos  y  debió  ser  sometido  a  una</w:t>
        <w:br/>
        <w:t>operación aparentemente sencilla, luego de la cual murió. El  propio  médico</w:t>
        <w:br/>
        <w:t>explicó  a  la  declarante  que  “su  marido  simplemente  no  quiso  seguir</w:t>
        <w:br/>
        <w:t>viviendo. Cuando esto ocurrió faltaban pocos días para que se  cumpliera  el</w:t>
        <w:br/>
        <w:t>noveno aniversario de la muerte de Walter” David.</w:t>
        <w:br/>
        <w:br/>
        <w:t>María Ramona Armas de Bulacio, abuela de Walter David, tenía en  éste  a  su</w:t>
        <w:br/>
        <w:t>nieto favorito y sufrió mucho con su muerte. Se encargó de representar a  la</w:t>
        <w:br/>
        <w:t>testigo cuando ésta sentía que ya no podía  continuar  viviendo,  como,  por</w:t>
        <w:br/>
        <w:t>ejemplo, en la participación en marchas.</w:t>
        <w:br/>
        <w:br/>
        <w:t>La familia se derrumbó después de lo ocurrido a  Walter  David:  algunos  de</w:t>
        <w:br/>
        <w:t>los hermanos y hermanas de  la  testigo  fallecieron  como  consecuencia  de</w:t>
        <w:br/>
        <w:t>cuadros depresivos; y  sus cuñados también  sufrieron  problemas  de  salud;</w:t>
        <w:br/>
        <w:t>una hermana de Víctor David Bulacio sufrió  una  embolia  cerebral  al  poco</w:t>
        <w:br/>
        <w:t>tiempo de la muerte de Walter David.</w:t>
        <w:br/>
        <w:br/>
        <w:t>La respuesta del Estado, a lo largo de estos años, fue  poner  en  “tela  de</w:t>
        <w:br/>
        <w:t>juicio la moralidad de la familia”. Se cuestionó qué  clase  de  gente  eran</w:t>
        <w:br/>
        <w:t>los integrantes de su familia y qué clase de persona era  Walter  David:  un</w:t>
        <w:br/>
        <w:t>delincuente,  un  homosexual,  un  drogadicto.  Padeció  estas   acusaciones</w:t>
        <w:br/>
        <w:t>respecto de Walter David por parte de un  abogado  del  Estado  durante  una</w:t>
        <w:br/>
        <w:t>audiencia en un juzgado.</w:t>
        <w:br/>
        <w:br/>
        <w:t>Lamentó muchísimo tener que llegar ante la  Corte,  porque  hubiera  querido</w:t>
        <w:br/>
        <w:t>que las cosas se solucionaran en su país. Solicitó a la Corte  que,  de  ser</w:t>
        <w:br/>
        <w:t>posible, hiciera algo para que nunca más le suceda a  un  joven  lo  que  le</w:t>
        <w:br/>
        <w:t>pasó a su hijo. Lo único que quiere es “justicia, nada más”.</w:t>
        <w:br/>
        <w:br/>
        <w:br/>
        <w:t xml:space="preserve">      b) Dictamen de Graciela Marisa  Guilis,  psicóloga,  Coordinadora  del</w:t>
        <w:br/>
        <w:t xml:space="preserve">      equipo de salud mental y miembro del Equipo de Salud Mental en efectos</w:t>
        <w:br/>
        <w:t xml:space="preserve">      de la tortura durante la dictadura del Centro de  Estudios  Legales  y</w:t>
        <w:br/>
        <w:t xml:space="preserve">      Sociales</w:t>
        <w:br/>
        <w:br/>
        <w:br/>
        <w:t>Se refirió al impacto de los  hechos  de  que  fuera  víctima  Walter  David</w:t>
        <w:br/>
        <w:t>Bulacio sobre el grupo familiar.  La  familia  de  Walter  tenía,  hasta  el</w:t>
        <w:br/>
        <w:t>momento de los hechos,  una  estructura  tradicional.  La  muerte  de  aquél</w:t>
        <w:br/>
        <w:t>produjo una ruptura que marcó  “un  antes  y  un  después  en  la  forma  de</w:t>
        <w:br/>
        <w:t>existencia de esta familia”. Cuando alguien pierde al cónyuge  se  lo  llama</w:t>
        <w:br/>
        <w:t>viudo; a quien pierde un padre o una madre, se lo nombra huérfano,  pero  no</w:t>
        <w:br/>
        <w:t>hay nombres, en ninguna lengua, para nominar a quien sufre la muerte  de  un</w:t>
        <w:br/>
        <w:t>hijo. Sólo en hebreo hay un término  que  califica  esa  situación,  que  es</w:t>
        <w:br/>
        <w:t>“chacol”,  cuya  traducción  más  aproximada  corresponde  a  la   idea   de</w:t>
        <w:br/>
        <w:t>abatimiento del alma. Ésta sería la única nominación para  un  padre  o  una</w:t>
        <w:br/>
        <w:t>madre con  respecto  a  la  muerte  de  un  hijo,  y  esa  es  la  dimensión</w:t>
        <w:br/>
        <w:t>catastrófica que adquirió la muerte de Walter David en sus padres.</w:t>
        <w:br/>
        <w:br/>
        <w:t>El duelo existe claramente en el caso de los padres respecto a la muerte  de</w:t>
        <w:br/>
        <w:t>sus hijos, pero el componente de la intervención del Estado, en  este  caso,</w:t>
        <w:br/>
        <w:t>tuvo incidencia en el tipo de duelo y en la situación  de  la  familia.   Se</w:t>
        <w:br/>
        <w:t>supone que el Estado es un garante, o bien, un tercero de  apelación  en  el</w:t>
        <w:br/>
        <w:t>“contrato social entre los ciudadanos y las instituciones del Estado”.  Ante</w:t>
        <w:br/>
        <w:t>una intromisión de éste se produce una afectación en la subjetividad  de  la</w:t>
        <w:br/>
        <w:t>familia, es decir, en  sus  proyectos  de  vida  y,  en  definitiva,  en  su</w:t>
        <w:br/>
        <w:t>pertenencia a ese espacio social, con los consecuentes  daños  psicológicos.</w:t>
        <w:br/>
        <w:t>Es por ello que “sólo  el  Estado  puede  devolverle  la  justicia  a  estos</w:t>
        <w:br/>
        <w:t>familiares, [y] un lugar  en  la  sociedad”,  dando  respuesta  a  preguntas</w:t>
        <w:br/>
        <w:t>básicas que se formula cualquier familiar  en  un  duelo  normal,  como  por</w:t>
        <w:br/>
        <w:t>ejemplo:  “¿cómo  sucedió?”,  “¿quién  fue  el   responsable?”,   “¿en   qué</w:t>
        <w:br/>
        <w:t>circunstancias  ocurrió?”.  De  lo  contrario,  los  familiares  asumen  una</w:t>
        <w:br/>
        <w:t>culpabilización acerca de la muerte del  ser  querido.  Con  respecto  a  la</w:t>
        <w:br/>
        <w:t>imagen de Walter David, la familia, soportó además las sospechas de que  por</w:t>
        <w:br/>
        <w:t>su condición de  adolescente,  éste  estuviera  inmiscuido  en  alcoholismo,</w:t>
        <w:br/>
        <w:t>drogadicción o que tuviese conductas sexuales  alteradas,  imputaciones  que</w:t>
        <w:br/>
        <w:t>fueron finalmente desvirtuadas.</w:t>
        <w:br/>
        <w:br/>
        <w:t>Según relató la  perito,  en  todos  los  miembros  de  la  familia  observó</w:t>
        <w:br/>
        <w:t>diferentes efectos, tanto en el cuerpo como en el  psiquismo.  A  partir  de</w:t>
        <w:br/>
        <w:t>1996, al haberse obstaculizado la investigación de lo sucedido y no  haberse</w:t>
        <w:br/>
        <w:t>emitido sentencia, todos los indicadores y signos que venían apareciendo  en</w:t>
        <w:br/>
        <w:t>los  miembros  del  grupo  familiar   crecieron   de   forma   dramática   y</w:t>
        <w:br/>
        <w:t>recrudecieron sus patologías. Además, la pérdida de sus trabajos obedeció  a</w:t>
        <w:br/>
        <w:t>“las condiciones subjetivas por las que estaban atravesando y  […]  el  peso</w:t>
        <w:br/>
        <w:t>que significaba en su existencia”.</w:t>
        <w:br/>
        <w:br/>
        <w:t>Con respecto a Lorena Beatriz Bulacio,  hermana  de  Walter  David  Bulacio,</w:t>
        <w:br/>
        <w:t>señaló que ésta tenía 14 años en el momento en que murió su hermano. Al  año</w:t>
        <w:br/>
        <w:t>siguiente, Lorena Beatriz  presentó  un  cuadro  grave  de  bulimia  que  la</w:t>
        <w:br/>
        <w:t>acompañó durante casi toda su adolescencia; a partir de 1996, a los 19  años</w:t>
        <w:br/>
        <w:t>de edad, tuvo dos intentos de suicidio  con  prolongados  internamientos  en</w:t>
        <w:br/>
        <w:t>centros neuropsiquiátricos. En las entrevistas que hizo  a  Lorena  Beatriz,</w:t>
        <w:br/>
        <w:t>ésta manifestó que lo que la hacía vivir era que su “madre no  podía  perder</w:t>
        <w:br/>
        <w:t>otro hijo”, y a la vez temía que alguien muriera, y por eso  prefería  morir</w:t>
        <w:br/>
        <w:t>ella. Además, sus padres estaban tan deprimidos que  cuando  regresaban  del</w:t>
        <w:br/>
        <w:t>trabajo debía cuidarlos hasta  el  otro  día,  en  que  volvían  a  salir  a</w:t>
        <w:br/>
        <w:t>trabajar, y así cada día. En cuanto al  padre,  Lorena  Beatriz  señaló  que</w:t>
        <w:br/>
        <w:t>éste no podía tomar ninguna decisión en su vida, y menos aún con respecto  a</w:t>
        <w:br/>
        <w:t>sus dos hermanitos, por lo cual también tuvo que  hacerse  cargo  de  ellos.</w:t>
        <w:br/>
        <w:t>Para Lorena Beatriz, Walter David  fue  siempre  una  especie  de  modelo  o</w:t>
        <w:br/>
        <w:t>referente. La vida de Lorena Beatriz es uno de los puntos  más  preocupantes</w:t>
        <w:br/>
        <w:t>en este momento, ya que es una mujer que  a  “los  27  años”  no  ha  podido</w:t>
        <w:br/>
        <w:t>volver salir de su  casa,  establecer  una  relación  afectiva,  estudiar  o</w:t>
        <w:br/>
        <w:t>trabajar, y se ha convertido “en una especie de ama  de  llaves  […]  de  su</w:t>
        <w:br/>
        <w:t>propia familia. Ella es la que custodia la vida familiar, de manera  tal  de</w:t>
        <w:br/>
        <w:t>asegurar que nadie más se muera ni se deprima” .</w:t>
        <w:br/>
        <w:br/>
        <w:t>Con respecto al señor Víctor David  Bulacio,  indicó  que  su  fallecimiento</w:t>
        <w:br/>
        <w:t>coincidió, nueve años después, con el mes de  la  muerte  de  Walter  David.</w:t>
        <w:br/>
        <w:t>Durante ese período, pasó por distintos facetas “como  entrando  y  saliendo</w:t>
        <w:br/>
        <w:t>[…] de cuadros depresivos de los que hacía intentos por salir,  para  seguir</w:t>
        <w:br/>
        <w:t>adelante con el pedido de justicia por  la  muerte  de  su  hijo”.  Dejó  de</w:t>
        <w:br/>
        <w:t>trabajar. A partir de 1996,  comenzó  a  tener  períodos  de  depresión  más</w:t>
        <w:br/>
        <w:t>prolongados, perdió el trabajo, descuidó su aseo personal, y se  desinteresó</w:t>
        <w:br/>
        <w:t>por la vida. Tuvo tres intentos de suicidio, uno de ellos ingiriendo  vidrio</w:t>
        <w:br/>
        <w:t>molido. Finalmente, Víctor David Bulacio padeció un cuadro cardíaco  que  le</w:t>
        <w:br/>
        <w:t>ocasionó la muerte.</w:t>
        <w:br/>
        <w:br/>
        <w:t>Con respecto a la señora María Ramona Armas de  Bulacio,  abuela  de  Walter</w:t>
        <w:br/>
        <w:t>David, indicó que fue una participante muy activa en la demanda de  justicia</w:t>
        <w:br/>
        <w:t>y verdad por la muerte de su nieto. Durante muchos  períodos  “fue  la  cara</w:t>
        <w:br/>
        <w:t>pública de esta lucha”, lo cual  no  fue  suficiente  para  impedir  ciertos</w:t>
        <w:br/>
        <w:t>efectos sobre su cuerpo: a  partir  de  1996  padeció  siete  operaciones  y</w:t>
        <w:br/>
        <w:t>sufrió hernia  de  hiato,  cáncer  de  duodeno  y  metástasis  en  estómago.</w:t>
        <w:br/>
        <w:t>Cualquier familia tiene expectativas sobre el futuro de sus miembros; en  el</w:t>
        <w:br/>
        <w:t>caso de la abuela, ésta tiene una  extrema  idealización  de  la  figura  de</w:t>
        <w:br/>
        <w:t>Walter David.</w:t>
        <w:br/>
        <w:br/>
        <w:t>Con respecto  a  Walter  David,  manifestó  que  está  “demostrado  por  sus</w:t>
        <w:br/>
        <w:t>informes escolares y por sus amigos, compañeros  y  grupos  de  pertenencia,</w:t>
        <w:br/>
        <w:t>[que era] un excelente alumno”. Este joven tenía proyectos,  como  cualquier</w:t>
        <w:br/>
        <w:t>adolescendente. Pensaba seguir estudiando  la  carrera  de  abogacía  en  la</w:t>
        <w:br/>
        <w:t>universidad; trabajaba y aportaba económicamente a su familia.   Ocupaba  el</w:t>
        <w:br/>
        <w:t>lugar de hijo primogénito, y por ello había muchas expectativas  depositadas</w:t>
        <w:br/>
        <w:t>en él; simbolizaba la “continuidad [de los padres] en la vida”.</w:t>
        <w:br/>
        <w:br/>
        <w:t>Los familiares entrevistados  insistieron  en  la  imperiosa  necesidad  que</w:t>
        <w:br/>
        <w:t>tienen de “cerrar un proceso que excedió los límites de  un  duelo,  incluso</w:t>
        <w:br/>
        <w:t>patológico”.</w:t>
        <w:br/>
        <w:br/>
        <w:t xml:space="preserve">      c) Dictamen de la señora Sofía Tiscornia, antropóloga,  Directora  del</w:t>
        <w:br/>
        <w:t xml:space="preserve">      Programa de Antropología Política  y  Violencia  Institucional  de  la</w:t>
        <w:br/>
        <w:t xml:space="preserve">      Sección de Antropología Social de la Facultad de Filosofía y Letras de</w:t>
        <w:br/>
        <w:t xml:space="preserve">      la Universidad de Buenos Aires y Directora del Instituto de Estudios e</w:t>
        <w:br/>
        <w:t xml:space="preserve">      Investigaciones de la Defensoría del Pueblo de  la  Ciudad  de  Buenos</w:t>
        <w:br/>
        <w:t xml:space="preserve">      Aires</w:t>
        <w:br/>
        <w:br/>
        <w:t>Las prácticas más habituales  de  detención  de  personas  por  las  fuerzas</w:t>
        <w:br/>
        <w:t>policiales en la Argentina, particularmente en la ciudad  de  Buenos  Aires,</w:t>
        <w:br/>
        <w:t>son  las   denominadas   “razzias”,   “detenciones   por   averiguación   de</w:t>
        <w:br/>
        <w:t>antecedentes”, luego  convertidas  en  “detenciones  por  averiguaciones  de</w:t>
        <w:br/>
        <w:t>identidad”, así como  las  “detenciones  por  edictos  contravencionales  de</w:t>
        <w:br/>
        <w:t>policía o por los códigos de faltas de policía”.</w:t>
        <w:br/>
        <w:br/>
        <w:t>El  vocablo  razzia  significa  “incursión  militar,  golpe  de   manos   en</w:t>
        <w:br/>
        <w:t>territorio extranjero por sorpresa y  por  violencia”  con  el  objetivo  de</w:t>
        <w:br/>
        <w:t>despojar, y proviene del árabe argelino, e incorporado al francés  en  1840,</w:t>
        <w:br/>
        <w:t>cuando Francia empezó su campaña  colonial  sobre  Argelia.  Actualmente  se</w:t>
        <w:br/>
        <w:t>denomina razzia a los  operativos  policiales  sorpresivos  que  tienen  por</w:t>
        <w:br/>
        <w:t>objeto rodear un predio, una población, una calle, un recital  de  rock,  un</w:t>
        <w:br/>
        <w:t>barrio; impedir los movimientos de las  personas  que  quedan  atrapadas  en</w:t>
        <w:br/>
        <w:t>este rodeo,  obligarlas  a  subir  a  móviles  policiales  o  a  transportes</w:t>
        <w:br/>
        <w:t>públicos colectivos y conducirlas  a  territorio  policial;  en  general,  a</w:t>
        <w:br/>
        <w:t>comisarías. Las razzias pueden estar orientadas a grupos  poblacionales  sin</w:t>
        <w:br/>
        <w:t>distinción de  sexo,  edad  u  ocupación,  o  grupos  sectarios,  jóvenes  o</w:t>
        <w:br/>
        <w:t>minorías sexuales. En el caso particular de la Argentina, los  sectores  que</w:t>
        <w:br/>
        <w:t>se ven principalmente afectados por este tipo de “razzias” son los  sectores</w:t>
        <w:br/>
        <w:t>más jóvenes, pobres y trabajadores. Lo que se hace  en  esos  procedimientos</w:t>
        <w:br/>
        <w:t>es  “despojar  [a  las  personas]  de  sus  más  elementales  derechos”   y,</w:t>
        <w:br/>
        <w:t>consecuentemente, se presenta un proceso de  deshumanización,  en  donde  la</w:t>
        <w:br/>
        <w:t>policía “exige obediencia, cumplimiento  irrestricto  de  órdenes  y  gritos</w:t>
        <w:br/>
        <w:t>[…], sumisión y servilismo”.</w:t>
        <w:br/>
        <w:br/>
        <w:t>En estos procedimientos  policiales  existen  varios  inconvenientes;  entre</w:t>
        <w:br/>
        <w:t>ellos, que el control judicial suele ser tardío o  incluso  inexistente.  En</w:t>
        <w:br/>
        <w:t>el caso de  las  detenciones  por  averiguación  de  identidad,  la  policía</w:t>
        <w:br/>
        <w:t>generalmente  eleva  al  juez,  tardíamente,  un  listado  de  las  personas</w:t>
        <w:br/>
        <w:t>detenidas, en el cual figuran  como  causas  de  la  detención:  “merodear”,</w:t>
        <w:br/>
        <w:t>“deambular”, “mirar las vidrieras”; y no siempre  se  consigna  la  hora  de</w:t>
        <w:br/>
        <w:t>entrada y salida de los detenidos en la comisaría y el domicilio  de  éstos.</w:t>
        <w:br/>
        <w:t>Los jueces efectúan un control  “casi  administrativo”  de  las  detenciones</w:t>
        <w:br/>
        <w:t>policiales,  pues  esta  función  ha   sido   encomendada   a   los   jueces</w:t>
        <w:br/>
        <w:t>correccionales, que son los que tienen el mayor número de causas en  trámite</w:t>
        <w:br/>
        <w:t>y la menor estructura dentro del Poder Judicial argentino,  por  lo  que  es</w:t>
        <w:br/>
        <w:t>materialmente imposible realizar  un  control  efectivo  de  aproximadamente</w:t>
        <w:br/>
        <w:t>100.000 a 150.000 detenciones mensuales que se  producen  en  la  ciudad  de</w:t>
        <w:br/>
        <w:t>Buenos Aires. En las escasas ocasiones en  que  un  juez  ha  practicado  un</w:t>
        <w:br/>
        <w:t>efectivo  control  sobre  estas  detenciones,  la   Dirección   General   de</w:t>
        <w:br/>
        <w:t>Comisarías de  la  Policía  Federal  ordena  que  “cada  vez  que  haga  una</w:t>
        <w:br/>
        <w:t>detención le sea comunicada a la persona detenida  sus  derechos  […]  y  se</w:t>
        <w:br/>
        <w:t>comunique inmediatamente al juez”,  con  lo  cual  disminuye  el  número  de</w:t>
        <w:br/>
        <w:t>detenciones.</w:t>
        <w:br/>
        <w:br/>
        <w:t>No existe relación entre estas prácticas y la efectividad de  la  protección</w:t>
        <w:br/>
        <w:t>de la seguridad ciudadana.  La  policía  detiene  a  una  gran  cantidad  de</w:t>
        <w:br/>
        <w:t>personas en conjunto o individualmente, y no es sino hasta que las  lleva  a</w:t>
        <w:br/>
        <w:t>la comisaría cuando se  les  “clasifica”  como  adultos,  jóvenes,  mujeres,</w:t>
        <w:br/>
        <w:t>varones. Dichas detenciones masivas se llevan a cabo bajo  la  definición  a</w:t>
        <w:br/>
        <w:t>priori de que hay  determinadas  personas  que,  según  el  programa  de  la</w:t>
        <w:br/>
        <w:t>defensa social, per se pueden cometer delitos. Sin embargo, de  acuerdo  con</w:t>
        <w:br/>
        <w:t>investigaciones llevadas a cabo sólo el 0,2% de las  personas  detenidas  en</w:t>
        <w:br/>
        <w:t>estas prácticas tiene pedido de captura.</w:t>
        <w:br/>
        <w:br/>
        <w:t>Las razones que dan origen a estas prácticas policiales  son  principalmente</w:t>
        <w:br/>
        <w:t>tres: primera, el “control represivo y disciplinante  de  las  poblaciones”,</w:t>
        <w:br/>
        <w:t>con el propósito ejemplarizante para los  sectores  pobres,  trabajadores  y</w:t>
        <w:br/>
        <w:t>jóvenes, bajo la ideología del estado peligroso sin delito;  segunda,  estas</w:t>
        <w:br/>
        <w:t>detenciones forman parte del  trabajo  burocrático  policial  con  la  doble</w:t>
        <w:br/>
        <w:t>finalidad: de demostrar a los superiores que se trabaja y, responder, a  las</w:t>
        <w:br/>
        <w:t>demandas de los medios  de  comunicación  o  de  determinados  sectores  que</w:t>
        <w:br/>
        <w:t>reclaman una mayor  seguridad;  y  como  tercera,  ejercen  un  control  que</w:t>
        <w:br/>
        <w:t>permite detectar pequeñas ilicitudes, la venta ambulante, la prostitución  y</w:t>
        <w:br/>
        <w:t>otros oficios de la pobreza y, también, el cobro  de  cánones  a  cambio  de</w:t>
        <w:br/>
        <w:t>permisos para ejercer esos oficios, que nutren la llamada “caja  chica”  del</w:t>
        <w:br/>
        <w:t>poder policial.</w:t>
        <w:br/>
        <w:br/>
        <w:t>Con respecto al marco institucional  y  a  las  normas  que  facilitan  esas</w:t>
        <w:br/>
        <w:t>prácticas, la institución  policial  cuenta  con  una  variedad  de  figuras</w:t>
        <w:br/>
        <w:t>legales que son las siguientes: detenciones por averiguación  de  identidad,</w:t>
        <w:br/>
        <w:t>edictos contravencionales de policía y resistencia a la autoridad. Con  base</w:t>
        <w:br/>
        <w:t>en el comportamiento de las personas detenidas, la  policía  encuadraba  esa</w:t>
        <w:br/>
        <w:t>detención dentro de una de las figuras legales enunciadas; si se trataba  de</w:t>
        <w:br/>
        <w:t>un niño, se le  aplicaría  el  Memorandum  40.  El  Memorandum  40  era  una</w:t>
        <w:br/>
        <w:t>comunicación secreta que se estableció  entre  jueces  correccionales  y  la</w:t>
        <w:br/>
        <w:t>policía federal. Su fin era registrar a menores de edad que  eran  detenidos</w:t>
        <w:br/>
        <w:t>por la policía en esos procedimientos: detención masiva y  generalizada.  La</w:t>
        <w:br/>
        <w:t>detención basada en el Memorandum  40  continuaba,  una  vez  dentro  de  la</w:t>
        <w:br/>
        <w:t>comisaría, con la separación entre  los  menores  y  las  personas  adultas.</w:t>
        <w:br/>
        <w:t>Algunos niños  eran  puestos  a  disposición  del  juez  de  menores,  otros</w:t>
        <w:br/>
        <w:t>quedaban simplemente a disposición o registrados, y luego eran entregados  o</w:t>
        <w:br/>
        <w:t>no a sus padres. Las mencionadas figuras legales, “de alguna manera, dan  un</w:t>
        <w:br/>
        <w:t>sustento a una práctica policial que es básicamente ilegal”.</w:t>
        <w:br/>
        <w:br/>
        <w:t>El Caso Bulacio ha sido “emblemático  y  […]  paradigmático”  en  Argentina,</w:t>
        <w:br/>
        <w:t>fundamentalmente, porque Walter David Bulacio, detenido  en  un  recital  de</w:t>
        <w:br/>
        <w:t>rock, era parte de la generación joven de los años ‘90 de  la  democracia  y</w:t>
        <w:br/>
        <w:t>esto provocó “una especie de  fuerte  efecto  de  identificación”.  Ante  lo</w:t>
        <w:br/>
        <w:t>ocurrido a Walter David Bulacio, la gran mayoría de los  jóvenes  argentinos</w:t>
        <w:br/>
        <w:t>“vieron su imagen reflejada en [él]”, puesto que “lo que le  pasó  a  Walter</w:t>
        <w:br/>
        <w:t>[David] Bulacio […] pudo haberle ocurrido a cualquier  chico  [argentino  de</w:t>
        <w:br/>
        <w:t>su edad]”. Asimismo, este caso fue acompañado por un  movimiento  social  de</w:t>
        <w:br/>
        <w:t>jóvenes que hoy tienen ya treinta  años,  lo  que  muestra  una  continuidad</w:t>
        <w:br/>
        <w:t>generacional del mismo, que se ha venido  expresando  a  través  de  marchas</w:t>
        <w:br/>
        <w:t>estudiantiles, vídeos, películas,  publicaciones y charlas.</w:t>
        <w:br/>
        <w:br/>
        <w:t>En cuanto a las medidas de reparación, señaló que sería  importante  que  se</w:t>
        <w:br/>
        <w:t>pudiese mantener y expandir  la  memoria  sobre  este  caso,  que  de  todas</w:t>
        <w:br/>
        <w:t>maneras ya existe en una parte de la población.</w:t>
        <w:br/>
        <w:br/>
        <w:br/>
        <w:t xml:space="preserve">                         c) Valoración de la Prueba</w:t>
        <w:br/>
        <w:br/>
        <w:br/>
        <w:t>Valoración de la Prueba Documental</w:t>
        <w:br/>
        <w:br/>
        <w:br/>
        <w:t>57.   En  este  caso,  como  en  otros[24],  el  Tribunal  admite  el  valor</w:t>
        <w:br/>
        <w:t>probatorio de los documentos presentados por las partes  en  su  oportunidad</w:t>
        <w:br/>
        <w:t>procesal o como prueba para mejor resolver, que no fueron controvertidos  ni</w:t>
        <w:br/>
        <w:t>objetados, y cuya autenticidad no fue puesta en duda.  Por  otra  parte,  la</w:t>
        <w:br/>
        <w:t>Corte admite, de conformidad con el artículo 43 del  Reglamento,  la  prueba</w:t>
        <w:br/>
        <w:t>presentada  por  las  partes  en  relación  con  los  hechos  supervinientes</w:t>
        <w:br/>
        <w:t>ocurridos con posterioridad a la presentación de la demanda.</w:t>
        <w:br/>
        <w:br/>
        <w:t>58.   Los documentos aportados durante la audiencia pública celebrada en  el</w:t>
        <w:br/>
        <w:t>caso, tanto las copias de los documentos nacionales de  identidad  como  las</w:t>
        <w:br/>
        <w:t>certificaciones de nacimiento y de guarda provisoria  de  Matías  Emanuel  y</w:t>
        <w:br/>
        <w:t>Tamara Florencia Bulacio, la Corte los agrega al  conjunto  probatorio  como</w:t>
        <w:br/>
        <w:t>prueba  para  mejor  resolver,  de  conformidad  con  el  artículo  44   del</w:t>
        <w:br/>
        <w:t>Reglamento.</w:t>
        <w:br/>
        <w:br/>
        <w:t>59.   Previa autorización del Presidente, el Estado presentó los  dictámenes</w:t>
        <w:br/>
        <w:t>de los peritos Osvaldo Hugo Raffo y Osvaldo Héctor Curci (supra  22  y  49).</w:t>
        <w:br/>
        <w:t>Dentro  del  plazo  concedido  a  tal  efecto,  la  Comisión  Interamericana</w:t>
        <w:br/>
        <w:t>presentó sus observaciones a los dictámenes de dichos peritos.   Esta  Corte</w:t>
        <w:br/>
        <w:t>hace notar que las declaraciones de dichos peritos se dirigían a  desvirtuar</w:t>
        <w:br/>
        <w:t>algunos  hechos  en  el  fondo   del   caso.   Como   consecuencia   de   la</w:t>
        <w:br/>
        <w:t>responsabilidad internacional aceptada por el Estado (supra  25,  27  y  31-</w:t>
        <w:br/>
        <w:t>38), el Tribunal no tomará en consideración estas declaraciones  dentro  del</w:t>
        <w:br/>
        <w:t>acervo probatorio.</w:t>
        <w:br/>
        <w:br/>
        <w:t>60.   Luego de ser presentado el peritaje del  señor  Emilio  García  Méndez</w:t>
        <w:br/>
        <w:t>por la Comisión, de conformidad con la Resolución de la Corte de 6 de  marzo</w:t>
        <w:br/>
        <w:t>de 2003 (supra 27 y 28), el Estado entregó  sus  observaciones,  dentro  del</w:t>
        <w:br/>
        <w:t>plazo concedido para tal efecto (supra 27 y 28)  y  señaló  que  consideraba</w:t>
        <w:br/>
        <w:t>que la presentación de los  hechos  y  las  conclusiones  del  peritaje  “se</w:t>
        <w:br/>
        <w:t>apoya[n] en afirmaciones dogmáticas”.  En este sentido, el Estado  manifestó</w:t>
        <w:br/>
        <w:t>que:</w:t>
        <w:br/>
        <w:br/>
        <w:t xml:space="preserve">     a) son hipotéticas las deducciones  del  perito  en  relación  con  el</w:t>
        <w:br/>
        <w:t xml:space="preserve">        vínculo que existiría entre el abuso de prácticas policiales  y  la</w:t>
        <w:br/>
        <w:t xml:space="preserve">        fenomenología  de  esas  supuestas  prácticas  a  partir  del  Caso</w:t>
        <w:br/>
        <w:t xml:space="preserve">        Bulacio; y</w:t>
        <w:br/>
        <w:br/>
        <w:t xml:space="preserve">     b) el perito parece “soslayar” los pasos que la Argentina ha  dado  en</w:t>
        <w:br/>
        <w:t xml:space="preserve">        cumplimiento de sus  compromisos  internacionales  en  la  materia,</w:t>
        <w:br/>
        <w:t xml:space="preserve">        tanto antes, como después de los hechos del caso Bulacio.</w:t>
        <w:br/>
        <w:br/>
        <w:t>61.   Asimismo, luego  de  ser  presentado  el  peritaje  del  señor  Máximo</w:t>
        <w:br/>
        <w:t>Emiliano Sozzo, ofrecido por el Estado, dentro del plazo concedido para  tal</w:t>
        <w:br/>
        <w:t>efecto (supra 27 y 28),  la  Comisión  manifestó  que  “coincid[ía]  con  el</w:t>
        <w:br/>
        <w:t>análisis histórico, jurídico y sociológico efectuado por el perito […],  sin</w:t>
        <w:br/>
        <w:t>embargo considera[ba] que sus respuestas [eran]   al  menos  ‘incompletas’”.</w:t>
        <w:br/>
        <w:t>En este sentido, la Comisión manifestó que:</w:t>
        <w:br/>
        <w:br/>
        <w:t xml:space="preserve">     a) a pesar de que se han producido cambios legislativos en  la  ciudad</w:t>
        <w:br/>
        <w:t xml:space="preserve">        de Buenos Aires en relación con las detenciones por averiguación de</w:t>
        <w:br/>
        <w:t xml:space="preserve">        antecedentes y en el régimen de los edictos policiales, la  pericia</w:t>
        <w:br/>
        <w:t xml:space="preserve">        omite señalar  que  se  mantiene  vigente  en  la  mayoría  de  las</w:t>
        <w:br/>
        <w:t xml:space="preserve">        provincias argentinas la  práctica  de  ese  tipo  de  “detenciones</w:t>
        <w:br/>
        <w:t xml:space="preserve">        arbitrarias”;</w:t>
        <w:br/>
        <w:br/>
        <w:br/>
        <w:t xml:space="preserve">     b) asimismo, la pericia no señala que los cambios legislativos que  se</w:t>
        <w:br/>
        <w:t xml:space="preserve">        dieron en la  ciudad  de  Buenos  Aires  implicaron  solamente  una</w:t>
        <w:br/>
        <w:t xml:space="preserve">        modificación de los términos, pero no de las facultades  concedidas</w:t>
        <w:br/>
        <w:t xml:space="preserve">        a la policía, lo que ha sido afirmado incluso por el  perito  Sozzo</w:t>
        <w:br/>
        <w:t xml:space="preserve">        en otras publicaciones suyas;</w:t>
        <w:br/>
        <w:br/>
        <w:br/>
        <w:t xml:space="preserve">     c) la pericia no hace mención alguna sobre la incidencia que  tuvo  el</w:t>
        <w:br/>
        <w:t xml:space="preserve">        Caso  Bulacio  en  los  cambios  que   considera   positivos,   que</w:t>
        <w:br/>
        <w:t xml:space="preserve">        respondieron a la presión ejercida por la ciudadanía en  virtud  de</w:t>
        <w:br/>
        <w:t xml:space="preserve">        la incidencia que tuvo este caso; y</w:t>
        <w:br/>
        <w:br/>
        <w:t xml:space="preserve">     d) en conclusión,  “no  existen  divergencias  sustanciales  entre  la</w:t>
        <w:br/>
        <w:t xml:space="preserve">        posición  del  Estado  argentino  y  la  posición  de  la  Comisión</w:t>
        <w:br/>
        <w:t xml:space="preserve">        Interamericana y los representantes de  la  familia  Bulacio”;  sin</w:t>
        <w:br/>
        <w:t xml:space="preserve">        embargo, las reformas legislativas analizadas “no  son  suficientes</w:t>
        <w:br/>
        <w:t xml:space="preserve">        para impedir que casos como el de Walter David  Bulacio  vuelvan  a</w:t>
        <w:br/>
        <w:t xml:space="preserve">        repetirse”.</w:t>
        <w:br/>
        <w:br/>
        <w:t>62.   El  Tribunal  constata  que  los  dictámenes  de  los  peritos  Máximo</w:t>
        <w:br/>
        <w:t>Emiliano Sozzo y Emilio García Méndez fueron aportados al proceso  a  través</w:t>
        <w:br/>
        <w:t>del escrito que los recogió. Se dio a las  partes  oportunidad  procesal  de</w:t>
        <w:br/>
        <w:t>que presentaran observaciones  al  peritaje  ofrecido  por  la  contraparte,</w:t>
        <w:br/>
        <w:t>conservándose de esta manera el principio de contradictorio[25].  En  cuanto</w:t>
        <w:br/>
        <w:t>a estos peritajes, el Tribunal  utilizó,  conforme  a  la  petición  de  las</w:t>
        <w:br/>
        <w:t>partes (supra 27) su criterio discrecional para permitir la presentación  de</w:t>
        <w:br/>
        <w:t>las declaraciones o manifestaciones en forma escrita. Tal como lo  ha  hecho</w:t>
        <w:br/>
        <w:t>en otras ocasiones[26], la Corte no dará a esta pieza procesal  carácter  de</w:t>
        <w:br/>
        <w:t>plena prueba, sino que apreciará,  su  contenido  dentro  del  contexto  del</w:t>
        <w:br/>
        <w:t>acervo probatorio y aplicando las reglas de la sana crítica[27].</w:t>
        <w:br/>
        <w:br/>
        <w:t>63.   En cuanto a los recortes de periódicos, este Tribunal  ha  considerado</w:t>
        <w:br/>
        <w:t>que  aun  cuando  los  mismos  no  tienen  carácter  de  prueba   documental</w:t>
        <w:br/>
        <w:t>propiamente dicha, podrán ser apreciados cuando recojan  hechos  públicos  o</w:t>
        <w:br/>
        <w:t>notorios,  declaraciones  de  funcionarios  del  Estado  o   corroboren   lo</w:t>
        <w:br/>
        <w:t>establecido en otros documentos o testimonios recibidos en  el  proceso[28].</w:t>
        <w:br/>
        <w:t>Así, la Corte los agrega al acervo probatorio como un medio para  establecer</w:t>
        <w:br/>
        <w:t>las consecuencias de  los  hechos  del  caso  junto  con  los  demás  medios</w:t>
        <w:br/>
        <w:t>probatorios aportados, en la medida de su pertinencia.</w:t>
        <w:br/>
        <w:br/>
        <w:t>Valoración de la Prueba Testimonial y Pericial</w:t>
        <w:br/>
        <w:br/>
        <w:t>64.   El 27 de febrero de 2003 la Comisión Interamericana,  previa  consulta</w:t>
        <w:br/>
        <w:t>con los representantes de los familiares de la víctima, solicitó,  en  razón</w:t>
        <w:br/>
        <w:t>del acuerdo  suscrito  por  las  partes,  que  solamente  se  recibieran  el</w:t>
        <w:br/>
        <w:t>testimonio de la señora Graciela Rosa Scavone, madre de la  víctima,  y  los</w:t>
        <w:br/>
        <w:t>peritajes de las señoras Graciela Guilis y  Sofía  Tiscornia;  y  a  la  vez</w:t>
        <w:br/>
        <w:t>adecuó  el  objeto  de  las  declaraciones   de   éstas   a   los   extremos</w:t>
        <w:br/>
        <w:t>correspondientes a  las  reparaciones,  como  consecuencia  del  acuerdo  de</w:t>
        <w:br/>
        <w:t>solución amistosa (supra  27).</w:t>
        <w:br/>
        <w:br/>
        <w:t>65.   Durante la segunda audiencia pública (supra 27), el  Estado  manifestó</w:t>
        <w:br/>
        <w:t>que “desist[ía] de las objeciones  formuladas”  con  respecto  a  la  perito</w:t>
        <w:br/>
        <w:t>Sofía Tiscornia y a la declaración por  escrito  del  perito  García  Méndez</w:t>
        <w:br/>
        <w:t>formuladas en su escrito de 5 de  marzo  de  2003.   En  el  mismo  sentido,</w:t>
        <w:br/>
        <w:t>solicitó “a [la] Honorable Corte conced[iera]  al Gobierno de  la  República</w:t>
        <w:br/>
        <w:t>Argentina la oportunidad de presentar, también por escrito,  un  informe  de</w:t>
        <w:br/>
        <w:t>un experto que se pronunciará sobre las mismas temáticas de la perito  Sofía</w:t>
        <w:br/>
        <w:t>Tiscornia” (supra 27).</w:t>
        <w:br/>
        <w:br/>
        <w:t>66.   La Corte admite la declaración rendida por la  señora   Graciela  Rosa</w:t>
        <w:br/>
        <w:t>Scavone (supra 56.a) en cuanto concuerde con el  objeto  del  interrogatorio</w:t>
        <w:br/>
        <w:t>propuesto por la  Comisión.  Al  respecto,  este  Tribunal  estima  que  por</w:t>
        <w:br/>
        <w:t>tratarse de un familiar de la víctima y tener un  interés  directo  en  este</w:t>
        <w:br/>
        <w:t>caso, sus manifestaciones no pueden ser valoradas aisladamente, sino  dentro</w:t>
        <w:br/>
        <w:t>del conjunto de las pruebas del proceso. En  materia  de  reparaciones,  las</w:t>
        <w:br/>
        <w:t>declaraciones de los familiares de la víctima son útiles  en  la  medida  en</w:t>
        <w:br/>
        <w:t>que pueden proporcionar mayor información sobre  las  consecuencias  de  las</w:t>
        <w:br/>
        <w:t>violaciones que pudieron ser perpetradas[29].</w:t>
        <w:br/>
        <w:br/>
        <w:t>67.   El Tribunal admite y da valor  probatorio  a  los  dictámenes  de  los</w:t>
        <w:br/>
        <w:t>peritos ofrecidos (supra 53.a, 53.b, 56.b, y 56.c), pues  como  se  señalara</w:t>
        <w:br/>
        <w:t>anteriormente (supra 42), la Corte en su condición de tribunal  de  derechos</w:t>
        <w:br/>
        <w:t>humanos,  no  debe  sujetarse  necesariamente  a  las  mismas   formalidades</w:t>
        <w:br/>
        <w:t>requeridas en el derecho interno[30], sino puede apreciar  las  aportaciones</w:t>
        <w:br/>
        <w:t>probatorias, entre ellas, las correspondientes a los dictámenes de  peritos,</w:t>
        <w:br/>
        <w:t>en forma que le permitan dilucidar en el caso  las  consecuencias  de  esto.</w:t>
        <w:br/>
        <w:t>Por otra parte, la Corte destaca que los dictámenes emitidos en el caso  sub</w:t>
        <w:br/>
        <w:t>judice no fueron objetados ni controvertidos.</w:t>
        <w:br/>
        <w:br/>
        <w:t>68.    La  Corte  apreciará  el  valor   probatorio   de   los   documentos,</w:t>
        <w:br/>
        <w:t>declaraciones y peritajes presentados por escrito o rendidos ante ella.  Las</w:t>
        <w:br/>
        <w:t>pruebas  presentadas,  durante  todas  las  etapas  del  proceso  han   sido</w:t>
        <w:br/>
        <w:t>integradas a un mismo acervo probatorio, que se considera como un todo[31].</w:t>
        <w:br/>
        <w:br/>
        <w:br/>
        <w:t xml:space="preserve">                                    viii</w:t>
        <w:br/>
        <w:t xml:space="preserve">                               Hechos Probados</w:t>
        <w:br/>
        <w:br/>
        <w:t>69.   La Corte ha examinado  los  elementos  de  prueba  y  los  respectivos</w:t>
        <w:br/>
        <w:t>alegatos de las partes y, como resultado de  ese  examen,  declara  probados</w:t>
        <w:br/>
        <w:t>los siguientes hechos:</w:t>
        <w:br/>
        <w:br/>
        <w:br/>
        <w:t>A)    Con respecto a la práctica de detenciones masivas</w:t>
        <w:br/>
        <w:br/>
        <w:br/>
        <w:t xml:space="preserve">        1. en la  época  de  los  hechos,  se  llevaban  a  cabo  prácticas</w:t>
        <w:br/>
        <w:t xml:space="preserve">           policiales  de  detención  indiscriminada,  que   incluían   las</w:t>
        <w:br/>
        <w:t xml:space="preserve">           denominadas  razzias,  las  detenciones  por  averiguaciones  de</w:t>
        <w:br/>
        <w:t xml:space="preserve">           identidad y las detenciones conforme a edictos contravencionales</w:t>
        <w:br/>
        <w:t xml:space="preserve">           de policía. El Memorandum  40  facultaba  a  los  policías  para</w:t>
        <w:br/>
        <w:t xml:space="preserve">           decidir si se notificaba o no al juez de menores respecto de los</w:t>
        <w:br/>
        <w:t xml:space="preserve">           niños o adolescentes detenidos[32];</w:t>
        <w:br/>
        <w:br/>
        <w:br/>
        <w:t>B)    Con respecto a Walter David Bulacio</w:t>
        <w:br/>
        <w:br/>
        <w:t xml:space="preserve">        2. Walter David Bulacio nació el 14 el noviembre de 1973 y vivía en</w:t>
        <w:br/>
        <w:t xml:space="preserve">           la Provincia de Buenos Aires, Argentina[33];</w:t>
        <w:br/>
        <w:br/>
        <w:t>3.    Walter David Bulacio estudiaba en un colegio y trabajaba  como  caddie</w:t>
        <w:br/>
        <w:t>en  un  campo  de  golf,  en  el  que  ganaba  $400  (cuatrocientos  pesos),</w:t>
        <w:br/>
        <w:t>equivalentes a US$400,00 (cuatrocientos dólares de  los  Estados  Unidos  de</w:t>
        <w:br/>
        <w:t>América) mensuales[34]:</w:t>
        <w:br/>
        <w:br/>
        <w:t xml:space="preserve">   4. el 19 de abril de 1991,  la  Policía  Federal  Argentina  realizó  una</w:t>
        <w:br/>
        <w:t xml:space="preserve">      detención colectiva, que comprendió al joven Walter David Bulacio,  en</w:t>
        <w:br/>
        <w:t xml:space="preserve">      las inmediaciones del estadio Obras Sanitarias de la Nación, donde  se</w:t>
        <w:br/>
        <w:t xml:space="preserve">      realizaba un concierto de música rock[35];</w:t>
        <w:br/>
        <w:br/>
        <w:t xml:space="preserve">   5. Walter David Bulacio murió el 26 de abril de 1991[36];</w:t>
        <w:br/>
        <w:br/>
        <w:br/>
        <w:t>C)    Con respecto a los recursos internos</w:t>
        <w:br/>
        <w:br/>
        <w:t>6.    la causa judicial seguida por las lesiones y muerte  de  Walter  David</w:t>
        <w:br/>
        <w:t>Bulacio, así como la referida a la  detención  de  éste  y  otras  personas,</w:t>
        <w:br/>
        <w:t>fueron objeto de diversas actuaciones judiciales, tales  como  inhibiciones,</w:t>
        <w:br/>
        <w:t>impugnaciones y recusaciones que han originado una dilación en  el  proceso.</w:t>
        <w:br/>
        <w:t>Entre las actuaciones judiciales destacan la separación y  reunificación  de</w:t>
        <w:br/>
        <w:t>la causa, sucesivos  conflictos  de  competencia,  los  cuales  han  llegado</w:t>
        <w:br/>
        <w:t>incluso a la Corte Suprema de Justicia de la  Nación,  así  como  decisiones</w:t>
        <w:br/>
        <w:t>relacionadas con el sobreseimiento del imputado o de la  causa  en  diversas</w:t>
        <w:br/>
        <w:t>oportunidades, y distintos recursos interpuestos en contra esas  decisiones.</w:t>
        <w:br/>
        <w:t>A la fecha no existe un pronunciamiento firme por parte de  las  autoridades</w:t>
        <w:br/>
        <w:t>judiciales sobre el conjunto de  los  hechos  investigados.  Nadie  ha  sido</w:t>
        <w:br/>
        <w:t>sancionado como responsable de éstos[37];</w:t>
        <w:br/>
        <w:br/>
        <w:br/>
        <w:br/>
        <w:t>D)    Con respecto a la familia de Walter David Bulacio</w:t>
        <w:br/>
        <w:br/>
        <w:br/>
        <w:t>7.    los familiares de Walter David Bulacio eran Víctor David  Bulacio,  su</w:t>
        <w:br/>
        <w:t>padre; Graciela Rosa Scavone, su madre; Lorena Beatriz Bulacio, su  hermana,</w:t>
        <w:br/>
        <w:t>y María Ramona Armas de Bulacio, su abuela paterna.   Asimismo,  dos  medios</w:t>
        <w:br/>
        <w:t>hermanos, Matías Emanuel Bulacio y Tamara Florencia  Bulacio,  hijos  de  la</w:t>
        <w:br/>
        <w:t>segunda pareja de su padre, Víctor  David  Bulacio[38].   Su  padre,  Víctor</w:t>
        <w:br/>
        <w:t>David Bulacio, falleció el 4 de abril de 2000[39];</w:t>
        <w:br/>
        <w:br/>
        <w:t>8.    el padre, la madre, la hermana y la abuela  de  Walter  David  Bulacio</w:t>
        <w:br/>
        <w:t>sufrieron daños materiales e inmateriales  por  la  detención  ilegal  y  la</w:t>
        <w:br/>
        <w:t>posterior muerte de Walter David[40]. En este orden destaca lo siguiente:</w:t>
        <w:br/>
        <w:br/>
        <w:t xml:space="preserve">        a) ambos padres entraron en cuadros de depresión profunda. El padre</w:t>
        <w:br/>
        <w:t xml:space="preserve">           perdió su trabajo y su  capacidad  de  cuidar  de  sus  hijos  e</w:t>
        <w:br/>
        <w:t xml:space="preserve">           intentó suicidarse en tres oportunidades diferentes[41];</w:t>
        <w:br/>
        <w:br/>
        <w:br/>
        <w:t xml:space="preserve">        b) Lorena Beatriz Bulacio, hermana de Walter David Bulacio, padeció</w:t>
        <w:br/>
        <w:t xml:space="preserve">           de bulimia e intentó suicidarse en dos oportunidades. Hasta  hoy</w:t>
        <w:br/>
        <w:t xml:space="preserve">           sigue afectada psicológicamente por lo ocurrido a su  hermano  y</w:t>
        <w:br/>
        <w:t xml:space="preserve">           al resto de su familia[42];</w:t>
        <w:br/>
        <w:br/>
        <w:br/>
        <w:t xml:space="preserve">        c) María Ramona Armas de Bulacio, quien tuvo una participación  muy</w:t>
        <w:br/>
        <w:t xml:space="preserve">           activa en la denuncia de los hechos que afectaron  a  su  nieto,</w:t>
        <w:br/>
        <w:t xml:space="preserve">           también sufrió graves consecuencias físicas y  psicológicas[43];</w:t>
        <w:br/>
        <w:t xml:space="preserve">           y</w:t>
        <w:br/>
        <w:br/>
        <w:t xml:space="preserve">        d) estas consecuencias  en  la  salud  física  y  psíquica  de  los</w:t>
        <w:br/>
        <w:t xml:space="preserve">           familiares de Walter  David  Bulacio  se  han  mantenido  en  el</w:t>
        <w:br/>
        <w:t xml:space="preserve">           tiempo[44].</w:t>
        <w:br/>
        <w:br/>
        <w:t>9.    la impunidad que subsiste en este caso sigue  causando  sufrimiento  a</w:t>
        <w:br/>
        <w:t>los familiares de Walter David Bulacio[45];</w:t>
        <w:br/>
        <w:br/>
        <w:br/>
        <w:t>E)    Con respecto a la representación de los  familiares  ante  el  sistema</w:t>
        <w:br/>
        <w:t xml:space="preserve">      interamericano de protección de los  derechos  humanos  y  los  gastos</w:t>
        <w:br/>
        <w:t xml:space="preserve">      relativos a dicha representación</w:t>
        <w:br/>
        <w:br/>
        <w:br/>
        <w:t>10.    la  Coordinadora  contra  la  Represión  Policial   e   Institucional</w:t>
        <w:br/>
        <w:t>(CORREPI), el Centro de Estudios Legales y Sociales (CELS) y el Centro  para</w:t>
        <w:br/>
        <w:t>la Justicia y el Derecho Internacional (CEJIL),  en  representación  de  los</w:t>
        <w:br/>
        <w:t>familiares de la  víctima,  acudieron  ante  el  sistema  interamericano  de</w:t>
        <w:br/>
        <w:t>derechos humanos y realizaron gastos relacionados con dichas gestiones[46].</w:t>
        <w:br/>
        <w:br/>
        <w:br/>
        <w:br/>
        <w:t xml:space="preserve">                                     ix</w:t>
        <w:br/>
        <w:br/>
        <w:br/>
        <w:t xml:space="preserve">                            Obligación de Reparar</w:t>
        <w:br/>
        <w:br/>
        <w:br/>
        <w:t>70.   De acuerdo con lo expuesto en  los  capítulos  anteriores,  el  Estado</w:t>
        <w:br/>
        <w:t>reconoció  su  responsabilidad  internacional  por  la  violación   de   los</w:t>
        <w:br/>
        <w:t>artículos 4 (Derecho a la Vida), 5 (Derecho a  la  Integridad  Personal),  7</w:t>
        <w:br/>
        <w:t>(Derecho a la Libertad Personal), 8  (Garantías  Judiciales),  19  (Derechos</w:t>
        <w:br/>
        <w:t>del Niño) y 25 (Protección Judicial), en conjunción  con  el  incumplimiento</w:t>
        <w:br/>
        <w:t>de la obligación de respetar los derechos  (artículo  1.1)  y  el  deber  de</w:t>
        <w:br/>
        <w:t>adoptar disposiciones de derecho  interno  (artículo  2),  en  perjuicio  de</w:t>
        <w:br/>
        <w:t>Walter David Bulacio, y por la violación de los mismos artículos 8 y  25  en</w:t>
        <w:br/>
        <w:t>perjuicio de los familiares del joven Walter David Bulacio, todos  ellos  en</w:t>
        <w:br/>
        <w:t>relación con el artículo 1.1 y 2 de  la  Convención  Americana  (supra  38).</w:t>
        <w:br/>
        <w:t>Este Tribunal ha reiterado,  en  su  jurisprudencia  constante,  que  es  un</w:t>
        <w:br/>
        <w:t>principio de Derecho Internacional  que  toda  violación  a  una  obligación</w:t>
        <w:br/>
        <w:t>internacional que haya causado un daño genera una nueva obligación:  reparar</w:t>
        <w:br/>
        <w:t>adecuadamente el daño causado[47]. A tal efecto, la Corte se  ha  basado  en</w:t>
        <w:br/>
        <w:t>el artículo 63.1 de la Convención Americana, según el cual,</w:t>
        <w:br/>
        <w:br/>
        <w:t xml:space="preserve">      (c(uando decida que hubo violación de un derecho o libertad protegidos</w:t>
        <w:br/>
        <w:t xml:space="preserve">      en esta Convención, la Corte dispondrá que se garantice  al  lesionado</w:t>
        <w:br/>
        <w:t xml:space="preserve">      en el goce de su derecho o libertad conculcados.  Dispondrá  asimismo,</w:t>
        <w:br/>
        <w:t xml:space="preserve">      si ello fuera procedente, que  se  reparen  las  consecuencias  de  la</w:t>
        <w:br/>
        <w:t xml:space="preserve">      medida o situación que ha configurado la vulneración de esos  derechos</w:t>
        <w:br/>
        <w:t xml:space="preserve">      y el pago de una justa indemnización a la parte  lesionada  (subrayado</w:t>
        <w:br/>
        <w:t xml:space="preserve">      no es del original).</w:t>
        <w:br/>
        <w:br/>
        <w:br/>
        <w:t>71.   Como ha señalado este Tribunal, el  artículo  63.1  de  la  Convención</w:t>
        <w:br/>
        <w:t>Americana recoge  una  norma  consuetudinaria  que  constituye  uno  de  los</w:t>
        <w:br/>
        <w:t>principios fundamentales del derecho internacional  contemporáneo  sobre  la</w:t>
        <w:br/>
        <w:t>responsabilidad de los Estados. Al producirse un hecho ilícito  imputable  a</w:t>
        <w:br/>
        <w:t>un Estado, surge la responsabilidad internacional de éste por  la  violación</w:t>
        <w:br/>
        <w:t>de la norma internacional, con el  consecuente  deber  de  reparar  y  hacer</w:t>
        <w:br/>
        <w:t>cesar las consecuencias de la violación[48].</w:t>
        <w:br/>
        <w:br/>
        <w:t>72.   La reparación del daño causado por la  infracción  de  una  obligación</w:t>
        <w:br/>
        <w:t>internacional requiere, siempre  que  sea  factible,  la  plena  restitución</w:t>
        <w:br/>
        <w:t>(restitutio  in  integrum),  que  consiste  en  el  restablecimiento  de  la</w:t>
        <w:br/>
        <w:t>situación anterior a la violación.  De no  ser  esto  posible,  como  en  el</w:t>
        <w:br/>
        <w:t>presente caso, corresponde a este  Tribunal  internacional  ordenar  que  se</w:t>
        <w:br/>
        <w:t>adopten medidas para que, además de garantizar el respeto  de  los  derechos</w:t>
        <w:br/>
        <w:t>conculcados, se reparen las consecuencias que produjeron las infracciones  y</w:t>
        <w:br/>
        <w:t>se efectúe el pago de una indemnización  como  compensatorio  de  los  daños</w:t>
        <w:br/>
        <w:t>ocasionados[49].  La obligación de reparar,  que  se  regula  en  todos  sus</w:t>
        <w:br/>
        <w:t>aspectos  (alcance,  naturaleza,  modalidades   y   determinación   de   los</w:t>
        <w:br/>
        <w:t>beneficiarios) por el derecho  internacional,  no  puede  ser  modificada  o</w:t>
        <w:br/>
        <w:t>incumplida por el Estado obligado  invocando  disposiciones  de  su  derecho</w:t>
        <w:br/>
        <w:t>interno[50].</w:t>
        <w:br/>
        <w:br/>
        <w:t>73.   En lo que se refiere a la violación del derecho a la  vida  y  algunos</w:t>
        <w:br/>
        <w:t>otros derechos (libertad e integridad  personales,  garantías  judiciales  y</w:t>
        <w:br/>
        <w:t>protección judicial), por  no  ser  posible  la  restitutio  in  integrum  y</w:t>
        <w:br/>
        <w:t>teniendo en cuenta  la  naturaleza  del  bien  afectado,  la  reparación  se</w:t>
        <w:br/>
        <w:t>realiza, inter alia, según la  jurisprudencia  internacional,  mediante  una</w:t>
        <w:br/>
        <w:t>justa indemnización o  compensación  pecuniaria.  Es  necesario  añadir  las</w:t>
        <w:br/>
        <w:t>medidas de carácter positivo que el Estado debe adoptar  para  asegurar  que</w:t>
        <w:br/>
        <w:t>no se repitan hechos lesivos como los del presente caso[51].</w:t>
        <w:br/>
        <w:br/>
        <w:br/>
        <w:br/>
        <w:t xml:space="preserve">                                      x</w:t>
        <w:br/>
        <w:br/>
        <w:t xml:space="preserve">                      Beneficiarios de las Reparaciones</w:t>
        <w:br/>
        <w:br/>
        <w:t>74.   La Corte resumirá enseguida los argumentos de  los  representantes  de</w:t>
        <w:br/>
        <w:t>los familiares de la víctima y  de  la  Comisión  Interamericana  sobre  las</w:t>
        <w:br/>
        <w:t>personas a las que se debe considerar beneficiarios de las reparaciones  que</w:t>
        <w:br/>
        <w:t>dicte la Corte.</w:t>
        <w:br/>
        <w:br/>
        <w:t>Alegatos de los representantes de los familiares de la víctima</w:t>
        <w:br/>
        <w:br/>
        <w:t>75.   Los representantes señalaron que Walter David Bulacio  es  acreedor  a</w:t>
        <w:br/>
        <w:t>una reparación por derecho  propio,  la  cual,  en  las  circunstancias  del</w:t>
        <w:br/>
        <w:t>presente caso, se transmitiría  por  sucesión  a  su  madre,  Graciela  Rosa</w:t>
        <w:br/>
        <w:t>Scavone, y a su padre, Víctor David Bulacio. En virtud del fallecimiento  de</w:t>
        <w:br/>
        <w:t>este último, tienen derecho, también por sucesión,  Lorena  Beatriz,  Tamara</w:t>
        <w:br/>
        <w:t>Florencia y Matías Emanuel Bulacio, hijos  del  padre  fallecido.  Se  puede</w:t>
        <w:br/>
        <w:t>presumir que la violación del derecho a la vida  causa  daños  materiales  e</w:t>
        <w:br/>
        <w:t>inmateriales directos a los sucesores del difunto. Recae  sobre  el  Estado,</w:t>
        <w:br/>
        <w:t>en su caso, la carga de probar que tal perjuicio no ha  existido.   En  este</w:t>
        <w:br/>
        <w:t>sentido,  tienen  derecho  a  una  reparación  por  derecho   propio,   como</w:t>
        <w:br/>
        <w:t>consecuencia de las violaciones a los derechos consagrados en los  artículos</w:t>
        <w:br/>
        <w:t>8 y 25 de la Convención, los señores Graciela Rosa Scavone, (madre);  Víctor</w:t>
        <w:br/>
        <w:t>David Bulacio, (padre); Lorena Beatriz Bulacio, (hermana);  y  María  Ramona</w:t>
        <w:br/>
        <w:t>Armas de Bulacio, (abuela), todos familiares de Walter David Bulacio.</w:t>
        <w:br/>
        <w:br/>
        <w:t>Alegatos de la Comisión</w:t>
        <w:br/>
        <w:br/>
        <w:br/>
        <w:t>76.   En relación con los beneficiarios de  las  reparaciones,  la  Comisión</w:t>
        <w:br/>
        <w:t>señaló que quienes tienen derecho a ellas  son:  Walter  David  Bulacio,  la</w:t>
        <w:br/>
        <w:t>víctima, cuyos derechos se transmiten a sus herederos Graciela Rosa  Scavone</w:t>
        <w:br/>
        <w:t>y Víctor David Bulacio, sus padres, Lorena Beatriz Bulacio, su hermana y  la</w:t>
        <w:br/>
        <w:t>señora María Ramona Armas de  Bulacio,  su  abuela  paterna,  quienes  deben</w:t>
        <w:br/>
        <w:t>recibir indemnización en su doble condición de herederos  de  la  víctima  y</w:t>
        <w:br/>
        <w:t>personas directamente afectadas.  En el caso de Víctor  David  Bulacio,  sus</w:t>
        <w:br/>
        <w:t>derechos se transmiten a sus herederos: Lorena  Beatriz,  Matías  Emanuel  y</w:t>
        <w:br/>
        <w:t>Tamara Florencia Bulacio, hijos de aquél.</w:t>
        <w:br/>
        <w:br/>
        <w:t>Alegatos del Estado</w:t>
        <w:br/>
        <w:br/>
        <w:t>77.   El Estado señaló que si bien la Corte tiene criterios  adoptados  para</w:t>
        <w:br/>
        <w:t>la determinación de los beneficiarios de  las  reparaciones,  puede  aportar</w:t>
        <w:br/>
        <w:t>algunas normas de su Código Civil y del  derecho  de  familia  interno,  que</w:t>
        <w:br/>
        <w:t>considera deben ser tomadas en cuenta para la  identificación  de  aquéllos.</w:t>
        <w:br/>
        <w:t>Asimismo, señaló que para la  determinación  de  los  beneficiarios  de  las</w:t>
        <w:br/>
        <w:t>reparaciones debía tenerse en cuenta la cercanía del vínculo  familiar,  las</w:t>
        <w:br/>
        <w:t>circunstancias particulares de la relación con la víctima, la condición  del</w:t>
        <w:br/>
        <w:t>familiar como testigo de los hechos, la forma en que  se  involucró  en  los</w:t>
        <w:br/>
        <w:t>intentos de obtener información y la respuesta ofrecida por el Estado a  las</w:t>
        <w:br/>
        <w:t>gestiones incoadas.</w:t>
        <w:br/>
        <w:br/>
        <w:t>Consideraciones de la Corte</w:t>
        <w:br/>
        <w:br/>
        <w:t>78.   La Corte procederá a determinar la persona o personas que  constituyen</w:t>
        <w:br/>
        <w:t>la “parte lesionada”, en el presente caso en los términos del artículo  63.1</w:t>
        <w:br/>
        <w:t>de la Convención Americana. Vale traer a colación el  criterio  seguido  por</w:t>
        <w:br/>
        <w:t>este Tribunal de presumir que la muerte de  una  persona  ocasiona  un  daño</w:t>
        <w:br/>
        <w:t>inmaterial a los miembros más cercanos  de  su  familia,  particularmente  a</w:t>
        <w:br/>
        <w:t>aquéllos que estuvieron en contacto afectivo estrecho  con  la  víctima[52].</w:t>
        <w:br/>
        <w:t>En este sentido, conviene destacar lo indicado  por  el  artículo  2.15  del</w:t>
        <w:br/>
        <w:t>Reglamento[53] en el sentido de que el término “familiares  de  la  víctima”</w:t>
        <w:br/>
        <w:t>debe entenderse como un concepto amplio que comprende a todas  las  personas</w:t>
        <w:br/>
        <w:t>vinculadas por un parentesco cercano, incluyendo a los  padres,  hermanos  y</w:t>
        <w:br/>
        <w:t>abuelos, que podrían tener derecho a indemnización,  en  la  medida  en  que</w:t>
        <w:br/>
        <w:t>satisfagan  los  requisitos  fijados   por   la   jurisprudencia   de   este</w:t>
        <w:br/>
        <w:t>Tribunal[54].</w:t>
        <w:br/>
        <w:br/>
        <w:t>79.    A la  luz  del  acuerdo  de  solución  amistosa,  en  que  el  Estado</w:t>
        <w:br/>
        <w:t>reconoció su  responsabilidad  internacional,  se  advierte  que  no  existe</w:t>
        <w:br/>
        <w:t>controversia  entre  las  partes   respecto   de   quiénes   son   víctimas,</w:t>
        <w:br/>
        <w:t>beneficiarios y familiares en el presente caso[55]. Este  Tribunal  entiende</w:t>
        <w:br/>
        <w:t>que las violaciones a la Convención Americana fueron cometidas en  perjuicio</w:t>
        <w:br/>
        <w:t>de los señores Walter David Bulacio, Víctor David Bulacio (padre),  Graciela</w:t>
        <w:br/>
        <w:t>Rosa Scavone (madre), Lorena Beatriz Bulacio (hermana) y María Ramona  Armas</w:t>
        <w:br/>
        <w:t>de Bulacio (abuela paterna). Todos  ellos  deben  considerarse  comprendidos</w:t>
        <w:br/>
        <w:t>dentro de la categoría de víctimas y ser acreedores a las  reparaciones  que</w:t>
        <w:br/>
        <w:t>fije la Corte, tanto en relación con el daño material,  cuando  corresponda,</w:t>
        <w:br/>
        <w:t>como con el daño inmaterial.  Respecto de los señores Walter  David  Bulacio</w:t>
        <w:br/>
        <w:t>y Víctor David Bulacio, su derecho a reparación se transmitirá por  sucesión</w:t>
        <w:br/>
        <w:t>a sus familiares,  de la manera que adelante se indica (infra  85,  86,  103</w:t>
        <w:br/>
        <w:t>y 104).</w:t>
        <w:br/>
        <w:br/>
        <w:br/>
        <w:t xml:space="preserve">                                     xi</w:t>
        <w:br/>
        <w:t xml:space="preserve">              reparaciones por daños materiales e inmateriales</w:t>
        <w:br/>
        <w:br/>
        <w:br/>
        <w:t>80.    De  acuerdo  con  los  elementos  probatorios  reunidos  durante  las</w:t>
        <w:br/>
        <w:t>diversas etapas del proceso y a la luz de  los  criterios  establecidos  por</w:t>
        <w:br/>
        <w:t>este Tribunal, a continuación la Corte analiza las pretensiones  presentadas</w:t>
        <w:br/>
        <w:t>por las partes en esta etapa del proceso, para  determinar  las  medidas  de</w:t>
        <w:br/>
        <w:t>reparación relativas a los daños materiales e inmateriales y a otras  formas</w:t>
        <w:br/>
        <w:t>de reparación.</w:t>
        <w:br/>
        <w:br/>
        <w:t xml:space="preserve">                              a) Daño Material</w:t>
        <w:br/>
        <w:br/>
        <w:br/>
        <w:t>Alegatos de los representantes de los familiares de la víctima</w:t>
        <w:br/>
        <w:br/>
        <w:br/>
        <w:t>81.   Durante la celebración de la audiencia pública  y  en  su  escrito  de</w:t>
        <w:br/>
        <w:t>alegatos  finales  los  representantes  de  los  familiares  de  la  víctima</w:t>
        <w:br/>
        <w:t>solicitaron a la Corte (supra 26 y 29) considerar los  siguientes  elementos</w:t>
        <w:br/>
        <w:t>para la determinación de una indemnización compensatoria:</w:t>
        <w:br/>
        <w:br/>
        <w:t xml:space="preserve">   a) existe un causa civil en trámite, como afirmó el Estado; sin  embargo,</w:t>
        <w:br/>
        <w:t xml:space="preserve">      ésta ha resultado  ser  un  “recurso  judicial  no  efectivo”  en  los</w:t>
        <w:br/>
        <w:t xml:space="preserve">      términos del artículo 8 de la Convención Americana, ya que depende  de</w:t>
        <w:br/>
        <w:t xml:space="preserve">      la conclusión del proceso penal, que tiene más de diez años en trámite</w:t>
        <w:br/>
        <w:t xml:space="preserve">      ante los tribunales internos;  además,  no  hay  identidad  entre  los</w:t>
        <w:br/>
        <w:t xml:space="preserve">      legitimados activos y pasivos, ni de la  causa  resarcitoria,  en  los</w:t>
        <w:br/>
        <w:t xml:space="preserve">      procesos interno e internacional;</w:t>
        <w:br/>
        <w:br/>
        <w:t xml:space="preserve">   b) los ingresos que  el  señor  Walter  David  Bulacio  hubiera  obtenido</w:t>
        <w:br/>
        <w:t xml:space="preserve">      durante su vida como caddie de golf, bajo los  criterios  establecidos</w:t>
        <w:br/>
        <w:t xml:space="preserve">      por  la  Corte,  se  estiman  en   US$201.240,00  (doscientos  un  mil</w:t>
        <w:br/>
        <w:t xml:space="preserve">      doscientos cuarenta dólares de los Estados Unidos de América);</w:t>
        <w:br/>
        <w:br/>
        <w:br/>
        <w:t xml:space="preserve">   c) si bien, Walter David Bulacio “no hubiera  trabajado  como  caddie  de</w:t>
        <w:br/>
        <w:t xml:space="preserve">      golf toda su vida”, pues tenía el proyecto de convertirse en  abogado.</w:t>
        <w:br/>
        <w:t xml:space="preserve">      Esta “pérdida de chance” de Walter  David  Bulacio  también  debe  ser</w:t>
        <w:br/>
        <w:t xml:space="preserve">      reparada integralmente, tomando en cuenta que aquél cursaba su  último</w:t>
        <w:br/>
        <w:t xml:space="preserve">      año del colegio y que seguramente habría ingresado a la Universidad y,</w:t>
        <w:br/>
        <w:t xml:space="preserve">      posteriormente, se incorporaría al mercado laboral, en  donde  es  “es</w:t>
        <w:br/>
        <w:t xml:space="preserve">      razonable y equitativo” partir de  un  sueldo  promedio  de  US$600,00</w:t>
        <w:br/>
        <w:t xml:space="preserve">      (seiscientos dólares de los Estados Unidos de América),  al  que  debe</w:t>
        <w:br/>
        <w:t xml:space="preserve">      sumarse el sueldo  anual  complementario  y  aplicarse  los  criterios</w:t>
        <w:br/>
        <w:t xml:space="preserve">      establecidos  por  este  Tribunal,  inter  alia,  gastos   personales,</w:t>
        <w:br/>
        <w:t xml:space="preserve">      intereses, etc.;</w:t>
        <w:br/>
        <w:br/>
        <w:t xml:space="preserve">   d) con respecto al daño patrimonial familiar, es preciso  considerar  que</w:t>
        <w:br/>
        <w:t xml:space="preserve">      parte de los ingresos de Walter David Bulacio “como caddie en un  club</w:t>
        <w:br/>
        <w:t xml:space="preserve">      de golf” era entregada a su madre; y también es debido tomar en cuenta</w:t>
        <w:br/>
        <w:t xml:space="preserve">      la colaboración económica que aquél daría a sus padres,  cuando  fuera</w:t>
        <w:br/>
        <w:t xml:space="preserve">      profesional; y</w:t>
        <w:br/>
        <w:br/>
        <w:t xml:space="preserve">   e) los gastos en los que incurrió la familia Bulacio para  el  funeral  y</w:t>
        <w:br/>
        <w:t xml:space="preserve">      para adquirir la parcela del cementerio, que se estiman en US$3.000,00</w:t>
        <w:br/>
        <w:t xml:space="preserve">      (tres mil dólares de los Estados Unidos de América), más intereses.</w:t>
        <w:br/>
        <w:br/>
        <w:br/>
        <w:t>Alegatos de la Comisión</w:t>
        <w:br/>
        <w:br/>
        <w:br/>
        <w:br/>
        <w:t>82.   En relación con los daños materiales, la Comisión señaló que:</w:t>
        <w:br/>
        <w:br/>
        <w:br/>
        <w:t xml:space="preserve">      si bien se tramita una causa civil sobre las compensaciones económicas</w:t>
        <w:br/>
        <w:t xml:space="preserve">      debidas por las violaciones sufridas por la víctima,  aquélla  depende</w:t>
        <w:br/>
        <w:t xml:space="preserve">      de una causa penal en la que no se ha dictado  sentencia  al  cabo  de</w:t>
        <w:br/>
        <w:t xml:space="preserve">      doce años; por lo tanto, no se ha logrado una sentencia “que satisfaga</w:t>
        <w:br/>
        <w:t xml:space="preserve">      los requerimientos de la justicia”; por otro lado,  el  proceso  civil</w:t>
        <w:br/>
        <w:t xml:space="preserve">      interno “difícilmente podrá satisfacer dichos requerimientos”, tomando</w:t>
        <w:br/>
        <w:t xml:space="preserve">      en  cuenta  que  los  hechos  aparecen  clasificados  solamente   como</w:t>
        <w:br/>
        <w:t xml:space="preserve">      detención arbitraria;</w:t>
        <w:br/>
        <w:br/>
        <w:br/>
        <w:br/>
        <w:br/>
        <w:t xml:space="preserve">   a) en el cálculo de los  daños  en  casos  que  tienen  relación  con  la</w:t>
        <w:br/>
        <w:t xml:space="preserve">      violación del derecho a la vida, se hace referencia a los ingresos que</w:t>
        <w:br/>
        <w:t xml:space="preserve">      la víctima habría obtenido durante su vida laboral. En  este  sentido,</w:t>
        <w:br/>
        <w:t xml:space="preserve">      el monto a cubrir por concepto de pérdida de ingresos de Walter  David</w:t>
        <w:br/>
        <w:t xml:space="preserve">      Bulacio resulta de un promedio de lo que ganaba la víctima en la época</w:t>
        <w:br/>
        <w:t xml:space="preserve">      de los hechos como caddie en un campo de  golf,  es  decir,  US$400,00</w:t>
        <w:br/>
        <w:t xml:space="preserve">      (cuatrocientos dólares de los Estados Unidos  de  América)  mensuales,</w:t>
        <w:br/>
        <w:t xml:space="preserve">      salarios a los que  debe  agregarse  un  sueldo  anual  complementario</w:t>
        <w:br/>
        <w:t xml:space="preserve">      durante el resto de su vida probable, cantidad que asciende, luego  de</w:t>
        <w:br/>
        <w:t xml:space="preserve">      aplicar los criterios establecidos por la Corte  para  este  rubro,  a</w:t>
        <w:br/>
        <w:t xml:space="preserve">      US$201.240,00 (doscientos un mil doscientos cuarenta  dólares  de  los</w:t>
        <w:br/>
        <w:t xml:space="preserve">      Estados Unidos de América);</w:t>
        <w:br/>
        <w:br/>
        <w:t xml:space="preserve">   b) la Corte debe tomar en cuenta que  era  previsible  que  Walter  David</w:t>
        <w:br/>
        <w:t xml:space="preserve">      Bulacio obtuviera un título secundario e ingresara a la universidad, y</w:t>
        <w:br/>
        <w:t xml:space="preserve">      que como abogado sus ingresos hubieran  aumentado  en  aproximadamente</w:t>
        <w:br/>
        <w:t xml:space="preserve">      US$200,00 (doscientos dólares de los Estados Unidos de  América),  con</w:t>
        <w:br/>
        <w:t xml:space="preserve">      lo cual habría que agregar a la pérdida de  ingresos  la  cantidad  de</w:t>
        <w:br/>
        <w:t xml:space="preserve">      US$100.620,00 (cien mil seiscientos  veinte  dólares  de  los  Estados</w:t>
        <w:br/>
        <w:t xml:space="preserve">      Unidos de  América)  que  formarían  parte  de  la  indemnización  por</w:t>
        <w:br/>
        <w:t xml:space="preserve">      concepto de “pérdida de chance”; y</w:t>
        <w:br/>
        <w:br/>
        <w:t xml:space="preserve">   c) los familiares incurrieron en otros gastos: US$1.000,00  (mil  dólares</w:t>
        <w:br/>
        <w:t xml:space="preserve">      de los Estados Unidos de  América)  por   gastos  del  funeral  de  la</w:t>
        <w:br/>
        <w:t xml:space="preserve">      víctima, y US$2.000,00 (dos mil  dólares  de  los  Estados  Unidos  de</w:t>
        <w:br/>
        <w:t xml:space="preserve">      América) por gastos para una parcela en el cementerio.  A  los  montos</w:t>
        <w:br/>
        <w:t xml:space="preserve">      anteriores se debe sumar los intereses correspondientes.</w:t>
        <w:br/>
        <w:br/>
        <w:br/>
        <w:t>Alegatos del Estado</w:t>
        <w:br/>
        <w:br/>
        <w:br/>
        <w:t>83.   En cuanto a las solicitudes de los representantes  de  los  familiares</w:t>
        <w:br/>
        <w:t>de la víctima y la Comisión, el Estado aseguró que:</w:t>
        <w:br/>
        <w:br/>
        <w:t xml:space="preserve">   a) en sede interna existe una causa civil en la  que  la  familia  de  la</w:t>
        <w:br/>
        <w:t xml:space="preserve">      víctima ha reclamado daños y perjuicios  derivados  del  caso;  si  la</w:t>
        <w:br/>
        <w:t xml:space="preserve">      Corte fija reparaciones pecuniarias, esto implicaría el “desistimiento</w:t>
        <w:br/>
        <w:t xml:space="preserve">      de la acción local”;</w:t>
        <w:br/>
        <w:br/>
        <w:br/>
        <w:t xml:space="preserve">   b) para la determinación de  la  pérdida  de  ingresos  debe  tomarse  en</w:t>
        <w:br/>
        <w:t xml:space="preserve">      consideración, de conformidad  con  la  jurisprudencia  del  Tribunal,</w:t>
        <w:br/>
        <w:t xml:space="preserve">      cuáles eran las actividades familiares y  qué  consecuencias  tuvo  en</w:t>
        <w:br/>
        <w:t xml:space="preserve">      aquéllas la muerte de la víctima; por otra parte, se objetó  el  monto</w:t>
        <w:br/>
        <w:t xml:space="preserve">      reclamado por pérdida de ingresos de Walter David Bulacio: es ilusorio</w:t>
        <w:br/>
        <w:t xml:space="preserve">      que éste tuviese un sueldo de US$400,00 (cuatrocientos dólares de  los</w:t>
        <w:br/>
        <w:t xml:space="preserve">      Estados Unidos de América), pues  siendo caddie,  como  consta  en  el</w:t>
        <w:br/>
        <w:t xml:space="preserve">      expediente interno, “no trabajaba bajo relación de dependencia, por lo</w:t>
        <w:br/>
        <w:t xml:space="preserve">      que no cumplía horario ni tenía sueldo”. Además, el joven  Bulacio  no</w:t>
        <w:br/>
        <w:t xml:space="preserve">      gastaría sólo el 25% de su ingreso, es decir, US$100,00 (cien  dólares</w:t>
        <w:br/>
        <w:t xml:space="preserve">      de los Estados Unidos de América) y ahorraría el resto;</w:t>
        <w:br/>
        <w:br/>
        <w:t xml:space="preserve">   c) en cuanto a la indemnización por la  “pérdida  de  chance”  de  Walter</w:t>
        <w:br/>
        <w:t xml:space="preserve">      David Bulacio, la Comisión hace un análisis  meramente  hipotético  al</w:t>
        <w:br/>
        <w:t xml:space="preserve">      expresar que éste tenía grandes probabilidades de aumentar el monto de</w:t>
        <w:br/>
        <w:t xml:space="preserve">      sus ingresos al  culminar  sus  estudios  secundarios  e  iniciar  una</w:t>
        <w:br/>
        <w:t xml:space="preserve">      carrera universitaria,  y  que  era  previsible  que  ingresara  a  la</w:t>
        <w:br/>
        <w:t xml:space="preserve">      universidad  adquiriendo  un  título  superior  al  secundario;   este</w:t>
        <w:br/>
        <w:t xml:space="preserve">      Tribunal ha establecido que se debe tener suficiente  fundamento  para</w:t>
        <w:br/>
        <w:t xml:space="preserve">      determinar la probable realización del perjuicio, en el presente  caso</w:t>
        <w:br/>
        <w:t xml:space="preserve">      no se han aportado las pruebas suficientes para acreditar la  “pérdida</w:t>
        <w:br/>
        <w:t xml:space="preserve">      de chance”; y</w:t>
        <w:br/>
        <w:br/>
        <w:t xml:space="preserve">   d) el Estado manifestó que estará de  acuerdo  con  lo  que  la  Comisión</w:t>
        <w:br/>
        <w:t xml:space="preserve">      acredite, en la oportunidad pertinente, con respecto a los  gastos  en</w:t>
        <w:br/>
        <w:t xml:space="preserve">      los que haya incurrido la familia.</w:t>
        <w:br/>
        <w:br/>
        <w:br/>
        <w:t>Consideraciones de la Corte</w:t>
        <w:br/>
        <w:br/>
        <w:br/>
        <w:br/>
        <w:t>a) Pérdida de ingresos</w:t>
        <w:br/>
        <w:br/>
        <w:t>84.    LOS  REPRESENTANTES  DE  LA  VÍCTIMA  Y  LA  COMISIÓN  INTERAMERICANA</w:t>
        <w:br/>
        <w:t>SOLICITARON UNA INDEMNIZACIÓN POR LA PÉRDIDA DE INGRESOS  DEL  SEÑOR  WALTER</w:t>
        <w:br/>
        <w:t>DAVID BULACIO, CON BASE EN EL SALARIO MENSUAL QUE RECIBIERA COMO  CADDIE  EN</w:t>
        <w:br/>
        <w:t>EL CAMPO DE GOLF. ESTA CORTE RECONOCE COMO  PROBADO  QUE  EL  JOVEN  BULACIO</w:t>
        <w:br/>
        <w:t>RECIBÍA UN INGRESO MENSUAL DE $400  (CUATROCIENTOS  PESOS),  EQUIVALENTES  A</w:t>
        <w:br/>
        <w:t>US$400,00 (CUATROCIENTOS DÓLARES DE LOS  ESTADOS  UNIDOS  DE  AMÉRICA);  SIN</w:t>
        <w:br/>
        <w:t>EMBARGO, CONSIDERA QUE  POR  LA  NATURALEZA  DE  DICHA  ACTIVIDAD  AQUÉL  NO</w:t>
        <w:br/>
        <w:t>PERCIBÍA UN SUELDO COMPLEMENTARIO, PUES SU INGRESO PROVENÍA DE LAS  PROPINAS</w:t>
        <w:br/>
        <w:t>QUE LE DABAN LOS CLIENTES. LA CORTE CONSIDERA TAMBIÉN QUE  ES  PRESUMIBLE  Y</w:t>
        <w:br/>
        <w:t>RAZONABLE SUPONER QUE EL JOVEN BULACIO NO HABRÍA DESEMPEÑADO ESTA  ACTIVIDAD</w:t>
        <w:br/>
        <w:t>EL RESTO DE SU VIDA, PERO NO HAY UN HECHO CIERTO QUE PERMITA  ESTABLECER  LA</w:t>
        <w:br/>
        <w:t>ACTIVIDAD O PROFESIÓN QUE DESARROLLARÍA EN EL FUTURO, ES DECIR,  NO  EXISTEN</w:t>
        <w:br/>
        <w:t>ELEMENTOS SUFICIENTES PARA DETERMINAR LA PÉRDIDA DE UNA  CHANCE  CIERTA,  LA</w:t>
        <w:br/>
        <w:t>CUAL “DEBE  ESTIMARSE  A  PARTIR  DE  UN  PERJUICIO  CIERTO  CON  SUFICIENTE</w:t>
        <w:br/>
        <w:t>FUNDAMENTO PARA DETERMINAR LA PROBABLE REALIZACIÓN DE DICHO  PERJUICIO”[56].</w:t>
        <w:br/>
        <w:t>EN RAZÓN DE LO ANTERIOR, LA CORTE DECIDE FIJAR EN  EQUIDAD  LA  CANTIDAD  DE</w:t>
        <w:br/>
        <w:t>US$100.000,00 (CIEN MIL DÓLARES DE  LOS  ESTADOS  UNIDOS  DE  AMÉRICA)  COMO</w:t>
        <w:br/>
        <w:t>COMPENSACIÓN POR LA PÉRDIDA DE LOS INGRESOS DEL SEÑOR WALTER DAVID  BULACIO.</w:t>
        <w:br/>
        <w:br/>
        <w:br/>
        <w:t>85.    En  lo  que  respecta  a  que  el  derecho  a   las   indemnizaciones</w:t>
        <w:br/>
        <w:t>establecidas en favor de Walter David Bulacio,  puede  ser  transmitido  por</w:t>
        <w:br/>
        <w:t>sucesión, esta Corte ha desarrollado criterios aplicables  a  este  respecto</w:t>
        <w:br/>
        <w:t>en el sentido que: deben recibir la indemnización los  hijos,  compañeras  y</w:t>
        <w:br/>
        <w:t>padres[57]. Este Tribunal hace notar que en el caso en estudio,  la  víctima</w:t>
        <w:br/>
        <w:t>era un adolescente y no tenía hijos ni compañera; por ello la  indemnización</w:t>
        <w:br/>
        <w:t>se debe entregar a sus padres. Ahora bien esta Corte ha tenido  por  probado</w:t>
        <w:br/>
        <w:t>que falleció el padre de la  víctima,  señor  Víctor  David  Bulacio  (supra</w:t>
        <w:br/>
        <w:t>69.7), y por ello la indemnización debe ser recibida en su totalidad por  la</w:t>
        <w:br/>
        <w:t>madre de la víctima, señora Graciela Rosa Scavone,  ya  que  de  conformidad</w:t>
        <w:br/>
        <w:t>con los criterios de este Tribunal “[s]i uno de los  padres  ha  muerto,  la</w:t>
        <w:br/>
        <w:t>parte que le corresponde acrecerá a la del otro” [58].</w:t>
        <w:br/>
        <w:br/>
        <w:t>86.    Los  criterios   establecidos   sobre   los   beneficiarios   de   la</w:t>
        <w:br/>
        <w:t>indemnización por los daños materiales  que  se  establecen  en  el  párrafo</w:t>
        <w:br/>
        <w:t>anterior se aplicarán también a la distribución de la compensación por  daño</w:t>
        <w:br/>
        <w:t>inmaterial (infra 103).</w:t>
        <w:br/>
        <w:br/>
        <w:t>b) Daño emergente</w:t>
        <w:br/>
        <w:br/>
        <w:t>87.   EN CUANTO A LOS GASTOS EN QUE INCURRIERON  LOS  FAMILIARES  DEL  SEÑOR</w:t>
        <w:br/>
        <w:t>WALTER DAVID BULACIO PARA SEPULTAR A ÉSTE, ACERCA DE LO  CUAL  NO  APORTARON</w:t>
        <w:br/>
        <w:t>ELEMENTOS  PROBATORIOS,  ESTA  CORTE  ESTIMA  PERTINENTE   LA   ENTREGA   DE</w:t>
        <w:br/>
        <w:t>US$3.000,00 (TRES MIL DÓLARES DE LOS ESTADOS UNIDOS DE AMÉRICA), A LA  MADRE</w:t>
        <w:br/>
        <w:t>DE LA VÍCTIMA, GRACIELA ROSA SCAVONE.</w:t>
        <w:br/>
        <w:br/>
        <w:t>c) Daño Patrimonial Familiar</w:t>
        <w:br/>
        <w:br/>
        <w:t>88.   Asimismo,  esta  Corte  observa  que  los  familiares  de  la  víctima</w:t>
        <w:br/>
        <w:t>perdieron  sus  trabajos  o  la  posibilidad  de  realizar  sus  actividades</w:t>
        <w:br/>
        <w:t>cotidianas  debido  al  cambio  de  sus   circunstancias   personales   como</w:t>
        <w:br/>
        <w:t>consecuencia de los hechos a los que se refiere el  presente  caso.  Además,</w:t>
        <w:br/>
        <w:t>incurrieron en gastos médicos  para  atender  los  diferentes  padecimientos</w:t>
        <w:br/>
        <w:t>ocasionados  por  esos  hechos.   Ni  los  representantes  ni  la   Comisión</w:t>
        <w:br/>
        <w:t>estimaron  las  erogaciones  que  todo  esto  supuso.  La  Corte   considera</w:t>
        <w:br/>
        <w:t>equitativo fijar el daño patrimonial familiar en US$21.000,00 (veintiún  mil</w:t>
        <w:br/>
        <w:t>dólares de los Estados Unidos de América), que deberán ser  distribuidos  en</w:t>
        <w:br/>
        <w:t>partes iguales entre las  señoras  Lorena  Beatriz  Bulacio,  Graciela  Rosa</w:t>
        <w:br/>
        <w:t>Scavone y María Ramona Armas de Bulacio.</w:t>
        <w:br/>
        <w:br/>
        <w:t>89.   Con base en todo lo anterior, la Corte fija como indemnización de  los</w:t>
        <w:br/>
        <w:t>daños materiales por las violaciones declaradas, las siguientes cantidades:</w:t>
        <w:br/>
        <w:br/>
        <w:br/>
        <w:br/>
        <w:t>|Reparación por concepto de daño material                         |</w:t>
        <w:br/>
        <w:t>|             |Pérdida de    |Gastos por       |    |Total        |</w:t>
        <w:br/>
        <w:t>|             |ingresos/Daño |sepultura        |    |             |</w:t>
        <w:br/>
        <w:t>|             |Patrimonial   |                 |    |             |</w:t>
        <w:br/>
        <w:t>|             |familiar      |                 |    |             |</w:t>
        <w:br/>
        <w:t>|Walter David |US$100.000,00 |                 |    |US$100.000,00|</w:t>
        <w:br/>
        <w:t>|Bulacio      |              |                 |    |             |</w:t>
        <w:br/>
        <w:t>|Graciela Rosa|US$7.000,00   |US$3.000,00      |    |US$10.000,00 |</w:t>
        <w:br/>
        <w:t>|Scavone      |              |                 |    |             |</w:t>
        <w:br/>
        <w:t>|María Ramona |US$7.000,00   |                 |    |US$7.000,00  |</w:t>
        <w:br/>
        <w:t>|Armas de     |              |                 |    |             |</w:t>
        <w:br/>
        <w:t>|Bulacio      |              |                 |    |             |</w:t>
        <w:br/>
        <w:t>|Lorena       |US$7.000,00   |                 |    |US$7.000,00  |</w:t>
        <w:br/>
        <w:t>|Beatriz      |              |                 |    |             |</w:t>
        <w:br/>
        <w:t>|Bulacio      |              |                 |    |             |</w:t>
        <w:br/>
        <w:t>|TOTAL        |US$124.000,00                                      |</w:t>
        <w:br/>
        <w:br/>
        <w:br/>
        <w:t xml:space="preserve">                             B) Daño Inmaterial</w:t>
        <w:br/>
        <w:br/>
        <w:br/>
        <w:br/>
        <w:t>90.   La Corte pasa a considerar los efectos lesivos de los hechos,  que  no</w:t>
        <w:br/>
        <w:t>tienen  carácter  económico  o  patrimonial.  El   daño   inmaterial   puede</w:t>
        <w:br/>
        <w:t>comprender tanto los sufrimientos y las aflicciones causados a las  víctimas</w:t>
        <w:br/>
        <w:t>directas y a sus allegados, y el menoscabo  de  valores  muy  significativos</w:t>
        <w:br/>
        <w:t>para las personas, como las alteraciones, de carácter no pecuniario, en  las</w:t>
        <w:br/>
        <w:t>condiciones de existencia de la  víctima  o  su  familia.   Este  daño  sólo</w:t>
        <w:br/>
        <w:t>podría ser compensado mediante la cantidad  que  el  Tribunal  determine  en</w:t>
        <w:br/>
        <w:t>aplicación razonable del arbitrio judicial[59].</w:t>
        <w:br/>
        <w:br/>
        <w:br/>
        <w:t>ALEGATOS DE LOS REPRESENTANTES DE LOS FAMILIARES DE LA VÍCTIMA</w:t>
        <w:br/>
        <w:br/>
        <w:br/>
        <w:t>91.   Los representantes alegaron lo siguiente:</w:t>
        <w:br/>
        <w:br/>
        <w:t xml:space="preserve">      a) si bien se presume el daño inmaterial de la  víctima,  es  menester</w:t>
        <w:br/>
        <w:t xml:space="preserve">         mencionar el miedo y la angustia que debió  afrontar  Walter  David</w:t>
        <w:br/>
        <w:t xml:space="preserve">         Bulacio, quien se encontraba en estado de indefensión en las  horas</w:t>
        <w:br/>
        <w:t xml:space="preserve">         que transcurrieron desde que  fue  detenido  hasta  que  perdió  el</w:t>
        <w:br/>
        <w:t xml:space="preserve">         conocimiento, lapso en el que debió padecer sufrimiento  espiritual</w:t>
        <w:br/>
        <w:t xml:space="preserve">         que debe ser resarcido  “dignamente  en  cabeza  de  sus  herederos</w:t>
        <w:br/>
        <w:t xml:space="preserve">         forzosos”;</w:t>
        <w:br/>
        <w:br/>
        <w:br/>
        <w:t xml:space="preserve">      b) los padres de la víctima, señores Víctor David Bulacio  y  Graciela</w:t>
        <w:br/>
        <w:t xml:space="preserve">         Rosa Scavone, fueron seriamente afectados por  los  hechos  y,  muy</w:t>
        <w:br/>
        <w:t xml:space="preserve">         particularmente, por la posterior denegación de justicia que siguió</w:t>
        <w:br/>
        <w:t xml:space="preserve">         a la detención y muerte de su  hijo.  En  el  caso  del  padre,  su</w:t>
        <w:br/>
        <w:t xml:space="preserve">         deterioro físico y espiritual por lo sucedido a su hijo lo llevó  a</w:t>
        <w:br/>
        <w:t xml:space="preserve">         varios intentos de suicidio;</w:t>
        <w:br/>
        <w:br/>
        <w:t xml:space="preserve">      c) en cuanto a Lorena Beatriz Bulacio, hermana  de  la  víctima,  debe</w:t>
        <w:br/>
        <w:t xml:space="preserve">         darse una compensación por el agravio espiritual padecido,  que  en</w:t>
        <w:br/>
        <w:t xml:space="preserve">         su caso generó graves derivaciones patológicas de orden psíquico; y</w:t>
        <w:br/>
        <w:br/>
        <w:t xml:space="preserve">      d) finalmente, debe ser resarcida “en su inmenso dolor”  María  Ramona</w:t>
        <w:br/>
        <w:t xml:space="preserve">         Armas de Bulacio, abuela de la víctima, quien  “asumió  el  mandato</w:t>
        <w:br/>
        <w:t xml:space="preserve">         familiar de no dejar que la causa de Walter fuera olvidada  por  la</w:t>
        <w:br/>
        <w:t xml:space="preserve">         sociedad”.</w:t>
        <w:br/>
        <w:br/>
        <w:br/>
        <w:br/>
        <w:t>Alegatos de la Comisión</w:t>
        <w:br/>
        <w:br/>
        <w:br/>
        <w:br/>
        <w:t>92.   Walter David Bulacio  y  sus  familiares  experimentaron  sufrimientos</w:t>
        <w:br/>
        <w:t>morales como consecuencia de  los  hechos  del  presente  caso.   Por  ello,</w:t>
        <w:br/>
        <w:t>tienen derecho a reparación, pues “es claro […] que la  detención  y  muerte</w:t>
        <w:br/>
        <w:t>de Walter ha tenido un  impacto  catastrófico  para  la  familia”;  el  daño</w:t>
        <w:br/>
        <w:t>producido como resultado de la situación traumática que vivieron  ha  dejado</w:t>
        <w:br/>
        <w:t>efectos y marcas, muchas de ellas “irremediables”. Asimismo, los  familiares</w:t>
        <w:br/>
        <w:t>de la víctima han buscado justicia durante  casi  doce  años,  sin  alcanzar</w:t>
        <w:br/>
        <w:t>resultados efectivos, lo cual también ha tenido efectos negativos en  ellos.</w:t>
        <w:br/>
        <w:t xml:space="preserve"> En particular, la Comisión señaló que:</w:t>
        <w:br/>
        <w:br/>
        <w:t xml:space="preserve">   a) es propio  de  la  naturaleza  humana  que  toda  persona  sometida  a</w:t>
        <w:br/>
        <w:t xml:space="preserve">      agresiones y vejámenes experimente un profundo sufrimiento moral,  que</w:t>
        <w:br/>
        <w:t xml:space="preserve">      se extiende a los miembros más cercanos de la familia, particularmente</w:t>
        <w:br/>
        <w:t xml:space="preserve">      a aquéllos  que  estuvieron  en  contacto  afectivo  estrecho  con  la</w:t>
        <w:br/>
        <w:t xml:space="preserve">      víctima;</w:t>
        <w:br/>
        <w:br/>
        <w:br/>
        <w:t xml:space="preserve">   b) LA FAMILIA DE WALTER  DAVID  BULACIO  “SE  DERRUMBÓ”  DESPUÉS  DE  LOS</w:t>
        <w:br/>
        <w:t xml:space="preserve">      HECHOS, SE PRODUJO LA PÉRDIDA DE  LA  ESTRUCTURA  FAMILIAR  Y  SE  HAN</w:t>
        <w:br/>
        <w:t xml:space="preserve">      PRESENTADO CONSECUENCIAS FÍSICAS,  COMO  LAS  DIFERENTES  ENFERMEDADES</w:t>
        <w:br/>
        <w:t xml:space="preserve">      PADECIDAS POR LOS MIEMBROS DE LA FAMILIA;</w:t>
        <w:br/>
        <w:br/>
        <w:t xml:space="preserve">   c) LA  HERMANA  DE  LA  VÍCTIMA,  LORENA  BEATRIZ  BULACIO,  HA  PADECIDO</w:t>
        <w:br/>
        <w:t xml:space="preserve">      PROBLEMAS DE SALUD, HA INCURRIDO EN VARIOS INTENTOS DE  SUICIDO  Y  HA</w:t>
        <w:br/>
        <w:t xml:space="preserve">      SIDO INCAPAZ “DE  ESTABLECER  [UNA]  RELACIÓN  AFECTIVA  FUERA  DE  LA</w:t>
        <w:br/>
        <w:t xml:space="preserve">      FAMILIA”;</w:t>
        <w:br/>
        <w:br/>
        <w:t xml:space="preserve">   d) LA ABUELA PATERNA TAMBIÉN SUFRIÓ PROFUNDAMENTE  LA  MUERTE  DE  WALTER</w:t>
        <w:br/>
        <w:t xml:space="preserve">      DAVID BULACIO PORQUE MANTENÍA CON ÉSTE UNA RELACIÓN MUY ESTRECHA; Y</w:t>
        <w:br/>
        <w:br/>
        <w:t xml:space="preserve">   e) LA SITUACIÓN DE LOS FAMILIARES SE HA VISTO AGRAVADA POR  LA  FALTA  DE</w:t>
        <w:br/>
        <w:t xml:space="preserve">      “UNA RESPUESTA EFICAZ POR PARTE  DE  LA  JUSTICIA”,  YA  QUE  EN  ESTA</w:t>
        <w:br/>
        <w:t xml:space="preserve">      SITUACIÓN “EL DOLOR Y EL DUELO SE CONVIERTEN EN  PROCESO  INTERMINABLE</w:t>
        <w:br/>
        <w:t xml:space="preserve">      QUE NO CESA DE AFECTAR SUS VIDAS”. LOS MIEMBROS DE LA FAMILIA  BULACIO</w:t>
        <w:br/>
        <w:t xml:space="preserve">      “HAN SUFRIDO UNA ANGUSTIA  TREMENDA  DEBIDO  AL  INTERMINABLE  PROCESO</w:t>
        <w:br/>
        <w:t xml:space="preserve">      JUDICIAL Y [A] LA IMPUNIDAD QUE HAN CARACTERIZADO EL CASO”.</w:t>
        <w:br/>
        <w:br/>
        <w:t>93.   En consecuencia, la Comisión manifestó que estimaba equitativo que  la</w:t>
        <w:br/>
        <w:t>Corte fijara la cantidad global de US$200.000,00 (doscientos mil dólares  de</w:t>
        <w:br/>
        <w:t>los Estados Unidos de América) por concepto del daño  inmaterial  ocasionado</w:t>
        <w:br/>
        <w:t>a la víctima y a sus familiares inmediatos: sus  padres,  su  hermana  y  su</w:t>
        <w:br/>
        <w:t>abuela paterna.</w:t>
        <w:br/>
        <w:br/>
        <w:t>Alegatos del Estado</w:t>
        <w:br/>
        <w:br/>
        <w:br/>
        <w:t>94.   El Estado hizo las siguientes consideraciones:</w:t>
        <w:br/>
        <w:br/>
        <w:t xml:space="preserve">      a. el monto estimado por la Comisión para  este  rubro  representa  el</w:t>
        <w:br/>
        <w:t xml:space="preserve">         66,25%  de  la  suma  reclamada  por  concepto  de  daño  material,</w:t>
        <w:br/>
        <w:t xml:space="preserve">         porcentaje que resulta elevado si se tiene  en  cuenta  que  en  la</w:t>
        <w:br/>
        <w:t xml:space="preserve">         Argentina la relación entre ambos montos oscila entre el 20%  y  el</w:t>
        <w:br/>
        <w:t xml:space="preserve">         40%;</w:t>
        <w:br/>
        <w:br/>
        <w:br/>
        <w:t xml:space="preserve">      b. los montos reclamados por concepto de daño inmaterial  exceden  los</w:t>
        <w:br/>
        <w:t xml:space="preserve">         que usualmente fija la Corte Interamericana por este rubro, lo cual</w:t>
        <w:br/>
        <w:t xml:space="preserve">         debería ser tenido en cuenta en el presente caso;</w:t>
        <w:br/>
        <w:br/>
        <w:t xml:space="preserve">      c. tanto el contenido del acuerdo de solución amistosa alcanzado, como</w:t>
        <w:br/>
        <w:t xml:space="preserve">         los reconocimientos allí efectuados, constituyen por sí mismos “una</w:t>
        <w:br/>
        <w:t xml:space="preserve">         reparación satisfactoria”; y</w:t>
        <w:br/>
        <w:br/>
        <w:t xml:space="preserve">      d. el dictamen de la perito Graciela Marisa Guilis ante  la  Corte  no</w:t>
        <w:br/>
        <w:t xml:space="preserve">         brinda elementos suficientes para  establecer  el  impacto  de  los</w:t>
        <w:br/>
        <w:t xml:space="preserve">         hechos en los familiares de  la  víctima,  y  sus  conclusiones  no</w:t>
        <w:br/>
        <w:t xml:space="preserve">         derivan de la utilización de mecanismos complejos  de  diagnóstico,</w:t>
        <w:br/>
        <w:t xml:space="preserve">         sino de un “conocimiento reciente” de la familia  de  Walter  David</w:t>
        <w:br/>
        <w:t xml:space="preserve">         Bulacio.</w:t>
        <w:br/>
        <w:br/>
        <w:t>Consideraciones de la Corte</w:t>
        <w:br/>
        <w:br/>
        <w:br/>
        <w:t>95.   La Corte estima que la  jurisprudencia  sirve  como  orientación  para</w:t>
        <w:br/>
        <w:t>establecer principios en  esta  materia,  aunque  no  puede  invocarse  como</w:t>
        <w:br/>
        <w:t>criterio unívoco, porque cada caso debe analizarse conforme  a  sus  propias</w:t>
        <w:br/>
        <w:t>características[60].  Es precioso agregar que en  este  caso  el  Estado  ha</w:t>
        <w:br/>
        <w:t>reconocido su responsabilidad internacional.</w:t>
        <w:br/>
        <w:br/>
        <w:t>96.   La jurisprudencia internacional ha establecido reiteradamente  que  la</w:t>
        <w:br/>
        <w:t>sentencia constituye per se una forma de reparación[61].  No  obstante,  por</w:t>
        <w:br/>
        <w:t>las  graves  circunstancias  del  presente  caso,  la  intensidad   de   los</w:t>
        <w:br/>
        <w:t>sufrimientos que los hechos causaron a la víctima y  a  sus  familiares,  el</w:t>
        <w:br/>
        <w:t>cambio  en  las  condiciones  de  existencia  de  la  familia  y  las  demás</w:t>
        <w:br/>
        <w:t>consecuencias de orden no material o no pecuniario que sufrieron  éstos,  la</w:t>
        <w:br/>
        <w:t>Corte estima pertinente el pago de una compensación por  concepto  de  daños</w:t>
        <w:br/>
        <w:t>inmateriales conforme a equidad[62]. En casos anteriores, este  Tribunal  ha</w:t>
        <w:br/>
        <w:t>señalado  que   cuando   existe   un   reconocimiento   de   responsabilidad</w:t>
        <w:br/>
        <w:t>internacional por parte del Estado  no se requieren pruebas  para  demostrar</w:t>
        <w:br/>
        <w:t>el daño ocasionado[63].</w:t>
        <w:br/>
        <w:br/>
        <w:t>97.   En el caso sub judice, los representantes  de  los  familiares  de  la</w:t>
        <w:br/>
        <w:t>víctima y la Comisión aludieron a  diferentes  daños  inmateriales  que  los</w:t>
        <w:br/>
        <w:t>hechos produjeron a Walter David Bulacio y a sus familiares. Entre  aquéllos</w:t>
        <w:br/>
        <w:t>destacan los sufrimientos físicos y psíquicos padecidos por la víctima  como</w:t>
        <w:br/>
        <w:t>consecuencia de su detención y muerte;  y  el  sufrimiento  causado  por  la</w:t>
        <w:br/>
        <w:t>falta de comunicación de la detención de Walter David Bulacio a  los  padres</w:t>
        <w:br/>
        <w:t>de éste, las imputaciones de que Walter  David  Bulacio  era  un  joven  con</w:t>
        <w:br/>
        <w:t>dudosa conducta, y la falta de investigación y sanción de  los  responsables</w:t>
        <w:br/>
        <w:t>de lo ocurrido.</w:t>
        <w:br/>
        <w:br/>
        <w:t>98.   Como fue aceptado por el Estado, Walter  David  Bulacio  fue  detenido</w:t>
        <w:br/>
        <w:t>por agentes del  Estado,  y  perdió  la  vida  una  semana  después  de  ser</w:t>
        <w:br/>
        <w:t>detenido,  en  consecuencia  de  “un  inapropiado  ejercicio  del  deber  de</w:t>
        <w:br/>
        <w:t>custodia” del Estado (supra 32). Es propio de la naturaleza  humana  que  la</w:t>
        <w:br/>
        <w:t>persona  sometida   a   detención   arbitraria   experimente   un   profundo</w:t>
        <w:br/>
        <w:t>sufrimiento[64], que se acentúa cuando se trata de niños[65].  Es  razonable</w:t>
        <w:br/>
        <w:t>concluir que estas aflicciones se extiendan a los miembros más  cercanos  de</w:t>
        <w:br/>
        <w:t>la familia, particularmente  aquéllos  que  tuvieron  un  contacto  afectivo</w:t>
        <w:br/>
        <w:t>estrecho  con  la  víctima.  No  se  requiere  prueba  para  llegar  a  esta</w:t>
        <w:br/>
        <w:t>conclusión[66]. Como ha quedado demostrado, las  anteriores  consideraciones</w:t>
        <w:br/>
        <w:t>se extienden además a los padres, a  la  abuela  paterna  y  a  la  hermana,</w:t>
        <w:br/>
        <w:t>Lorena Beatriz,  que  como  miembros  de  una  familia  integrada  mantenían</w:t>
        <w:br/>
        <w:t>vínculo estrecho con Walter David Bulacio.</w:t>
        <w:br/>
        <w:br/>
        <w:t>99.   Esta Corte tuvo  por  probado  (supra  69.D.8)  que  entre  los  daños</w:t>
        <w:br/>
        <w:t>sufridos por el padre, la madre, la hermana y  la  abuela  de  Walter  David</w:t>
        <w:br/>
        <w:t>Bulacio destacan la depresión profunda de los padres  y  la  pérdida  de  la</w:t>
        <w:br/>
        <w:t>posibilidad de cuidar a sus hijos, esto en el caso del padre.  El  padre  de</w:t>
        <w:br/>
        <w:t>Walter David Bulacio, perdió su trabajo e  intentó  suicidarse  en  diversas</w:t>
        <w:br/>
        <w:t>oportunidades, al igual que la hermana de la víctima, quien  además  padeció</w:t>
        <w:br/>
        <w:t>de bulimia.  Finalmente, la abuela de la  víctima,  María  Ramona  Armas  de</w:t>
        <w:br/>
        <w:t>Bulacio, quien tuvo una participación muy activa en  el  trámite  del  caso,</w:t>
        <w:br/>
        <w:t>sufrió graves consecuencias físicas y psicológicas.</w:t>
        <w:br/>
        <w:br/>
        <w:t>100.  A pesar de que la indemnización por  gastos  médicos  futuros  no  fue</w:t>
        <w:br/>
        <w:t>incluida en  las  pretensiones  de  la  Comisión  Interamericana  y  de  los</w:t>
        <w:br/>
        <w:t>representantes, esta Corte declara que la indemnización por daño  inmaterial</w:t>
        <w:br/>
        <w:t>debe comprender también, en consideración de  la  información  recibida,  la</w:t>
        <w:br/>
        <w:t>jurisprudencia[67]   y   los   hechos   probados,   una   suma   de   dinero</w:t>
        <w:br/>
        <w:t>correspondiente a los  gastos  médicos  futuros  de  los  familiares  de  la</w:t>
        <w:br/>
        <w:t>víctima: Lorena Beatriz Bulacio, Graciela Rosa Scavone y María Ramona  Armas</w:t>
        <w:br/>
        <w:t>de  Bulacio,  pues  existe  evidencia  suficiente  para  demostrar  que  los</w:t>
        <w:br/>
        <w:t>padecimientos de aquéllos tuvieron origen tanto  en  lo  sucedido  a  Walter</w:t>
        <w:br/>
        <w:t>David  Bulacio,  como  en  el  cuadro   de   impunidad   que   se   presentó</w:t>
        <w:br/>
        <w:t>posteriormente (supra 69.C.6, 69.D.9 y infra 119 y 120). La Corte  considera</w:t>
        <w:br/>
        <w:t>pertinente fijar como indemnización  por  el  correspondiente  concepto,  en</w:t>
        <w:br/>
        <w:t>equidad, la cantidad de  US$10.000,00  (diez  mil  dólares  de  los  Estados</w:t>
        <w:br/>
        <w:t>Unidos de América)  que  será  repartida  en  partes  iguales  entre  Lorena</w:t>
        <w:br/>
        <w:t>Beatriz Bulacio, Graciela Rosa Scavone y María Ramona Armas de Bulacio.</w:t>
        <w:br/>
        <w:br/>
        <w:t>101.  Se acreditó que en este caso hubo impunidad (supra  69.D.9),  la  cual</w:t>
        <w:br/>
        <w:t>ha causado y  sigue  causando  sufrimiento  a  los  familiares,  quienes  se</w:t>
        <w:br/>
        <w:t>sienten vulnerables  e  indefensos  frente  al  Estado,  situación  que  les</w:t>
        <w:br/>
        <w:t>provoca profunda angustia y les impide desarrollar su vida con normalidad.</w:t>
        <w:br/>
        <w:br/>
        <w:t>102.  Tomando en consideración lo que se ha señalado sobre el daño  causado,</w:t>
        <w:br/>
        <w:t>la Corte fija en equidad el valor de  las  compensaciones  por  concepto  de</w:t>
        <w:br/>
        <w:t>daño inmaterial, que deben cubrirse a los familiares de la víctima,  en  los</w:t>
        <w:br/>
        <w:t>términos que se indican a continuación:</w:t>
        <w:br/>
        <w:br/>
        <w:br/>
        <w:br/>
        <w:t>|Reparación por concepto de Daño Inmaterial          |</w:t>
        <w:br/>
        <w:t>|Víctima y familiares      |    Cantidad             |</w:t>
        <w:br/>
        <w:t>|Walter David Bulacio      |US$55.000,00             |</w:t>
        <w:br/>
        <w:t>|Graciela Rosa Scavone     |US$50.000,00 y lo        |</w:t>
        <w:br/>
        <w:t>|                          |consignado en el párrafo |</w:t>
        <w:br/>
        <w:t>|                          |100                      |</w:t>
        <w:br/>
        <w:t>|Víctor David Bulacio      |US$30.000,00             |</w:t>
        <w:br/>
        <w:t>|María Ramona Armas de     |US$35.000,00 y lo        |</w:t>
        <w:br/>
        <w:t>|Bulacio                   |consignado en el párrafo |</w:t>
        <w:br/>
        <w:t>|                          |100                      |</w:t>
        <w:br/>
        <w:t>|Lorena Beatriz Bulacio    |US$30,000,00 y lo        |</w:t>
        <w:br/>
        <w:t>|                          |consignado en el párrafo |</w:t>
        <w:br/>
        <w:t>|                          |100                      |</w:t>
        <w:br/>
        <w:t>|TOTAL                                               |</w:t>
        <w:br/>
        <w:t>|US$210.000,00                                       |</w:t>
        <w:br/>
        <w:br/>
        <w:t>103.  La indemnización correspondiente al daño inmaterial del  señor  Walter</w:t>
        <w:br/>
        <w:t>David Bulacio, se distribuirá en los mismos términos del párrafo 85.</w:t>
        <w:br/>
        <w:br/>
        <w:t>104.  La indemnización decretada a favor de Víctor David Bulacio,  padre  de</w:t>
        <w:br/>
        <w:t>la víctima, deberá ser distribuida por partes iguales entre  los  familiares</w:t>
        <w:br/>
        <w:t>sobrevivientes:  su  madre,  María  Ramona  Armas  de  Bulacio;  su  esposa,</w:t>
        <w:br/>
        <w:t>Graciela Rosa Scavone, y los tres hijos de  aquél:  Lorena  Beatriz,  Tamara</w:t>
        <w:br/>
        <w:t>Florencia y Matías Emanuel Bulacio.</w:t>
        <w:br/>
        <w:br/>
        <w:br/>
        <w:br/>
        <w:br/>
        <w:br/>
        <w:br/>
        <w:br/>
        <w:t xml:space="preserve">                                     XII</w:t>
        <w:br/>
        <w:br/>
        <w:t xml:space="preserve">                         Otras Formas de Reparación</w:t>
        <w:br/>
        <w:br/>
        <w:br/>
        <w:t>105.  La Corte pasa a considerar otros efectos lesivos de  los  hechos,  que</w:t>
        <w:br/>
        <w:t>no tienen carácter económico o patrimonial,  y  que  podrían  ser  reparados</w:t>
        <w:br/>
        <w:t>mediante la  realización  de  actos  del  poder  público,  que  incluyen  la</w:t>
        <w:br/>
        <w:t>investigación y sanción de los responsables, y que reivindiquen  la  memoria</w:t>
        <w:br/>
        <w:t>de la víctima, den consuelo a sus deudos y signifiquen  reprobación  oficial</w:t>
        <w:br/>
        <w:t>de las violaciones de los derechos humanos acaecidas y  entrañen  compromiso</w:t>
        <w:br/>
        <w:t>que hechos como los del presente caso, no vuelvan a ocurrir.</w:t>
        <w:br/>
        <w:br/>
        <w:br/>
        <w:br/>
        <w:br/>
        <w:t>ALEGATOS DE LOS REPRESENTANTES DE LOS FAMILIARES DE LA VÍCTIMA</w:t>
        <w:br/>
        <w:br/>
        <w:br/>
        <w:t>106.  En  relación  con  las  medidas  de  reparación  no  pecuniarias,  los</w:t>
        <w:br/>
        <w:t>representantes de los familiares  de  la  víctima  hicieron  las  siguientes</w:t>
        <w:br/>
        <w:t>consideraciones:</w:t>
        <w:br/>
        <w:br/>
        <w:t xml:space="preserve">     a) la principal reparación que se busca  consiste  en  que  el  Estado</w:t>
        <w:br/>
        <w:t xml:space="preserve">        adopte las medidas necesarias para que se  dé  efecto  legal  a  la</w:t>
        <w:br/>
        <w:t xml:space="preserve">        obligación  de  investigar  efectivamente  a  los  autores  de  las</w:t>
        <w:br/>
        <w:t xml:space="preserve">        violaciones a los derechos  humanos  de  Walter  David  Bulacio,  y</w:t>
        <w:br/>
        <w:t xml:space="preserve">        específicamente que  el  Estado  adopte  las  acciones  “enérgicas”</w:t>
        <w:br/>
        <w:t xml:space="preserve">        necesarias a fin de evitar la prescripción de la causa, que “podría</w:t>
        <w:br/>
        <w:t xml:space="preserve">        negar  el  efecto  útil  de  las  disposiciones  de  la  Convención</w:t>
        <w:br/>
        <w:t xml:space="preserve">        Americana”, y garantizar que la familia Bulacio sea  incorporada  a</w:t>
        <w:br/>
        <w:t xml:space="preserve">        la causa penal como querellante. Asimismo, que el  Estado  emprenda</w:t>
        <w:br/>
        <w:t xml:space="preserve">        las investigaciones necesarias a fin de juzgar  administrativamente</w:t>
        <w:br/>
        <w:t xml:space="preserve">        a los autores de  las  violaciones  de  derechos  de  Walter  David</w:t>
        <w:br/>
        <w:t xml:space="preserve">        Bulacio y que “el comisario Espósito sea exonerado  de  la  Policía</w:t>
        <w:br/>
        <w:t xml:space="preserve">        Federal  Argentina”.    Finalmente,   que   sean   investigados   y</w:t>
        <w:br/>
        <w:t xml:space="preserve">        sancionados quienes permitieron la impunidad de este caso; y que el</w:t>
        <w:br/>
        <w:t xml:space="preserve">        Estado evite que ocurran demoras en el trámite de  la  causa  penal</w:t>
        <w:br/>
        <w:t xml:space="preserve">        “por planteos meramente dilatorios por parte de la defensa  de  los</w:t>
        <w:br/>
        <w:t xml:space="preserve">        acusados”, ordene que  se  produzca  la  prueba  ofrecida  por  los</w:t>
        <w:br/>
        <w:t xml:space="preserve">        abogados de la familia Bulacio a lo largo de 12 años, e instruya al</w:t>
        <w:br/>
        <w:t xml:space="preserve">        Ministerio  Público  para  que  “tenga  protagonismo  real”  en  la</w:t>
        <w:br/>
        <w:t xml:space="preserve">        investigación;</w:t>
        <w:br/>
        <w:br/>
        <w:br/>
        <w:t xml:space="preserve">     b) el Estado adopte las medidas de hecho y de derecho necesarias  para</w:t>
        <w:br/>
        <w:t xml:space="preserve">        que los lugares de detención sean adecuados y cuenten con el debido</w:t>
        <w:br/>
        <w:t xml:space="preserve">        control permanente. En este sentido, señalaron que, los menores  de</w:t>
        <w:br/>
        <w:t xml:space="preserve">        edad quedan alojados en comisarías cuando  son  detenidos,  lugares</w:t>
        <w:br/>
        <w:t xml:space="preserve">        donde también se ubica a los detenidos mayores de edad. Con el  fin</w:t>
        <w:br/>
        <w:t xml:space="preserve">        de garantizar la integridad física  y  las  condiciones  dignas  de</w:t>
        <w:br/>
        <w:t xml:space="preserve">        alojamiento en casos de  detención  de  niños  y  adolescentes,  es</w:t>
        <w:br/>
        <w:t xml:space="preserve">        necesario que se  prohíba  alojarlos  con  mayores  de  edad  y  se</w:t>
        <w:br/>
        <w:t xml:space="preserve">        especifique que los lugares de detención deben ser establecimientos</w:t>
        <w:br/>
        <w:t xml:space="preserve">        especialmente designados a tal efecto, que cuenten  con  permanente</w:t>
        <w:br/>
        <w:t xml:space="preserve">        control de funcionarios especialmente capacitados;</w:t>
        <w:br/>
        <w:br/>
        <w:t xml:space="preserve">     c) el Estado debe ordenar la adopción de las medidas  de  hecho  y  de</w:t>
        <w:br/>
        <w:t xml:space="preserve">        derecho necesarias para  que  el  sistema  legal  argentino  regule</w:t>
        <w:br/>
        <w:t xml:space="preserve">        expresamente las  causales  de  detención  de  niños  y  niñas,  de</w:t>
        <w:br/>
        <w:t xml:space="preserve">        conformidad  con  los  términos  de  la  Convención  Americana,   y</w:t>
        <w:br/>
        <w:t xml:space="preserve">        establezca un plazo máximo de detención y el correspondiente  aviso</w:t>
        <w:br/>
        <w:t xml:space="preserve">        a los familiares y al juez competente; y</w:t>
        <w:br/>
        <w:br/>
        <w:t xml:space="preserve">     d) el Estado debe realizar “actos u obras  de  alcance  o  repercusión</w:t>
        <w:br/>
        <w:t xml:space="preserve">        pública que tengan [un] efecto de preservación de la memoria de las</w:t>
        <w:br/>
        <w:t xml:space="preserve">        víctimas, de restablecimiento de su dignidad, de  consuelo  de  sus</w:t>
        <w:br/>
        <w:t xml:space="preserve">        deudos y la transmisión de un mensaje oficial […] tendientes a  que</w:t>
        <w:br/>
        <w:t xml:space="preserve">        [las violaciones de los  derechos  humanos  de  que  se  trata]  no</w:t>
        <w:br/>
        <w:t xml:space="preserve">        vuelvan a ocurrir”. Para ello es preciso que se promueva y financie</w:t>
        <w:br/>
        <w:t xml:space="preserve">        un documental sobre el caso de Walter David  Bulacio,  mediante  un</w:t>
        <w:br/>
        <w:t xml:space="preserve">        concurso  público,  convocando  a  un   jurado   formado   con   el</w:t>
        <w:br/>
        <w:t xml:space="preserve">        consentimiento de los familiares de la víctima, y se  garantice  su</w:t>
        <w:br/>
        <w:t xml:space="preserve">        divulgación por cine y  televisión;  que  se  reconozca  pública  y</w:t>
        <w:br/>
        <w:t xml:space="preserve">        masivamente la responsabilidad  internacional  del  Estado  por  la</w:t>
        <w:br/>
        <w:t xml:space="preserve">        detención ilegal, las torturas y la muerte de Walter David Bulacio,</w:t>
        <w:br/>
        <w:t xml:space="preserve">        así como la responsabilidad por no haber investigado durante más de</w:t>
        <w:br/>
        <w:t xml:space="preserve">        diez años lo ocurrido e identificar  a  los  responsables;  que  se</w:t>
        <w:br/>
        <w:t xml:space="preserve">        publique el reconocimiento de esta responsabilidad  en  los  medios</w:t>
        <w:br/>
        <w:t xml:space="preserve">        gráficos más importantes del país; y  que  el  Estado  disponga  de</w:t>
        <w:br/>
        <w:t xml:space="preserve">        todos los medios efectivos a su  alcance  para  que  estas  medidas</w:t>
        <w:br/>
        <w:t xml:space="preserve">        simbólicas cuenten con el interés y la participación de los  medios</w:t>
        <w:br/>
        <w:t xml:space="preserve">        de comunicación social.</w:t>
        <w:br/>
        <w:br/>
        <w:br/>
        <w:t>Alegatos de la Comisión</w:t>
        <w:br/>
        <w:br/>
        <w:br/>
        <w:t>107.  La  Comisión  solicitó  a  la  Corte  ordenar  al  Estado  medidas  de</w:t>
        <w:br/>
        <w:t>reparación no pecuniarias, en los siguientes términos:</w:t>
        <w:br/>
        <w:br/>
        <w:t xml:space="preserve">      a) que el Estado adopte las medidas necesarias a  fin  de  que  se  dé</w:t>
        <w:br/>
        <w:t xml:space="preserve">         efecto  legal  a  la   obligación   de   investigar   y   sancionar</w:t>
        <w:br/>
        <w:t xml:space="preserve">         efectivamente a los autores de la detención ilegal, las torturas  y</w:t>
        <w:br/>
        <w:t xml:space="preserve">         la muerte de Walter David Bulacio; en este sentido, el Estado  debe</w:t>
        <w:br/>
        <w:t xml:space="preserve">         asegurar que se evite la prescripción de la causa penal  y  ocurran</w:t>
        <w:br/>
        <w:t xml:space="preserve">         demoras innecesarias en el trámite de ésta; asimismo, debe  ordenar</w:t>
        <w:br/>
        <w:t xml:space="preserve">         que se produzca la prueba ofrecida, a lo largo de los 10  años  del</w:t>
        <w:br/>
        <w:t xml:space="preserve">         proceso, por los abogados de la  familia  Bulacio,  e  instruir  al</w:t>
        <w:br/>
        <w:t xml:space="preserve">         Ministerio  Público  para  que  tenga  “real  protagonismo”  en  la</w:t>
        <w:br/>
        <w:t xml:space="preserve">         investigación y evite la falta de investigación del caso;</w:t>
        <w:br/>
        <w:br/>
        <w:br/>
        <w:t xml:space="preserve">      b) que el Estado adopte las medidas de hecho y de  derecho  necesarias</w:t>
        <w:br/>
        <w:t xml:space="preserve">         para asegurar que los lugares de detención de menores de edad  sean</w:t>
        <w:br/>
        <w:t xml:space="preserve">         adecuados y cuenten con  el  debido  control  permanente.  En  este</w:t>
        <w:br/>
        <w:t xml:space="preserve">         sentido,  estimó  necesario  que  el  Estado  emita  una   ley   de</w:t>
        <w:br/>
        <w:t xml:space="preserve">         conformidad con la cual los detenidos menores de edad detenidas  no</w:t>
        <w:br/>
        <w:t xml:space="preserve">         puedan ser alojadas en comisarías junto a personas mayores de edad,</w:t>
        <w:br/>
        <w:t xml:space="preserve">         y los centros de detención para aquéllos se hallen  al  cuidado  de</w:t>
        <w:br/>
        <w:t xml:space="preserve">         personal calificado para esa  tarea;</w:t>
        <w:br/>
        <w:br/>
        <w:br/>
        <w:t xml:space="preserve">      c)  que  el  Estado  adopte  todas  las  medidas  legales,  políticas,</w:t>
        <w:br/>
        <w:t xml:space="preserve">         administrativas  y  de  cualquier  otra  índole   necesarias   para</w:t>
        <w:br/>
        <w:t xml:space="preserve">         garantizar que los menores  detenidos  sean  presentados  en  forma</w:t>
        <w:br/>
        <w:t xml:space="preserve">         rápida ante una autoridad judicial que revise la  legalidad  de  su</w:t>
        <w:br/>
        <w:t xml:space="preserve">         detención;</w:t>
        <w:br/>
        <w:br/>
        <w:t xml:space="preserve">      d) que el Estado constituya, de conformidad con el acuerdo de solución</w:t>
        <w:br/>
        <w:t xml:space="preserve">         amistosa,  una comisión integrada por expertos en  la  materia  que</w:t>
        <w:br/>
        <w:t xml:space="preserve">         revise y proponga la modificación de las leyes y decretos, así como</w:t>
        <w:br/>
        <w:t xml:space="preserve">         de las resoluciones, circulares  o  comunicaciones  institucionales</w:t>
        <w:br/>
        <w:t xml:space="preserve">         que hacen posible la detención de personas por  autoridad  policial</w:t>
        <w:br/>
        <w:t xml:space="preserve">         sin causas de justificación objetivas, así como el maltrato de  los</w:t>
        <w:br/>
        <w:t xml:space="preserve">         detenidos; y</w:t>
        <w:br/>
        <w:br/>
        <w:t xml:space="preserve">      e)  que  el  Estado  efectúe   un   reconocimiento   público   de   su</w:t>
        <w:br/>
        <w:t xml:space="preserve">         responsabilidad   en  este  caso,  específicamente  que   reconozca</w:t>
        <w:br/>
        <w:t xml:space="preserve">         pública y  masivamente  su  responsabilidad  internacional  por  la</w:t>
        <w:br/>
        <w:t xml:space="preserve">         detención ilegal, las torturas y la muerte de Walter David Bulacio,</w:t>
        <w:br/>
        <w:t xml:space="preserve">         así como su responsabilidad por no investigar durante  10  años  lo</w:t>
        <w:br/>
        <w:t xml:space="preserve">         ocurrido  e  identificar  a  los  responsables;  que  publique   un</w:t>
        <w:br/>
        <w:t xml:space="preserve">         reconocimiento de su responsabilidad en  los  medios  gráficos  más</w:t>
        <w:br/>
        <w:t xml:space="preserve">         importantes del país; que financie un documental sobre  los  hechos</w:t>
        <w:br/>
        <w:t xml:space="preserve">         del caso Bulacio “a fin de que la sociedad en su  conjunto  conozca</w:t>
        <w:br/>
        <w:t xml:space="preserve">         los  pormenores  de  las  violaciones  y  del   reconocimiento   de</w:t>
        <w:br/>
        <w:t xml:space="preserve">         responsabilidad efectuado  con  ocasión  del  acuerdo  de  solución</w:t>
        <w:br/>
        <w:t xml:space="preserve">         amistosa”; y  que disponga de  todos  los  medios  efectivos  a  su</w:t>
        <w:br/>
        <w:t xml:space="preserve">         alcance  para que estas medidas simbólicas cuenten con el interés y</w:t>
        <w:br/>
        <w:t xml:space="preserve">         participación de los medios de comunicación social.</w:t>
        <w:br/>
        <w:br/>
        <w:br/>
        <w:t>Alegatos del Estado</w:t>
        <w:br/>
        <w:br/>
        <w:br/>
        <w:t>108.  En relación con las pretensiones mencionadas, el Estado señaló:</w:t>
        <w:br/>
        <w:br/>
        <w:t xml:space="preserve">   a)  por  lo  que  toca  a  la  solicitud  de  medidas  de  reparación  no</w:t>
        <w:br/>
        <w:t xml:space="preserve">      pecuniarias, “con la suscripción por parte del [g]obierno del  acuerdo</w:t>
        <w:br/>
        <w:t xml:space="preserve">      de solución amistosa alcanzado, la República Argentina ha  dado  cabal</w:t>
        <w:br/>
        <w:t xml:space="preserve">      cumplimiento a tales  requerimientos”.  En  este  sentido,  el  Estado</w:t>
        <w:br/>
        <w:t xml:space="preserve">      señaló que había asumido la responsabilidad internacional por el caso,</w:t>
        <w:br/>
        <w:t xml:space="preserve">      lo cual se había hecho público a través de  los  periódicos  de  mayor</w:t>
        <w:br/>
        <w:t xml:space="preserve">      circulación del país.  En razón de lo anterior, solicitó  a  la  Corte</w:t>
        <w:br/>
        <w:t xml:space="preserve">      que declare que el Estado ha dado cumplimiento a las  reparaciones  no</w:t>
        <w:br/>
        <w:t xml:space="preserve">      pecuniarias  solicitadas  por  la  Comisión   Interamericana   y   los</w:t>
        <w:br/>
        <w:t xml:space="preserve">      representantes de los familiares de la víctima; y</w:t>
        <w:br/>
        <w:br/>
        <w:t xml:space="preserve">   b) hay avances en el derecho interno a raíz de los hechos del caso: tanto</w:t>
        <w:br/>
        <w:t xml:space="preserve">      el  gobierno  federal  como  varios  de  los  gobiernos   provinciales</w:t>
        <w:br/>
        <w:t xml:space="preserve">      impulsaron  y  lograron  progresar  en  cuanto  a  la  legislación   y</w:t>
        <w:br/>
        <w:t xml:space="preserve">      aplicación de éste.  Entre estos avances destacó  los  siguientes:  la</w:t>
        <w:br/>
        <w:t xml:space="preserve">      Cámara de Apelaciones ratificó la vigencia de la  Ley  No.  10.903  y,</w:t>
        <w:br/>
        <w:t xml:space="preserve">      consecuentemente, dejó sin efecto el Memorandum 40, señalando que  “se</w:t>
        <w:br/>
        <w:t xml:space="preserve">      ve en la obligación de reiterar, que en todos  los  casos  en  que  un</w:t>
        <w:br/>
        <w:t xml:space="preserve">      menor sea remitido a dependencias policiales, como consecuencia de una</w:t>
        <w:br/>
        <w:t xml:space="preserve">      contravención o de las facultades de la Ley  Orgánica  de  la  Policía</w:t>
        <w:br/>
        <w:t xml:space="preserve">      Federal, sea inmediatamente notificado el señor [j]uez  [c]orreccional</w:t>
        <w:br/>
        <w:t xml:space="preserve">      en turno a los fines del efectivo cumplimiento de la Ley  10.903”;  se</w:t>
        <w:br/>
        <w:t xml:space="preserve">      modificó el Código  Procesal  Penal  de  la  Nación,  reemplazando  el</w:t>
        <w:br/>
        <w:t xml:space="preserve">      proceso escrito  y  mediato  por  un  proceso  oral  e  inmediato;  se</w:t>
        <w:br/>
        <w:t xml:space="preserve">      derogaron los edictos policiales “en el ámbito territorial en  el  que</w:t>
        <w:br/>
        <w:t xml:space="preserve">      sucedieron  los  hechos”;  se  reformó   la   Constitución   Nacional,</w:t>
        <w:br/>
        <w:t xml:space="preserve">      incorporando con rango  constitucional  los  tratados  sobre  derechos</w:t>
        <w:br/>
        <w:t xml:space="preserve">      humanos, incluidos la Convención Americana sobre Derechos Humanos y la</w:t>
        <w:br/>
        <w:t xml:space="preserve">      Convención sobre Derechos del Niño; se  remitió  un  proyecto  de  ley</w:t>
        <w:br/>
        <w:t xml:space="preserve">      sobre la materia para el ámbito federal, “que cuenta con  la  adhesión</w:t>
        <w:br/>
        <w:t xml:space="preserve">      de la oficina de UNICEF Argentina”, y se encuentran en  trámite  otros</w:t>
        <w:br/>
        <w:t xml:space="preserve">      siete proyectos que regulan el régimen legal aplicable a las  personas</w:t>
        <w:br/>
        <w:t xml:space="preserve">      menores de 18 años infractoras de la ley penal; fue sancionada la  Ley</w:t>
        <w:br/>
        <w:t xml:space="preserve">      No. 23.950, de conformidad con la  cual  no  podrá  ser  detenida  una</w:t>
        <w:br/>
        <w:t xml:space="preserve">      persona sin orden del juez competente, y el tiempo para establecer  su</w:t>
        <w:br/>
        <w:t xml:space="preserve">      identidad no excederá en ningún caso de diez horas; y  hubo  y  siguen</w:t>
        <w:br/>
        <w:t xml:space="preserve">      habiendo, a partir de 1991, reformas normativas que se dieron  en  las</w:t>
        <w:br/>
        <w:t xml:space="preserve">      distintas  provincias  argentinas,  “como  parte  de  un  proceso   de</w:t>
        <w:br/>
        <w:t xml:space="preserve">      adaptación de las normas a la realidad social”.</w:t>
        <w:br/>
        <w:br/>
        <w:br/>
        <w:t>Consideraciones de la Corte</w:t>
        <w:br/>
        <w:br/>
        <w:t>109.  La Corte a continuación analizará las otras formas de reparación a  la</w:t>
        <w:br/>
        <w:t>luz del reconocimiento de responsabilidad internacional del  Estado  de  los</w:t>
        <w:br/>
        <w:t>artículos 1, 2, 4, 5, 7, 19, 8 y 25  de  la  Convención  Americana,  en  los</w:t>
        <w:br/>
        <w:t>siguientes acápites: A) Investigación y Sanción  de  los   Responsables,  B)</w:t>
        <w:br/>
        <w:t>Garantía de no repetición de los  hechos  lesivos  y  C)  Adecuación  de  la</w:t>
        <w:br/>
        <w:t>normativa interna a la normativa de la Convención Americana.</w:t>
        <w:br/>
        <w:br/>
        <w:t xml:space="preserve">               A) Investigación y Sanción de los  Responsables</w:t>
        <w:br/>
        <w:br/>
        <w:t>110.  Esta Corte ha señalado en diversas ocasiones que</w:t>
        <w:br/>
        <w:br/>
        <w:t xml:space="preserve">      [e]l Estado parte  de  la  Convención  Americana  tiene  el  deber  de</w:t>
        <w:br/>
        <w:t xml:space="preserve">      investigar las violaciones de los derechos humanos y sancionar  a  las</w:t>
        <w:br/>
        <w:t xml:space="preserve">      autores y a quienes encubran dichas violaciones.  Y toda  persona  que</w:t>
        <w:br/>
        <w:t xml:space="preserve">      se considere víctima de éstas o bien sus familiares tienen derecho  de</w:t>
        <w:br/>
        <w:t xml:space="preserve">      acceder a la justicia para conseguir que se cumpla, en su beneficio  y</w:t>
        <w:br/>
        <w:t xml:space="preserve">      en el del conjunto de la sociedad, ese deber del Estado[68].</w:t>
        <w:br/>
        <w:br/>
        <w:t>111.  La protección activa del derecho a la vida y  de  los  demás  derechos</w:t>
        <w:br/>
        <w:t>consagrados en la Convención Americana, se enmarca en el  deber  estatal  de</w:t>
        <w:br/>
        <w:t>garantizar el libre y pleno ejercicio de los derechos de todas las  personas</w:t>
        <w:br/>
        <w:t>bajo la jurisdicción de un Estado, y requiere que éste  adopte  las  medidas</w:t>
        <w:br/>
        <w:t>necesarias para castigar la privación de la vida y otras violaciones  a  los</w:t>
        <w:br/>
        <w:t>derechos humanos, así como para prevenir que  se  vulnere  alguno  de  estos</w:t>
        <w:br/>
        <w:t>derechos por parte sus propias  fuerzas  de  seguridad  o  de  terceros  que</w:t>
        <w:br/>
        <w:t>actúen con su aquiescencia[69].</w:t>
        <w:br/>
        <w:br/>
        <w:t>112.  Esta Corte ha señalado reiteradamente que la obligación de  investigar</w:t>
        <w:br/>
        <w:t>debe cumplirse “con seriedad y no como una simple  formalidad  condenada  de</w:t>
        <w:br/>
        <w:t>antemano a ser infructuosa”[70]. La investigación  que  el  Estado  lleve  a</w:t>
        <w:br/>
        <w:t>cabo en cumplimiento de esta obligación  “[d]ebe  tener  un  sentido  y  ser</w:t>
        <w:br/>
        <w:t>asumida por el [mismo] como un deber jurídico propio y no  como  una  simple</w:t>
        <w:br/>
        <w:t>gestión de intereses particulares, que dependa de la iniciativa procesal  de</w:t>
        <w:br/>
        <w:t>la víctima o de sus familiares o  de  la  aportación  privada  de  elementos</w:t>
        <w:br/>
        <w:t>probatorios,  sin  que  la  autoridad  pública   busque   efectivamente   la</w:t>
        <w:br/>
        <w:t>verdad”[71].</w:t>
        <w:br/>
        <w:br/>
        <w:t>113.  La Corte observa que desde el 23 de mayo de 1996, fecha en la  que  se</w:t>
        <w:br/>
        <w:t>corrió traslado a la defensa del pedido fiscal de 15 años de prisión  contra</w:t>
        <w:br/>
        <w:t>el Comisario Espósito, por  el  delito  reiterado  de  privación  ilegal  de</w:t>
        <w:br/>
        <w:t>libertad calificada, la defensa del imputado promovió una extensa  serie  de</w:t>
        <w:br/>
        <w:t>diferentes articulaciones y recursos  (pedidos  de  prórroga,  recusaciones,</w:t>
        <w:br/>
        <w:t>incidentes, excepciones, incompetencias, nulidades, entre  otros),  que  han</w:t>
        <w:br/>
        <w:t>impedido que el proceso pudiera avanzar hasta  su  culminación  natural,  lo</w:t>
        <w:br/>
        <w:t>que ha dado lugar a que se opusiera la prescripción de la acción penal.</w:t>
        <w:br/>
        <w:br/>
        <w:t>114.  Esta manera de ejercer los medios  que la ley pone al servicio  de  la</w:t>
        <w:br/>
        <w:t>defensa,  ha  sido  tolerada  y  permitida  por   los   órganos   judiciales</w:t>
        <w:br/>
        <w:t>intervinientes, con olvido de que su función no se agota en  posibilitar  un</w:t>
        <w:br/>
        <w:t>debido proceso que garantice la defensa en  juicio,  sino  que  debe  además</w:t>
        <w:br/>
        <w:t>asegurar en tiempo razonable[72], el derecho de la víctima o sus  familiares</w:t>
        <w:br/>
        <w:t>a saber la verdad de  lo  sucedido  y  que  se  sancione  a  los  eventuales</w:t>
        <w:br/>
        <w:t>responsables.</w:t>
        <w:br/>
        <w:br/>
        <w:t>115.  El derecho a la tutela judicial efectiva exige entonces a  los  jueces</w:t>
        <w:br/>
        <w:t>que dirijan el proceso de modo de evitar que dilaciones  y  entorpecimientos</w:t>
        <w:br/>
        <w:t>indebidos, conduzcan a la impunidad, frustrando  así  la  debida  protección</w:t>
        <w:br/>
        <w:t>judicial de los derechos humanos.</w:t>
        <w:br/>
        <w:br/>
        <w:t>116.  En cuanto a la invocada prescripción de la causa pendiente a nivel  de</w:t>
        <w:br/>
        <w:t>derecho interno (supra 106.a y 107.a), este Tribunal  ha  señalado  que  son</w:t>
        <w:br/>
        <w:t>inadmisibles las disposiciones de  prescripción  o  cualquier  obstáculo  de</w:t>
        <w:br/>
        <w:t>derecho interno mediante el cual se  pretenda  impedir  la  investigación  y</w:t>
        <w:br/>
        <w:t>sanción de los responsables de las violaciones de derechos  humanos[73].  La</w:t>
        <w:br/>
        <w:t>Corte considera que las obligaciones generales consagradas en los  artículos</w:t>
        <w:br/>
        <w:t>1.1 y 2 de la Convención  Americana  requieren  de  los  Estados  Partes  la</w:t>
        <w:br/>
        <w:t>pronta adopción de providencias de toda índole para que nadie sea  sustraído</w:t>
        <w:br/>
        <w:t>del derecho a la protección judicial[74], consagrada en el  artículo  25  de</w:t>
        <w:br/>
        <w:t>la Convención Americana.</w:t>
        <w:br/>
        <w:br/>
        <w:t>117.  De acuerdo  con  las  obligaciones  convencionales  asumidas  por  los</w:t>
        <w:br/>
        <w:t>Estados, ninguna disposición o instituto de derecho interno, entre ellos  la</w:t>
        <w:br/>
        <w:t>prescripción, podría oponerse al cumplimiento de las decisiones de la  Corte</w:t>
        <w:br/>
        <w:t>en  cuanto  a  la  investigación  y  sanción  de  los  responsables  de  las</w:t>
        <w:br/>
        <w:t>violaciones  de  los  derechos  humanos.  Si  así  no  fuera,  los  derechos</w:t>
        <w:br/>
        <w:t>consagrados  en  la  Convención  Americana  estarían  desprovistos  de   una</w:t>
        <w:br/>
        <w:t>protección efectiva. Este entendimiento de  la  Corte  está  conforme  a  la</w:t>
        <w:br/>
        <w:t>letra y al espíritu de la Convención, así como a  los  principios  generales</w:t>
        <w:br/>
        <w:t>del derecho; uno de estos principios es el de pacta sunt servanda,  el  cual</w:t>
        <w:br/>
        <w:t>requiere que a las disposiciones de un tratado le sea  asegurado  el  efecto</w:t>
        <w:br/>
        <w:t>útil en el plano del derecho interno de los Estados Partes[75](infra 142).</w:t>
        <w:br/>
        <w:br/>
        <w:t>118.  De conformidad con los principios generales del derecho y tal como  se</w:t>
        <w:br/>
        <w:t>desprende del artículo 27 de la Convención de Viena sobre el Derecho de  los</w:t>
        <w:br/>
        <w:t>Tratados de 1969, las decisiones de los órganos de protección  internacional</w:t>
        <w:br/>
        <w:t>de derechos humanos no pueden encontrar obstáculo alguno  en  las  reglas  o</w:t>
        <w:br/>
        <w:t>institutos de derecho interno para su plena aplicación.</w:t>
        <w:br/>
        <w:br/>
        <w:t>119.   Además,  conviene   destacar   que   el   Estado   ha   aceptado   su</w:t>
        <w:br/>
        <w:t>responsabilidad internacional en el presente caso por la  violación  de  los</w:t>
        <w:br/>
        <w:t>artículos 8 y 25 de la Convención Americana, que consagran  los  derechos  a</w:t>
        <w:br/>
        <w:t>las garantías judiciales y a la  protección  judicial,  respectivamente,  en</w:t>
        <w:br/>
        <w:t>perjuicio  de  Walter  David  Bulacio  y  sus  familiares   (supra   31-38).</w:t>
        <w:br/>
        <w:t>Asimismo, esta Corte ha tenido como probado (supra 69.C.6) que  a  pesar  de</w:t>
        <w:br/>
        <w:t>haberse iniciado varios procesos judiciales, hasta  la  fecha  más  de  doce</w:t>
        <w:br/>
        <w:t>años después de los hechos nadie ha  sido  sancionado  como  responsable  de</w:t>
        <w:br/>
        <w:t>éstos. En consecuencia, se ha configurado una situación de grave  impunidad.</w:t>
        <w:br/>
        <w:br/>
        <w:br/>
        <w:t>120.  La Corte entiende como impunidad</w:t>
        <w:br/>
        <w:br/>
        <w:t xml:space="preserve">      la falta  en  su  conjunto  de  investigación,  persecución,  captura,</w:t>
        <w:br/>
        <w:t xml:space="preserve">      enjuiciamiento y condena de los responsables de las violaciones de los</w:t>
        <w:br/>
        <w:t xml:space="preserve">      derecho protegidos por la Convención Americana, toda vez que el Estado</w:t>
        <w:br/>
        <w:t xml:space="preserve">      tiene la obligación de combatir tal situación  por  todos  los  medios</w:t>
        <w:br/>
        <w:t xml:space="preserve">      legales disponibles ya que la impunidad propicia la repetición crónica</w:t>
        <w:br/>
        <w:t xml:space="preserve">      de las violaciones de derechos humanos y la total indefensión  de  las</w:t>
        <w:br/>
        <w:t xml:space="preserve">      víctimas y de sus familiares[76].</w:t>
        <w:br/>
        <w:br/>
        <w:t>121.  A la luz de  lo  anterior,  es  necesario  que  el  Estado  prosiga  y</w:t>
        <w:br/>
        <w:t>concluya la investigación del conjunto  de  los  hechos  y  sancione  a  los</w:t>
        <w:br/>
        <w:t>responsables de los mismos. Los  familiares  de  la  víctima  deberán  tener</w:t>
        <w:br/>
        <w:t>pleno acceso y capacidad de actuar en  todas  las  etapas  e  instancias  de</w:t>
        <w:br/>
        <w:t>dichas investigaciones, de acuerdo con la ley interna y  las  normas  de  la</w:t>
        <w:br/>
        <w:t>Convención Americana.  Los resultados de las investigaciones antes  aludidas</w:t>
        <w:br/>
        <w:t>deberán ser públicamente divulgados, para que la sociedad Argentina  conozca</w:t>
        <w:br/>
        <w:t>la verdad sobre los hechos (supra 96).</w:t>
        <w:br/>
        <w:br/>
        <w:t xml:space="preserve">             B) Garantía de no repetición de los hechos lesivos</w:t>
        <w:br/>
        <w:br/>
        <w:t>122.  De conformidad con lo solicitado por las  partes,  particularmente  en</w:t>
        <w:br/>
        <w:t>la cláusula segunda del acuerdo  suscrito  por  ellas,  este  Tribunal  hará</w:t>
        <w:br/>
        <w:t>algunas consideraciones relacionadas con las  condiciones  de  detención  de</w:t>
        <w:br/>
        <w:t>los niños y, en particular, acerca de la privación  de  la  libertad  a  los</w:t>
        <w:br/>
        <w:t>niños.</w:t>
        <w:br/>
        <w:br/>
        <w:t>123.  Procede mencionar que:</w:t>
        <w:br/>
        <w:br/>
        <w:t xml:space="preserve">      […]</w:t>
        <w:br/>
        <w:br/>
        <w:br/>
        <w:t xml:space="preserve">      EL  GOBIERNO,  LA  COMISIÓN  Y  LA  REPRESENTANTE   DE   LA   FAMILIA,</w:t>
        <w:br/>
        <w:t xml:space="preserve">      solicita[ron] a la Honorable Corte Interamericana de Derechos  Humanos</w:t>
        <w:br/>
        <w:t xml:space="preserve">      tenga a bien pronunciarse sobre las cuestiones de  derecho  discutidas</w:t>
        <w:br/>
        <w:t xml:space="preserve">      en el caso, en lo correspondiente a la aplicación del Artículo 7 de la</w:t>
        <w:br/>
        <w:t xml:space="preserve">      Convención Americana  sobre  Derechos  Humanos;  en  el  marco  de  lo</w:t>
        <w:br/>
        <w:t xml:space="preserve">      establecido por la Honorable Corte Interamericana de Derechos  Humanos</w:t>
        <w:br/>
        <w:t xml:space="preserve">      en su Opinión Consultiva Nº 17.</w:t>
        <w:br/>
        <w:br/>
        <w:br/>
        <w:t xml:space="preserve">      […]</w:t>
        <w:br/>
        <w:br/>
        <w:br/>
        <w:br/>
        <w:t>124.  Como lo ha señalado en ocasiones anteriores, esta  Corte  reconoce  la</w:t>
        <w:br/>
        <w:t>existencia  de  la  facultad,  e  incluso,  la  obligación  del  Estado   de</w:t>
        <w:br/>
        <w:t>“garantizar su seguridad y mantener el orden público”[77].  Sin embargo,  el</w:t>
        <w:br/>
        <w:t>poder  estatal  en  esta  materia  no  es  ilimitado;  su   actuación   está</w:t>
        <w:br/>
        <w:t>condicionada por el respeto a los derechos fundamentales de  los  individuos</w:t>
        <w:br/>
        <w:t>que  se  encuentren  bajo  su  jurisdicción  y  a  la  observación  de   los</w:t>
        <w:br/>
        <w:t>procedimientos conforme a Derecho[78].</w:t>
        <w:br/>
        <w:br/>
        <w:t>125.   En cuanto a la facultad del Estado de detener a las personas  que  se</w:t>
        <w:br/>
        <w:t>hallan bajo  su  jurisdicción,  esta  Corte  ha  señalado,  al  analizar  el</w:t>
        <w:br/>
        <w:t>artículo 7 de la Convención Americana, que existen requisitos  materiales  y</w:t>
        <w:br/>
        <w:t>formales que deben ser observados al aplicar una medida o sanción  privativa</w:t>
        <w:br/>
        <w:t>de libertad:</w:t>
        <w:br/>
        <w:br/>
        <w:t xml:space="preserve">      nadie puede verse privado de la libertad sino por las causas, casos  o</w:t>
        <w:br/>
        <w:t xml:space="preserve">      circunstancias expresamente tipificadas en la ley (aspecto  material),</w:t>
        <w:br/>
        <w:t xml:space="preserve">      pero, además, con estricta sujeción a los procedimientos objetivamente</w:t>
        <w:br/>
        <w:t xml:space="preserve">      definidos en la misma (aspecto formal)[79].</w:t>
        <w:br/>
        <w:br/>
        <w:t>126.  Quien sea detenido “tiene derecho a vivir en condiciones de  detención</w:t>
        <w:br/>
        <w:t>compatibles con su dignidad  personal  y  el  Estado  debe  garantizarle  el</w:t>
        <w:br/>
        <w:t>derecho a la vida y a la integridad personal”[80]. La Corte  ha  establecido</w:t>
        <w:br/>
        <w:t>que el Estado, como responsable de los establecimientos de detención, es  el</w:t>
        <w:br/>
        <w:t>garante de estos derechos de los detenidos, lo  cual  implica,  entre  otras</w:t>
        <w:br/>
        <w:t>cosas, que le corresponde explicar lo que  suceda  a  las  personas  que  se</w:t>
        <w:br/>
        <w:t>encuentran bajo su custodia.  Las autoridades estatales ejercen  un  control</w:t>
        <w:br/>
        <w:t>total sobre la persona que se encuentra sujeta a su custodia.  La  forma  en</w:t>
        <w:br/>
        <w:t>que se trata a un detenido debe estar sujeta  al  escrutinio  más  estricto,</w:t>
        <w:br/>
        <w:t>tomando en cuenta la especial vulnerabilidad de aquél[81],  función  estatal</w:t>
        <w:br/>
        <w:t>de garantía que reviste de particular importancia cuando el detenido  es  un</w:t>
        <w:br/>
        <w:t>menor de edad. Esta circunstancia obliga al Estado a ejercer su  función  de</w:t>
        <w:br/>
        <w:t>garante  adaptando  todos  los  cuidados  que  reclama  la   debilidad,   el</w:t>
        <w:br/>
        <w:t>desconocimiento y  la  indefensión  que  presentan  naturalmente,  en  tales</w:t>
        <w:br/>
        <w:t>circunstancias, los menores de edad.</w:t>
        <w:br/>
        <w:br/>
        <w:t>127.  La vulnerabilidad del  detenido  se  agrava  cuando  la  detención  es</w:t>
        <w:br/>
        <w:t>ilegal  o  arbitraria.  Entonces  la  persona  se  encuentra   en   completa</w:t>
        <w:br/>
        <w:t>indefensión, de la que surge un riesgo cierto de que  se  transgredan  otros</w:t>
        <w:br/>
        <w:t>derechos, como son los correspondientes a la integridad física  y  al  trato</w:t>
        <w:br/>
        <w:t>digno[82]. El Estado debe proveer una  explicación  satisfactoria  sobre  lo</w:t>
        <w:br/>
        <w:t>que ha sucedido a una persona que presentaba  condiciones  físicas  normales</w:t>
        <w:br/>
        <w:t>cuando se inició su custodia[83] y durante ésta o al  término  de  la  misma</w:t>
        <w:br/>
        <w:t>empeoró. Asimismo, es  el  Estado  “el  obligado  a  crear  las  condiciones</w:t>
        <w:br/>
        <w:t>necesarias para que cualquier recurso [a favor del  detenido]  pueda”  tener</w:t>
        <w:br/>
        <w:t>resultados efectivos[84]. Este Tribunal ha destacado que  la  incomunicación</w:t>
        <w:br/>
        <w:t>del detenido debe ser excepcional, porque causa a éste sufrimientos  morales</w:t>
        <w:br/>
        <w:t>y perturbaciones psíquicas, ya que lo coloca en una situación de  particular</w:t>
        <w:br/>
        <w:t>vulnerabilidad y acrecienta el riesgo de agresión  y  arbitrariedad  en  las</w:t>
        <w:br/>
        <w:t>cárceles[85], y porque pone en peligro la  puntual  observancia  del  debido</w:t>
        <w:br/>
        <w:t>proceso legal.</w:t>
        <w:br/>
        <w:br/>
        <w:t>128.  Asimismo, el detenido y  quienes  ejercen  representación  o  custodia</w:t>
        <w:br/>
        <w:t>legal tienen derecho a ser  informados  de  los  motivos  y  razones  de  su</w:t>
        <w:br/>
        <w:t>detención cuando ésta se produce, lo  cual  “constituye  un  mecanismo  para</w:t>
        <w:br/>
        <w:t>evitar detenciones ilegales o arbitrarias  desde  el  momento  mismo  de  la</w:t>
        <w:br/>
        <w:t>privación de libertad y, a su vez,  garantiza  el  derecho  de  defensa  del</w:t>
        <w:br/>
        <w:t>individuo”[86] y además contribuye, en el caso de  un  menor  a  mitigar  el</w:t>
        <w:br/>
        <w:t>impacto de la detención en la medida de lo posible.</w:t>
        <w:br/>
        <w:br/>
        <w:t>129.  Otra medida que busca prevenir la arbitrariedad  o  ilegalidad  es  el</w:t>
        <w:br/>
        <w:t>control judicial inmediato, tomando en cuenta que en un  Estado  de  derecho</w:t>
        <w:br/>
        <w:t>corresponde al juzgador garantizar los derechos del detenido,  autorizar  la</w:t>
        <w:br/>
        <w:t>adopción de medidas cautelares  o  de  coerción,  cuando  sea  estrictamente</w:t>
        <w:br/>
        <w:t>necesario, y procurar, en general un trato consecuente con la presunción  de</w:t>
        <w:br/>
        <w:t>inocencia  que  ampara  al  inculpado   mientras   no   se   establezca   su</w:t>
        <w:br/>
        <w:t>responsabilidad.  “[U]n individuo que ha sido privado  de  su  libertad  sin</w:t>
        <w:br/>
        <w:t>ningún tipo de control judicial debe ser liberado o puesto inmediatamente  a</w:t>
        <w:br/>
        <w:t>disposición de un juez, pues el contenido esencial [de este] artículo  7  de</w:t>
        <w:br/>
        <w:t>la Convención Americana es  la  protección  de  la  libertad  del  individuo</w:t>
        <w:br/>
        <w:t>contra la interferencia del Estado”[87].</w:t>
        <w:br/>
        <w:br/>
        <w:t>130.  Por otra parte, el detenido tiene también el  derecho  a  notificar  a</w:t>
        <w:br/>
        <w:t>una tercera persona que está bajo custodia del Estado. Esta notificación  se</w:t>
        <w:br/>
        <w:t>hará, por ejemplo, a un familiar, a  un  abogado  y/o  a  su  cónsul,  según</w:t>
        <w:br/>
        <w:t>corresponda.  El derecho  de  establecer  contacto  con  un  familiar  cobra</w:t>
        <w:br/>
        <w:t>especial importancia cuando se trate de detenciones de menores de  edad.  En</w:t>
        <w:br/>
        <w:t>esta hipótesis la autoridad que practica la detención y la que  se  halla  a</w:t>
        <w:br/>
        <w:t>cargo del lugar en  el  que  se  encuentra  el  menor,  debe  inmediatamente</w:t>
        <w:br/>
        <w:t>notificar a los familiares, o en su defecto, a sus representantes  para  que</w:t>
        <w:br/>
        <w:t>el  menor  pueda  recibir  oportunamente  la  asistencia   de   la   persona</w:t>
        <w:br/>
        <w:t>notificada. En el caso de la notificación consular,  la  Corte  ha  señalado</w:t>
        <w:br/>
        <w:t>que el cónsul “podrá asistir al detenido en diversos actos de defensa,  como</w:t>
        <w:br/>
        <w:t>el otorgamiento o  contratación  de  patrocinio  letrado,  la  obtención  de</w:t>
        <w:br/>
        <w:t>pruebas en el país de origen, la verificación de las condiciones en  que  se</w:t>
        <w:br/>
        <w:t>ejerce la asistencia legal y la observación de la situación  que  guarda  el</w:t>
        <w:br/>
        <w:t>procesado mientras se  halla  en  prisión”[88].  La  notificación  sobre  el</w:t>
        <w:br/>
        <w:t>derecho a establecer contacto con un familiar, un  abogado  y/o  información</w:t>
        <w:br/>
        <w:t>consular,  debe  ser  hecha  al  momento  de  privar  de  la   libertad   al</w:t>
        <w:br/>
        <w:t>inculpado[89], pero en el caso  de  menores  deben  adoptarse,  además,  las</w:t>
        <w:br/>
        <w:t>providencias necesarias para que efectivamente se haga la  notificación[90].</w:t>
        <w:br/>
        <w:t xml:space="preserve"> En el caso de la notificación a un abogado tiene  especial  importancia  la</w:t>
        <w:br/>
        <w:t>posibilidad de que el detenido se reúna en privado con aquél[91], como  acto</w:t>
        <w:br/>
        <w:t>inherente a su derecho de defensa.</w:t>
        <w:br/>
        <w:br/>
        <w:t>131.   Los  detenidos  deben  contar  con   revisión   y   atención   médica</w:t>
        <w:br/>
        <w:t>preferentemente a cargo de un facultativo elegido por  ellos  mismos  o  por</w:t>
        <w:br/>
        <w:t>quienes ejercen su  representación  o  custodia  legal.  Los  resultados  de</w:t>
        <w:br/>
        <w:t>cualquier examen médico que ordenen las autoridades –  y  que  no  debe  ser</w:t>
        <w:br/>
        <w:t>practicado en presencia de las autoridades policiales- deben ser  entregados</w:t>
        <w:br/>
        <w:t>al juez, al detenido y a su abogado, o bien, a éste  y  a  quien  ejerza  la</w:t>
        <w:br/>
        <w:t>custodia o representación del menor conforme  a  la  ley[92].  La  Corte  ha</w:t>
        <w:br/>
        <w:t>señalado que la atención médica deficiente de un detenido es violatoria  del</w:t>
        <w:br/>
        <w:t>artículo 5 de la Convención Americana[93].</w:t>
        <w:br/>
        <w:br/>
        <w:t>132.  Los establecimientos  de  detención  policial  deben  cumplir  ciertos</w:t>
        <w:br/>
        <w:t>estándares mínimos[94], que  aseguren  la  observancia  de  los  derechos  y</w:t>
        <w:br/>
        <w:t>garantías establecidos en los párrafos anteriores. Como ha  reconocido  este</w:t>
        <w:br/>
        <w:t>Tribunal  en  casos  anteriores,  es  preciso  que  exista  un  registro  de</w:t>
        <w:br/>
        <w:t>detenidos que permita controlar la legalidad de  las  detenciones[95].  Esto</w:t>
        <w:br/>
        <w:t>supone  la  inclusión,  entre  otros  datos,  de:  identificación   de   los</w:t>
        <w:br/>
        <w:t>detenidos, motivos de la detención, notificación a la autoridad  competente,</w:t>
        <w:br/>
        <w:t>y a los representantes, custodios o defensores del menor, en su caso  y  las</w:t>
        <w:br/>
        <w:t>visitas que éstas hubieran hecho al detenido, el día y hora de ingreso y  de</w:t>
        <w:br/>
        <w:t>liberación, información al menor y a otras personas acerca de  los  derechos</w:t>
        <w:br/>
        <w:t>y garantías que asisten al detenido, indicación sobre rastros  de  golpes  o</w:t>
        <w:br/>
        <w:t>enfermedad mental, traslados del detenido y horario de alimentación.  Además</w:t>
        <w:br/>
        <w:t>el detenido debe consignar su firma y, en caso de  negativa  la  explicación</w:t>
        <w:br/>
        <w:t>del motivo. El abogado defensor debe tener acceso a este  expediente  y,  en</w:t>
        <w:br/>
        <w:t>general, a las actuaciones relacionadas con los cargos y la detención.</w:t>
        <w:br/>
        <w:br/>
        <w:t>133.        Walter David Bulacio tenía 17 años cuando fue  detenido  por  la</w:t>
        <w:br/>
        <w:t>Policía Federal Argentina.  La Corte estableció en su Opinión Consultiva OC-</w:t>
        <w:br/>
        <w:t>17 que “[e]n definitiva, tomando en cuenta la normativa internacional  y  el</w:t>
        <w:br/>
        <w:t>criterio sustentado por la Corte en otros casos, se entiende  por  ‘niño’  a</w:t>
        <w:br/>
        <w:t>toda persona que no ha cumplido 18 años de edad”[96].  En este  sentido,  la</w:t>
        <w:br/>
        <w:t>Corte señala que  este  caso  reviste  especial  gravedad  por  tratarse  la</w:t>
        <w:br/>
        <w:t>víctima de un niño, cuyos derechos se encuentran recogidos  no  sólo  en  la</w:t>
        <w:br/>
        <w:t>Convención   Americana,   sino    también    en    numerosos    instrumentos</w:t>
        <w:br/>
        <w:t>internacionales,  ampliamente  aceptados  por  la  comunidad  internacional,</w:t>
        <w:br/>
        <w:t>entre los cuales destaca la Convención sobre  los  Derechos  del  Niño,  que</w:t>
        <w:br/>
        <w:t>hacen recaer en  el  Estado  el  deber  de  adoptar  medidas  especiales  de</w:t>
        <w:br/>
        <w:t>protección y asistencia en favor de los niños bajo su jurisdicción.</w:t>
        <w:br/>
        <w:br/>
        <w:t>134.  Cuando se trata de la protección de los derechos  del  niño  y  de  la</w:t>
        <w:br/>
        <w:t>adopción de medidas para lograr dicha  protección,  rige  el  principio  del</w:t>
        <w:br/>
        <w:t>interés superior del niño, que se  funda  “en  la  dignidad  misma  del  ser</w:t>
        <w:br/>
        <w:t>humano, en las características propias de los niños, y en  la  necesidad  de</w:t>
        <w:br/>
        <w:t>propiciar  el  desarrollo  de  éstos,  con  pleno  aprovechamiento  de   sus</w:t>
        <w:br/>
        <w:t>potencialidades”[97].</w:t>
        <w:br/>
        <w:br/>
        <w:t>135.   En  este  sentido,  se   han   formulado   diversas   consideraciones</w:t>
        <w:br/>
        <w:t>específicas sobre la detención de niños,  que,  como  lo  ha  señalado  esta</w:t>
        <w:br/>
        <w:t>Corte y se reconoce  en  diversos  instrumentos  internacionales,  debe  ser</w:t>
        <w:br/>
        <w:t>excepcional y por el período más breve posible[98].</w:t>
        <w:br/>
        <w:br/>
        <w:t>136.  Para salvaguardar los derechos de los niños  detenidos,  especialmente</w:t>
        <w:br/>
        <w:t>su derecho a la integridad personal, es indispensable que se les  separe  de</w:t>
        <w:br/>
        <w:t>los detenidos adultos. Y, como lo estableciera este Tribunal,  las  personas</w:t>
        <w:br/>
        <w:t>encargadas de los centros de detención de  niños  infractores  o  procesados</w:t>
        <w:br/>
        <w:t>deben estar debidamente capacitadas para el desempeño  de  su  cometido[99].</w:t>
        <w:br/>
        <w:t>Finalmente, el derecho de  los  detenidos  de  establecer  comunicación  con</w:t>
        <w:br/>
        <w:t>terceros, que les brindan o brindarán asistencia y defensa,  se  corresponde</w:t>
        <w:br/>
        <w:t>con la obligación de los agentes estatales de  comunicar  inmediatamente  la</w:t>
        <w:br/>
        <w:t>detención  del  menor  a  esas  personas,  aún  cuando  éste  no   lo   haya</w:t>
        <w:br/>
        <w:t>solicitado[100].</w:t>
        <w:br/>
        <w:br/>
        <w:t>137.  La Corte considera probado que en la época de los hechos  se  llevaban</w:t>
        <w:br/>
        <w:t>a cabo en la Argentina prácticas policiales  que  incluían  las  denominadas</w:t>
        <w:br/>
        <w:t>razzias, detenciones por  averiguaciones  de  identidad  y  detenciones  por</w:t>
        <w:br/>
        <w:t>edictos contravencionales de policía.  El  Memorandum  40  facultaba  a  los</w:t>
        <w:br/>
        <w:t>policías para decidir si se notificaba o no al juez de menores  respecto  de</w:t>
        <w:br/>
        <w:t>los  niños  o  adolescentes  detenidos  (supra  69.A.1).  Las  razzias   son</w:t>
        <w:br/>
        <w:t>incompatibles con el respeto a los derechos fundamentales, entre  otros,  de</w:t>
        <w:br/>
        <w:t>la presunción de inocencia, de la existencia de orden judicial para  detener</w:t>
        <w:br/>
        <w:t>–salvo en hipótesis de flagrancia- y de la obligación  de  notificar  a  los</w:t>
        <w:br/>
        <w:t>encargados de los menores de edad.</w:t>
        <w:br/>
        <w:br/>
        <w:t>138.   El Estado debe respetar el derecho a la vida de toda persona bajo  su</w:t>
        <w:br/>
        <w:t>jurisdicción, consagrado en el artículo 4 de la Convención  Americana.  Esta</w:t>
        <w:br/>
        <w:t>obligación presenta modalidades especiales en el  caso  de  los  menores  de</w:t>
        <w:br/>
        <w:t>edad, teniendo en cuenta como se desprende de las normas sobre protección  a</w:t>
        <w:br/>
        <w:t>los niños establecidos en la Convención Americana  y  en  la  Convención  de</w:t>
        <w:br/>
        <w:t>Derechos del Niño. La condición de garante del Estado con  respecto  a  este</w:t>
        <w:br/>
        <w:t>derecho, le obliga a prevenir situaciones que pudieran conducir, por  acción</w:t>
        <w:br/>
        <w:t>u omisión, a  la  afectación  de  aquél.  Como  lo  señalara  este  Tribunal</w:t>
        <w:br/>
        <w:t>anteriormente (supra 110-121) y para efectos del caso  concreto,  si  Walter</w:t>
        <w:br/>
        <w:t>David Bulacio fue detenido en buen estado de salud y posteriormente,  murió,</w:t>
        <w:br/>
        <w:t>recae en el Estado la obligación de proveer una explicación satisfactoria  y</w:t>
        <w:br/>
        <w:t>convincente  de  lo  sucedido  y  desvirtuar  las   alegaciones   sobre   su</w:t>
        <w:br/>
        <w:t>responsabilidad,    mediante     elementos     probatorios     válidos[101].</w:t>
        <w:br/>
        <w:t>Efectivamente,  en  su  condición  de  garante  el  Estado  tiene  tanto  la</w:t>
        <w:br/>
        <w:t>responsabilidad de garantizar los derechos del individuo  bajo  su  custodia</w:t>
        <w:br/>
        <w:t>como la de proveer la información y las  pruebas  relacionadas  con  lo  que</w:t>
        <w:br/>
        <w:t>suceda al detenido[102].</w:t>
        <w:br/>
        <w:br/>
        <w:t xml:space="preserve">    C) Adecuación de la normativa interna a la normativa de la Convención</w:t>
        <w:br/>
        <w:t xml:space="preserve">                                  Americana</w:t>
        <w:br/>
        <w:br/>
        <w:t>139.  En cuanto a las medidas  de  reparación  solicitadas  relativas  a  la</w:t>
        <w:br/>
        <w:t>normativa Argentina, la Corte toma nota de los esfuerzos realizados  por  el</w:t>
        <w:br/>
        <w:t>Estado con posterioridad a los hechos del presente caso (supra  108.b),  con</w:t>
        <w:br/>
        <w:t>el fin de adecuar su régimen interno a las exigencias  de  sus  obligaciones</w:t>
        <w:br/>
        <w:t>internacionales en esta materia.</w:t>
        <w:br/>
        <w:br/>
        <w:t>140.  El derecho de gentes,  una  norma  consuetudinaria  prescribe  que  un</w:t>
        <w:br/>
        <w:t>Estado que ha ratificado un tratado de derechos humanos debe  introducir  en</w:t>
        <w:br/>
        <w:t>su derecho interno las  modificaciones  necesarias  para  asegurar  el  fiel</w:t>
        <w:br/>
        <w:t>cumplimiento de las obligaciones asumidas[103].</w:t>
        <w:br/>
        <w:br/>
        <w:t>141.  De conformidad con el artículo  2  de  la  Convención  Americana,  los</w:t>
        <w:br/>
        <w:t>Estados Partes se encuentran en la obligación de adoptar, con arreglo a  sus</w:t>
        <w:br/>
        <w:t>procedimientos constitucionales y a las disposiciones  de  esta  Convención,</w:t>
        <w:br/>
        <w:t>las medidas legislativas o de  otro  carácter  que  fueren  necesarias  para</w:t>
        <w:br/>
        <w:t>hacer  efectivos  los  derechos  y  libertades  protegidos  por   la   misma</w:t>
        <w:br/>
        <w:t>Convención.</w:t>
        <w:br/>
        <w:br/>
        <w:t>142.   La Corte ha señalado en otras oportunidades que esta norma  impone  a</w:t>
        <w:br/>
        <w:t>los Estados Partes la obligación general de adecuar  su  derecho  interno  a</w:t>
        <w:br/>
        <w:t>las normas de  la  propia  Convención,  para  garantizar  así  los  derechos</w:t>
        <w:br/>
        <w:t>consagrados en ésta.  Las disposiciones de  derecho  interno  que  sirvan  a</w:t>
        <w:br/>
        <w:t>este fin  han  de  ser  efectivas  (principio  del  effet  utile),   lo  que</w:t>
        <w:br/>
        <w:t>significa que el Estado debe adoptar todas las medidas necesarias  para  que</w:t>
        <w:br/>
        <w:t>lo establecido en la Convención sea realmente cumplido.</w:t>
        <w:br/>
        <w:br/>
        <w:t>143.  El deber general  establecido  en  el  artículo  2  de  la  Convención</w:t>
        <w:br/>
        <w:t>Americana implica la adopción de medidas en dos vertientes.  Por una  parte,</w:t>
        <w:br/>
        <w:t>la supresión de las normas y prácticas de cualquier naturaleza que  entrañen</w:t>
        <w:br/>
        <w:t>violación a las garantías previstas en  la  Convención.   Por  la  otra,  la</w:t>
        <w:br/>
        <w:t>expedición de normas y el desarrollo de prácticas conducentes a la  efectiva</w:t>
        <w:br/>
        <w:t>observancia de dichas garantías[104].</w:t>
        <w:br/>
        <w:br/>
        <w:t>144.  En el marco de la obligación general prevista en el artículo 2  de  la</w:t>
        <w:br/>
        <w:t>Convención, la Corte acepta los términos del  acuerdo  celebrado  entre  las</w:t>
        <w:br/>
        <w:t>partes en el sentido de  constituir  una  instancia  de  consulta,  “con  el</w:t>
        <w:br/>
        <w:t>objeto, si correspondiere, de la adecuación y modernización de la  normativa</w:t>
        <w:br/>
        <w:t>interna en las temáticas relacionadas con [las condiciones de  detención  de</w:t>
        <w:br/>
        <w:t>los niños] para lo cual se invitará a expertos y otras organizaciones de  la</w:t>
        <w:br/>
        <w:t>sociedad  civil”,  que  formule  propuestas  normativas  ante  los   órganos</w:t>
        <w:br/>
        <w:t>correspondientes con el objetivo de adecuar y  modernizar  de  la  normativa</w:t>
        <w:br/>
        <w:t>interna.</w:t>
        <w:br/>
        <w:br/>
        <w:t xml:space="preserve">                                      *</w:t>
        <w:br/>
        <w:t xml:space="preserve">                                   *     *</w:t>
        <w:br/>
        <w:br/>
        <w:t>145.  Asimismo, y como lo ha ordenado en otras oportunidades[105], la  Corte</w:t>
        <w:br/>
        <w:t>estima que como medida de  satisfacción,  el  Estado  debe  publicar  en  el</w:t>
        <w:br/>
        <w:t>Diario Oficial, por una sola vez, el capítulo VI y la  parte  resolutiva  de</w:t>
        <w:br/>
        <w:t>la presente Sentencia.</w:t>
        <w:br/>
        <w:br/>
        <w:br/>
        <w:br/>
        <w:t xml:space="preserve">                                    XIII</w:t>
        <w:br/>
        <w:br/>
        <w:br/>
        <w:t xml:space="preserve">                               Costas y Gastos</w:t>
        <w:br/>
        <w:br/>
        <w:br/>
        <w:br/>
        <w:br/>
        <w:t>Alegatos de los representantes de los familiares de la víctima</w:t>
        <w:br/>
        <w:br/>
        <w:br/>
        <w:br/>
        <w:t>146.  Los representantes solicitaron a la Corte que ordenara  al  Estado  el</w:t>
        <w:br/>
        <w:t>pago de las costas y gastos judiciales, incluyendo  los  correspondientes  a</w:t>
        <w:br/>
        <w:t>dos abogados apoderados  que  actuaron  en  la  causa  penal  interna.  Esto</w:t>
        <w:br/>
        <w:t>asciende a US$50.000,00 (cincuenta mil dólares  de  los  Estados  Unidos  de</w:t>
        <w:br/>
        <w:t>América) a cada uno. Por lo que toca a los organismos que  intervinieron  en</w:t>
        <w:br/>
        <w:t>el trámite internacional, tanto ante la Comisión  Interamericana  como  ante</w:t>
        <w:br/>
        <w:t>la Corte,  solicitaron  las  siguientes  cantidades:  a  CELS,  US$15.000,00</w:t>
        <w:br/>
        <w:t>(quince  mil  dólares  de  los  Estados  Unidos  de   América);   a   CEJIL,</w:t>
        <w:br/>
        <w:t>US$10,000.00 (diez mil dólares de  los  Estados  Unidos  de  América);  y  a</w:t>
        <w:br/>
        <w:t>CORREPI, US$15,000.00 (quince mil dólares de los Estados Unidos de  América)</w:t>
        <w:br/>
        <w:br/>
        <w:br/>
        <w:br/>
        <w:br/>
        <w:t>Alegatos de la Comisión</w:t>
        <w:br/>
        <w:br/>
        <w:br/>
        <w:t>147.  La Comisión pidió a la Corte que ordene  al  Estado  el  pago  de  los</w:t>
        <w:br/>
        <w:t>gastos y costas generados en la tramitación del caso, tanto a nivel  interno</w:t>
        <w:br/>
        <w:t>como ante el sistema interamericano, con base en los siguientes criterios:</w:t>
        <w:br/>
        <w:br/>
        <w:t xml:space="preserve">      a) los honorarios de los abogados María del Carmen Verdú y  Daniel  A.</w:t>
        <w:br/>
        <w:t xml:space="preserve">         Stragá  por  su  actuación  ante  los   tribunales   argentinos   e</w:t>
        <w:br/>
        <w:t xml:space="preserve">         internacionales durante  10  años,  así  como  gastos  de  llamadas</w:t>
        <w:br/>
        <w:t xml:space="preserve">         telefónicas, fotocopias, servicios de correo, viajes a  Washington,</w:t>
        <w:br/>
        <w:t xml:space="preserve">         D.C. y Costa  Rica,  se  estiman  en  US$50.000,00  (cincuenta  mil</w:t>
        <w:br/>
        <w:t xml:space="preserve">         dólares de los Estados Unidos de América) para cada profesional, lo</w:t>
        <w:br/>
        <w:t xml:space="preserve">         que significa US$100.000,00 (cien mil dólares de los Estados Unidos</w:t>
        <w:br/>
        <w:t xml:space="preserve">         de América) en total; y</w:t>
        <w:br/>
        <w:br/>
        <w:br/>
        <w:t xml:space="preserve">      b) los honorarios de los abogados del CELS, CEJIL  y  CORREPI  por  su</w:t>
        <w:br/>
        <w:t xml:space="preserve">         intervención  en  el   caso   una   vez   iniciada   la   instancia</w:t>
        <w:br/>
        <w:t xml:space="preserve">         internacional, son los siguientes: a los abogados de  CORREPI,  US$</w:t>
        <w:br/>
        <w:t xml:space="preserve">         11.000,00 (once mil dólares de los Estados Unidos  de  América);  a</w:t>
        <w:br/>
        <w:t xml:space="preserve">         los abogados de CELS, US$ 11.100,00 (once mil cien dólares  de  los</w:t>
        <w:br/>
        <w:t xml:space="preserve">         Estados Unidos de América) y a los abogados de CEJIL, US$  4.050,00</w:t>
        <w:br/>
        <w:t xml:space="preserve">         (cuatro mil cincuenta dólares de los Estados Unidos de América).</w:t>
        <w:br/>
        <w:br/>
        <w:t>Alegatos del Estado</w:t>
        <w:br/>
        <w:br/>
        <w:t>148.  El Estado solicitó a la Corte tener en cuenta lo resuelto en  el  Caso</w:t>
        <w:br/>
        <w:t>Aloeboetoe y otros, en el sentido de que, considerando que el  Estado  había</w:t>
        <w:br/>
        <w:t>reconocido  expresamente  su  responsabilidad  internacional  y   no   había</w:t>
        <w:br/>
        <w:t>obstaculizado  el  procedimiento  para  determinar  las   reparaciones,   se</w:t>
        <w:br/>
        <w:t>desestimó la solicitud de la Comisión de condenar al Estado en costas.</w:t>
        <w:br/>
        <w:br/>
        <w:t>149.   Subsidiariamente, el Estado solicitó que  para  la  determinación  de</w:t>
        <w:br/>
        <w:t>las costas y gastos se tenga en cuenta  lo  resuelto  en  el  Caso  Castillo</w:t>
        <w:br/>
        <w:t>Páez, en el sentido de apreciar prudentemente el alcance específico  de  las</w:t>
        <w:br/>
        <w:t>costas, considerando para ello la oportuna comprobación de las mismas.</w:t>
        <w:br/>
        <w:br/>
        <w:br/>
        <w:t>Consideraciones de la Corte</w:t>
        <w:br/>
        <w:br/>
        <w:br/>
        <w:t>150.  Como ya lo ha señalado la Corte  en  oportunidades  anteriores[106],</w:t>
        <w:br/>
        <w:t>las costas y gastos  están  comprendidas  en  el  concepto  de  reparación</w:t>
        <w:br/>
        <w:t>consagrado en el artículo 63.1 de la Convención Americana, en razón de que</w:t>
        <w:br/>
        <w:t>la actividad desplegada por los familiares de la víctima con el fin de dar</w:t>
        <w:br/>
        <w:t>con su paradero y, posteriormente, obtener justicia tanto a nivel nacional</w:t>
        <w:br/>
        <w:t>como internacional, implica erogaciones que deben ser  compensadas  cuando</w:t>
        <w:br/>
        <w:t>se declara la responsabilidad internacional del Estado mediante  sentencia</w:t>
        <w:br/>
        <w:t>condenatoria.  En cuanto al reembolso, corresponde  al  Tribunal  apreciar</w:t>
        <w:br/>
        <w:t>prudentemente su alcance, que comprende  los  gastos  generados  ante  las</w:t>
        <w:br/>
        <w:t>autoridades de la jurisdicción interna y los realizados en  el  curso  del</w:t>
        <w:br/>
        <w:t>proceso ante el sistema interamericano, teniendo en cuenta la acreditación</w:t>
        <w:br/>
        <w:t>de los gastos realizados,  las  circunstancias  del  caso  concreto  y  la</w:t>
        <w:br/>
        <w:t>naturaleza de la jurisdicción internacional de protección de los  derechos</w:t>
        <w:br/>
        <w:t>humanos[107].  Esta  apreciación  puede  ser  realizada  con  base  en  el</w:t>
        <w:br/>
        <w:t>principio de equidad y apreciando los gastos  señalados  por  las  partes,</w:t>
        <w:br/>
        <w:t>siempre que su quantum sea razonable[108].</w:t>
        <w:br/>
        <w:br/>
        <w:t>151.  En el presente caso la Corte observa que existe  discordancia  entre</w:t>
        <w:br/>
        <w:t>la Comisión Interamericana y los representantes de los  familiares  de  la</w:t>
        <w:br/>
        <w:t>víctima en cuanto a las  costas  y  gastos.   Por  un  lado,  la  Comisión</w:t>
        <w:br/>
        <w:t>solicitó el pago de ciertos montos en su escrito de reparaciones de  4  de</w:t>
        <w:br/>
        <w:t>enero  de  2002  (supra  18).   En  éste,  la  Comisión  indicó  que   “la</w:t>
        <w:br/>
        <w:t>continuación del trámite del caso ante la  […]  Corte  significará  nuevos</w:t>
        <w:br/>
        <w:t>gastos  y  costas  en  el  próximo  futuro  [que]  también  ameritan   […]</w:t>
        <w:br/>
        <w:t>indemnización”, pero en su escrito de alegatos finales, de 4 de  julio  de</w:t>
        <w:br/>
        <w:t>2003 (supra 29), ratificó los montos solicitados el 4 de  enero  de  2002.</w:t>
        <w:br/>
        <w:t>Por su parte, los representantes demandaron, en  su  escrito  de  alegatos</w:t>
        <w:br/>
        <w:t>finales de 4 de julio de 2003 (supra  29),  montos  considerablemente  más</w:t>
        <w:br/>
        <w:t>altos que los requeridos por la Comisión en materia de  costas  y  gastos,</w:t>
        <w:br/>
        <w:t>señalando que “la continuación del trámite del caso ante la […]  Corte  ha</w:t>
        <w:br/>
        <w:t>significado nuevos gastos y costas”.  Finalmente, la Corte nota que ni  la</w:t>
        <w:br/>
        <w:t>Comisión ni los  representantes  aportaron  facturas  o  comprobantes  que</w:t>
        <w:br/>
        <w:t>contribuyan a fundamentar  sus  pretensiones  sobre  este  aspecto  de  la</w:t>
        <w:br/>
        <w:t>indemnización.</w:t>
        <w:br/>
        <w:br/>
        <w:t>152.  La Corte estima equitativo ordenar el pago de US$40.000,00 (cuarenta</w:t>
        <w:br/>
        <w:t>mil dólares de los Estados Unidos de América) por  concepto  de  costas  y</w:t>
        <w:br/>
        <w:t>gastos, en los procesos internos y en el  procedimiento  internacional  de</w:t>
        <w:br/>
        <w:t>derechos humanos. El pago deberá distribuirse de la siguiente  manera:  a)</w:t>
        <w:br/>
        <w:t>US$12.000,00 (doce mil dólares de los Estados Unidos de América)  a  María</w:t>
        <w:br/>
        <w:t>del Carmen Verdú; b) US$12.000,00 (doce mil dólares de los Estados  Unidos</w:t>
        <w:br/>
        <w:t>de América) a Daniel A. Stragá; c) US$7.000,00 (siete mil dólares  de  los</w:t>
        <w:br/>
        <w:t>Estados Unidos de América) a CORREPI; d) US$7.000,00 (siete mil dólares de</w:t>
        <w:br/>
        <w:t>los Estados Unidos de América) a CELS; y e) US$2.000,00 (dos  mil  dólares</w:t>
        <w:br/>
        <w:t>de los Estados Unidos de América) a CEJIL.</w:t>
        <w:br/>
        <w:br/>
        <w:t>153.   Este  Tribunal  considera  que  para  impulsar   los   procedimientos</w:t>
        <w:br/>
        <w:t>conducentes a la investigación de los hechos, los familiares de  la  víctima</w:t>
        <w:br/>
        <w:t>se verán en la necesidad de hacer erogaciones en el  orden  interno,  y  por</w:t>
        <w:br/>
        <w:t>ello otorga en equidad la cantidad de US$5.000,00 (cinco mil dólares de  los</w:t>
        <w:br/>
        <w:t>Estados Unidos de América) a Graciela Rosa Scavone.</w:t>
        <w:br/>
        <w:br/>
        <w:br/>
        <w:br/>
        <w:t xml:space="preserve">                                     xiv</w:t>
        <w:br/>
        <w:br/>
        <w:t xml:space="preserve">                          modalidad de cumplimiento</w:t>
        <w:br/>
        <w:br/>
        <w:br/>
        <w:t>Alegatos de los representantes de los familiares de la víctima</w:t>
        <w:br/>
        <w:br/>
        <w:br/>
        <w:t>154.  En relación con la  modalidad  de  cumplimiento  de  las  reparaciones</w:t>
        <w:br/>
        <w:t>reclamadas, los representantes solicitaron lo siguiente:</w:t>
        <w:br/>
        <w:br/>
        <w:t xml:space="preserve">     a) que el Estado ejecute el pago de las indemnizaciones y  adopte  las</w:t>
        <w:br/>
        <w:t xml:space="preserve">        demás medidas ordenadas por la Corte,  dentro  del  plazo  de  seis</w:t>
        <w:br/>
        <w:t xml:space="preserve">        meses  a  partir  de  la  notificación  de   la   sentencia   sobre</w:t>
        <w:br/>
        <w:t xml:space="preserve">        reparaciones que dicte la Corte;</w:t>
        <w:br/>
        <w:t xml:space="preserve">     b)  que  el  pago  de  las  indemnizaciones  compensatorias  se   haga</w:t>
        <w:br/>
        <w:t xml:space="preserve">        directamente a las víctimas o a sus familiares mayores  de  edad  o</w:t>
        <w:br/>
        <w:t xml:space="preserve">        sus herederos;</w:t>
        <w:br/>
        <w:t xml:space="preserve">     c) que ese pago se cubra en dólares de los Estados Unidos de América o</w:t>
        <w:br/>
        <w:t xml:space="preserve">        en  una  suma  equivalente,  en  efectivo  y  en  moneda   nacional</w:t>
        <w:br/>
        <w:t xml:space="preserve">        Argentina, utilizando el tipo de cambio de  ésta  con  respecto  al</w:t>
        <w:br/>
        <w:t xml:space="preserve">        dólar estadounidense el día anterior al pago;</w:t>
        <w:br/>
        <w:t xml:space="preserve">     d) que el pago de las indemnizaciones quede exento  de  todo  impuesto</w:t>
        <w:br/>
        <w:t xml:space="preserve">        actualmente existente o que pueda decretarse en el futuro; y</w:t>
        <w:br/>
        <w:t xml:space="preserve">     e) que en el caso de que el Estado incurra en mora, pague  un  interés</w:t>
        <w:br/>
        <w:t xml:space="preserve">        sobre la  suma  adeudada,  que  corresponda  al  interés  moratorio</w:t>
        <w:br/>
        <w:t xml:space="preserve">        bancario en Argentina.</w:t>
        <w:br/>
        <w:br/>
        <w:br/>
        <w:br/>
        <w:t>Asimismo, los representantes señalaron, en relación con la  observación  del</w:t>
        <w:br/>
        <w:t>Estado de que como resultado  de  la  promulgación  de  diversas  normas  de</w:t>
        <w:br/>
        <w:t>contenido  económico  se  produjo  una  fuerte  devaluación  de  la   moneda</w:t>
        <w:br/>
        <w:t>Argentina en relación con la estadounidense, que “reafirma[ban su] falta  de</w:t>
        <w:br/>
        <w:t>voluntad de obtener un  enriquecimiento  indebido,  y  por  ello  desea[ban]</w:t>
        <w:br/>
        <w:t>expresar [su] intención de sujetar[se] a lo que  la  […]  Corte  crea  justo</w:t>
        <w:br/>
        <w:t>respecto de la actualización del monto indemnizatorio”.</w:t>
        <w:br/>
        <w:br/>
        <w:br/>
        <w:t>Alegatos de la Comisión</w:t>
        <w:br/>
        <w:br/>
        <w:br/>
        <w:t>155.  La Comisión hizo  suyas  las  solicitudes  de  los  representantes  en</w:t>
        <w:br/>
        <w:t>relación con la modalidad de cumplimiento de las medidas de reparación.</w:t>
        <w:br/>
        <w:br/>
        <w:br/>
        <w:t>Alegatos del Estado</w:t>
        <w:br/>
        <w:br/>
        <w:br/>
        <w:t>156.  En relación con los montos solicitados por los representantes  de  los</w:t>
        <w:br/>
        <w:t>familiares de la presunta víctima y la Comisión  Interamericana,  el  Estado</w:t>
        <w:br/>
        <w:t>señaló que:</w:t>
        <w:br/>
        <w:br/>
        <w:t xml:space="preserve">      a. están expresados en dólares estadounidenses,  a  pesar  de  que  al</w:t>
        <w:br/>
        <w:t xml:space="preserve">         momento de la presentación del escrito sobre reparaciones regía  en</w:t>
        <w:br/>
        <w:t xml:space="preserve">         la Argentina la Ley de Convertibilidad No. 23.928, que  establecía,</w:t>
        <w:br/>
        <w:t xml:space="preserve">         entre otras cosas, la paridad de la moneda Argentina con  el  dólar</w:t>
        <w:br/>
        <w:t xml:space="preserve">         estadounidense. Dicha ley fue derogada el 6 de enero  de  2002  por</w:t>
        <w:br/>
        <w:t xml:space="preserve">         medio de la ley No.  25.561,  y  la  moneda  Argentina  sufrió  una</w:t>
        <w:br/>
        <w:t xml:space="preserve">         devaluación en relación con su par estadounidense;</w:t>
        <w:br/>
        <w:t xml:space="preserve">      b. se incurriría en desigualdad, como resultado de comparar el reclamo</w:t>
        <w:br/>
        <w:t xml:space="preserve">         pretendido en el presente caso con aquellos otros que  se  tramitan</w:t>
        <w:br/>
        <w:t xml:space="preserve">         en sede nacional, los cuales han sido afectados  por  la  antedicha</w:t>
        <w:br/>
        <w:t xml:space="preserve">         devaluación monetaria; y</w:t>
        <w:br/>
        <w:t xml:space="preserve">      c. en caso de que el reclamo se mantuviera en las cifras y el tipo  de</w:t>
        <w:br/>
        <w:t xml:space="preserve">         cambio fijados en el escrito de reparaciones, los montos reclamados</w:t>
        <w:br/>
        <w:t xml:space="preserve">         serían excesivos.</w:t>
        <w:br/>
        <w:br/>
        <w:br/>
        <w:t>Consideraciones de la Corte</w:t>
        <w:br/>
        <w:br/>
        <w:br/>
        <w:t>157.  Para dar cumplimiento a la presente Sentencia, el Estado deberá  pagar</w:t>
        <w:br/>
        <w:t>las indemnizaciones y el reintegro de costas y gastos dentro  del  plazo  de</w:t>
        <w:br/>
        <w:t>seis meses contados a partir de la notificación de la presente Sentencia.</w:t>
        <w:br/>
        <w:br/>
        <w:t>158.  De conformidad con su jurisprudencia constante[109], el  Estado  puede</w:t>
        <w:br/>
        <w:t>cumplir sus obligaciones de carácter pecuniario mediante el pago en  dólares</w:t>
        <w:br/>
        <w:t>de los Estados Unidos de América o en una  cantidad  equivalente  en  moneda</w:t>
        <w:br/>
        <w:t>Argentina, utilizando para el cálculo respectivo el  tipo  de  cambio  entre</w:t>
        <w:br/>
        <w:t>ambas monedas que esté vigente en la plaza de Nueva York, Estados Unidos  de</w:t>
        <w:br/>
        <w:t>América, el día anterior al pago.</w:t>
        <w:br/>
        <w:br/>
        <w:t>159.  El pago de la suma por concepto de daño material  y  daño  inmaterial,</w:t>
        <w:br/>
        <w:t>así como de las costas y gastos establecidos en la  presente  Sentencia,  no</w:t>
        <w:br/>
        <w:t>podrá ser objeto de impuesto o tasa  actualmente  existentes  o  que  puedan</w:t>
        <w:br/>
        <w:t>decretarse en el futuro. Además, en caso de que el Estado incurra  en  mora,</w:t>
        <w:br/>
        <w:t>deberá pagar un interés sobre la suma adeudada que corresponderá al  interés</w:t>
        <w:br/>
        <w:t>bancario moratorio en Argentina. Finalmente, si por algún  motivo  no  fuese</w:t>
        <w:br/>
        <w:t>posible que los beneficiarios reciban los respectivos  pagos  dentro  de  un</w:t>
        <w:br/>
        <w:t>plazo de doce meses, el Estado deberá consignar los correspondientes  montos</w:t>
        <w:br/>
        <w:t>a favor de dichos beneficiarios en una cuenta o certificado de depósito,  en</w:t>
        <w:br/>
        <w:t>una institución financiera solvente, en dólares de  los  Estados  Unidos  de</w:t>
        <w:br/>
        <w:t>América  o  su  equivalente  en  moneda  Argentina,   en   las   condiciones</w:t>
        <w:br/>
        <w:t>financieras  más  favorables  que  permitan  la   legislación   y   práctica</w:t>
        <w:br/>
        <w:t>bancarias.  Si al cabo de diez años el pago no es reclamado,  la  suma  será</w:t>
        <w:br/>
        <w:t>devuelta al Estado con los intereses devengados.</w:t>
        <w:br/>
        <w:br/>
        <w:t>160.  En el caso de la indemnización ordenada en favor de los  niños  Tamara</w:t>
        <w:br/>
        <w:t>Florencia y Matías Emanuel Bulacio, el Estado deberá consignar los montos  a</w:t>
        <w:br/>
        <w:t>su favor en una inversión en una institución  bancaria  Argentina  solvente,</w:t>
        <w:br/>
        <w:t>en dólares estadounidenses o su equivalente en moneda argentina,  dentro  de</w:t>
        <w:br/>
        <w:t>un plazo de seis meses, y en las condiciones financieras más favorables  que</w:t>
        <w:br/>
        <w:t>permitan la legislación y la práctica bancarias  mientras  sean  menores  de</w:t>
        <w:br/>
        <w:t>edad. Si transcurridos cinco años contados a partir de la adquisición de  la</w:t>
        <w:br/>
        <w:t>mayoría  de  edad  de  las  personas  mencionadas  la  indemnización  no  es</w:t>
        <w:br/>
        <w:t>reclamada, el capital  y  los  intereses  devengados  pasarán  a  los  demás</w:t>
        <w:br/>
        <w:t>beneficiarios de las reparaciones a prorrata.</w:t>
        <w:br/>
        <w:br/>
        <w:t>161.  La  Corte  se  reserva  la  facultad  de  supervisar  el  cumplimiento</w:t>
        <w:br/>
        <w:t>integral de la presente Sentencia.  El procedimiento internacional  sólo  se</w:t>
        <w:br/>
        <w:t>dará por concluido  cuando  el  Estado  haya  dado  cabal  aplicación  a  lo</w:t>
        <w:br/>
        <w:t>dispuesto en el presente fallo.</w:t>
        <w:br/>
        <w:br/>
        <w:br/>
        <w:br/>
        <w:t xml:space="preserve">                                     XV</w:t>
        <w:br/>
        <w:br/>
        <w:br/>
        <w:t xml:space="preserve">                             Puntos Resolutivos</w:t>
        <w:br/>
        <w:br/>
        <w:br/>
        <w:t>162.  Por tanto,</w:t>
        <w:br/>
        <w:br/>
        <w:t>LA CORTE,</w:t>
        <w:br/>
        <w:br/>
        <w:t>DECIDE:</w:t>
        <w:br/>
        <w:br/>
        <w:t>por unanimidad,</w:t>
        <w:br/>
        <w:br/>
        <w:t>1.    admitir el reconocimiento de responsabilidad  internacional  efectuado</w:t>
        <w:br/>
        <w:t>por el Estado.</w:t>
        <w:br/>
        <w:br/>
        <w:t>2.    aprobar el acuerdo, en los términos de la  presente  Sentencia,  sobre</w:t>
        <w:br/>
        <w:t>el fondo y algunos aspectos sobre reparaciones de 26 de febrero  de  2003  y</w:t>
        <w:br/>
        <w:t>el documento aclaratorio del mismo de 6 de marzo de  2003,  ambos  suscritos</w:t>
        <w:br/>
        <w:t>entre el Estado, la  Comisión  Interamericana  de  Derechos  Humanos  y  los</w:t>
        <w:br/>
        <w:t>familiares de la víctima y sus representantes legales.</w:t>
        <w:br/>
        <w:br/>
        <w:br/>
        <w:t>DECLARA QUE:</w:t>
        <w:br/>
        <w:br/>
        <w:t>3.     conforme  a  los  términos  del  reconocimiento  de   responsabilidad</w:t>
        <w:br/>
        <w:t>internacional efectuado por el Estado, éste violó los  derechos  consagrados</w:t>
        <w:br/>
        <w:t>en los artículos 4, 5, 7 y 19 de  la  Convención  Americana  sobre  Derechos</w:t>
        <w:br/>
        <w:t>Humanos en perjuicio de Walter David Bulacio, y los derechos consagrados  en</w:t>
        <w:br/>
        <w:t>los artículos 8 y 25 también  de  la  Convención  Americana  sobre  Derechos</w:t>
        <w:br/>
        <w:t>Humanos en perjuicio de Walter David Bulacio  y  sus  familiares,  todos  en</w:t>
        <w:br/>
        <w:t>relación con los  artículos  1.1  y  2  de  la  Convención  Americana  sobre</w:t>
        <w:br/>
        <w:t>Derechos Humanos, en los términos del párrafo 38 de la presente Sentencia.</w:t>
        <w:br/>
        <w:br/>
        <w:t>Y DECIDE QUE:</w:t>
        <w:br/>
        <w:br/>
        <w:t>4.    el Estado debe proseguir y concluir la investigación del  conjunto  de</w:t>
        <w:br/>
        <w:t>los hechos de este caso y sancionar a los responsables de  los  mismos;  que</w:t>
        <w:br/>
        <w:t>los familiares de la víctima deberán  tener  pleno  acceso  y  capacidad  de</w:t>
        <w:br/>
        <w:t>actuar, en todas las etapas  e  instancias  de  dichas  investigaciones,  de</w:t>
        <w:br/>
        <w:t>conformidad con la ley interna y  las  normas  de  la  Convención  Americana</w:t>
        <w:br/>
        <w:t>sobre Derechos Humanos; y que los resultados de las investigaciones  deberán</w:t>
        <w:br/>
        <w:t>ser públicamente divulgados, en los términos de los párrafos 110  a  121  de</w:t>
        <w:br/>
        <w:t>la presente Sentencia.</w:t>
        <w:br/>
        <w:br/>
        <w:t>5.    el Estado debe garantizar que  no  se  repitan  hechos  como  los  del</w:t>
        <w:br/>
        <w:t>presente caso, adoptando  las  medidas  legislativas  y  de  cualquier  otra</w:t>
        <w:br/>
        <w:t>índole que sean necesarias para adecuar el ordenamiento jurídico  interno  a</w:t>
        <w:br/>
        <w:t>las normas internacionales de derechos humanos, y darles plena  efectividad,</w:t>
        <w:br/>
        <w:t>de acuerdo con el artículo 2  de  la  Convención  Americana  sobre  Derechos</w:t>
        <w:br/>
        <w:t>Humanos, en  los  términos  de  los  párrafos  122  a  144  de  la  presente</w:t>
        <w:br/>
        <w:t>Sentencia.</w:t>
        <w:br/>
        <w:br/>
        <w:t>6.    el Estado debe publicar en el Diario Oficial, por  una  sola  vez,  el</w:t>
        <w:br/>
        <w:t>capítulo VI y la parte resolutiva de esta Sentencia,  en  los  términos  del</w:t>
        <w:br/>
        <w:t>párrafo 145 de la misma.</w:t>
        <w:br/>
        <w:br/>
        <w:t>7.    el Estado debe  pagar  la  cantidad  total  de  US$124.000,00  (ciento</w:t>
        <w:br/>
        <w:t>veinticuatro mil dólares de los Estados Unidos de América) o su  equivalente</w:t>
        <w:br/>
        <w:t>en moneda Argentina,  por  concepto  de  indemnización  del  daño  material,</w:t>
        <w:br/>
        <w:t>distribuida de la siguiente manera:</w:t>
        <w:br/>
        <w:br/>
        <w:t xml:space="preserve">     a) la cantidad de  US$110.000,00  (ciento  diez  mil  dólares  de  los</w:t>
        <w:br/>
        <w:t xml:space="preserve">        Estados Unidos de América) o su  equivalente  en  moneda  Argentina</w:t>
        <w:br/>
        <w:t xml:space="preserve">        para que sea entregada a la señora Graciela  Rosa  Scavone  en  los</w:t>
        <w:br/>
        <w:t xml:space="preserve">        términos de los párrafos 85, 87, 88, 89, 157 a 159 de  la  presente</w:t>
        <w:br/>
        <w:t xml:space="preserve">        Sentencia; y</w:t>
        <w:br/>
        <w:t xml:space="preserve">     b) la cantidad de US$14.000,00 (catorce mil  dólares  de  los  Estados</w:t>
        <w:br/>
        <w:t xml:space="preserve">        Unidos de América) o su equivalente en moneda Argentina,  para  que</w:t>
        <w:br/>
        <w:t xml:space="preserve">        sea distribuida en partes iguales entre las  señoras  María  Ramona</w:t>
        <w:br/>
        <w:t xml:space="preserve">        Armas de Bulacio y Lorena Beatriz Bulacio, en los términos  de  los</w:t>
        <w:br/>
        <w:t xml:space="preserve">        párrafos 88 y 157 a 159 de la presente Sentencia.</w:t>
        <w:br/>
        <w:br/>
        <w:t>8.    el Estado debe pagar la cantidad total  de  US$210.000,00  (doscientos</w:t>
        <w:br/>
        <w:t>diez mil dólares de los Estados Unidos  de  América)  o  su  equivalente  en</w:t>
        <w:br/>
        <w:t>moneda  Argentina,  por  concepto  de  indemnización  del  daño  inmaterial,</w:t>
        <w:br/>
        <w:t>distribuida de la siguiente manera:</w:t>
        <w:br/>
        <w:br/>
        <w:t xml:space="preserve">     a) la  cantidad  de  US$114.333,00  (ciento  catorce  mil  trescientos</w:t>
        <w:br/>
        <w:t xml:space="preserve">        treinta y tres dólares de los Estados  Unidos  de  América),  o  su</w:t>
        <w:br/>
        <w:t xml:space="preserve">        equivalente en moneda argentina, para que sea entregada a la señora</w:t>
        <w:br/>
        <w:t xml:space="preserve">        Graciela Rosa Scavone en los términos de los párrafos 95  a  104  y</w:t>
        <w:br/>
        <w:t xml:space="preserve">        157 a 159 de la presente Sentencia;</w:t>
        <w:br/>
        <w:t xml:space="preserve">     b) la cantidad de US$44.333,00  (cuarenta  y  cuatro  mil  trescientos</w:t>
        <w:br/>
        <w:t xml:space="preserve">        treinta y tres dólares de los Estados  Unidos  de  América),  o  su</w:t>
        <w:br/>
        <w:t xml:space="preserve">        equivalente en moneda Argentina, para que sea entregada a la señora</w:t>
        <w:br/>
        <w:t xml:space="preserve">        María Ramona Armas de Bulacio en los términos de los párrafos 95  a</w:t>
        <w:br/>
        <w:t xml:space="preserve">        104 y 157 a 159 de la presente Sentencia;</w:t>
        <w:br/>
        <w:t xml:space="preserve">     c) la cantidad  de  US$39.333,00  (treinta  y  nueve  mil  trescientos</w:t>
        <w:br/>
        <w:t xml:space="preserve">        treinta y tres dólares de los Estados  Unidos  de  América),  o  su</w:t>
        <w:br/>
        <w:t xml:space="preserve">        equivalente en moneda Argentina, para que sea entregada a la señora</w:t>
        <w:br/>
        <w:t xml:space="preserve">        Lorena Beatriz Bulacio en los términos de los párrafos 95 a  104  y</w:t>
        <w:br/>
        <w:t xml:space="preserve">        157 a 159 de la presente Sentencia; y</w:t>
        <w:br/>
        <w:t xml:space="preserve">     d) la cantidad de US$12.000,00 (doce mil dólares de los Estados Unidos</w:t>
        <w:br/>
        <w:t xml:space="preserve">        de América), o su equivalente en moneda  argentina,  para  que  sea</w:t>
        <w:br/>
        <w:t xml:space="preserve">        distribuida en partes iguales entre  los  niños  Matías  Emanuel  y</w:t>
        <w:br/>
        <w:t xml:space="preserve">        Tamara Florencia Bulacio en los términos de los párrafos 104, 157 a</w:t>
        <w:br/>
        <w:t xml:space="preserve">        160 de la presente Sentencia.</w:t>
        <w:br/>
        <w:br/>
        <w:t>9.    el Estado debe pagar la cantidad total de US$40.000,00  (cuarenta  mil</w:t>
        <w:br/>
        <w:t>dólares de los Estados Unidos  de  América),  o  su  equivalente  en  moneda</w:t>
        <w:br/>
        <w:t>argentina, por concepto de costas y gastos, en los términos de los  párrafos</w:t>
        <w:br/>
        <w:t>152 y 157 a 159 de la presente Sentencia.</w:t>
        <w:br/>
        <w:br/>
        <w:t>10.   el Estado deberá pagar las indemnizaciones y el reintegro de costas  y</w:t>
        <w:br/>
        <w:t>gastos  ordenadas en la presente Sentencia dentro del plazo  de  seis  meses</w:t>
        <w:br/>
        <w:t>contado a partir de la notificación de ésta.</w:t>
        <w:br/>
        <w:br/>
        <w:t>11.   la indemnización por concepto de daño  material,  daño  inmaterial,  y</w:t>
        <w:br/>
        <w:t>costas y gastos establecida en la presente Sentencia, no  podrá  ser  objeto</w:t>
        <w:br/>
        <w:t>de impuesto, gravamen o tasa actualmente existente o que pudiera  decretarse</w:t>
        <w:br/>
        <w:t>en el futuro.</w:t>
        <w:br/>
        <w:br/>
        <w:t>12.   en caso de que el Estado incurriese en mora, deberá pagar  un  interés</w:t>
        <w:br/>
        <w:t>sobre la cantidad adeudada que corresponderá al interés  bancario  moratorio</w:t>
        <w:br/>
        <w:t>en la Argentina.</w:t>
        <w:br/>
        <w:br/>
        <w:t>13.   la indemnización ordenada en favor de los niños,  Tamara  Florencia  y</w:t>
        <w:br/>
        <w:t>Matías Emanuel Bulacio, el Estado deberá consignar los montos a su favor  en</w:t>
        <w:br/>
        <w:t>una inversión en una institución bancaria  Argentina  solvente,  en  dólares</w:t>
        <w:br/>
        <w:t>estadounidenses o su equivalente en moneda Argentina, dentro de un plazo  de</w:t>
        <w:br/>
        <w:t>seis meses, y en las condiciones financieras más favorables que permitan  la</w:t>
        <w:br/>
        <w:t>legislación y la práctica  bancarias  mientras  sean  menores  de  edad,  de</w:t>
        <w:br/>
        <w:t>conformidad con lo expuesto en el párrafo 160 de la presente Sentencia.</w:t>
        <w:br/>
        <w:br/>
        <w:t>14.   supervisará el cumplimiento de esta Sentencia y dará por concluido  el</w:t>
        <w:br/>
        <w:t>presente caso una vez  que  el  Estado  haya  dado  cabal  aplicación  a  lo</w:t>
        <w:br/>
        <w:t>dispuesto en el presente fallo.  Dentro del plazo de seis  meses  contado  a</w:t>
        <w:br/>
        <w:t>partir de la notificación de esta Sentencia, el Estado deberá  rendir  a  la</w:t>
        <w:br/>
        <w:t>Corte un informe sobre las  medidas  tomadas  para  darle  cumplimiento,  de</w:t>
        <w:br/>
        <w:t>conformidad con lo expuesto en el párrafo 161 de la misma.</w:t>
        <w:br/>
        <w:br/>
        <w:t>Los Jueces Cançado Trindade, García Ramírez y Gil Lavedra  hicieron  conocer</w:t>
        <w:br/>
        <w:t>a la Corte sus Votos Razonados, los cuales acompañan a esta Sentencia.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Sergio García Ramírez  Hernán Salgado Pesantes</w:t>
        <w:br/>
        <w:br/>
        <w:br/>
        <w:t xml:space="preserve">      Oliver Jackman   Alirio Abreu Burelli</w:t>
        <w:br/>
        <w:br/>
        <w:br/>
        <w:t xml:space="preserve">                             Ricardo Gil Lavedra</w:t>
        <w:br/>
        <w:t xml:space="preserve">                                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Comuníquese y ejecútese,</w:t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br/>
        <w:t xml:space="preserve">                VOTO RAZONADO DEL JUEZ A.A. CANÇADO TRINDADE</w:t>
        <w:br/>
        <w:br/>
        <w:br/>
        <w:br/>
        <w:br/>
        <w:t>1.    Mediante su presente Sentencia en Bulacio versus Argentina, para  cuya</w:t>
        <w:br/>
        <w:t>adopción he concurrido con mi voto,  la  Corte  Interamericana  de  Derechos</w:t>
        <w:br/>
        <w:t>Humanos se ha pronunciado sobre un caso que bien retrata  las  contingencias</w:t>
        <w:br/>
        <w:t>de la condición humana, y la importancia de la realización de la justicia  y</w:t>
        <w:br/>
        <w:t>de la garantía de no-repetición  de  los  hechos  lesivos  de  los  derechos</w:t>
        <w:br/>
        <w:t>humanos como medida de reparación. Dada la relevancia de la materia  tratada</w:t>
        <w:br/>
        <w:t>por la Corte, me veo en la obligación de dejar constancia,  en  el  presente</w:t>
        <w:br/>
        <w:t>Voto Razonado, de mis reflexiones personales al respecto.</w:t>
        <w:br/>
        <w:br/>
        <w:t>2.    Como se ha señalado en el procedimiento ante la Corte  Interamericana,</w:t>
        <w:br/>
        <w:t>padre y madre, hijo e hija, formaban una  familia,  como  tantas  otras,  de</w:t>
        <w:br/>
        <w:t>gente sencilla y trabajadora[110], y, muy probablemente,  feliz  quizás  sin</w:t>
        <w:br/>
        <w:t>saberlo. Vivía la rutina del cotidiano, unida por los lazos  de  afecto  que</w:t>
        <w:br/>
        <w:t>tornan la vida más digna de ser vivida. Este cotidiano leve y sin  misterios</w:t>
        <w:br/>
        <w:t>perduró hasta el día en que el destino reservó una  prueba  dura  a  aquella</w:t>
        <w:br/>
        <w:t>familia unida y bien conciliada con la vida.</w:t>
        <w:br/>
        <w:br/>
        <w:t>3.    Una noche, el hijo, al dirigirse a un concierto musical, fue  atrapado</w:t>
        <w:br/>
        <w:t>en una detención masiva  y  golpeado  por  agentes  del  poder  público.  Al</w:t>
        <w:br/>
        <w:t>fallecer, una semana después, llevó consigo las expectativas que su  familia</w:t>
        <w:br/>
        <w:t>en él depositaba, como hijo primogénito y excelente alumno. El dolor por  la</w:t>
        <w:br/>
        <w:t>pérdida,  en  estas  circunstancias,  del  ser  querido,  agudizado  por  la</w:t>
        <w:br/>
        <w:t>insensibilidad del poder público y la impunidad de  los  responsables,  tuvo</w:t>
        <w:br/>
        <w:t>un impacto avasallador sobre toda la familia. Pronto se tornó  insoportable,</w:t>
        <w:br/>
        <w:t>al  punto  de  desintegrar  la  unidad  familiar  y  lanzar   a   los   tres</w:t>
        <w:br/>
        <w:t>sobrevivientes en las profundidades de una tristeza sin fin.</w:t>
        <w:br/>
        <w:br/>
        <w:t>4.    El dolor por la pérdida irreparable llevó al padre a  tratar  de  huir</w:t>
        <w:br/>
        <w:t>de la realidad, dejando atrás su hogar. El  intento  de  empezar  una  nueva</w:t>
        <w:br/>
        <w:t>vida, con dos hijos nacidos de una  nueva  relación,  no  aplacó  su  dolor.</w:t>
        <w:br/>
        <w:t>Perdió su trabajo, y sobrevivió a tres intentos  de  suicidio.  Tras  sufrir</w:t>
        <w:br/>
        <w:t>dos infartos y ser sometido a una operación cardíaca, falleció a  los  nueve</w:t>
        <w:br/>
        <w:t>años desde la muerte del hijo, de la cual nunca se  recuperó;  encontró,  en</w:t>
        <w:br/>
        <w:t>fin, su descanso, pues ya no quería seguir  viviendo[111],  o  sobreviviendo</w:t>
        <w:br/>
        <w:t>al hijo querido.</w:t>
        <w:br/>
        <w:br/>
        <w:t>5.    La hija, muy joven, quien tenía en el hermano mayor  un  modelo,  cayó</w:t>
        <w:br/>
        <w:t>en un estado de depresión, y dos veces intentó suicidarse. Hoy vive  con  la</w:t>
        <w:br/>
        <w:t>madre, en un estado de reclusión, incapaz de  establecer  nuevas  relaciones</w:t>
        <w:br/>
        <w:t>afectivas, de estudiar o trabajar; custodia la vida familiar, o  lo  que  de</w:t>
        <w:br/>
        <w:t>ésta restó, para que nadie más se  muera.  La  madre  padeció  una  grave  y</w:t>
        <w:br/>
        <w:t>prolongada depresión, y hoy comparte con la hija el peso  de  los  recuerdos</w:t>
        <w:br/>
        <w:t>de la felicidad perdida, y el  pasar  de  los  días  cargados  de  un  vacío</w:t>
        <w:br/>
        <w:t>ineludible. Otros  familiares  próximos  -  como  la  abuela  -  presentaron</w:t>
        <w:br/>
        <w:t>igualmente cuadros depresivos.</w:t>
        <w:br/>
        <w:br/>
        <w:t>6.    ¿Es esta la trama de  los  fragmentos,  recién  descubiertos,  de  una</w:t>
        <w:br/>
        <w:t>nueva tragedia de Ésquilo, Sófocles o Eurípides, que se suma a  las  que  ya</w:t>
        <w:br/>
        <w:t>conforman  aquel  legado  y  repositorio  indeleble  de  enseñanzas  de  los</w:t>
        <w:br/>
        <w:t>antiguos griegos a la humanidad? Bien que podría serlo, pero  se  trata  más</w:t>
        <w:br/>
        <w:t>bien de una tragedia contemporánea, - la del jóven Walter  David  Bulacio  y</w:t>
        <w:br/>
        <w:t>su familia, - una  de  las  muchas  que  ocurren  diariamente  en  el  mundo</w:t>
        <w:br/>
        <w:t>brutalizado de nuestros días, marcado por la violencia indiscriminada  y  la</w:t>
        <w:br/>
        <w:t>impunidad perpetuada.</w:t>
        <w:br/>
        <w:br/>
        <w:t>7.    En la audiencia pública  ante  la  Corte,  la  madre  caracterizó  los</w:t>
        <w:br/>
        <w:t>padecimientos sufridos como algo "muy  trágico"[112],  en  consecuencia  del</w:t>
        <w:br/>
        <w:t>cual toda "la familia realmente se derrumbó", ante lo ocurrido con  el  hijo</w:t>
        <w:br/>
        <w:t>(y hermano) querido[113]. Las circunstancias del  presente  caso,  que  como</w:t>
        <w:br/>
        <w:t>pocos revelan  la  fragilidad  de  la  condición  humana,  conllevan  a  una</w:t>
        <w:br/>
        <w:t>pregunta inevitable e inquietante: ¿cómo apreciar el papel  del  Derecho,  y</w:t>
        <w:br/>
        <w:t>las reparaciones a las víctimas, en un cuadro trágico  e  irreversible  como</w:t>
        <w:br/>
        <w:t>éste? La cuestión me suscita algunas reflexiones personales, que me  permito</w:t>
        <w:br/>
        <w:t>dejar consignadas en este Voto  Razonado,  sin  que  con  esto  yo  pretenda</w:t>
        <w:br/>
        <w:t>encontrar una respuesta enteramente satisfactoria a la misma.</w:t>
        <w:br/>
        <w:br/>
        <w:br/>
        <w:t xml:space="preserve">      I. La Fragilidad de la Condición Humana.</w:t>
        <w:br/>
        <w:br/>
        <w:br/>
        <w:t>8.    El sufrimiento humano es perenne, aunque  cambien  los  hechos  y  las</w:t>
        <w:br/>
        <w:t>víctimas,  de  generación  a  generación.  Tanto  es  así  que,  contra  los</w:t>
        <w:br/>
        <w:t>designios del destino, ya en el siglo V antes de Cristo, Sófocles  advertía,</w:t>
        <w:br/>
        <w:t>con clarividencia, en su  Édipo  Rey[114],  que  jamás  hay  que  decir  que</w:t>
        <w:br/>
        <w:t>alguien es feliz hasta que haya traspasado el  límite  extremo  de  la  vida</w:t>
        <w:br/>
        <w:t>libre del dolor. En  el  mismo  sentido,  en  su  Ajax,  Sófocles  volvía  a</w:t>
        <w:br/>
        <w:t>advertir que sólo se conoce lo que ya se  ha  visto  o  vivido,  pero  nadie</w:t>
        <w:br/>
        <w:t>puede prever lo que está por venir ni el fin que  le  espera[115].  Como  en</w:t>
        <w:br/>
        <w:t>las tragedias griegas que encontraron expresión en  un  determinado  momento</w:t>
        <w:br/>
        <w:t>histórico, en la Atenas del siglo V a.C., las  tragedias  de  nuestros  días</w:t>
        <w:br/>
        <w:t>demuestran que el dolor avasallador, rodeado de misterio, puede  invadir  el</w:t>
        <w:br/>
        <w:t>cotidiano de uno en cualquier momento de  la  vida,  y  proyectarse  en  las</w:t>
        <w:br/>
        <w:t>personas queridas de la convivencia personal, minando sus defensas frente  a</w:t>
        <w:br/>
        <w:t>una pérdida verdaderamente irreparable.</w:t>
        <w:br/>
        <w:br/>
        <w:t>9.    Como el presente caso Bulacio lo revela, en el  seno  de  una  familia</w:t>
        <w:br/>
        <w:t>donde se valoran los sentimientos, la muerte prematura y violenta de un  ser</w:t>
        <w:br/>
        <w:t>querido conlleva a un profundo padecimiento por todos  compartido.  En  esta</w:t>
        <w:br/>
        <w:t>circunstancia, un ser que falta es como si todo faltara,  y  todo  realmente</w:t>
        <w:br/>
        <w:t>falta; de repente, todo es un desierto[116].  Y  ha  sido  siempre  así.  La</w:t>
        <w:br/>
        <w:t>tragedia ha marcado presencia a lo largo de  los  siglos.  ¿Y  por  qué?  La</w:t>
        <w:br/>
        <w:t>tragedia, - se ha dicho hace muchos siglos, - es imitación de  la  acción  y</w:t>
        <w:br/>
        <w:t>de  la  vida[117].  En  realidad,  para  tantos  seres  humanos,   que   han</w:t>
        <w:br/>
        <w:t>experimentado la más completa adversidad (la desgracia),  la  vida  comporta</w:t>
        <w:br/>
        <w:t>la tragedia, y la tragedia es imitación  de  la  vida  (la  mímesis  de  los</w:t>
        <w:br/>
        <w:t>antiguos griegos). La dura realidad es recreada e  incorporada  al  interior</w:t>
        <w:br/>
        <w:t>de cada uno.</w:t>
        <w:br/>
        <w:br/>
        <w:t>10.   No siempre comprendemos la realidad, y sólo conocemos aspectos  de  la</w:t>
        <w:br/>
        <w:t>misma, captados por el espíritu, con la ayuda de  lo  imaginario.  Cada  uno</w:t>
        <w:br/>
        <w:t>tiene, así, su propia lectura de lo real, siendo muy  poco  lo  que  podemos</w:t>
        <w:br/>
        <w:t>conocer.  El  propio  Derecho,  al  contrario  de  lo  que  presuponen   los</w:t>
        <w:br/>
        <w:t>positivistas, tiene mucho que  aprender  de  otras  ramas  del  conocimiento</w:t>
        <w:br/>
        <w:t>humano, - sobre todo, en mi entender, con la literatura  y  las  artes,  que</w:t>
        <w:br/>
        <w:t>nos preparan para enfrentar los enigmas y misterios  de  la  vida,  como  la</w:t>
        <w:br/>
        <w:t>muerte violenta de los seres queridos.</w:t>
        <w:br/>
        <w:br/>
        <w:t>11.    El  Derecho  comporta,  en  mi  entender,  un  sistema  no  sólo   de</w:t>
        <w:br/>
        <w:t>reglamentación de las relaciones humanas, sino  también,  a  partir  de  los</w:t>
        <w:br/>
        <w:t>valores que encierra, de emancipación[118]. En la medida en que  se  abre  a</w:t>
        <w:br/>
        <w:t>las enseñanzas perennes de la literatura, se  libera  de  la  pretensión  de</w:t>
        <w:br/>
        <w:t>"cientificismo" legal, que le aleja de la realidad del cotidiano. Se abre  a</w:t>
        <w:br/>
        <w:t>los valores humanistas, presentes en la literatura, y  se  erige  contra  la</w:t>
        <w:br/>
        <w:t>fría "racionalidad" del positivismo jurídico y  del  análisis  supuestamente</w:t>
        <w:br/>
        <w:t>"científico-legal". El Derecho pasa, así, a dar expresión,  él  propio,  con</w:t>
        <w:br/>
        <w:t>la ayuda de las humanidades, a los principios y valores que deben  guiar  la</w:t>
        <w:br/>
        <w:t>existencia y las relaciones humanas. El Derecho pasa,  así,  enriquecido,  a</w:t>
        <w:br/>
        <w:t>vincularse estrechamente con la realidad de la vida de cada uno.</w:t>
        <w:br/>
        <w:br/>
        <w:t>12.   La tragedia ha acompañado al ser humano a través  de  los  siglos.  Ha</w:t>
        <w:br/>
        <w:t>retratado trazos fundamentales de  la  frágil  condición  y  la  experiencia</w:t>
        <w:br/>
        <w:t>humanas. Con ella se han identificado los seres humanos a lo  largo  de  los</w:t>
        <w:br/>
        <w:t>siglos. Al evocar consistentemente pena  y  compasión,  la  tragedia  revela</w:t>
        <w:br/>
        <w:t>mucho sobre el ser humano, y sobre los hondos  recónditos  de  la  vida.  La</w:t>
        <w:br/>
        <w:t>condición humana, - como se desprende  claramente,  v.g.,  del  bello  poema</w:t>
        <w:br/>
        <w:t>épico (y trágico) de Homero, la Ilíada[119], - es marcada sobre todo por  la</w:t>
        <w:br/>
        <w:t>privación, y  la  visión  de  que  la  felicidad  difícilmente  es  total  y</w:t>
        <w:br/>
        <w:t>duradera, debiendo el ser humano convivir con  sus  propias  finitudes[120],</w:t>
        <w:br/>
        <w:t>sin saber qué le reserva el día de mañana.</w:t>
        <w:br/>
        <w:br/>
        <w:t>13.   En su perenne actualidad, transmite la tragedia la  impresión  de  que</w:t>
        <w:br/>
        <w:t>puede acontecer con cualquier persona, como en realidad acontece, y, -  como</w:t>
        <w:br/>
        <w:t>me permití señalar en mi Voto Razonado en  el  caso  de  los  "Niños  de  la</w:t>
        <w:br/>
        <w:t>Calle" (Villagrán Morales y  Otros  versus  Guatemala,  Reparaciones,  2001,</w:t>
        <w:br/>
        <w:t>párr. 7), - como suele ocurrir en cualquier momento  de  la  vida  (con  los</w:t>
        <w:br/>
        <w:t>niños, los jóvenes, los adultos, los ancianos). Es, pues, atemporal, en  más</w:t>
        <w:br/>
        <w:t>de un sentido. Retrata la extrema fragilidad de la condición humana.</w:t>
        <w:br/>
        <w:br/>
        <w:t>14.   En el presente caso, como  en  tantos  otros,  el  sentimiento  de  la</w:t>
        <w:br/>
        <w:t>tragedia ha invadido y se ha instalado en las vidas de  los  sobrevivientes.</w:t>
        <w:br/>
        <w:t>Sólo quien ha experimentado la tragedia sabe lo que ésto significa. Y, a  lo</w:t>
        <w:br/>
        <w:t>largo de los siglos (del siglo V a.C. al  siglo  XXI),  tal  sentimiento  ha</w:t>
        <w:br/>
        <w:t>marcado presencia en las más distintas formas del pensamiento humano. Se  ha</w:t>
        <w:br/>
        <w:t>observado que el sentimiento de la tragedia</w:t>
        <w:br/>
        <w:br/>
        <w:t xml:space="preserve">      "envahit la littérature et la philosophie, il infeste le subconscient.</w:t>
        <w:br/>
        <w:t xml:space="preserve">      (...) La tragédie, c'est le récit d'une  expiation  (...).  La  figure</w:t>
        <w:br/>
        <w:t xml:space="preserve">      tragique représente l'expiation du  péché  originel,  (...)  le  péché</w:t>
        <w:br/>
        <w:t xml:space="preserve">      d'être né. (...) Si vraiment une culpabilité pèse sur nous,  (...)  si</w:t>
        <w:br/>
        <w:t xml:space="preserve">      vraiment il n'y a point de rédemption, alors ce  n'est  pas  la  mort,</w:t>
        <w:br/>
        <w:t xml:space="preserve">      c'est la vie qui est   l'expiation"[121].</w:t>
        <w:br/>
        <w:br/>
        <w:t>15.   En  la  materia  propia  de  la  tragedia  griega  se  identifica,  en</w:t>
        <w:br/>
        <w:t>especial, el pensamiento jurídico todavía no determinado y  en  elaboración,</w:t>
        <w:br/>
        <w:t>sumado al  encuentro  entre  los  actos  humanos  y  los  designios  de  las</w:t>
        <w:br/>
        <w:t>potencias divinas, también conocido como destino[122]. A pesar de  no  tener</w:t>
        <w:br/>
        <w:t>autonomía ni control sobre su propia vida, el individuo ya se afirmaba -  en</w:t>
        <w:br/>
        <w:t>el siglo V a.C., la era  de  las  tragedias  clásicas,  -  como  sujeto  del</w:t>
        <w:br/>
        <w:t>Derecho[123].</w:t>
        <w:br/>
        <w:br/>
        <w:t>16.   En medio de la violencia retratada en las tragedias del siglo V  a.C.,</w:t>
        <w:br/>
        <w:t>sobresalía la preocupación por el derecho y la justicia,  precisamente  para</w:t>
        <w:br/>
        <w:t>poner fin a la violencia. El mensaje es claro, y  sigue  siendo  actual,  en</w:t>
        <w:br/>
        <w:t>este inicio del siglo XXI: hay que rechazar la violencia  y  la  tiranía,  y</w:t>
        <w:br/>
        <w:t>hay que practicar la justicia[124] (cf. infra). Es propio  de  la  condición</w:t>
        <w:br/>
        <w:t>humana, - advertía Sófocles en su Filoctetes, - estar "siempre sujeto  a  la</w:t>
        <w:br/>
        <w:t>amenaza y al peligro"[125].  La  extrema  vulnerabilidad  y  la  ineluctable</w:t>
        <w:br/>
        <w:t>fragilidad de los seres humanos deben despertar en todos el  sentimiento  de</w:t>
        <w:br/>
        <w:t>solidaridad[126].</w:t>
        <w:br/>
        <w:br/>
        <w:br/>
        <w:t xml:space="preserve">      II. De la Fragilidad a la Solidaridad Humana.</w:t>
        <w:br/>
        <w:br/>
        <w:t>17.   Los antiguos griegos tuvieron el mérito  de  transformar  esta  enorme</w:t>
        <w:br/>
        <w:t>fragilidad de la condición humana en fuente  de  la  grandeza  moral  de  la</w:t>
        <w:br/>
        <w:t>solidaridad humana; su humanismo fue construído a  partir  precisamente  del</w:t>
        <w:br/>
        <w:t>reconocimiento de la extrema fragilidad de  la  condición  humana[127].  Tal</w:t>
        <w:br/>
        <w:t>reconocimiento, a su vez, conllevó al espíritu de solidaridad humana y a  la</w:t>
        <w:br/>
        <w:t>conscientización de un deber de humanidad en relación con las  víctimas  (de</w:t>
        <w:br/>
        <w:t>la violencia y del infortunio)[128]. Este  deber,  lo  expresamos  hoy  como</w:t>
        <w:br/>
        <w:t>siendo la obligación de la reparación debida a las víctimas (cf. infra).</w:t>
        <w:br/>
        <w:br/>
        <w:t>18.   Hay diferentes grados de sufrimiento humano, sin  que  haya  criterios</w:t>
        <w:br/>
        <w:t>uniformes de medición. Cada  individuo  es  un  universo  insondable  en  sí</w:t>
        <w:br/>
        <w:t>mismo. Hay sufrimientos que suelen disminuir con  el  tiempo,  y  hay  quien</w:t>
        <w:br/>
        <w:t>confíe en el efecto anestésico del pasar del tiempo. Hay quien  atribuya  al</w:t>
        <w:br/>
        <w:t>olvido el carácter de defensa ante la realidad cruda de los hechos, como  en</w:t>
        <w:br/>
        <w:t>la premonición de Thomas Becket en Canterbury,  ante  la  inminencia  de  su</w:t>
        <w:br/>
        <w:t>suplicio:</w:t>
        <w:br/>
        <w:br/>
        <w:t xml:space="preserve">      "You shall forget these things, toiling in the household,</w:t>
        <w:br/>
        <w:t xml:space="preserve">      You shall remember them, droning by the fire,</w:t>
        <w:br/>
        <w:t xml:space="preserve">      When age and forgetfulness sweeten memory</w:t>
        <w:br/>
        <w:t xml:space="preserve">      Only like a dream that has often been told</w:t>
        <w:br/>
        <w:t xml:space="preserve">      And often been changed in the telling. They will seem unreal.</w:t>
        <w:br/>
        <w:t xml:space="preserve">      Human kind cannot bear very much reality"[129].</w:t>
        <w:br/>
        <w:br/>
        <w:t>19.   Al fin y al cabo, entre la intromisión constante del  "mañana"  en  el</w:t>
        <w:br/>
        <w:t>cotidiano de uno, y el escapismo fugaz del "ayer", "la vida no  es  más  que</w:t>
        <w:br/>
        <w:t>una sombra que  pasa..."  (como  lamenta  el  soliloquio  shakespeareano  de</w:t>
        <w:br/>
        <w:t>Macbeth)[130].  Pero  -  no  hay  cómo  negarlo  -   también   existen   los</w:t>
        <w:br/>
        <w:t>sufrimientos  que  dejan  cicatrices  emocionales  abiertas,  indelebles   e</w:t>
        <w:br/>
        <w:t>incurables, resistentes inclusive a la erosión del  tiempo.  El  sufrimiento</w:t>
        <w:br/>
        <w:t>es la revelación imediata,  no  sólo  de  la  condición  universal  del  ser</w:t>
        <w:br/>
        <w:t>humano, sino de la propia conciencia[131].</w:t>
        <w:br/>
        <w:br/>
        <w:t>20.   No veo, en efecto, cómo sostener que las reparaciones a  las  víctimas</w:t>
        <w:br/>
        <w:t>de violaciones de los derechos humanos logren poner fin  a  su  sufrimiento.</w:t>
        <w:br/>
        <w:t>Nadie como los victimados por la tragedia tiene la aguda  conciencia  de  la</w:t>
        <w:br/>
        <w:t>irreparabilidad de la pérdida o del daño. Como lo ha  expresado,  con  tanta</w:t>
        <w:br/>
        <w:t>precisión[132], Cornélie, personaje de P. Corneille en La Mort de Pompée:</w:t>
        <w:br/>
        <w:br/>
        <w:t xml:space="preserve">      "La perte que j'ai faite est trop irréparable;</w:t>
        <w:br/>
        <w:t xml:space="preserve">      La source de ma haine est trop inépuisable;</w:t>
        <w:br/>
        <w:t xml:space="preserve">      À l'égal de mes jours je la ferai durer;</w:t>
        <w:br/>
        <w:t xml:space="preserve">      Je veux vivre avec elle, avec elle expirer"[133].</w:t>
        <w:br/>
        <w:br/>
        <w:t>21.   ¿Cómo, en efecto, considerar la reparación de daños ante  la  tragedia</w:t>
        <w:br/>
        <w:t>de una familia entera destruida  por  la  muerte  violenta  de  uno  de  sus</w:t>
        <w:br/>
        <w:t>miembros, el hijo (y hermano) joven? ¿Cuáles son los  verdaderos  alcance  y</w:t>
        <w:br/>
        <w:t>efecto de las reparaciones en una situación como la del  presente  caso?  Al</w:t>
        <w:br/>
        <w:t>contrario  de  lo  que  podrían  presuponer  los  adeptos  del   positivismo</w:t>
        <w:br/>
        <w:t>jurídico, no es impertinente invocar en este contexto las enseñanzas  de  la</w:t>
        <w:br/>
        <w:t>literatura universal; ésta es  un  área  (las  reparaciones  debidas  a  las</w:t>
        <w:br/>
        <w:t>víctimas) en que el Derecho parece estar todavía en  su  infancia,  y  tiene</w:t>
        <w:br/>
        <w:t>mucho que aprender de otras ramas del conocimiento  humano  (la  psicología,</w:t>
        <w:br/>
        <w:t>la filosofía, las humanidades en general).</w:t>
        <w:br/>
        <w:br/>
        <w:t>22.   El racionalismo y el así-llamado "realismo" intentaron en  vano  poner</w:t>
        <w:br/>
        <w:t>fin a la tragedia; no lo lograron,  porque  la  existencia  humana  ha  sido</w:t>
        <w:br/>
        <w:t>acompañada,  desde  tiempos  inmemoriales,  por  la  irracionalidad   y   la</w:t>
        <w:br/>
        <w:t>brutalidad. En la tragedia no  hay  espacio  visible  para  reparaciones,  o</w:t>
        <w:br/>
        <w:t>"compensaciones" de distintos tipos, que pretendan poner fin al  sufrimiento</w:t>
        <w:br/>
        <w:t>humano. Desde este ángulo, la pérdida es verdaderamente irreparable,  y  hay</w:t>
        <w:br/>
        <w:t>que convivir con ella, con el vacío. La desesperación de Hécuba (423  a.C.),</w:t>
        <w:br/>
        <w:t>de Eurípides, puede ser manifestada de la misma forma por la de  las  madres</w:t>
        <w:br/>
        <w:t>que han perdido sus hijos, victimados por la violencia humana a lo largo  de</w:t>
        <w:br/>
        <w:t>los siglos:</w:t>
        <w:br/>
        <w:br/>
        <w:t xml:space="preserve">      "¡Ah! ¡Hijo de esta desafortunada madre!</w:t>
        <w:br/>
        <w:t xml:space="preserve">      ¿Cómo perdiste la vida, hijo mío?</w:t>
        <w:br/>
        <w:t xml:space="preserve">      ¿Qué golpe te alcanzó, allá donde estabas?</w:t>
        <w:br/>
        <w:t xml:space="preserve">      ¿Por las manos de qué hombres fuiste muerto?"[134].</w:t>
        <w:br/>
        <w:br/>
        <w:t>La desolación de Hécuba, en  el  siglo  V  a.C.,  puede  ser  expresada,  en</w:t>
        <w:br/>
        <w:t>precisamente los mismos términos, a fines del siglo XX e  inicio  del  siglo</w:t>
        <w:br/>
        <w:t>XXI, por las madres de los hijos  victimados  por  la  milenaria  brutalidad</w:t>
        <w:br/>
        <w:t>humana, en los casos que ha conocido esta Corte  (como,  v.g.,  el  presente</w:t>
        <w:br/>
        <w:t>caso Bulacio, o el caso  Castillo  Páez,  o  el  caso  Villagrán  Morales  y</w:t>
        <w:br/>
        <w:t>Otros).</w:t>
        <w:br/>
        <w:br/>
        <w:t>23.   Como me permití ponderar en mi Voto  Razonado  en  el  caso  Villagrán</w:t>
        <w:br/>
        <w:t>Morales y  Otros  versus  Guatemala  (caso  de  los  "Niños  de  la  Calle",</w:t>
        <w:br/>
        <w:t>Reparaciones, 2001),</w:t>
        <w:br/>
        <w:br/>
        <w:br/>
        <w:t xml:space="preserve">      "El sufrimiento humano tiene una dimensión tanto personal como social.</w:t>
        <w:br/>
        <w:t xml:space="preserve">      Así, el daño causado a cada ser  humano,  por  más  humilde  que  sea,</w:t>
        <w:br/>
        <w:t xml:space="preserve">      afecta a la propia comunidad como un todo. Como el  presente  caso  lo</w:t>
        <w:br/>
        <w:t xml:space="preserve">      revela, las víctimas se multiplican en las personas de los  familiares</w:t>
        <w:br/>
        <w:t xml:space="preserve">      inmediatos sobrevivientes, quienes, además, son  forzados  a  convivir</w:t>
        <w:br/>
        <w:t xml:space="preserve">      con el suplicio del silencio, de la indiferencia y del olvido  de  los</w:t>
        <w:br/>
        <w:t xml:space="preserve">      demás" (párr. 22).</w:t>
        <w:br/>
        <w:br/>
        <w:t>24.   Pretender hacer cesar  las  consecuencias  de  las  violaciones  puede</w:t>
        <w:br/>
        <w:t>parecer, en determinados casos, un wishful thinking. Como  fue  señalado  en</w:t>
        <w:br/>
        <w:t>un peritaje en la memorable audiencia pública del 06 de marzo de 2003,  ante</w:t>
        <w:br/>
        <w:t>la Corte Interamericana de Derechos Humanos, en  el  presente  caso  Bulacio</w:t>
        <w:br/>
        <w:t>versus Argentina[135], mientras que la persona  que  pierde  su  cónyuge  se</w:t>
        <w:br/>
        <w:t>torna viudo o viuda, el que pierde el padre o la madre  se  torna  huérfano,</w:t>
        <w:br/>
        <w:t>los idiomas (con excepción del hebreo) no tienen un término  correspondiente</w:t>
        <w:br/>
        <w:t>para el padre o la madre que pierde su hijo o hija.  La  única  calificación</w:t>
        <w:br/>
        <w:t>(en  hebreo)  de  esta  situación  traduce  "la  idea  de  abatimiento   del</w:t>
        <w:br/>
        <w:t>alma"[136].</w:t>
        <w:br/>
        <w:br/>
        <w:t>25.   Este vacío semántico se debe a la intensidad del dolor, que  hace  con</w:t>
        <w:br/>
        <w:t>que  los  idiomas  eviten  nominarlo;  hay  situaciones  de  tan  intenso  e</w:t>
        <w:br/>
        <w:t>insoportable dolor que simplemente "no tienen nominación"[137]. Es  como  si</w:t>
        <w:br/>
        <w:t>nadie se atreviera a  caracterizar  la  condición  de  la  persona  que  las</w:t>
        <w:br/>
        <w:t>padezca. En el marco conceptual de lo que se llama - quizás  inadecuadamente</w:t>
        <w:br/>
        <w:t>- "reparaciones",  estamos  ante  un  daño  verdaderamente  irreparable.  La</w:t>
        <w:br/>
        <w:t>restitutio in integrum es una imposibilidad en relación con la violación  no</w:t>
        <w:br/>
        <w:t>sólo del derecho fundamental a la vida, sino, a mi juicio, también de  otros</w:t>
        <w:br/>
        <w:t>derechos humanos, como, v.g., el derecho a la integridad  personal[138].  En</w:t>
        <w:br/>
        <w:t>circunstancias como las aquí consideradas,  -  entre  otras  tantas,  -  las</w:t>
        <w:br/>
        <w:t>reparaciones por violaciones de los  derechos  humanos  proporcionan  a  los</w:t>
        <w:br/>
        <w:t>victimados tan sólo los  medios  para  atenuar  su  sufrimiento,  tornándolo</w:t>
        <w:br/>
        <w:t>menos insoportable, quizás soportable.</w:t>
        <w:br/>
        <w:br/>
        <w:t>26.   Ésquilo evocaba precisamente el "aprendizaje por el  sufrimiento"  (al</w:t>
        <w:br/>
        <w:t>que se refiere el coro en  su  Agamenon[139]).  Las  reparaciones  retienen,</w:t>
        <w:br/>
        <w:t>así,  su  relevancia  (cf.  infra).  Son  ellas  las  que   ayudan   a   los</w:t>
        <w:br/>
        <w:t>sobrevivientes a convivir con su dolor. Y es éste un proceso de  aprendizaje</w:t>
        <w:br/>
        <w:t>que se renueva a cada  día,  -  pero  también  este  aprendizaje  tiene  sus</w:t>
        <w:br/>
        <w:t>límites. La tragedia, que ha sobrevivido al racionalismo, lamenta  el  trato</w:t>
        <w:br/>
        <w:t>inhumano y el desperdicio de él resultante;  en  la  tragedia  no  hay  como</w:t>
        <w:br/>
        <w:t>eludir   la   responsabilidad,   y   tampoco   se   encuentran   medios   de</w:t>
        <w:br/>
        <w:t>compensación[140]. Pero la tragedia también se preocupa con la necesidad  de</w:t>
        <w:br/>
        <w:t>la justicia[141], y, desde sus inicios, ha  comportado  asimismo  un  cierto</w:t>
        <w:br/>
        <w:t>ritual de honor a los muertos[142].</w:t>
        <w:br/>
        <w:br/>
        <w:br/>
        <w:t xml:space="preserve">      III. Reparatio: La Reacción y la Intervención del Derecho.</w:t>
        <w:br/>
        <w:br/>
        <w:br/>
        <w:t>27.   ¿Cuál es el  rol  del  Derecho  en  estas  situaciones-límite?  ¿Quién</w:t>
        <w:br/>
        <w:t>podría prever que, al salir de casa para asistir a un concierto musical,  el</w:t>
        <w:br/>
        <w:t>joven Walter David Bulacio iría a encontrar su muerte? ¿Quién podría  prever</w:t>
        <w:br/>
        <w:t>que, al salir de casa y caminar desprevenido por la calle, el joven  Ernesto</w:t>
        <w:br/>
        <w:t>Rafael Castillo Páez[143] iría igualmente a encontrar su  muerte?  Para  los</w:t>
        <w:br/>
        <w:t>padres de Walter David Bulacio,  de  Ernesto  Rafael  Castillo  Páez,  y  de</w:t>
        <w:br/>
        <w:t>tantos otros jóvenes victimados fatalmente por la violencia y de quienes  no</w:t>
        <w:br/>
        <w:t>se tiene noticia, - ¿qué sentido puede tener la  vida  frente  a  este  daño</w:t>
        <w:br/>
        <w:t>irreparable? Para esta pregunta simplemente no  encuentro  respuesta  en  el</w:t>
        <w:br/>
        <w:t>dominio circunscrito del Derecho, excepto  si  se  relaciona  éste  con  las</w:t>
        <w:br/>
        <w:t>enseñanzas de las humanidades. Sobre los designios del  destino,  ya  se  ha</w:t>
        <w:br/>
        <w:t>advertido que</w:t>
        <w:br/>
        <w:br/>
        <w:t xml:space="preserve">      "en general sólo nos es dado  captar  las  verdades  más  profundas  y</w:t>
        <w:br/>
        <w:t xml:space="preserve">      recónditas mediante imágenes y metáforas. (...) Ese poder oculto (...)</w:t>
        <w:br/>
        <w:t xml:space="preserve">      no puede radicar (...) sino en el misterioso enigma de nuestra  propia</w:t>
        <w:br/>
        <w:t xml:space="preserve">      interioridad, puesto que, en definitiva, el alfa y la  omega  de  toda</w:t>
        <w:br/>
        <w:t xml:space="preserve">      existencia tiene su morada dentro de nosotros mismos"[144].</w:t>
        <w:br/>
        <w:br/>
        <w:t>28.   Frente a las agonías de los tragados por la fuerza del destino  cruel,</w:t>
        <w:br/>
        <w:t>el coro de la tragedia  griega  se  manifiesta,  llorando  su  suerte,  pero</w:t>
        <w:br/>
        <w:t>también  dejando  advertencias  y  enseñanzas  a  los  sobrevivientes.   Sin</w:t>
        <w:br/>
        <w:t>embargo,  no  nos  quedamos  ahí:  hay  un  punto  en  que  el  Derecho  sí,</w:t>
        <w:br/>
        <w:t>interviene. Si, por un lado, la desgracia es atribuible a un determinismo  o</w:t>
        <w:br/>
        <w:t>fatalismo (v.g., decidir salir de casa para asistir  un  concierto  musical,</w:t>
        <w:br/>
        <w:t>sin saber que está uno caminando hacia la muerte),  por  otro  lado  hay  un</w:t>
        <w:br/>
        <w:t>elemento de intervención humana que  no  puede  ser  menoscabado  (v.g.,  la</w:t>
        <w:br/>
        <w:t>violencia causadora de las muertes de inocentes indefensos).</w:t>
        <w:br/>
        <w:br/>
        <w:t>29.   No todo es, pues, obra de los dioses o del azar, no todo es la  fuerza</w:t>
        <w:br/>
        <w:t>ciega del destino; hay también intervención humana en la consumación  de  la</w:t>
        <w:br/>
        <w:t>tragedia. El hecho de que jóvenes como  Walter  David  Bulacio  (en  el  cas</w:t>
        <w:br/>
        <w:t>d'espèce) y Ernesto Rafael Castillo Páez (en otro caso que conoció la  Corte</w:t>
        <w:br/>
        <w:t>Interamericana), en plena  juventud,  en  la  época  de  los  sueños  y  los</w:t>
        <w:br/>
        <w:t>proyectos de vida, hayan conocido, poco antes de su sacrificio,  la  extrema</w:t>
        <w:br/>
        <w:t>violencia con que los seres humanos son  capaces  de  tratarse  unos  a  los</w:t>
        <w:br/>
        <w:t>otros, es seguramente inaceptable.</w:t>
        <w:br/>
        <w:br/>
        <w:t>30.   Es aquí que el Derecho interviene, para frenar  la  crueldad  con  que</w:t>
        <w:br/>
        <w:t>los seres humanos tratan a sus semejantes. Es aquí, en razón  de  ésto,  que</w:t>
        <w:br/>
        <w:t>interviene el Derecho, para  afirmar  su  propio  primado  sobre  la  fuerza</w:t>
        <w:br/>
        <w:t>bruta, para intentar ordenar las relaciones humanas según los ditados de  la</w:t>
        <w:br/>
        <w:t>recta ratio (el derecho natural), para  mitigar  el  sufrimiento  humano,  y</w:t>
        <w:br/>
        <w:t>para hacer la vida, de ese modo, menos insoportable, o quizás soportable,  -</w:t>
        <w:br/>
        <w:t>en el entendimiento de que  la  vida  con  sufrimiento,  y  solidaridad,  es</w:t>
        <w:br/>
        <w:t>preferible a la no-existencia.</w:t>
        <w:br/>
        <w:br/>
        <w:t>31.   Es aquí que el Derecho interviene,  para  reconciliar  los  victimados</w:t>
        <w:br/>
        <w:t>sobrevivientes con su destino, para liberar los seres humanos de  la  fuerza</w:t>
        <w:br/>
        <w:t>bruta y de la venganza. En la tragedia griega clásica,  el  Derecho  todavía</w:t>
        <w:br/>
        <w:t>florecía, in statu nascendi, en la polis, como emanación  de  la  conciencia</w:t>
        <w:br/>
        <w:t>humana. Los confines entre  el  destino  y  el  libre  arbitrio  no  estaban</w:t>
        <w:br/>
        <w:t>todavía bien delineados; y el régimen jurídico de  la  responsabilidad  sólo</w:t>
        <w:br/>
        <w:t>se  formaría  y  gradualmente  se  institucionalizaría  en  época  histórica</w:t>
        <w:br/>
        <w:t>posterior. En la  historia  del  Derecho,  las  reparaciones  emergen  y  se</w:t>
        <w:br/>
        <w:t>cristalizan precisamente para superar la venganza, la justicia  privada.  El</w:t>
        <w:br/>
        <w:t>poder corrosivo  de  esta  última,  destruidor  del  propio  tejido  social,</w:t>
        <w:br/>
        <w:t>encuéntrase demonstrado a cabalidad en  la  tragedia  griega,  y,  antes  de</w:t>
        <w:br/>
        <w:t>ella, en la impresionante Ilíada de Homero.</w:t>
        <w:br/>
        <w:br/>
        <w:t>32.    Es  éste,  en  mi  entendimiento,  el   sentido   original   de   las</w:t>
        <w:br/>
        <w:t>reparaciones, cuando la justicia pública se sobrepone a  la  privada,  y  el</w:t>
        <w:br/>
        <w:t>poder público reacciona ante la violación de  los  derechos  humanos,  dando</w:t>
        <w:br/>
        <w:t>así una satisfacción a las víctimas o sus familiares. El círculo  vicioso  y</w:t>
        <w:br/>
        <w:t>la cadena de las venganzas es interrumpido y superado: se evoluciona  de  la</w:t>
        <w:br/>
        <w:t>túnica ensangrentada  de  Agamenón  a  la  procesión  cívica  final  de  Las</w:t>
        <w:br/>
        <w:t>Euménides, la última obra de  la  trilogía  Orestíada  de  Ésquilo[145].  La</w:t>
        <w:br/>
        <w:t>justicia pública remplaza la venganza privada.</w:t>
        <w:br/>
        <w:br/>
        <w:t>33.   De ahí la importancia de la realización de  la  justicia.  Contra  los</w:t>
        <w:br/>
        <w:t>actos de violencia violatorios de los derechos humanos  se  erige  el  orden</w:t>
        <w:br/>
        <w:t>jurídico (nacional e internacional), para  asegurar  la  prevalencia  de  la</w:t>
        <w:br/>
        <w:t>justicia y, de ese modo, extender satisfacción a las  víctimas  (directas  e</w:t>
        <w:br/>
        <w:t>indirectas). En su obra L'Ordinamento Giuridico, originalmente publicada  en</w:t>
        <w:br/>
        <w:t>1918, el jusfilósofo italiano Santi Romano sostenía que  la  sanción  no  se</w:t>
        <w:br/>
        <w:t>prende a normas jurídicas específicas, sino es inmanente al  orden  jurídico</w:t>
        <w:br/>
        <w:t>como un todo, operando como una "garantía efectiva" de  todos  los  derechos</w:t>
        <w:br/>
        <w:t>subjetivos en dicho orden consagrados[146].</w:t>
        <w:br/>
        <w:br/>
        <w:t>34.   Sin la realización de la justicia no  hay  vestigios  siquiera  de  la</w:t>
        <w:br/>
        <w:t>solidaridad humana, y continúan a retumbar en el vacío  las  expresiones  de</w:t>
        <w:br/>
        <w:t>la desesperación de Hécuba (en el siglo V a.c.), de Cornélie  (en  el  siglo</w:t>
        <w:br/>
        <w:t>XVII), y de todos los injusticiados y victimados por  la  brutalidad  humana</w:t>
        <w:br/>
        <w:t>(en este inicio del siglo XXI). Las reparaciones no pueden ser  privadas  de</w:t>
        <w:br/>
        <w:t>su  gran  sentido  histórico,  de  superación  de  la  venganza  privada   y</w:t>
        <w:br/>
        <w:t>realización de la  justicia  pública.  Lo  que  hoy  día  testimoniamos,  el</w:t>
        <w:br/>
        <w:t>enfoque reducionista  que  tiende  a  equipararlas  a  meras  compensaciones</w:t>
        <w:br/>
        <w:t>pecuniarias (indemnizaciones) por  los  daños  sufridos,  representa,  a  mi</w:t>
        <w:br/>
        <w:t>juicio, una lamentable distorsión de su real sentido[147].</w:t>
        <w:br/>
        <w:br/>
        <w:t>35.   El Derecho, emanado de la conciencia humana y por ésta  movido,  viene</w:t>
        <w:br/>
        <w:t>a  proveer  la  reparatio  (del  latín  reparare,  "disponer   de   nuevo");</w:t>
        <w:br/>
        <w:t>interviene, asimismo, para impedir que el mal vuelva  a  repetirse,  o  sea,</w:t>
        <w:br/>
        <w:t>para establecer, como una de las formas de reparación no-pecuniaria  de  los</w:t>
        <w:br/>
        <w:t>daños resultantes de las violaciones de  derechos  humanos  perpetradas,  la</w:t>
        <w:br/>
        <w:t>garantía de no-repetición de los  hechos  lesivos.  Dicha  garantía  de  no-</w:t>
        <w:br/>
        <w:t>repetición ya tiene su lugar  asegurado  en  el  elenco  de  las  formas  de</w:t>
        <w:br/>
        <w:t>reparación por las violaciones de los derechos humanos.</w:t>
        <w:br/>
        <w:br/>
        <w:t>36.   Su importancia es innegable: no es  mera  casualidad  que,  entre  los</w:t>
        <w:br/>
        <w:t>puntos resolutivos de la  presente  Sentencia  de  la  Corte  Interamericana</w:t>
        <w:br/>
        <w:t>sobre las formas de reparación (ns.  4-13),  figuren  en  primer  lugar  los</w:t>
        <w:br/>
        <w:t>atinentes a la investigación y sanción de los responsables (n. 4)[148]  y  a</w:t>
        <w:br/>
        <w:t>la garantía de no-repetición de los hechos lesivos  (n.  5)[149],  antes  de</w:t>
        <w:br/>
        <w:t>las reparaciones pecuniarias (puntos resolutivos ns. 7-13)[150]. Justicia  y</w:t>
        <w:br/>
        <w:t>garantía  de  no-repetición   conforman   la   reparatio,   para   que   los</w:t>
        <w:br/>
        <w:t>sobrevivientes consigan al menos seguir  viviendo,  o  conviviendo,  con  el</w:t>
        <w:br/>
        <w:t>dolor ya instalado en el cotidiano de sus vidas.</w:t>
        <w:br/>
        <w:br/>
        <w:t>37.   La reparatio no pone  fin  a  lo  ocurrido,  a  la  violación  de  los</w:t>
        <w:br/>
        <w:t>derechos humanos. El mal ya se cometió[151]; mediante la reparatio se  evita</w:t>
        <w:br/>
        <w:t>que se agraven sus consecuencias (por la indiferencia del medio social,  por</w:t>
        <w:br/>
        <w:t>la impunidad, por el olvido). Bajo este prisma, la reparatio se  reviste  de</w:t>
        <w:br/>
        <w:t>doble significado: provee satisfacción (como  forma  de  reparación)  a  las</w:t>
        <w:br/>
        <w:t>víctimas, o sus familiares, cuyos  derechos  han  sido  violados,  al  mismo</w:t>
        <w:br/>
        <w:t>tiempo  en  que  restablece  el  orden  jurídico  quebrantado   por   dichas</w:t>
        <w:br/>
        <w:t>violaciones, - un orden jurídico erigido  sobre  el  pleno  respeto  de  los</w:t>
        <w:br/>
        <w:t>derechos inherentes  a  la  persona  humana[152].  El  orden  jurídico,  así</w:t>
        <w:br/>
        <w:t>restablecido, requiere  la  garantía  de  la  no-repetición  de  los  hechos</w:t>
        <w:br/>
        <w:t>lesivos.</w:t>
        <w:br/>
        <w:br/>
        <w:t>38.   La reparatio dispone de nuevo, reordena la vida de los  sobrevivientes</w:t>
        <w:br/>
        <w:t>victimados, pero  no  logra  eliminar  el  dolor  que  ya  está  incorporado</w:t>
        <w:br/>
        <w:t>ineluctablemente al cotidiano de su existencia. La pérdida  es,  desde  este</w:t>
        <w:br/>
        <w:t>ángulo, rigurosamente  irreparable.  Aún  así,  la  reparatio  es  un  deber</w:t>
        <w:br/>
        <w:t>ineludible de los que tienen por responsabilidad impartir  la  justicia.  En</w:t>
        <w:br/>
        <w:t>una etapa de mayor desarrollo de la conciencia humana,  y  por  consiguiente</w:t>
        <w:br/>
        <w:t>del propio Derecho, resulta indudable que la realización de la  justicia  se</w:t>
        <w:br/>
        <w:t>sobrepone a todo y cualquier obstáculo, inclusive los que se desprenden  del</w:t>
        <w:br/>
        <w:t>ejercicio abusivo de reglas o institutos del derecho positivo, haciendo  así</w:t>
        <w:br/>
        <w:t>imprescriptibles los delitos contra los derechos humanos, - como acertada  y</w:t>
        <w:br/>
        <w:t>significativamente lo reconoce la Corte Interamericana en los párrafos  113-</w:t>
        <w:br/>
        <w:t>118 de la presente Sentencia  en  el  caso  Bulacio.  La  reparatio  es  una</w:t>
        <w:br/>
        <w:t>reacción, en el plano del Derecho, a la crueldad humana, manifestada en  las</w:t>
        <w:br/>
        <w:t>más diversas formas: la  violencia  en  el  trato  con  los  semejantes,  la</w:t>
        <w:br/>
        <w:t>impunidad de los responsables por parte del poder público,  la  indiferencia</w:t>
        <w:br/>
        <w:t>y el olvido del medio social.</w:t>
        <w:br/>
        <w:br/>
        <w:t>39.   Esta reacción del  orden  jurídico  quebrantado  (cuyo  substratum  es</w:t>
        <w:br/>
        <w:t>precisamente la observancia de los derechos humanos)  se  mueve,  en  última</w:t>
        <w:br/>
        <w:t>instancia, por el espíritu de solidaridad humana. Esta  última,  a  su  vez,</w:t>
        <w:br/>
        <w:t>enseña que el olvido es inadmisible, por la ausencia  que  implica  de  toda</w:t>
        <w:br/>
        <w:t>solidaridad de los vivos con sus muertos. Aunque la sociedad "moderna" y  la</w:t>
        <w:br/>
        <w:t>"postmoderna" estimulen en vano la frivolidad (del  consumo)  y  lo  efímero</w:t>
        <w:br/>
        <w:t>(del presente), no logran despojar el ser humano de su  ineluctable  soledad</w:t>
        <w:br/>
        <w:t>ante la muerte (la de los seres queridos y  la  propia).  La  muerte  se  ha</w:t>
        <w:br/>
        <w:t>mostrado secularmente ligada a lo  que  se  supone  ser  la  revelación  del</w:t>
        <w:br/>
        <w:t>destino, y es sobre todo en la muerte que cada uno  toma  conciencia  de  su</w:t>
        <w:br/>
        <w:t>individualidad[153].</w:t>
        <w:br/>
        <w:br/>
        <w:t>40.    La  reparación,  así  entendida,  comportando,  en  el  marco  de  la</w:t>
        <w:br/>
        <w:t>realización  de  la  justicia,  la  satisfacción  a  las  víctimas  (o   sus</w:t>
        <w:br/>
        <w:t>familiares) y la garantía de no-repetición de  los  hechos  lesivos,  -  tal</w:t>
        <w:br/>
        <w:t>como es sostenida por la Corte Interamericana en la  presente  Sentencia  en</w:t>
        <w:br/>
        <w:t>el caso Bulacio versus Argentina, - se reviste de innegable importancia.  El</w:t>
        <w:br/>
        <w:t>rechazo de la indiferencia y del olvido, y la garantía de  no-repetición  de</w:t>
        <w:br/>
        <w:t>las violaciones, son manifestaciones de los lazos de solidaridad  entre  los</w:t>
        <w:br/>
        <w:t>victimados y los potencialmente victimables, en el mundo  violento  y  vacío</w:t>
        <w:br/>
        <w:t>de valores en que vivimos. Es, en última instancia, una expresión  elocuente</w:t>
        <w:br/>
        <w:t>de los lazos de solidaridad que unen los vivos a sus  muertos[154].  O,  más</w:t>
        <w:br/>
        <w:t>precisamente, de los lazos  de  solidaridad  que  unen  los  muertos  a  sus</w:t>
        <w:br/>
        <w:t>sobrevivientes, como se estuvieron aquéllos diciendo a éstos: no  hagan  con</w:t>
        <w:br/>
        <w:t>otros lo que hicieron con nosotros y  con  nuestros  padres  sobrevivientes,</w:t>
        <w:br/>
        <w:t>para que puedan ellos y sus  hijos  seguir  teniendo  una  vida  sencilla  y</w:t>
        <w:br/>
        <w:t>feliz, quizás sin saberlo.</w:t>
        <w:br/>
        <w:t xml:space="preserve">                                  Antônio Augusto Cançado Trindade</w:t>
        <w:br/>
        <w:t xml:space="preserve">                                                 Juez</w:t>
        <w:br/>
        <w:br/>
        <w:t>Manuel E. Ventura Robles</w:t>
        <w:br/>
        <w:t xml:space="preserve">       Secretario</w:t>
        <w:br/>
        <w:br/>
        <w:t>VOTO RAZONADO CONCURRENTE DEL JUEZ SERGIO GARCÍA RAMÍREZ</w:t>
        <w:br/>
        <w:t xml:space="preserve">                        A LA SENTENCIA DICTADA POR LA</w:t>
        <w:br/>
        <w:t xml:space="preserve">                  CORTE INTERAMERICANA DE DERECHOS HUMANOS</w:t>
        <w:br/>
        <w:t xml:space="preserve">                      EN EL CASO BULACIO VS. ARGENTINA</w:t>
        <w:br/>
        <w:t xml:space="preserve">                        EL 18 DE SEPTIEMBRE DEL 2003</w:t>
        <w:br/>
        <w:br/>
        <w:br/>
        <w:t>1.    Coincido con los integrantes de la Corte en la Sentencia a la  que  se</w:t>
        <w:br/>
        <w:t>refiere este Voto razonado concurrente, que emito para  precisar,  desde  mi</w:t>
        <w:br/>
        <w:t>propia perspectiva, el alcance de  algunos  conceptos  incorporados  en  esa</w:t>
        <w:br/>
        <w:t>Sentencia, a la luz de sus antecedentes y de la solicitud  que  las  partes,</w:t>
        <w:br/>
        <w:t>de común acuerdo, sometieron a  la  Corte  Interamericana  en  relación  con</w:t>
        <w:br/>
        <w:t>ciertos aspectos del derecho y las medidas aplicables a los menores.</w:t>
        <w:br/>
        <w:br/>
        <w:t>2.    Es relevante observar que la  jurisdicción  interamericana  ha  tenido</w:t>
        <w:br/>
        <w:t>oportunidad de pronunciarse en relación  con  estos  extremos  tanto  en  el</w:t>
        <w:br/>
        <w:t>ejercicio de sus  atribuciones  consultivas  como  en  el  desempeño  de  su</w:t>
        <w:br/>
        <w:t>competencia contenciosa. Lo primero ocurrió, en fecha reciente, a través  de</w:t>
        <w:br/>
        <w:t>la Opinión Consultiva OC-17/2002, de 28 de agosto de 2002,  sobre  Condición</w:t>
        <w:br/>
        <w:t>jurídica  y  derechos  humanos  del  niño,  a  solicitud  de   la   Comisión</w:t>
        <w:br/>
        <w:t>Interamericana de Derechos Humanos, y lo  segundo  en  la  actual  Sentencia</w:t>
        <w:br/>
        <w:t>dictada en el Caso Bulacio vs. Argentina. La Corte tiene  en  estudio  otros</w:t>
        <w:br/>
        <w:t>planteamientos contenciosos que también  atañen  a  cuestiones  relativas  a</w:t>
        <w:br/>
        <w:t>menores de edad.</w:t>
        <w:br/>
        <w:br/>
        <w:t>3.    Es así que la jurisdicción interamericana se ha podido  ocupar  en  un</w:t>
        <w:br/>
        <w:t>tema  descollante  que   hoy   día   suscita   numerosas   interrogantes   y</w:t>
        <w:br/>
        <w:t>controversias, se refiere a un gran número de habitantes de  los  países  de</w:t>
        <w:br/>
        <w:t>nuestro Continente, que se caracterizan  por  tener  una  elevada  población</w:t>
        <w:br/>
        <w:t>juvenil, y corresponde a una materia a la que han  llegado,  sobre  todo  en</w:t>
        <w:br/>
        <w:t>los últimos  años,  las  novedades  que  derivan  de  nuevas  corrientes  de</w:t>
        <w:br/>
        <w:t>pensamiento  y  se   concretan   en   diversas   reformas   legislativas   e</w:t>
        <w:br/>
        <w:t>institucionales. En este ámbito figuran la  Convención  sobre  los  Derechos</w:t>
        <w:br/>
        <w:t>del Niño, de  1989,  y  otros  instrumentos  referentes,  en  particular,  a</w:t>
        <w:br/>
        <w:t>infracciones atribuidas a estos sujetos y  a  la  jurisdicción  destinada  a</w:t>
        <w:br/>
        <w:t>conocer tales casos, como las Reglas Mínimas de las Naciones Unidas para  la</w:t>
        <w:br/>
        <w:t>Administración de Justicia a Menores  (Reglas  de  Beijing),  de  1985,  las</w:t>
        <w:br/>
        <w:t>Reglas Mínimas de las Naciones Unidas sobre las Medidas no Privativas de  la</w:t>
        <w:br/>
        <w:t>Libertad (Reglas de Tokio), de 1990,  y  las  Directrices  de  las  Naciones</w:t>
        <w:br/>
        <w:t>Unidas para la  Prevención  de  la  Delincuencia  Infantil  (Directrices  de</w:t>
        <w:br/>
        <w:t>Riad), de 1990.</w:t>
        <w:br/>
        <w:br/>
        <w:t>4.    En  este  marco,  impulsado  por  una  modificación  profunda  en  las</w:t>
        <w:br/>
        <w:t>circunstancias por las que atraviesa la vida de los menores de edad y en  la</w:t>
        <w:br/>
        <w:t>actuación, a este respecto, de las instancias sociales  y  los  órganos  del</w:t>
        <w:br/>
        <w:t>Estado,  se  ha  operado  una  importante  evolución  en  las  ideas  y  las</w:t>
        <w:br/>
        <w:t>instituciones jurídicas. Hemos debido revisar  anteriores  planteamientos  y</w:t>
        <w:br/>
        <w:t>ajustar puntos de vista y sugerencias. Así lo manifesté,  en  lo  que  a  mí</w:t>
        <w:br/>
        <w:t>respecta, en mi Voto concurrente a la Opinión Consultiva OC-17/2002.</w:t>
        <w:br/>
        <w:br/>
        <w:t>5.    En dicho Voto sostuve  la  pertinencia  de  superar  el  debate  entre</w:t>
        <w:br/>
        <w:t>escuelas y arribar a soluciones de síntesis, que  tomen  lo  mejor  de  cada</w:t>
        <w:br/>
        <w:t>doctrina, aquello que tiene carácter benéfico y puede ser, en  consecuencia,</w:t>
        <w:br/>
        <w:t>perdurable, y de esta manera procuren aliviar la suerte  de  los  menores  y</w:t>
        <w:br/>
        <w:t>contribuir a su verdadera protección y a su  genuino  desarrollo.  En  otros</w:t>
        <w:br/>
        <w:t>términos, ha “llegado el momento de abandonar el falso  dilema  y  reconocer</w:t>
        <w:br/>
        <w:t>los dilemas verdaderos  que  pueblan  este  campo”.  La  síntesis  propuesta</w:t>
        <w:br/>
        <w:t>“retendría (por una parte)  el  designio  tutelar  del  niño,  a  título  de</w:t>
        <w:br/>
        <w:t>persona con específicas necesidades de protección,  al  que  debe  atenderse</w:t>
        <w:br/>
        <w:t>con medidas de este carácter, mejor que con  remedios  propios  del  sistema</w:t>
        <w:br/>
        <w:t>penal de los adultos”, como se desprende  claramente  de  la  Convención  de</w:t>
        <w:br/>
        <w:t>1989, las Reglas de Beijing, las Directrices de Riad y las Reglas de  Tokio.</w:t>
        <w:br/>
        <w:t>Y por otra parte,   esa  síntesis  “adoptaría  las  exigencias  básicas  del</w:t>
        <w:br/>
        <w:t>garantismo: derechos y garantías del menor”, que igualmente recogen, con  el</w:t>
        <w:br/>
        <w:t>más vivo interés, aquellos  instrumentos  internacionales,  en  los  que  se</w:t>
        <w:br/>
        <w:t>expresa el estado actual de esta materia (párrs. 24 y 25).</w:t>
        <w:br/>
        <w:br/>
        <w:t>6.    En la Sentencia  del  Caso  Bulacio  vs.  Argentina  se  mencionan  el</w:t>
        <w:br/>
        <w:t>reconocimiento de responsabilidad que formuló el  Estado  y  el  acuerdo  de</w:t>
        <w:br/>
        <w:t>solución amistosa suscrito por éste, la Comisión Interamericana de  Derechos</w:t>
        <w:br/>
        <w:t>Humanos y los representantes de los familiares  de  la  víctima,  el  26  de</w:t>
        <w:br/>
        <w:t>febrero de 2003. Se trata de dos actos jurídicos convergentes,  que  guardan</w:t>
        <w:br/>
        <w:t>relación entre sí, aunque cada uno posee naturaleza propia  y  trae  consigo</w:t>
        <w:br/>
        <w:t>consecuencias jurídicas específicas. En la Sentencia  se  indica  --conviene</w:t>
        <w:br/>
        <w:t>subrayarlo-- que  ese  acuerdo  “constituye  una  contribución  positiva  al</w:t>
        <w:br/>
        <w:t>desarrollo de este proceso y a la vigencia de los  principios  que  inspiran</w:t>
        <w:br/>
        <w:t>la Convención Americana” (párr. 37). Anteriormente,  el  Estado  asumió  una</w:t>
        <w:br/>
        <w:t>conducta semejante en otro asunto contencioso (Cfr.  CIDH,  Caso  Garrido  y</w:t>
        <w:br/>
        <w:t>Baigorria,  Sentencia  del  2  de  febrero  de  1996.  Serie  C  No.  26,  y</w:t>
        <w:br/>
        <w:t>Reparaciones (art. 63.1 de la Convención Americana sobre Derechos  Humanos),</w:t>
        <w:br/>
        <w:t>Sentencia de 27 de agosto de 1998. Serie C No. 39). Es por ello  que  en  la</w:t>
        <w:br/>
        <w:t>presente Sentencia “el Tribunal destaca la  buena  fe  que  ha  mostrado  el</w:t>
        <w:br/>
        <w:t>Estado  argentino  ante  esta  jurisdicción  (…),  lo  cual   demuestra   el</w:t>
        <w:br/>
        <w:t>compromiso del Estado con el respeto y la vigencia de los derechos  humanos”</w:t>
        <w:br/>
        <w:t>(párr. 37).</w:t>
        <w:br/>
        <w:br/>
        <w:t>7.    El reconocimiento de responsabilidad  internacional  abarca  hechos  y</w:t>
        <w:br/>
        <w:t>pretensiones y determina la conclusión del litigio sobre  el  fondo  --salvo</w:t>
        <w:br/>
        <w:t>que este Tribunal disponga otra cosa, en función de las atribuciones que  le</w:t>
        <w:br/>
        <w:t>concede el  artículo  54  del  Reglamento  de  la  Corte  Interamericana  de</w:t>
        <w:br/>
        <w:t>Derechos Humanos, cosa que no ha ocurrido en el presente  caso--  y  permite</w:t>
        <w:br/>
        <w:t>avanzar en la determinación de algunas consecuencias de los hechos, como  se</w:t>
        <w:br/>
        <w:t>hace en esta Sentencia. Es posible  suponer,  por  otra  parte,  que  en  un</w:t>
        <w:br/>
        <w:t>reconocimiento de responsabilidad pueden coincidir dos  figuras  procesales,</w:t>
        <w:br/>
        <w:t>ambas con repercusiones materiales,  tomando   en   cuenta  el  alcance  que</w:t>
        <w:br/>
        <w:t>aquél reviste: confesión y allanamiento. En efecto --escribe Alcalá-Zamora--</w:t>
        <w:br/>
        <w:t>, el allanamiento es “un acto de disposición, o de  renuncia  de  derechos”:</w:t>
        <w:br/>
        <w:t>renuncia al derecho de defensa (El allanamiento en el proceso  penal,  EJEA,</w:t>
        <w:br/>
        <w:t>Buenos Aires, 1962, pp. 129 y ss.). La “confesión se contrae a  afirmaciones</w:t>
        <w:br/>
        <w:t>de  hecho  y  el  allanamiento,  a   la   pretensión   jurídica”   (Proceso,</w:t>
        <w:br/>
        <w:t>autocomposición y autodefensa (Contribución al  estudio  de  los  fines  del</w:t>
        <w:br/>
        <w:t>proceso),  Universidad   Nacional   Autónoma   de   México,   Instituto   de</w:t>
        <w:br/>
        <w:t>Investigaciones Jurídicas, 3ª ed.,  México, 1991, p. 96).</w:t>
        <w:br/>
        <w:br/>
        <w:t>8.    Sin embargo, para los efectos de este caso ha bastado a la  Corte  con</w:t>
        <w:br/>
        <w:t>recoger el reconocimiento de responsabilidad que hace el  Estado  --expuesto</w:t>
        <w:br/>
        <w:t>en el acuerdo entre las partes y confirmado en la audiencia  celebrada  ante</w:t>
        <w:br/>
        <w:t>el Tribunal-- por lo que toca a la violación de  diversos  preceptos  de  la</w:t>
        <w:br/>
        <w:t>Convención Americana, que se mencionan específicamente y que abarcan,  entre</w:t>
        <w:br/>
        <w:t>otros, los derechos a la integridad y a la vida: artículos 2, 4, 5, 7,  8  y</w:t>
        <w:br/>
        <w:t>25. Lógicamente, el reconocimiento de responsabilidad supone que  el  Estado</w:t>
        <w:br/>
        <w:t>considera que hubo, en efecto, conductas de sus agentes que significaron  la</w:t>
        <w:br/>
        <w:t>afectación de derechos de la víctima en puntos tales como  la  integridad  y</w:t>
        <w:br/>
        <w:t>la vida. El incumplimiento del deber de custodia que admite el  Estado  --al</w:t>
        <w:br/>
        <w:t>que me referiré nuevamente, infra, párrs. 22-24, cuando examine  la  calidad</w:t>
        <w:br/>
        <w:t>de garante que asume  el  Estado  con  respecto  a  personas  sujetas  a  su</w:t>
        <w:br/>
        <w:t>jurisdicción y control inmediato--,  puede  comprender  diversas  conductas,</w:t>
        <w:br/>
        <w:t>tanto activas como omisivas, que conducen  a  vulnerar  bienes  jurídicos  y</w:t>
        <w:br/>
        <w:t>derechos contenidos en  la  Convención:  una  vulneración  que  abarca,  por</w:t>
        <w:br/>
        <w:t>ejemplo, la integridad y la vida.</w:t>
        <w:br/>
        <w:br/>
        <w:t>9.    En todo caso, las partes han  acreditado  su  interés  en  hallar  ese</w:t>
        <w:br/>
        <w:t>“espacio de consenso” al que se refiere la  teoría  procesal  contemporánea,</w:t>
        <w:br/>
        <w:t>que permite  alcanzar  soluciones  convenientes  y  convenidas  --cuando  es</w:t>
        <w:br/>
        <w:t>posible hacerlo y en la medida en  que  lo  sea--,  que  para  construir  la</w:t>
        <w:br/>
        <w:t>solución de la contienda sobre la voluntad misma de  los  litigantes,  y  no</w:t>
        <w:br/>
        <w:t>sólo sobre la decisión de un tercero, el órgano  jurisdiccional.  La  opción</w:t>
        <w:br/>
        <w:t>por esta alternativa del proceso --sea que excluya  de  plano  todo  proceso</w:t>
        <w:br/>
        <w:t>jurisdiccional, sea que haga innecesarios algunos actos o ciertas etapas  de</w:t>
        <w:br/>
        <w:t>éste-- contribuye significativamente a  la  apertura  de  vías  practicables</w:t>
        <w:br/>
        <w:t>para alcanzar los fines que pretende la  justicia  en  materia  de  derechos</w:t>
        <w:br/>
        <w:t>humanos. En otros casos han existido actos de este carácter, ya no  sólo  en</w:t>
        <w:br/>
        <w:t>el procedimiento seguido ante la Comisión Interamericana, en el que  existe,</w:t>
        <w:br/>
        <w:t>explícitamente, la posibilidad  de  solución  amistosa  propiciada  por  ese</w:t>
        <w:br/>
        <w:t>órgano del sistema, sino también durante el proceso incoado ante la Corte.</w:t>
        <w:br/>
        <w:br/>
        <w:t>10.   En el acuerdo suscrito entre las partes se requiere a la Corte  “tenga</w:t>
        <w:br/>
        <w:t>a bien pronunciarse sobre las cuestiones de derecho discutidas en  el  caso,</w:t>
        <w:br/>
        <w:t>en lo correspondiente a la  aplicación  del  artículo  7  de  la  Convención</w:t>
        <w:br/>
        <w:t>Americana sobre Derechos Humanos (que se refiere  a  diversos  aspectos  del</w:t>
        <w:br/>
        <w:t>derecho a la libertad personal y las afectaciones y restricciones de  éste),</w:t>
        <w:br/>
        <w:t>en el marco de lo establecido  por  la  Honorable  Corte  Interamericana  de</w:t>
        <w:br/>
        <w:t>Derechos Humanos en su Opinión Consultiva No. 17”. Esta solicitud entraña --</w:t>
        <w:br/>
        <w:t>y así lo entiende la Sentencia-- la posibilidad de que el  Tribunal  formule</w:t>
        <w:br/>
        <w:t>“consideraciones relacionadas con las condiciones de detención de los  niños</w:t>
        <w:br/>
        <w:t>y, en particular, acerca de la privación de la libertad a los niños”  (párr.</w:t>
        <w:br/>
        <w:t>122). Estas consideraciones se harían a partir de los hechos  que  motivaron</w:t>
        <w:br/>
        <w:t>la demanda --los hechos específicos en los que fue víctima el  joven  Walter</w:t>
        <w:br/>
        <w:t>David Bulacio--, pero tendrían un contenido y  una  trascendencia  que  iría</w:t>
        <w:br/>
        <w:t>más allá del caso concreto. Desde  luego,  la  facultad  de  la  Corte  para</w:t>
        <w:br/>
        <w:t>examinar estos extremos y pronunciarse al respecto deriva  del  artículo  2º</w:t>
        <w:br/>
        <w:t>de la Convención, referente a las medidas que un Estado  debe  adoptar  para</w:t>
        <w:br/>
        <w:t>dar cumplimiento a sus obligaciones convencionales en  materia  de  derechos</w:t>
        <w:br/>
        <w:t>humanos.</w:t>
        <w:br/>
        <w:br/>
        <w:t>11.   En este orden de consideraciones, la propia Corte ha  establecido  sus</w:t>
        <w:br/>
        <w:t>criterios en la mencionada Opinión Consultiva OC-17/2002, que  puede  servir</w:t>
        <w:br/>
        <w:t>como referencia para la regulación en torno a los menores  infractores  y  a</w:t>
        <w:br/>
        <w:t>otros menores sujetos, por algún motivo, a la protección del Estado. De  los</w:t>
        <w:br/>
        <w:t>principios  y  las  normas  invocados  en  esa  Opinión,  así  como  de  las</w:t>
        <w:br/>
        <w:t>manifestaciones contenidas en esta misma, proviene un  variado  conjunto  de</w:t>
        <w:br/>
        <w:t>regencias que contribuyen a establecer los estándares internacionales en  la</w:t>
        <w:br/>
        <w:t>materia  que  nos  ocupa.  La  instancia  colegiada  cuya  constitución   se</w:t>
        <w:br/>
        <w:t>requiere,  podrá  tomar  en  cuenta  dichos  estándares  para  formular  las</w:t>
        <w:br/>
        <w:t>reflexiones y recomendaciones que estime pertinentes.</w:t>
        <w:br/>
        <w:br/>
        <w:t>12.   Entiendo que esa constructiva solicitud de las  partes,  contenida  en</w:t>
        <w:br/>
        <w:t>la segunda cláusula del acuerdo del 26 de febrero del 2003,  no  entraña  la</w:t>
        <w:br/>
        <w:t>declinación, por parte del Estado, de sus atribuciones regulatorias en  esta</w:t>
        <w:br/>
        <w:t>materia, que tienen su origen en derechos y obligaciones propios del  Estado</w:t>
        <w:br/>
        <w:t>mismo, ni evita o condiciona  que  éste  lleve  adelante  las  reformas  que</w:t>
        <w:br/>
        <w:t>considere pertinentes  y  sean  consecuentes  con  sus  deberes  internos  e</w:t>
        <w:br/>
        <w:t>internacionales arraigados en el ordenamiento nacional y en el Pacto de  San</w:t>
        <w:br/>
        <w:t>José. Seguramente estas reformas serán más  extensas  y  pormenorizadas  que</w:t>
        <w:br/>
        <w:t>las que plantea, de manera enunciativa  y  no  exhaustiva  --puesto  que  se</w:t>
        <w:br/>
        <w:t>trata de normas sobre derechos humanos, siempre abiertas al  progreso--,  la</w:t>
        <w:br/>
        <w:t>Sentencia a la que agrego el presente Voto, y  se  orientarán  en  el  mismo</w:t>
        <w:br/>
        <w:t>sentido de otras ya realizadas, de las  que  el  Estado  informa  y  que  la</w:t>
        <w:br/>
        <w:t>Sentencia menciona (párr. 108.b). El órgano de consulta que  se  establecerá</w:t>
        <w:br/>
        <w:t>(párr. 144) podrá constituir un valioso auxiliar para el  progreso  de  este</w:t>
        <w:br/>
        <w:t>sector del orden jurídico y de las prácticas correspondientes.</w:t>
        <w:br/>
        <w:br/>
        <w:t>13.   En su regulación sobre la conducta infractora de los menores  de  edad</w:t>
        <w:br/>
        <w:t>y acerca de la correspondiente reacción jurídica, el Estado legisla y  actúa</w:t>
        <w:br/>
        <w:t>en diversas vertientes, que son otros tantos aspectos  de  un  conjunto:  la</w:t>
        <w:br/>
        <w:t>justicia a cargo del poder público, establecida con  fundamento  en  ciertos</w:t>
        <w:br/>
        <w:t>principios y conceptos propios de una sociedad democrática.  Esta  expresión</w:t>
        <w:br/>
        <w:t>de la justicia --o bien, esta función  controladora  del  Estado--  no  sólo</w:t>
        <w:br/>
        <w:t>debe asegurar, como en efecto debe, la  satisfacción  del  interés  público,</w:t>
        <w:br/>
        <w:t>sino también la observancia de los intereses legítimos  y  los  derechos  de</w:t>
        <w:br/>
        <w:t>los particulares, en los términos que caracterizan al Estado de Derecho.  En</w:t>
        <w:br/>
        <w:t>rigor, esta  observancia  es  también  inherente  al  interés  público,  que</w:t>
        <w:br/>
        <w:t>padecería si se violentara la  dignidad  del  individuo  y  se  negaran  sus</w:t>
        <w:br/>
        <w:t>derechos. Los aspectos a considerar en este caso son  los  relacionados  con</w:t>
        <w:br/>
        <w:t>los extremos sustantivos  o  materiales  y  adjetivos  o  procesales  de  la</w:t>
        <w:br/>
        <w:t>justicia de  menores  infractores  --o  supuestamente  infractores--,  entre</w:t>
        <w:br/>
        <w:t>éstos los concernientes a medidas de coerción o aseguramiento, así  como  la</w:t>
        <w:br/>
        <w:t>ejecución de las medidas que dispongan las autoridades competentes.</w:t>
        <w:br/>
        <w:br/>
        <w:t>14.   Una vez más es preciso subrayar la condición  de  último  recurso  que</w:t>
        <w:br/>
        <w:t>posee el control social penal o  cuasipenal,  como  es  el  atinente  a  los</w:t>
        <w:br/>
        <w:t>menores de edad. Las figuras de  conducta  que  justifican  la  intervención</w:t>
        <w:br/>
        <w:t>sancionadora del Estado deben referirse a verdaderas afectaciones  indebidas</w:t>
        <w:br/>
        <w:t>de bienes jurídicos,  previstas  legalmente,  no  apenas  a  situaciones  de</w:t>
        <w:br/>
        <w:t>supuesto riesgo o peligro que hagan  sospechar  --conforme  al  arbitrio  de</w:t>
        <w:br/>
        <w:t>quienes las observan-- la posibilidad de que ocurra una transgresión, y  con</w:t>
        <w:br/>
        <w:t>este “fundamento” pongan en curso el aparato  represivo  del  Estado.  Y  en</w:t>
        <w:br/>
        <w:t>todo caso es preciso establecer una clasificación racional de las  conductas</w:t>
        <w:br/>
        <w:t>ilícitas, distribuidas en  categorías  bien  sustentadas,  que  advierta  la</w:t>
        <w:br/>
        <w:t>diferente gravedad de las infracciones y regule en consecuencia la  reacción</w:t>
        <w:br/>
        <w:t>jurídica, sin  incurrir  en  excesos  propios  de  un  sistema  autoritario.</w:t>
        <w:br/>
        <w:t>Ciertamente hay que prevenir conductas lesivas  de  bienes  jurídicos,  y  a</w:t>
        <w:br/>
        <w:t>este fin sirve la función de policía en  el  Estado  de  Derecho,  pero  esa</w:t>
        <w:br/>
        <w:t>prevención no legitima  acciones  ilimitadas  frente  al  comportamiento  de</w:t>
        <w:br/>
        <w:t>jóvenes que no vulneran el orden jurídico, o lo quebrantan con  acciones  de</w:t>
        <w:br/>
        <w:t>escasa entidad o lesividad que no constituyen delitos ni  debieran  acarrear</w:t>
        <w:br/>
        <w:t>el trato y las consecuencias inherentes a éstos.</w:t>
        <w:br/>
        <w:br/>
        <w:t>15.   La fractura de los límites  para  la  actuación  represiva  del  poder</w:t>
        <w:br/>
        <w:t>público y la invasión de los naturales espacios de libertad de las  personas</w:t>
        <w:br/>
        <w:t>--menores de edad, en la especie-- constituye un  serio  peligro,  este  sí,</w:t>
        <w:br/>
        <w:t>para el Estado de Derecho. De todo ello resulta la necesidad de respetar  el</w:t>
        <w:br/>
        <w:t>ámbito del comportamiento libre  y  establecer  cuidadosamente,  dentro  del</w:t>
        <w:br/>
        <w:t>marco de la  ley,  aquellos  actos  que  implican  lesión  grave  de  bienes</w:t>
        <w:br/>
        <w:t>jurídicos, frente a los cuales resulte legítimo --conforme a un criterio  de</w:t>
        <w:br/>
        <w:t>legitimidad material, no apenas formal--  poner  en  movimiento  la  función</w:t>
        <w:br/>
        <w:t>punitiva, deslindándolos de infracciones menores, que  deben  ser  atendidas</w:t>
        <w:br/>
        <w:t>con otras medidas e instrumentos, públicos y privados.</w:t>
        <w:br/>
        <w:br/>
        <w:t>16.   En este sentido, es preciso emplear  medios  legítimos  para  alcanzar</w:t>
        <w:br/>
        <w:t>soluciones  justas.  Esto  comprende  los   procedimientos   seguidos   ante</w:t>
        <w:br/>
        <w:t>instancias  del  Estado,  que  resolverán  en  definitiva,  y  los   métodos</w:t>
        <w:br/>
        <w:t>alternativos que extraen  de  la  justicia  pública  el  conocimiento  y  la</w:t>
        <w:br/>
        <w:t>solución del problema.  En  el  procedimiento  debe  prevalecer  también  el</w:t>
        <w:br/>
        <w:t>principio garantista, que no impide la actuación del Estado conforme  a  sus</w:t>
        <w:br/>
        <w:t>atribuciones y fines legítimos, pero pone en manos de  los  particulares  la</w:t>
        <w:br/>
        <w:t>posibilidad de ejercer ampliamente el derecho a la defensa,  con  todas  las</w:t>
        <w:br/>
        <w:t>facultades y actuaciones que éste entraña.</w:t>
        <w:br/>
        <w:br/>
        <w:t>17.   En este  ámbito  deben  operar,  incluso  cuando  se  trate  de  meras</w:t>
        <w:br/>
        <w:t>infracciones, no de crímenes o  delitos,  la  presunción  de  inocencia,  la</w:t>
        <w:br/>
        <w:t>prueba a cargo de la autoridad,  la  provisión  de  abogado  que  ejerza  la</w:t>
        <w:br/>
        <w:t>defensa desde el momento de la detención y presentación del  sujeto  --antes</w:t>
        <w:br/>
        <w:t>de que rinda cualquier declaración  que  pudiera  comprometer  su  situación</w:t>
        <w:br/>
        <w:t>jurídica y determinar  el  resultado  del  procedimiento--,  la  información</w:t>
        <w:br/>
        <w:t>sobre los motivos de la detención y los derechos del detenido, el acceso  al</w:t>
        <w:br/>
        <w:t>expediente que se forme, la posibilidad de utilizar  recursos  expeditos  --</w:t>
        <w:br/>
        <w:t>particularmente  los  que  conciernen  a   la   tutela   de   los   derechos</w:t>
        <w:br/>
        <w:t>fundamentales--, la celeridad del procedimiento y el acceso  a  la  libertad</w:t>
        <w:br/>
        <w:t>provisional.</w:t>
        <w:br/>
        <w:br/>
        <w:t>18.   Es indispensable que el sistema procesal disponga y  asegure  diversas</w:t>
        <w:br/>
        <w:t>medidas de control sobre la  marcha  y  legalidad  del  procedimiento  y  el</w:t>
        <w:br/>
        <w:t>debido desempeño de las autoridades que intervienen en  éste  --medidas  que</w:t>
        <w:br/>
        <w:t>son, en esencia, otros tantos actos y garantías del debido proceso--,  sobre</w:t>
        <w:br/>
        <w:t>todo cuando se desarrolla sobre  menores  de  edad,  que  se  encuentran  en</w:t>
        <w:br/>
        <w:t>situación de especial indefensión y  vulnerabilidad,  y  enfrentan,  por  lo</w:t>
        <w:br/>
        <w:t>tanto, un riesgo  específico  y  mayor  de  que  se  vulneren  sus  derechos</w:t>
        <w:br/>
        <w:t>fundamentales  y  se  afecte  su  existencia,   en   ocasiones   de   manera</w:t>
        <w:br/>
        <w:t>irreparable.</w:t>
        <w:br/>
        <w:br/>
        <w:t>19.   Estos controles, que operan para diversos fines específicos,  implican</w:t>
        <w:br/>
        <w:t>siempre la presencia y la intervención  de  autoridades  o  particulares  en</w:t>
        <w:br/>
        <w:t>apoyo del menor y en procuración o tutela de sus  derechos  e  intereses.  A</w:t>
        <w:br/>
        <w:t>este  conjunto  de  medidas  de  control  corresponden  las   notificaciones</w:t>
        <w:br/>
        <w:t>inmediatas sobre la detención de un menor a sus familiares o  representantes</w:t>
        <w:br/>
        <w:t>o custodios legales, a su abogado --y, en todo  caso,  al  defensor  público</w:t>
        <w:br/>
        <w:t>que pueda actuar inmediatamente--, al cónsul del Estado de su  nacionalidad,</w:t>
        <w:br/>
        <w:t>al  juez  que  debe  establecer  la  legitimidad  de  la  detención   y   la</w:t>
        <w:br/>
        <w:t>justificación del  procedimiento,  al  médico  que  haya  de  acreditar  las</w:t>
        <w:br/>
        <w:t>condiciones físicas y psíquicas en las que se encuentra el menor  y  vigilar</w:t>
        <w:br/>
        <w:t>su evolución en el lugar de detención, y al asistente  o  trabajador  social</w:t>
        <w:br/>
        <w:t>que concurra a establecer y mantener el acceso del menor  a  quienes  pueden</w:t>
        <w:br/>
        <w:t>brindarle atención y protección.</w:t>
        <w:br/>
        <w:br/>
        <w:t>20.   Las medidas cautelares y de coerción --ante todo, la detención misma--</w:t>
        <w:br/>
        <w:t xml:space="preserve"> deben organizarse conforme a los criterios de  razonabilidad,  necesidad  y</w:t>
        <w:br/>
        <w:t>proporcionalidad, sin perder de vista el carácter  excepcional  que  debiera</w:t>
        <w:br/>
        <w:t>tener,  en  el  orden  jurídico  de  una  sociedad  democrática,   cualquier</w:t>
        <w:br/>
        <w:t>restricción  precautoria  de  derechos.  Frecuentemente  se  han  denunciado</w:t>
        <w:br/>
        <w:t>ciertas prácticas de detención colectiva --bajo la denominación de  razzias,</w:t>
        <w:br/>
        <w:t>entre  otras--,  que  corresponden  a  la   insostenible   lógica   de   las</w:t>
        <w:br/>
        <w:t>imputaciones  generales,   independientemente   de   las   responsabilidades</w:t>
        <w:br/>
        <w:t>individuales. Si la afectación de un derecho debe ser  consecuencia  de  una</w:t>
        <w:br/>
        <w:t>infracción prevista en la  ley,  y  la  responsabilidad  de  la  persona  es</w:t>
        <w:br/>
        <w:t>estrictamente  individual,  los  medios  de  coerción  y  cautelares   deben</w:t>
        <w:br/>
        <w:t>fundarse, asimismo, en la realización de conductas  previstas  y  proscritas</w:t>
        <w:br/>
        <w:t>por la norma general y en consideraciones individuales  que  establezcan  el</w:t>
        <w:br/>
        <w:t>nexo claro y probado entre el sujeto infractor y la  medida  restrictiva  de</w:t>
        <w:br/>
        <w:t>los derechos de éste.</w:t>
        <w:br/>
        <w:br/>
        <w:t>21.   La ejecución de medidas coercitivas, de suyo delicadas  y  peligrosas,</w:t>
        <w:br/>
        <w:t>sobre todo cuando atañen a  la  libertad  personal,  debiera  realizarse  en</w:t>
        <w:br/>
        <w:t>espacios físicos adecuados, que no extremen o agraven la  medida,  añadiendo</w:t>
        <w:br/>
        <w:t>a sus naturales consecuencias otros efectos dañinos,  y  estar  a  cargo  de</w:t>
        <w:br/>
        <w:t>personas debidamente seleccionadas y preparadas para  este  desempeño,  bajo</w:t>
        <w:br/>
        <w:t>riguroso control y supervisión.</w:t>
        <w:br/>
        <w:br/>
        <w:t>22.   La Corte Interamericana  de  Derechos  Humanos  ha  sostenido  que  el</w:t>
        <w:br/>
        <w:t>Estado asume una condición de garante,  con  las  obligaciones  respectivas,</w:t>
        <w:br/>
        <w:t>con respecto a los bienes y  derechos  de  quienes  se  hallan  sometidas  a</w:t>
        <w:br/>
        <w:t>privación de libertad bajo la jurisdicción del Estado mismo.  Esta  posición</w:t>
        <w:br/>
        <w:t>de garante trae consigo cierto deber de cuidado, como antes  manifesté,  que</w:t>
        <w:br/>
        <w:t>se traduce en acciones  y  omisiones  cuya  realización  es  necesaria  para</w:t>
        <w:br/>
        <w:t>satisfacer aquél en el caso concreto, conforme a las circunstancias.  No  se</w:t>
        <w:br/>
        <w:t>trata de  deducir  consecuencias  solamente  del  deber  general  del  poder</w:t>
        <w:br/>
        <w:t>público de proveer seguridad y  protección  a  las  personas  sujetas  a  su</w:t>
        <w:br/>
        <w:t>jurisdicción,  sino  de  establecer  el  carácter  específico,   directo   e</w:t>
        <w:br/>
        <w:t>ineludible de ese deber en el caso de quienes están sometidos, de la  manera</w:t>
        <w:br/>
        <w:t>más intensa y completa, de jure y de facto, a  la  potestad  de  autoridades</w:t>
        <w:br/>
        <w:t>públicas que tienen a su cargo la custodia  misma  de  esas  personas  o  el</w:t>
        <w:br/>
        <w:t>control de su situación (un concreto deber de cuidado en  ambos  casos)  aun</w:t>
        <w:br/>
        <w:t>cuando se hallen bajo la atención de un tercero.</w:t>
        <w:br/>
        <w:br/>
        <w:t>23.   Como establecimientos y sistemas, la prisión y  las  instituciones  de</w:t>
        <w:br/>
        <w:t>detención y “tratamiento” para menores de edad corresponden a  la  categoría</w:t>
        <w:br/>
        <w:t>de las “instituciones totales”, en las que la existencia se halla  sujeta  a</w:t>
        <w:br/>
        <w:t>régimen  minucioso  y  exhaustivo.  El  campo  de  la  libertad  se   reduce</w:t>
        <w:br/>
        <w:t>drásticamente en manos del Estado rector de la institución y, por  ende,  de</w:t>
        <w:br/>
        <w:t>la vida de  quienes  se  hallan  “institucionalizados”.  Por  lo  tanto,  el</w:t>
        <w:br/>
        <w:t>Estado, cuyo ámbito de autoridad crece extraordinariamente, debe asumir  las</w:t>
        <w:br/>
        <w:t>consecuencias de esa autoridad. En tal virtud, responde de muchas cosas  que</w:t>
        <w:br/>
        <w:t>normalmente correrían bajo la responsabilidad de los interesados, dueños  de</w:t>
        <w:br/>
        <w:t>su conducta. Por eso tiene un extraordinario  “deber  de  cuidado”,  que  no</w:t>
        <w:br/>
        <w:t>existiría en circunstancias diferentes.</w:t>
        <w:br/>
        <w:br/>
        <w:t>24.   Así, el Estado es garante de la vida, la integridad, la  salud,  entre</w:t>
        <w:br/>
        <w:t>otros  bienes  y  derechos,  de  los  detenidos,  como  lo  es  de  que  las</w:t>
        <w:br/>
        <w:t>restricciones correspondientes a la detención no vayan más allá  de  lo  que</w:t>
        <w:br/>
        <w:t>resulte inherente a ésta, conforme a su naturaleza. En mi  Voto   particular</w:t>
        <w:br/>
        <w:t>concurrente en el Caso Hilaire, Constantine, Benjamin y otros  vs.  Trinidad</w:t>
        <w:br/>
        <w:t>y Tobago, Sentencia del 21 de junio  de  2002,  señalé  que  la  función  de</w:t>
        <w:br/>
        <w:t>garante implica: a) omitir todo  aquello  que  pudiera  infligir  al  sujeto</w:t>
        <w:br/>
        <w:t>privaciones más allá de las estrictamente necesarias para los efectos de  la</w:t>
        <w:br/>
        <w:t>detención o el cumplimiento de la condena, por una parte, y b) proveer  todo</w:t>
        <w:br/>
        <w:t>lo que resulte pertinente --conforme a la ley aplicable-- para asegurar  los</w:t>
        <w:br/>
        <w:t>fines de la reclusión: seguridad y readaptación  social,  regularmente,  por</w:t>
        <w:br/>
        <w:t>la otra”.</w:t>
        <w:br/>
        <w:br/>
        <w:t>25.   Existe, pues, un lindero  preciso  entre  la  actuación  legítima  del</w:t>
        <w:br/>
        <w:t>Estado y la conducta ilícita de  sus  agentes.  Queda  a  cargo  del  Estado</w:t>
        <w:br/>
        <w:t>informar, explicar y justificar, en cada caso particular,  la  reducción  de</w:t>
        <w:br/>
        <w:t>los derechos de una persona, y por supuesto la pérdida misma de sus  bienes,</w:t>
        <w:br/>
        <w:t>principalmente el bien de la vida, cuando esto  ocurre  mientras  el  Estado</w:t>
        <w:br/>
        <w:t>ejerce su función de garante, sea que el resultado lesivo se  produzca  como</w:t>
        <w:br/>
        <w:t>consecuencia de una conducta activa  --o  ésta  signifique,  por  sí  misma,</w:t>
        <w:br/>
        <w:t>violación de las normas internacionales--, sea que provenga de una  conducta</w:t>
        <w:br/>
        <w:t>omisiva, que es la hipótesis que viene al caso, en el  orden  penal,  cuando</w:t>
        <w:br/>
        <w:t>se incurre en comisión por omisión. En cualquier hipótesis, se  trataría  de</w:t>
        <w:br/>
        <w:t>la actuación anómala, indebida o ilícita en  el  desempeño  de  una  función</w:t>
        <w:br/>
        <w:t>pública, que trae consigo la correspondiente  exigencia  de  responsabilidad</w:t>
        <w:br/>
        <w:t>para quienes incurran en ella: responsabilidad del Estado y  responsabilidad</w:t>
        <w:br/>
        <w:t>de las personas. La de éstas debe ser exigida conforme al deber de  justicia</w:t>
        <w:br/>
        <w:t>penal que constituye, como he  mencionado  en  diversas  oportunidades,  una</w:t>
        <w:br/>
        <w:t>especie en el género de las reparaciones.</w:t>
        <w:br/>
        <w:br/>
        <w:t>26.   En esta Sentencia se  menciona  un  tema  relevante  que  la  doctrina</w:t>
        <w:br/>
        <w:t>procesal ha debatido con amplitud:  el  denominado  abuso  de  los  derechos</w:t>
        <w:br/>
        <w:t>procesales, o bien, el abuso del proceso, tema que  guarda  conexión,  a  su</w:t>
        <w:br/>
        <w:t>turno, con el principio de  lealtad  y  probidad  que  debiera  gobernar  el</w:t>
        <w:br/>
        <w:t>desarrollo del proceso. A este  respecto,  la  Sentencia  contiene  diversas</w:t>
        <w:br/>
        <w:t>expresiones sobre el abuso de derechos en el presente caso, por parte de  la</w:t>
        <w:br/>
        <w:t>defensa de un  inculpado,  actitud  que  no  fue  oportuna  y  adecuadamente</w:t>
        <w:br/>
        <w:t>rechazada por determinados órganos jurisdiccionales y que se tradujo en  una</w:t>
        <w:br/>
        <w:t>extraordinaria demora del  procedimiento.  Así,  no  fue  posible  que  éste</w:t>
        <w:br/>
        <w:t>avanzara hasta su culminación natural y se  dio  lugar  a  un  planteamiento</w:t>
        <w:br/>
        <w:t>sobre prescripción de la acción  penal,  cuestión  a  la  que  me  abajo  me</w:t>
        <w:br/>
        <w:t>referiré (párr. 29).</w:t>
        <w:br/>
        <w:br/>
        <w:t>27.   Convengo, desde luego, en la necesidad de observar en el  proceso  una</w:t>
        <w:br/>
        <w:t>conducta consecuente con el objeto y la finalidad de éste. De otra forma  se</w:t>
        <w:br/>
        <w:t>subvertiría este cauce jurídico, alterando su  naturaleza  y  comprometiendo</w:t>
        <w:br/>
        <w:t>sus designios. El proceso no  cumple  su  finalidad   “cuando  se  obstruye,</w:t>
        <w:br/>
        <w:t>altera o dificulta su objetivo de organizar un debate amplio en  el  que  el</w:t>
        <w:br/>
        <w:t>órgano jurisdiccional pueda brindar  una  solución  justa.  La  télesis  del</w:t>
        <w:br/>
        <w:t>proceso se encuentra afectada por el obrar desleal o contrario al  principio</w:t>
        <w:br/>
        <w:t>de probidad”, lo cual lesiona la garantía  de  protección  judicial  de  los</w:t>
        <w:br/>
        <w:t>derechos  (“Relatorio  geral  latino-americano.  Abuso   de   los   derechos</w:t>
        <w:br/>
        <w:t>procesales en América Latina”, en Barbosa Moreira,  José  Carlos  (coord.,),</w:t>
        <w:br/>
        <w:t>Abuso  dos  direitos  processuais,  Instituto  Ibero-Americano  de   Direito</w:t>
        <w:br/>
        <w:t>Processual, Instituto Iberoamericano de Derecho  Procesal/Ed.  Forense,  Rio</w:t>
        <w:br/>
        <w:t>de Janeiro, 2000, p. 31).</w:t>
        <w:br/>
        <w:br/>
        <w:br/>
        <w:t xml:space="preserve">      28.   Corresponde al legislador  regular  el  proceso  y  al  juzgador</w:t>
        <w:br/>
        <w:t>presidirlo y encauzarlo de manera que sirva al  objetivo  para  el  que  fue</w:t>
        <w:br/>
        <w:t>concebido. Ahora bien, nada de esto significa que  se  restrinja  el  empleo</w:t>
        <w:br/>
        <w:t>legítimo de los medios  que  la  ley  autoriza  para  el  desempeño  de  una</w:t>
        <w:br/>
        <w:t>defensa. Ni  se  debe  incurrir  en  autoritarismo  judicial  ni  es  debido</w:t>
        <w:br/>
        <w:t>obstruir la defensa de un inculpado, con el propósito de imprimir  celeridad</w:t>
        <w:br/>
        <w:t>al enjuiciamiento, si esto se hace  a  costa  de  los  derechos  de  quienes</w:t>
        <w:br/>
        <w:t>participan en él y, a la postre, de la justicia  misma.  Considero  que  los</w:t>
        <w:br/>
        <w:t>señalamientos formulados por la Corte, que desde luego  suscribo,  aluden  a</w:t>
        <w:br/>
        <w:t>los hechos  del  caso  examinado,  y  no  pretenden  pronunciarse  sobre  la</w:t>
        <w:br/>
        <w:t>generalidad de las actuaciones de defensa y de las prácticas judiciales.</w:t>
        <w:br/>
        <w:br/>
        <w:t>29. En la Sentencia a la que se agrega este Voto se analiza el  tema  de  la</w:t>
        <w:br/>
        <w:t xml:space="preserve">   prescripción como obstáculo de carácter interno para el  cumplimiento  de</w:t>
        <w:br/>
        <w:t xml:space="preserve">   obligaciones derivadas  del  orden  internacional  y  aceptadas  por  los</w:t>
        <w:br/>
        <w:t xml:space="preserve">   Estados suscriptores de la Convención de Viena sobre el  Derecho  de  los</w:t>
        <w:br/>
        <w:t xml:space="preserve">   Tratados, de 1969  (artículo  27),  y  de  la  Convención  Americana.  En</w:t>
        <w:br/>
        <w:t xml:space="preserve">   diversas oportunidades me he  referido  a  esos  obstáculos  internos,  a</w:t>
        <w:br/>
        <w:t xml:space="preserve">   propósito de las “autoamnistías”  y  de  la  prescripción.  Examino  esta</w:t>
        <w:br/>
        <w:t xml:space="preserve">   última hipótesis en mi Voto concurrente razonado a  la  Resolución  sobre</w:t>
        <w:br/>
        <w:t xml:space="preserve">   cumplimiento de sentencia, dictada por la Corte Interamericana  el  9  de</w:t>
        <w:br/>
        <w:t xml:space="preserve">   este mes, que corresponde al Caso Benavides Cevallos. Me remito a lo  que</w:t>
        <w:br/>
        <w:t xml:space="preserve">   expongo en ese Voto.</w:t>
        <w:br/>
        <w:br/>
        <w:br/>
        <w:br/>
        <w:br/>
        <w:t xml:space="preserve">                                                       Sergio García Ramírez</w:t>
        <w:br/>
        <w:t xml:space="preserve">                                                                        Juez</w:t>
        <w:br/>
        <w:br/>
        <w:br/>
        <w:br/>
        <w:t>Manuel E. Ventura Robles</w:t>
        <w:br/>
        <w:t xml:space="preserve">        Secretario</w:t>
        <w:br/>
        <w:br/>
        <w:t xml:space="preserve">                 VOTO RAZONADO DEL JUEZ RICARDO GIL LAVEDRA</w:t>
        <w:br/>
        <w:br/>
        <w:br/>
        <w:br/>
        <w:br/>
        <w:t xml:space="preserve">     1. En el  escaso  lapso  con  que  cuento  para  efectuar  mi  opinión</w:t>
        <w:br/>
        <w:t xml:space="preserve">        concurrente a la decisión  de  la  Corte,  quisiera  referirme  muy</w:t>
        <w:br/>
        <w:t xml:space="preserve">        brevemente a ciertos aspectos relevantes que, a mi juicio,  plantea</w:t>
        <w:br/>
        <w:t xml:space="preserve">        la sentencia en este caso “Bulacio, Walter David”, como así también</w:t>
        <w:br/>
        <w:t xml:space="preserve">        realizar algunas consideraciones generales sobre el  asunto.  Estos</w:t>
        <w:br/>
        <w:t xml:space="preserve">        temas que entiendo de mayor significación son  los  siguientes:  el</w:t>
        <w:br/>
        <w:t xml:space="preserve">        modo en que las partes han arribado a una “solución amistosa”, a la</w:t>
        <w:br/>
        <w:t xml:space="preserve">        luz del texto del reglamento de la Corte;  la  sanción  penal  como</w:t>
        <w:br/>
        <w:t xml:space="preserve">        elemento reparador de la violación de los derechos de  la  víctima;</w:t>
        <w:br/>
        <w:t xml:space="preserve">        las obligaciones de los jueces como conductores del  proceso  penal</w:t>
        <w:br/>
        <w:t xml:space="preserve">        en función del derecho a la tutela  judicial  (artículo  25  de  la</w:t>
        <w:br/>
        <w:t xml:space="preserve">        Convención Americana) y la plena efectividad de las  decisiones  de</w:t>
        <w:br/>
        <w:t xml:space="preserve">        la Corte respecto de obstáculos del derecho interno.</w:t>
        <w:br/>
        <w:br/>
        <w:br/>
        <w:t xml:space="preserve">     2. El Capítulo V del Reglamento de la Corte Interamericana de Derechos</w:t>
        <w:br/>
        <w:t xml:space="preserve">        Humanos   establece   las   formas   en   que   puede    terminarse</w:t>
        <w:br/>
        <w:t xml:space="preserve">        anticipadamente el proceso ante ella. Así, el artículo 52 regula el</w:t>
        <w:br/>
        <w:t xml:space="preserve">        supuesto  del  desistimiento  del  demandante  (número  1),  o   el</w:t>
        <w:br/>
        <w:t xml:space="preserve">        allanamiento del demandado (número 2). A su  vez,  el  artículo  53</w:t>
        <w:br/>
        <w:t xml:space="preserve">        contempla los casos de una solución amistosa, de un  avenimiento  o</w:t>
        <w:br/>
        <w:t xml:space="preserve">        de otro hecho idóneo para la solución del caso.</w:t>
        <w:br/>
        <w:br/>
        <w:t xml:space="preserve">        Ninguna de estas hipótesis es vinculante para  la  Corte,  pues  en</w:t>
        <w:br/>
        <w:t xml:space="preserve">        razón de su carácter de órgano protector de los  derechos  humanos,</w:t>
        <w:br/>
        <w:t xml:space="preserve">        puede no aceptar las propuestas de las  partes  y  decidir  que  se</w:t>
        <w:br/>
        <w:t xml:space="preserve">        prosiga el examen del caso (artículo 54).</w:t>
        <w:br/>
        <w:br/>
        <w:br/>
        <w:t xml:space="preserve">        En este caso, la Comisión Interamericana, los representantes de los</w:t>
        <w:br/>
        <w:t xml:space="preserve">        familiares de la víctima y el Estado, presentaron  a  la  Corte  un</w:t>
        <w:br/>
        <w:t xml:space="preserve">        documento  en  el  que  el  Estado  reconoció  su   responsabilidad</w:t>
        <w:br/>
        <w:t xml:space="preserve">        internacional, sobre la base de una versión común  de  los  hechos,</w:t>
        <w:br/>
        <w:t xml:space="preserve">        con alguna diferencia a como se habían expuesto en la  demanda.  En</w:t>
        <w:br/>
        <w:t xml:space="preserve">        suma, las partes dirimieron entre ellas la controversia  fáctica  y</w:t>
        <w:br/>
        <w:t xml:space="preserve">        el demandado asumió su responsabilidad por esos hechos.</w:t>
        <w:br/>
        <w:br/>
        <w:br/>
        <w:t xml:space="preserve">        En concreto, estaban de acuerdo en que Walter David  Bulacio  había</w:t>
        <w:br/>
        <w:t xml:space="preserve">        sido privado ilegalmente  de  su  libertad,  en  que  no  se  había</w:t>
        <w:br/>
        <w:t xml:space="preserve">        anoticiado de esta circunstancia ni a su  familia  ni  al  juez  de</w:t>
        <w:br/>
        <w:t xml:space="preserve">        menores, en que el Estado no lo había  custodiado  debidamente,  lo</w:t>
        <w:br/>
        <w:t xml:space="preserve">        que contribuyó a su muerte, y que luego de ello sus  familiares  no</w:t>
        <w:br/>
        <w:t xml:space="preserve">        habían contado con  un  recurso  judicial  efectivo.  Estos  hechos</w:t>
        <w:br/>
        <w:t xml:space="preserve">        determinaban  la  responsabilidad  internacional  del  Estado   por</w:t>
        <w:br/>
        <w:t xml:space="preserve">        violación a los artículos 2  (adecuación  al  derecho  interno),  4</w:t>
        <w:br/>
        <w:t xml:space="preserve">        (derecho a la vida), 5 (  derecho  a  la  integridad  personal),  7</w:t>
        <w:br/>
        <w:t xml:space="preserve">        (derecho a la libertad  personal),  8  (garantías  judiciales),  19</w:t>
        <w:br/>
        <w:t xml:space="preserve">        (derechos del niño) y 25 (protección judicial), y  solicitaban  que</w:t>
        <w:br/>
        <w:t xml:space="preserve">        la Corte estableciera las reparaciones que correspondieran.</w:t>
        <w:br/>
        <w:br/>
        <w:br/>
        <w:t xml:space="preserve">        No se trata claramente de un  supuesto de desistimiento, ni tampoco</w:t>
        <w:br/>
        <w:t xml:space="preserve">        de un allanamiento a los términos de la demanda.  El  supuesto  que</w:t>
        <w:br/>
        <w:t xml:space="preserve">        nos ocupa se enmarca en el contexto del artículo 53 del  Reglamento</w:t>
        <w:br/>
        <w:t xml:space="preserve">        y la circunstancia que lo torna  admisible  es,  precisamente,  que</w:t>
        <w:br/>
        <w:t xml:space="preserve">        existe un reconocimiento de  responsabilidad  internacional  y  que</w:t>
        <w:br/>
        <w:t xml:space="preserve">        éste no se aparta sustancialmente de los puntos que se hallaban  en</w:t>
        <w:br/>
        <w:t xml:space="preserve">        discusión, ofreciéndose además una “plena reparación”.</w:t>
        <w:br/>
        <w:br/>
        <w:br/>
        <w:t xml:space="preserve">        Estos elementos, reconocimiento de  responsabilidad  internacional,</w:t>
        <w:br/>
        <w:t xml:space="preserve">        coincidente  en  lo  esencial  con  los  hechos  de  la  demanda  y</w:t>
        <w:br/>
        <w:t xml:space="preserve">        ofrecimiento de reparación plena, determinan  que  el  acuerdo  que</w:t>
        <w:br/>
        <w:t xml:space="preserve">        sobre los hechos efectuaron las partes no resulta objetable para la</w:t>
        <w:br/>
        <w:t xml:space="preserve">        Corte.</w:t>
        <w:br/>
        <w:br/>
        <w:br/>
        <w:t xml:space="preserve">     3. El artículo 1 de la Convención Americana  establece  la  obligación</w:t>
        <w:br/>
        <w:t xml:space="preserve">        primaria  de  los  Estados  Partes  de  respetar  los  derechos   y</w:t>
        <w:br/>
        <w:t xml:space="preserve">        libertades reconocidos en ella, y de garantizar su  libre  y  pleno</w:t>
        <w:br/>
        <w:t xml:space="preserve">        ejercicio.  Esta  obligación  de  garantía  incluye  el  deber   de</w:t>
        <w:br/>
        <w:t xml:space="preserve">        investigar y de sancionar al responsable, en caso de que  se  viole</w:t>
        <w:br/>
        <w:t xml:space="preserve">        algún derecho tutelado. Para ello, la víctima  y/o  sus  familiares</w:t>
        <w:br/>
        <w:t xml:space="preserve">        cuentan con el amparo  que  les  proporciona  un  recurso  judicial</w:t>
        <w:br/>
        <w:t xml:space="preserve">        efectivo  (artículo  25  de  la   convención   citada).   Numerosas</w:t>
        <w:br/>
        <w:t xml:space="preserve">        decisiones  de  la  Corte  han  sostenido  lo  que  se   acaba   de</w:t>
        <w:br/>
        <w:t xml:space="preserve">        decir.[155].</w:t>
        <w:br/>
        <w:br/>
        <w:br/>
        <w:t xml:space="preserve">        La investigación de los hechos, satisface el derecho  a  la  verdad</w:t>
        <w:br/>
        <w:t xml:space="preserve">        que tiene toda víctima. La imposición de una pena al culpable de lo</w:t>
        <w:br/>
        <w:t xml:space="preserve">        sucedido no sólo afirma y comunica a la sociedad la vigencia de  la</w:t>
        <w:br/>
        <w:t xml:space="preserve">        norma transgredida, según las ideas más corrientes de la prevención</w:t>
        <w:br/>
        <w:t xml:space="preserve">        general positiva, sino que  también  posee  un  inequívoco  sentido</w:t>
        <w:br/>
        <w:t xml:space="preserve">        reparador para  la  víctima  y/o  sus  familiares.  En  efecto,  la</w:t>
        <w:br/>
        <w:t xml:space="preserve">        violación de todo derecho humano supone una afrenta a la dignidad y</w:t>
        <w:br/>
        <w:t xml:space="preserve">        respeto que merece todo ser humano como tal, por ello la aplicación</w:t>
        <w:br/>
        <w:t xml:space="preserve">        de una pena a quien cometió el hecho, reestablece la dignidad y  la</w:t>
        <w:br/>
        <w:t xml:space="preserve">        estima de la víctima frente a sí misma y a la comunidad. Repara  en</w:t>
        <w:br/>
        <w:t xml:space="preserve">        alguna medida el mal que ha sufrido.</w:t>
        <w:br/>
        <w:br/>
        <w:br/>
        <w:t xml:space="preserve">        La impunidad no sólo alienta la repetición  futura  de  los  mismos</w:t>
        <w:br/>
        <w:t xml:space="preserve">        hechos[156], sino que impide el efecto reparador que tiene para  la</w:t>
        <w:br/>
        <w:t xml:space="preserve">        víctima la sanción penal. Investigación, averiguación de la verdad,</w:t>
        <w:br/>
        <w:t xml:space="preserve">        castigo  al  culpable,  acceso  a  la  justicia,  recurso  judicial</w:t>
        <w:br/>
        <w:t xml:space="preserve">        efectivo, son los elementos que configuran las obligaciones básicas</w:t>
        <w:br/>
        <w:t xml:space="preserve">        de todo Estado ante la violación del derecho humano, para  procurar</w:t>
        <w:br/>
        <w:t xml:space="preserve">        su reparación y como garantía de que no se repetirá.</w:t>
        <w:br/>
        <w:br/>
        <w:br/>
        <w:t xml:space="preserve">     4. He efectuado las consideraciones que anteceden, pues en el caso  se</w:t>
        <w:br/>
        <w:t xml:space="preserve">        ha frustrado, hasta el presente, el derecho de  los  familiares  de</w:t>
        <w:br/>
        <w:t xml:space="preserve">        Walter Bulacio de  encontrar  tutela  judicial  efectiva  para  que</w:t>
        <w:br/>
        <w:t xml:space="preserve">        reciban sanción los responsables de los hechos que  lesionaron  los</w:t>
        <w:br/>
        <w:t xml:space="preserve">        derechos de aquél.</w:t>
        <w:br/>
        <w:br/>
        <w:t xml:space="preserve">        No es admisible que después de trece años de ocurridos los sucesos,</w:t>
        <w:br/>
        <w:t xml:space="preserve">        que no revisten en sí mismos gran complejidad (una detención masiva</w:t>
        <w:br/>
        <w:t xml:space="preserve">        de adolescentes en  ocasión  de  un  festival  de  rock),  habiendo</w:t>
        <w:br/>
        <w:t xml:space="preserve">        intervenido gran cantidad de jueces  en  el  trámite  de  la  causa</w:t>
        <w:br/>
        <w:t xml:space="preserve">        (incluso hasta la propia Corte Suprema de Justicia), el proceso  no</w:t>
        <w:br/>
        <w:t xml:space="preserve">        haya podido concluir naturalmente, con el dictado de una  sentencia</w:t>
        <w:br/>
        <w:t xml:space="preserve">        que  establezca  definitivamente  los  hechos  y   sus   eventuales</w:t>
        <w:br/>
        <w:t xml:space="preserve">        responsables. No hay razones que puedan justificar tamaña demora en</w:t>
        <w:br/>
        <w:t xml:space="preserve">        el servicio de justicia.</w:t>
        <w:br/>
        <w:br/>
        <w:br/>
        <w:t xml:space="preserve">        En ese sentido, creo conveniente recordar que a  los  jueces,  como</w:t>
        <w:br/>
        <w:t xml:space="preserve">        directores del proceso, les cabe una delicada responsabilidad.  Por</w:t>
        <w:br/>
        <w:t xml:space="preserve">        un lado, deben asegurar el cumplimiento de las  reglas  del  debido</w:t>
        <w:br/>
        <w:t xml:space="preserve">        proceso posibilitando el ejercicio irrestricto de las garantías del</w:t>
        <w:br/>
        <w:t xml:space="preserve">        artículo 8 de la Convención  Americana,  pero  por  el  otro  deben</w:t>
        <w:br/>
        <w:t xml:space="preserve">        tutelar el derecho de la víctima a la justicia (artículo 25  de  la</w:t>
        <w:br/>
        <w:t xml:space="preserve">        Convención), que se materializa con el dictado de la sentencia  que</w:t>
        <w:br/>
        <w:t xml:space="preserve">        dirima los hechos y las responsabilidades.</w:t>
        <w:br/>
        <w:br/>
        <w:br/>
        <w:t xml:space="preserve">        Respecto de esto último, los órganos judiciales tienen que procurar</w:t>
        <w:br/>
        <w:t xml:space="preserve">        que no se desnaturalice el sentido que anima a los legítimos medios</w:t>
        <w:br/>
        <w:t xml:space="preserve">        de defensa, ni la buena fe procesal con que deben practicarse. Esto</w:t>
        <w:br/>
        <w:t xml:space="preserve">        ocurre  cuando  se  suceden   planteos   que   por   reiterados   o</w:t>
        <w:br/>
        <w:t xml:space="preserve">        manifiestamente impertinentes, sólo buscan dilatar el procedimiento</w:t>
        <w:br/>
        <w:t xml:space="preserve">        hasta que se extinga la persecución penal por  el  sólo  transcurso</w:t>
        <w:br/>
        <w:t xml:space="preserve">        del tiempo. Si ello acontece, la impunidad frustrará el derecho  de</w:t>
        <w:br/>
        <w:t xml:space="preserve">        la víctima  a  la  justicia,  y  la  tutela  judicial  efectiva  se</w:t>
        <w:br/>
        <w:t xml:space="preserve">        convertirá en letra muerta.</w:t>
        <w:br/>
        <w:br/>
        <w:br/>
        <w:t xml:space="preserve">     5.  La  sentencia  de  la  Corte  contempla  otro  punto  de   notable</w:t>
        <w:br/>
        <w:t xml:space="preserve">        significación. Establece que no pueden  oponerse  disposiciones  de</w:t>
        <w:br/>
        <w:t xml:space="preserve">        derecho interno, como la prescripción, a decisiones de la Corte que</w:t>
        <w:br/>
        <w:t xml:space="preserve">        entiendan procedente, como forma de reparación, la investigación  y</w:t>
        <w:br/>
        <w:t xml:space="preserve">        castigo de violación de derechos humanos. Se trata de un  paso  más</w:t>
        <w:br/>
        <w:t xml:space="preserve">        adelante de la jurisprudencia que se venía estableciendo  sobre  el</w:t>
        <w:br/>
        <w:t xml:space="preserve">        particular[157].</w:t>
        <w:br/>
        <w:br/>
        <w:t xml:space="preserve">        La prescripción es un instituto de  derecho  común  que  supone  la</w:t>
        <w:br/>
        <w:t xml:space="preserve">        renuncia a la persecución penal por parte  del  Estado,  cuando  el</w:t>
        <w:br/>
        <w:t xml:space="preserve">        tiempo que ha pasado desde la comisión del delito hace presumir que</w:t>
        <w:br/>
        <w:t xml:space="preserve">        ha cesado la  alarma  social  que  éste  provoca,  por  lo  que  la</w:t>
        <w:br/>
        <w:t xml:space="preserve">        imposición de una pena carecería de finalidad preventiva.</w:t>
        <w:br/>
        <w:br/>
        <w:br/>
        <w:br/>
        <w:br/>
        <w:t xml:space="preserve">        Las sentencias de la Corte que juzgan  en  un  caso  pertinente  el</w:t>
        <w:br/>
        <w:t xml:space="preserve">        deber de investigar y sancionar, con base en el artículo  1  de  la</w:t>
        <w:br/>
        <w:t xml:space="preserve">        Convención Americana, poseen carácter vinculante para los  Estados,</w:t>
        <w:br/>
        <w:t xml:space="preserve">        por el compromiso internacional que han asumido  al  suscribir  las</w:t>
        <w:br/>
        <w:t xml:space="preserve">        obligaciones de la Convención, especialmente el artículo 62.1,  por</w:t>
        <w:br/>
        <w:t xml:space="preserve">        el que se reconoce como obligatoria  la  competencia  de  la  Corte</w:t>
        <w:br/>
        <w:t xml:space="preserve">        sobre todos losa casos relativos a la interpretación  o  aplicación</w:t>
        <w:br/>
        <w:t xml:space="preserve">        de la Convención.</w:t>
        <w:br/>
        <w:br/>
        <w:br/>
        <w:t xml:space="preserve">        La obligatoriedad de las resoluciones de la Corte, asumidas por los</w:t>
        <w:br/>
        <w:t xml:space="preserve">        Estados Partes, determina un compromiso de derecho internacional de</w:t>
        <w:br/>
        <w:t xml:space="preserve">        base convencional que no puede ser obstaculizado por  disposiciones</w:t>
        <w:br/>
        <w:t xml:space="preserve">        internas, pues de lo contrario se  restaría  toda  eficacia  a  los</w:t>
        <w:br/>
        <w:t xml:space="preserve">        mecanismos de protección internacional de los derechos humanos  que</w:t>
        <w:br/>
        <w:t xml:space="preserve">        los Estados se han obligado a respetar.</w:t>
        <w:br/>
        <w:br/>
        <w:br/>
        <w:t xml:space="preserve">   6. En cuanto al deber de adecuar la legislación interna a los  estándares</w:t>
        <w:br/>
        <w:t xml:space="preserve">        internacionales,  no  cabe  duda  alguna  que   la   Argentina   ha</w:t>
        <w:br/>
        <w:t xml:space="preserve">        incorporado a su derecho interno,  incluso  otorgándoles  en  algún</w:t>
        <w:br/>
        <w:t xml:space="preserve">        caso  rango  constitucional,  a  gran  cantidad  de   disposiciones</w:t>
        <w:br/>
        <w:t xml:space="preserve">        internacionales  en  materia  de  derechos  humanos.  El   contexto</w:t>
        <w:br/>
        <w:t xml:space="preserve">        normativo que existía a la época en que Walter  David  Bulacio  fue</w:t>
        <w:br/>
        <w:t xml:space="preserve">        ilegalmente  aprehendido  por  la  policía   ha   sido   modificado</w:t>
        <w:br/>
        <w:t xml:space="preserve">        sustancialmente.</w:t>
        <w:br/>
        <w:br/>
        <w:br/>
        <w:t xml:space="preserve">        Seguramente uno de los aspectos relevantes en esta materia que  aún</w:t>
        <w:br/>
        <w:t xml:space="preserve">        falta, es la adecuación a la  Convención  sobre  los  Derechos  del</w:t>
        <w:br/>
        <w:t xml:space="preserve">        Niño, a través de la  sanción  de  un  régimen  penal  juvenil  que</w:t>
        <w:br/>
        <w:t xml:space="preserve">        satisfaga los requerimientos de dicha Convención.</w:t>
        <w:br/>
        <w:br/>
        <w:br/>
        <w:t xml:space="preserve">        Empero,  probablemente  la  mejor  manera  de  garantizar   la   no</w:t>
        <w:br/>
        <w:t xml:space="preserve">        repetición de episodios como el de esta causa, que  lamentablemente</w:t>
        <w:br/>
        <w:t xml:space="preserve">        no resultan excepcionales en la cotidianeidad  latinoamericana,  es</w:t>
        <w:br/>
        <w:t xml:space="preserve">        la adopción de prácticas policiales que  asuman  el  compromiso  de</w:t>
        <w:br/>
        <w:t xml:space="preserve">        respetar  los  derechos  humanos  y  órganos  de  justicia  que  se</w:t>
        <w:br/>
        <w:t xml:space="preserve">        constituyan en celosos guardianes de cualquier desvío.</w:t>
        <w:br/>
        <w:br/>
        <w:br/>
        <w:t xml:space="preserve">                                                         Ricardo Gil Lavedra</w:t>
        <w:br/>
        <w:t xml:space="preserve">                                                                 Juez ad hoc</w:t>
        <w:br/>
        <w:br/>
        <w:br/>
        <w:br/>
        <w:br/>
        <w:t xml:space="preserve">        Manuel E. Ventura Robles</w:t>
        <w:br/>
        <w:t xml:space="preserve">                   Secretario</w:t>
        <w:br/>
        <w:br/>
        <w:br/>
        <w:br/>
        <w:br/>
        <w:br/>
        <w:t>-----------------------</w:t>
        <w:br/>
        <w:t>*     Los jueces Máximo Pacheco Gómez  y  Carlos  Vicente  de  Roux  Rengifo</w:t>
        <w:br/>
        <w:t>informaron al Tribunal que por motivos  de  fuerza  mayor  no  podían  estar</w:t>
        <w:br/>
        <w:t>presentes en el LX Período Ordinario de Sesiones de la Corte, por lo que  no</w:t>
        <w:br/>
        <w:t>participaron en la deliberación, decisión y firma de la presente Sentencia.</w:t>
        <w:br/>
        <w:br/>
        <w:t>[1]   De conformidad  con  la  Resolución  de  la  Corte  Interamericana  de</w:t>
        <w:br/>
        <w:t>Derechos Humanos de 13 de marzo de 2001 sobre Disposiciones Transitorias  al</w:t>
        <w:br/>
        <w:t>Reglamento de la Corte, la presente Sentencia se dicta en los  términos  del</w:t>
        <w:br/>
        <w:t>Reglamento adoptado en la Resolución de la misma Corte de 16  de  septiembre</w:t>
        <w:br/>
        <w:t>de 1996.</w:t>
        <w:br/>
        <w:br/>
        <w:t>[2]   Cfr., Caso Garrido y Baigorria. Sentencia de 2  de  febrero  de  1996.</w:t>
        <w:br/>
        <w:t>Serie C No. 26.</w:t>
        <w:br/>
        <w:br/>
        <w:t>[3]   Cfr., Caso Barrios Altos. Sentencia de 14 de marzo de  2001.  Serie  C</w:t>
        <w:br/>
        <w:t>No. 75, párr. 38; Caso Trujillo Oroza.  Sentencia de 26 de  enero  de  2000.</w:t>
        <w:br/>
        <w:t>Serie C No. 64, párr. 40; Caso del Caracazo. Sentencia de  11  de  noviembre</w:t>
        <w:br/>
        <w:t>de 1999.  Serie C No. 58, párr. 41; Caso Benavides Cevallos.   Sentencia  de</w:t>
        <w:br/>
        <w:t>19 de junio de 1998.  Serie C No. 38, párr. 42; Caso  Garrido  y  Baigorria,</w:t>
        <w:br/>
        <w:t>supra nota 2, párr. 27; Caso El Amparo. Sentencia de 18 de  enero  de  1995.</w:t>
        <w:br/>
        <w:t>Serie C No. 19, párr. 20; y Caso Aloeboetoe  y  otros.  Sentencia  de  4  de</w:t>
        <w:br/>
        <w:t>diciembre de 1991.  Serie C No. 11, párr. 23.</w:t>
        <w:br/>
        <w:br/>
        <w:t>[4]   Cfr., Caso Juan Humberto Sánchez. Sentencia de 7  de  junio  de  2003.</w:t>
        <w:br/>
        <w:t>Serie C No. 99, párr. 28; Caso “Cinco  Pensionistas”.  Sentencia  de  28  de</w:t>
        <w:br/>
        <w:t>febrero de 2003. Serie C No. 98, párr. 64;  Condición  jurídica  y  derechos</w:t>
        <w:br/>
        <w:t>humanos del niño. Opinión Consultiva OC-17/02  de  28  de  agosto  de  2002.</w:t>
        <w:br/>
        <w:t>Serie A No. 17, párrs. 132-133; y Caso de la Comunidad Mayagna  (Sumo)  Awas</w:t>
        <w:br/>
        <w:t>Tingni. Sentencia de 31 de agosto de 2001. Serie C No. 79, párr. 86.</w:t>
        <w:br/>
        <w:br/>
        <w:t>[5]   Cfr., Caso Juan Humberto Sánchez, supra nota 4,  párr.  29;  Caso  Las</w:t>
        <w:br/>
        <w:t>Palmeras.  Reparaciones  (art.  63.1  Convención  Americana  sobre  Derechos</w:t>
        <w:br/>
        <w:t>Humanos). Sentencia de 26 de noviembre de 2002. Serie C No.  96,  párr.  17;</w:t>
        <w:br/>
        <w:t>Caso del  Caracazo.  Reparaciones  (art.  63.1  Convención  Americana  sobre</w:t>
        <w:br/>
        <w:t>Derechos Humanos). Sentencia de 29 de agosto de 2002. Serie C No. 95,  párr.</w:t>
        <w:br/>
        <w:t>37; y Caso Hilaire, Constantine y Benjamin  y  otros.  Sentencia  de  21  de</w:t>
        <w:br/>
        <w:t>junio de 2002. Serie C No. 94, párr. 64.</w:t>
        <w:br/>
        <w:br/>
        <w:t>[6]   Cfr., Caso Juan Humberto Sánchez, supra nota 4, párr. 30; Caso  “Cinco</w:t>
        <w:br/>
        <w:t>Pensionistas”, supra nota 4, párr. 65; y Caso Cantos.  Sentencia  de  28  de</w:t>
        <w:br/>
        <w:t>noviembre de 2002. Serie C No. 97, párr. 27.</w:t>
        <w:br/>
        <w:br/>
        <w:t>[7]   Cfr., Caso Juan Humberto Sánchez, supra nota 4, párr. 30; Caso  “Cinco</w:t>
        <w:br/>
        <w:t>Pensionistas”, supra nota 4, párr. 65; y Caso Cantos, supra  nota  6,  párr.</w:t>
        <w:br/>
        <w:t>27.</w:t>
        <w:br/>
        <w:br/>
        <w:t>[8]   Cfr., Caso Juan Humberto Sánchez, supra nota 4, párr. 30; Caso  “Cinco</w:t>
        <w:br/>
        <w:t>Pensionistas”, supra nota 4, párr. 65; y Caso Cantos, supra  nota  6,  párr.</w:t>
        <w:br/>
        <w:t>27.</w:t>
        <w:br/>
        <w:br/>
        <w:t>[9]   Cfr., Los anexos 1 a 32 del  escrito  de  demanda  presentado  por  la</w:t>
        <w:br/>
        <w:t>Comisión Interamericana el 24 de enero de 2001 se  encuentran  anillados  en</w:t>
        <w:br/>
        <w:t>tomos separados del expediente principal que reposa en la Secretaría  de  la</w:t>
        <w:br/>
        <w:t>Corte.</w:t>
        <w:br/>
        <w:br/>
        <w:t>[10]  Cfr., Cuerpos 1 a 14 del expediente de la causa  nº  2.018  caratulada</w:t>
        <w:br/>
        <w:t>“ESPOSITO, Miguel Ángel s/privación  ilegal  de  la  libertad  calificada  y</w:t>
        <w:br/>
        <w:t>reiterada”, anillados  en  tomos  separados  del  expediente  principal  que</w:t>
        <w:br/>
        <w:t>reposa en la Secretaría de la Corte y consta de 2717 folios; y Cuerpo  único</w:t>
        <w:br/>
        <w:t>del “incidente de nulidad en trámite ante el  Juzgado  Nacional  de  Primera</w:t>
        <w:br/>
        <w:t>Instancia en lo Criminal de Instrucción nº 48, Secretaría  de  Sentencia  nº</w:t>
        <w:br/>
        <w:t>206 (Ex Juzgado de Sentencia letra W)” anillado  en  un  tomo  separado  del</w:t>
        <w:br/>
        <w:t>expediente principal que reposa en la Secretaría de la  Corte  y  consta  de</w:t>
        <w:br/>
        <w:t>164 folios.</w:t>
        <w:br/>
        <w:br/>
        <w:t>[11]  Cfr., Folio 293 del expediente principal que reposa en  la  Secretaría</w:t>
        <w:br/>
        <w:t>de la Corte denominado “Caso Bulacio. Fondo. Tomo II”.</w:t>
        <w:br/>
        <w:br/>
        <w:t>[12]  Cfr., Los anexos 1 y 2  del  escrito  de  réplica  presentado  por  la</w:t>
        <w:br/>
        <w:t>Comisión el 18 de julio de 2001, folios 345 y 346 del  expediente  principal</w:t>
        <w:br/>
        <w:t>ante la Secretaría de la Corte denominado “Caso Bulacio. Fondo. Tomo II”.</w:t>
        <w:br/>
        <w:br/>
        <w:t>[13]  Cfr., Folios 2718 a 2901 de la causa nº  2.018  caratulada  “ESPOSITO,</w:t>
        <w:br/>
        <w:t>Miguel Ángel s/privación ilegal de  la  libertad  calificada  y  reiterada”,</w:t>
        <w:br/>
        <w:t>anillados en tomos separados del  expediente  principal  que  reposa  en  la</w:t>
        <w:br/>
        <w:t>Secretaría de la Corte; folios 1 a 116 del incidente de prescripción  de  la</w:t>
        <w:br/>
        <w:t>acción penal, anillados en tomos  separados  del  expediente  principal  que</w:t>
        <w:br/>
        <w:t>reposa en la Secretaría de la Corte; folios  407  a  747  del  incidente  de</w:t>
        <w:br/>
        <w:t>previo pronunciamiento de falta de  acción  promovido  por  la  defensa,  se</w:t>
        <w:br/>
        <w:t>encuentran anillados en tomos separados del expediente principal que  reposa</w:t>
        <w:br/>
        <w:t>en la Secretaría de la Corte;  folios  307  a  382  de  los  testimonios  de</w:t>
        <w:br/>
        <w:t>apelación de la señora Fiscal a folios 14/15 contra el  auto  de  folios  12</w:t>
        <w:br/>
        <w:t>(de  la  foliatura  incidental),  que  se  encuentran  anillados  en   tomos</w:t>
        <w:br/>
        <w:t>separados del expediente principal que reposa en la Secretaría de la  Corte;</w:t>
        <w:br/>
        <w:t>y folios 1  a  25  que  se  encuentran  anillados  en  tomos  separados  del</w:t>
        <w:br/>
        <w:t>expediente principal que reposa en la Secretaría de la Corte.</w:t>
        <w:br/>
        <w:br/>
        <w:t>[14]  Cfr., Folios 482 a 487 del  expediente  principal  que  reposa  en  la</w:t>
        <w:br/>
        <w:t>Secretaría de la Corte denominado “Caso Bulacio. Fondo. Tomo II”.</w:t>
        <w:br/>
        <w:br/>
        <w:t>[15]  Cfr., Folios 677 a 688 del  expediente  principal  que  reposa  en  la</w:t>
        <w:br/>
        <w:t>Secretaría de la Corte denominado “Caso Bulacio. Fondo. Tomo III”.</w:t>
        <w:br/>
        <w:br/>
        <w:t>[16]  Cfr., Los anexos 1 a 4 del escrito de reparaciones presentado  por  la</w:t>
        <w:br/>
        <w:t>Comisión el 18 de julio de 2001, folios 25 a 29 del expediente principal  de</w:t>
        <w:br/>
        <w:t>reparaciones que reposa ante la Secretaría  de  la  Corte  denominado  “Caso</w:t>
        <w:br/>
        <w:t>Bulacio. Reparaciones. Tomo I”.</w:t>
        <w:br/>
        <w:br/>
        <w:t>[17]  Cfr., Los anexos 1 y 2 del escrito de reparaciones presentado  por  el</w:t>
        <w:br/>
        <w:t>Estado el 7 de febrero de 2002, folios 71 a 96 del expediente  principal  de</w:t>
        <w:br/>
        <w:t>reparaciones que reposa ante la Secretaría  de  la  Corte  denominado  “Caso</w:t>
        <w:br/>
        <w:t>Bulacio. Reparaciones. Tomo I”.</w:t>
        <w:br/>
        <w:br/>
        <w:t>[18]  Cfr., Folios 123 a 127 del expediente principal  de  reparaciones  que</w:t>
        <w:br/>
        <w:t>reposa  ante  la  Secretaría  de  la   Corte   denominado   “Caso   Bulacio.</w:t>
        <w:br/>
        <w:t>Reparaciones. Tomo I”.</w:t>
        <w:br/>
        <w:br/>
        <w:t>[19]  Cfr., Folios 769 a 773 del expediente principal de  fondo  que  reposa</w:t>
        <w:br/>
        <w:t>en la Secretaría de la Corte denominado “Caso Bulacio. Fondo. Tomo III”.</w:t>
        <w:br/>
        <w:br/>
        <w:t>[20]  Cfr., Folios 801 a 807 y 815 a 831 del expediente principal  de  fondo</w:t>
        <w:br/>
        <w:t>que reposa en la Secretaría de la Corte  denominado  “Caso  Bulacio.  Fondo.</w:t>
        <w:br/>
        <w:t>Tomo IV”.</w:t>
        <w:br/>
        <w:br/>
        <w:t>[21]  Como, por ejemplo, el artículo 18 de la Constitución Argentina.</w:t>
        <w:br/>
        <w:br/>
        <w:t>[22]  Cfr., Folios 1017 a 1024 del expediente principal de fondo que  reposa</w:t>
        <w:br/>
        <w:t>en la Secretaría de la Corte denominado “Caso Bulacio. Fondo. Tomo V”.</w:t>
        <w:br/>
        <w:br/>
        <w:t>[23]  Cfr., Folios 1033 a 1180 del expediente principal de fondo que  reposa</w:t>
        <w:br/>
        <w:t>en la Secretaría de la Corte denominado “Caso Bulacio. Fondo. Tomo V”.</w:t>
        <w:br/>
        <w:br/>
        <w:t>[24]  Cfr., Caso Juan Humberto Sánchez, supra nota 4, párr. 45; Caso  “Cinco</w:t>
        <w:br/>
        <w:t>Pensionistas”, supra nota 4, párr. 84; y Caso Cantos, supra  nota  6,  párr.</w:t>
        <w:br/>
        <w:t>41.</w:t>
        <w:br/>
        <w:br/>
        <w:t>[25]  Cfr., Condición jurídica y derechos humanos del niño,  supra  nota  4,</w:t>
        <w:br/>
        <w:t>párrs. 132-133.</w:t>
        <w:br/>
        <w:br/>
        <w:t>[26]  Cfr., Caso Las Palmeras, Reparaciones, supra nota 5, párr.  130;  Caso</w:t>
        <w:br/>
        <w:t>del Caracazo, Reparaciones, supra nota 5, párr. 60;  y Caso  Castillo  Páez.</w:t>
        <w:br/>
        <w:t>Reparaciones  (art.  63.1  Convención  Americana  sobre  Derechos  Humanos).</w:t>
        <w:br/>
        <w:t>Sentencia de 27 de noviembre de 1998. Serie C No. 43, párr. 40.</w:t>
        <w:br/>
        <w:br/>
        <w:t>[27]  Cfr., Caso Juan Humberto Sánchez, supra nota 4,  párr.  55;  Caso  del</w:t>
        <w:br/>
        <w:t>Caracazo, Reparaciones, supra nota 5, párr. 60; y Caso Hilaire,  Constantine</w:t>
        <w:br/>
        <w:t>y Benjamin y otros, supra nota 5, párr. 69.</w:t>
        <w:br/>
        <w:br/>
        <w:t>[28]  Cfr., Caso Juan  Humberto  Sánchez,  supra  nota  4,  párr.  56;  Caso</w:t>
        <w:br/>
        <w:t>Cantos, supra nota 6, párr. 39; y Caso Baena Ricardo y otros.  Sentencia  de</w:t>
        <w:br/>
        <w:t>2 de febrero de 2001. Serie C No. 72, párr. 78.</w:t>
        <w:br/>
        <w:br/>
        <w:t>[29]  Cfr., Caso Juan Humberto Sánchez, supra nota 4, párr. 57; Caso  “Cinco</w:t>
        <w:br/>
        <w:t>Pensionistas”, supra nota 4, párr. 85; y Caso Cantos, supra  nota  6,  párr.</w:t>
        <w:br/>
        <w:t>42.</w:t>
        <w:br/>
        <w:br/>
        <w:t>[30]  Cfr., Caso Juan Humberto Sánchez, supra nota 4, párr. 30; Caso  “Cinco</w:t>
        <w:br/>
        <w:t>Pensionistas”, supra nota 4, párr. 65; Caso Cantos, supra nota 6, párr.  27;</w:t>
        <w:br/>
        <w:t>Caso Las Palmeras, Reparaciones, supra nota 5, párr. 18; Caso del  Caracazo,</w:t>
        <w:br/>
        <w:t>Reparaciones, supra nota 5, párr. 38; Caso Hilaire, Constantine  y  Benjamin</w:t>
        <w:br/>
        <w:t>y otros, supra nota 5, párr. 65; Caso  Trujillo  Oroza.  Reparaciones  (art.</w:t>
        <w:br/>
        <w:t>63.1 Convención Americana  sobre  Derechos  Humanos).  Sentencia  de  27  de</w:t>
        <w:br/>
        <w:t>febrero  de  2002.  Serie  C  No.  92,  párr.  37;  Caso  Bámaca  Velásquez.</w:t>
        <w:br/>
        <w:t>Reparaciones  (art.  63.1  Convención  Americana  sobre  Derechos  Humanos).</w:t>
        <w:br/>
        <w:t>Sentencia de 22 de febrero de 2002. Serie C No. 91, párr. 15; Caso  Cantoral</w:t>
        <w:br/>
        <w:t>Benavides. Reparaciones  (art.  63.1  Convención  Americana  sobre  Derechos</w:t>
        <w:br/>
        <w:t>Humanos). Sentencia de 3 de diciembre de 2001. Serie C  No.  88,  párr.  22;</w:t>
        <w:br/>
        <w:t>Caso de la Comunidad Mayagna (Sumo) Awas Tingni, supra  nota  4,  párr.  89;</w:t>
        <w:br/>
        <w:t>Caso Cesti Hurtado.  Reparaciones  (art.  63.1  Convención  Americana  sobre</w:t>
        <w:br/>
        <w:t>Derechos Humanos). Sentencia de 31 de mayo de 2001. Serie C  No.  78,  párr.</w:t>
        <w:br/>
        <w:t>21;  Caso  de  los  “Niños  de  la  Calle”  (Villagrán  Morales  y   otros).</w:t>
        <w:br/>
        <w:t>Reparaciones  (art.  63.1  Convención  Americana  sobre  Derechos  Humanos).</w:t>
        <w:br/>
        <w:t>Sentencia de 26 de mayo de 2001. Serie C  No.  77,  párr.  40;  Caso  de  la</w:t>
        <w:br/>
        <w:t>“Panel  Blanca”  (Paniagua  Morales  y  otros).  Reparaciones   (art.   63.1</w:t>
        <w:br/>
        <w:t>Convención Americana sobre Derechos Humanos). Sentencia de  25  de  mayo  de</w:t>
        <w:br/>
        <w:t>2001. Serie C No. 76, párr. 51; Caso Ivcher Bronstein.  Sentencia  de  6  de</w:t>
        <w:br/>
        <w:t>febrero de 2001. Serie C No. 74, párr. 65;  Caso  “La  Última  Tentación  de</w:t>
        <w:br/>
        <w:t>Cristo” (Olmedo Bustos y otros). Sentencia de 5 de febrero de 2001. Serie  C</w:t>
        <w:br/>
        <w:t>No. 73, párrs. 49 y 51; Caso Baena Ricardo y otros,  supra  nota  28,  párr.</w:t>
        <w:br/>
        <w:t>71; Caso del Tribunal Constitucional. Sentencia de 31 de enero  2001.  Serie</w:t>
        <w:br/>
        <w:t>C No. 71, párr. 46; Caso Bámaca Velásquez. Sentencia de 25 de  noviembre  de</w:t>
        <w:br/>
        <w:t>2000. Serie C No. 70, párr. 96; Caso Cantoral Benavides. Sentencia de 18  de</w:t>
        <w:br/>
        <w:t>agosto de 2000. Serie C No. 69, párr. 45; Caso Durand  y  Ugarte.  Sentencia</w:t>
        <w:br/>
        <w:t>de 16 de agosto de 2000. Serie C No. 68, párr. 45; Caso Castillo Petruzzi  y</w:t>
        <w:br/>
        <w:t>otros. Sentencia de 30 de mayo de 1999. Serie  C  No.  52,  párr.  61;  Caso</w:t>
        <w:br/>
        <w:t>Castillo Páez, Sentencia de 3 de noviembre de 1997. Serie C  No.  34,  párr.</w:t>
        <w:br/>
        <w:t>39; Caso Loayza Tamayo, Sentencia de 17 de septiembre de 1997.  Serie C  No.</w:t>
        <w:br/>
        <w:t>33, párr. 42; y Caso Paniagua Morales y otros. Sentencia de 8  de  marzo  de</w:t>
        <w:br/>
        <w:t>1998. Serie C No. 37, párr. 70.</w:t>
        <w:br/>
        <w:br/>
        <w:t>[31]  Cfr., Caso Juan Humberto Sánchez, supra nota 4,  párr.  60;  Caso  Las</w:t>
        <w:br/>
        <w:t>Palmeras, Reparaciones, supra  nota  5,  párr.  34;  y  Caso  del  Caracazo,</w:t>
        <w:br/>
        <w:t>Reparaciones, supra nota 5, párr. 62.</w:t>
        <w:br/>
        <w:br/>
        <w:t>[32]   Cfr.,  Peritaje  de   Sofía   Tiscornia   rendido   ante   la   Corte</w:t>
        <w:br/>
        <w:t>Interamericana de Derechos Humanos el  6  de  marzo  de  2003;  Peritaje  de</w:t>
        <w:br/>
        <w:t>Emilio García Méndez presentado por escrito el  15  de  abril  de  2003,  en</w:t>
        <w:br/>
        <w:t>expediente que se encuentra en la Secretaría y se  denomina  “Caso  Bulacio.</w:t>
        <w:br/>
        <w:t>Fondo. Tomo IV”, folios 801 y  ss;  y  Peritaje  de  Máximo  Emiliano  Sozzo</w:t>
        <w:br/>
        <w:t>presentado por escrito el  21  de  abril  de  2003,  en  expediente  que  se</w:t>
        <w:br/>
        <w:t>encuentra en la Secretaría y se denomina “Caso  Bulacio.  Fondo.  Tomo  IV”,</w:t>
        <w:br/>
        <w:t>folios 815 y ss.</w:t>
        <w:br/>
        <w:br/>
        <w:t>[33]  Cfr., Certificado de nacimiento de Walter David  Bulacio,  emitida  el</w:t>
        <w:br/>
        <w:t>14 de noviembre de 1973 por el Registro del Estado Civil y Capacidad de  las</w:t>
        <w:br/>
        <w:t>Personas de la Municipalidad de la Ciudad de Buenos Aires,  causa  nº  2.018</w:t>
        <w:br/>
        <w:t>caratulada  “ESPOSITO,  Miguel  Ángel  s/privación  ilegal  de  la  libertad</w:t>
        <w:br/>
        <w:t>calificada y reiterada”, que reposa en la Secretaría de la Corte, cuerpo  I,</w:t>
        <w:br/>
        <w:t>folio 22.</w:t>
        <w:br/>
        <w:br/>
        <w:t>[34]  Cfr., Certificación de estudios de Walter David Bulacio emitida el  31</w:t>
        <w:br/>
        <w:t>de octubre de 1990 por el  Instituto  Privado  Incorporado  a  la  Enseñanza</w:t>
        <w:br/>
        <w:t>Oficial “Juan Manuel de  Rosas”;  y  Testimonio  de  Graciela  Rosa  Scavone</w:t>
        <w:br/>
        <w:t>rendido ante la Corte Interamericana el 6 de marzo de 2003.</w:t>
        <w:br/>
        <w:br/>
        <w:t>[35]  Cfr., Comunicación de 22 de abril de 1999 emitida por la Comisaría  7a</w:t>
        <w:br/>
        <w:t>y dirigida a la Comisaría 35a, causa nº 2.018 caratulada  “ESPOSITO,  Miguel</w:t>
        <w:br/>
        <w:t>Ángel s/privación ilegal de la libertad calificada y reiterada”, que  reposa</w:t>
        <w:br/>
        <w:t>en la Secretaría de la Corte, cuerpo I, folios 14–15;  Declaración  prestada</w:t>
        <w:br/>
        <w:t>el 21 de abril de 1991 por el Subinspector, Domingo Andrés Toledo,  ante  la</w:t>
        <w:br/>
        <w:t>Comisaría 7a, causa nº 2.018 caratulada “ESPOSITO, Miguel Ángel  s/privación</w:t>
        <w:br/>
        <w:t>ilegal de la libertad calificada y reiterada”, que reposa en  la  Secretaría</w:t>
        <w:br/>
        <w:t>de la Corte, cuerpo I, folio 1; y Providencias y constancia  de  instrucción</w:t>
        <w:br/>
        <w:t>dictadas el 21 de abril  de  1991  por  la  Comisaría  7a,  causa  nº  2.018</w:t>
        <w:br/>
        <w:t>caratulada  “ESPOSITO,  Miguel  Ángel  s/privación  ilegal  de  la  libertad</w:t>
        <w:br/>
        <w:t>calificada y reiterada”, que reposa en la Secretaría de la Corte, cuerpo  I,</w:t>
        <w:br/>
        <w:t>folio 2.</w:t>
        <w:br/>
        <w:br/>
        <w:t>[36]  Cfr., Autopsia No. 851 practicada a Walter  David  Bulacio  el  26  de</w:t>
        <w:br/>
        <w:t>abril de 1991 por  los  doctores  Ricardo  Ernesto  Risso  y  Daniel  Adrián</w:t>
        <w:br/>
        <w:t>Crescenti,  Médicos  Forenses  de  la  Justicia  Nacional,  causa  nº  2.018</w:t>
        <w:br/>
        <w:t>caratulada  “ESPOSITO,  Miguel  Ángel  s/privación  ilegal  de  la  libertad</w:t>
        <w:br/>
        <w:t>calificada y reiterada”, que reposa en la Secretaría de la Corte, cuerpo  I,</w:t>
        <w:br/>
        <w:t>folio 43; y Acta de  Defunción  de  Walter  David  Bulacio  emitida  por  el</w:t>
        <w:br/>
        <w:t>Departamento Central de Defunciones, Registro del Estado Civil  y  Capacidad</w:t>
        <w:br/>
        <w:t>de las Personas, Municipalidad de la Ciudad de Buenos Aires, causa nº  2.018</w:t>
        <w:br/>
        <w:t>caratulada  “ESPOSITO,  Miguel  Ángel  s/privación  ilegal  de  la  libertad</w:t>
        <w:br/>
        <w:t>calificada y reiterada”, que reposa en la Secretaría de la Corte, cuerpo  I,</w:t>
        <w:br/>
        <w:t>folio 135.</w:t>
        <w:br/>
        <w:br/>
        <w:t>[37]  Cfr., Causa nº 2.018 caratulada “ESPOSITO,  Miguel  Ángel  s/privación</w:t>
        <w:br/>
        <w:t>ilegal de la libertad calificada y reiterada”, anillados en tomos  separados</w:t>
        <w:br/>
        <w:t>del expediente principal que reposa en la Secretaría de la Corte, cuerpos  1</w:t>
        <w:br/>
        <w:t>a 14 y que consta de 2717 folios; y los folios  2718  a  2901  de  la  misma</w:t>
        <w:br/>
        <w:t>causa.</w:t>
        <w:br/>
        <w:br/>
        <w:t>[38]  Cfr., Certificado de nacimiento de Tamara  Florencia  Bulacio  emitido</w:t>
        <w:br/>
        <w:t>por la Dirección Provincial del Registro de las Personas del  Ministerio  de</w:t>
        <w:br/>
        <w:t>Gobierno de la Provincia de Buenos Aires el 7  de  septiembre  de  2001,  en</w:t>
        <w:br/>
        <w:t>expediente que se encuentra en la Secretaría  de  la  Corte  y  se  denomina</w:t>
        <w:br/>
        <w:t>“Caso Bulacio. Fondo. Tomo III”, folio 771; copia del documento nacional  de</w:t>
        <w:br/>
        <w:t>identidad de Tamara Florencia Bulacio, en expediente que se encuentra en  la</w:t>
        <w:br/>
        <w:t>Secretaría de la Corte y se denomina “Caso Bulacio. Fondo. Tomo III”,  folio</w:t>
        <w:br/>
        <w:t>771; certificado de nacimiento de Matías  Emanuel  Bulacio  emitido  por  la</w:t>
        <w:br/>
        <w:t>Dirección  Provincial  del  Registro  de  las  Personas  del  Ministerio  de</w:t>
        <w:br/>
        <w:t>Gobierno de la Provincia de Buenos Aires el 7  de  septiembre  de  2001,  en</w:t>
        <w:br/>
        <w:t>expediente que se encuentra en la Secretaría  de  la  Corte  y  se  denomina</w:t>
        <w:br/>
        <w:t>“Caso Bulacio. Fondo. Tomo III”, folio 772; copia del documento nacional  de</w:t>
        <w:br/>
        <w:t>identidad de Matías Emanuel Bulacio, en expediente que se  encuentra  en  la</w:t>
        <w:br/>
        <w:t>Secretaría de la Corte y se denomina “Caso Bulacio. Fondo. Tomo III”,  folio</w:t>
        <w:br/>
        <w:t>772;  y  Testimonio  de  Graciela  Rosa  Scavone  rendido  ante   la   Corte</w:t>
        <w:br/>
        <w:t>Interamericana el 6 de marzo de 2003.</w:t>
        <w:br/>
        <w:br/>
        <w:t>[39]  Cfr., Libreta de matrimonio de Víctor David Bulacio  y  Graciela  Rosa</w:t>
        <w:br/>
        <w:t>Scavone, en expediente que se encuentra en la Secretaría  de la Corte  y  se</w:t>
        <w:br/>
        <w:t>denomina “Caso Bulacio (Reparaciones) Tomo I”, folios 123 a 125.</w:t>
        <w:br/>
        <w:br/>
        <w:t>[40]  Cfr., Testimonio de  Graciela  Rosa  Scavone  rendido  ante  la  Corte</w:t>
        <w:br/>
        <w:t>Interamericana el 6 de marzo de 2003; y Peritaje de Graciela  Marisa  Guilis</w:t>
        <w:br/>
        <w:t>rendido ante la Corte Interamericana de Derechos Humanos el 6  de  marzo  de</w:t>
        <w:br/>
        <w:t>2003.</w:t>
        <w:br/>
        <w:br/>
        <w:t>[41]  Cfr., Testimonio de  Graciela  Rosa  Scavone  rendido  ante  la  Corte</w:t>
        <w:br/>
        <w:t>Interamericana el 6 de marzo de 2003; y Peritaje de Graciela  Marisa  Guilis</w:t>
        <w:br/>
        <w:t>rendido ante la Corte Interamericana de Derechos Humanos el 6  de  marzo  de</w:t>
        <w:br/>
        <w:t>2003.</w:t>
        <w:br/>
        <w:br/>
        <w:t>[42]  Cfr., Testimonio de  Graciela  Rosa  Scavone  rendido  ante  la  Corte</w:t>
        <w:br/>
        <w:t>Interamericana el 6 de marzo de 2003; y Peritaje de Graciela  Marisa  Guilis</w:t>
        <w:br/>
        <w:t>rendido ante la Corte Interamericana de Derechos Humanos el 6  de  marzo  de</w:t>
        <w:br/>
        <w:t>2003.</w:t>
        <w:br/>
        <w:br/>
        <w:t>[43]  Cfr., Testimonio de  Graciela  Rosa  Scavone  rendido  ante  la  Corte</w:t>
        <w:br/>
        <w:t>Interamericana el 6 de marzo de 2003; y Peritaje de Graciela  Marisa  Guilis</w:t>
        <w:br/>
        <w:t>rendido ante la Corte Interamericana de Derechos Humanos el 6  de  marzo  de</w:t>
        <w:br/>
        <w:t>2003.</w:t>
        <w:br/>
        <w:br/>
        <w:t>[44]  Cfr., Peritaje  de  Graciela  Marisa  Guilis  rendido  ante  la  Corte</w:t>
        <w:br/>
        <w:t>Interamericana de Derechos Humanos el 6 de marzo de 2003.</w:t>
        <w:br/>
        <w:br/>
        <w:t>[45]  Cfr., Testimonio de  Graciela  Rosa  Scavone  rendido  ante  la  Corte</w:t>
        <w:br/>
        <w:t>Interamericana el 6 de marzo de 2003; y Peritaje de Graciela  Marisa  Guilis</w:t>
        <w:br/>
        <w:t>rendido ante la Corte Interamericana de Derechos Humanos el 6  de  marzo  de</w:t>
        <w:br/>
        <w:t>2003.</w:t>
        <w:br/>
        <w:br/>
        <w:t>[46]  Cfr., Documento titulado “Gastos del  Centro  de  Estudios  Legales  y</w:t>
        <w:br/>
        <w:t>Sociales (CELS) en el litigio en  sede  interamericana  del  Caso  Bulacio”,</w:t>
        <w:br/>
        <w:t>Anexo 2 del  escrito  de  reparaciones  de  la  Comisión  Interamericana  de</w:t>
        <w:br/>
        <w:t>Derechos Humanos, en expediente que se encuentra  en  la  Secretaría  de  la</w:t>
        <w:br/>
        <w:t>Corte y  se  denomina  “Caso  Bulacio  (Reparaciones)  Tomo  I”,  folio  27;</w:t>
        <w:br/>
        <w:t>documento titulado “CORREPI, Coordinadora contra  la  represión  policial  e</w:t>
        <w:br/>
        <w:t>institucional”,  Anexo  3  del  escrito  de  reparaciones  de  la   Comisión</w:t>
        <w:br/>
        <w:t>Interamericana de Derechos Humanos en expediente  que  se  encuentra  en  la</w:t>
        <w:br/>
        <w:t>Secretaría de la Corte y se denomina “Caso Bulacio (Reparaciones)  Tomo  I”,</w:t>
        <w:br/>
        <w:t>folio 28; y documento titulado “Costas y gastos del Centro por  la  Justicia</w:t>
        <w:br/>
        <w:t>y el Derecho Internacional en el Caso  Bulacio”,  Anexo  4  del  escrito  de</w:t>
        <w:br/>
        <w:t>reparaciones  de  la  Comisión  Interamericana  de   Derechos   Humanos   en</w:t>
        <w:br/>
        <w:t>expediente que se encuentra en la Secretaría  de  la  Corte  y  se  denomina</w:t>
        <w:br/>
        <w:t>“Caso Bulacio (Reparaciones) Tomo I”, folio 29.</w:t>
        <w:br/>
        <w:br/>
        <w:t>[47]  Cfr., Caso Juan Humberto  Sánchez,  supra  nota  4,  párr.  147;  Caso</w:t>
        <w:br/>
        <w:t>“Cinco Pensionistas”, supra nota 4, párr. 173; Caso Cantos,  supra  nota  6,</w:t>
        <w:br/>
        <w:t>párr. 66; Caso del Caracazo, Reparaciones, supra  nota  5,  párr.  76;  Caso</w:t>
        <w:br/>
        <w:t>Hilaire, Constantine y Benjamin y otros,  supra  nota  5,  párr.  202;  Caso</w:t>
        <w:br/>
        <w:t>Trujillo  Oroza,  Reparaciones,  supra  nota  30,  párr.  60;  Caso   Bámaca</w:t>
        <w:br/>
        <w:t>Velásquez, Reparaciones, supra nota 30, párr. 38; Caso  Cantoral  Benavides,</w:t>
        <w:br/>
        <w:t>Reparaciones, supra nota 30, párr. 40; Caso de la Comunidad  Mayagna  (Sumo)</w:t>
        <w:br/>
        <w:t>Awas Tingni, supra nota 4, párr.  163;  Caso  Cesti  Hurtado.  Reparaciones,</w:t>
        <w:br/>
        <w:t>supra nota 30, párr. 32; Caso de los “Niños de la Calle” (Villagrán  Morales</w:t>
        <w:br/>
        <w:t>y otros). Reparaciones, supra nota 30, párr. 59; Caso de la  “Panel  Blanca”</w:t>
        <w:br/>
        <w:t>(Paniagua Morales y otros). Reparaciones, supra  nota  30,  párr.  78;  Caso</w:t>
        <w:br/>
        <w:t>Ivcher Bronstein, supra nota 30, párr. 177;  Caso  Baena  Ricardo  y  otros,</w:t>
        <w:br/>
        <w:t>supra nota 28, párr. 201; Caso del Tribunal Constitucional, supra  nota  30,</w:t>
        <w:br/>
        <w:t>párr. 118; Caso Suárez Rosero. Reparaciones (art. 63.1 Convención  Americana</w:t>
        <w:br/>
        <w:t>sobre Derechos Humanos). Sentencia de 20 de enero de 1999. Serie C  No.  44,</w:t>
        <w:br/>
        <w:t>párr. 40; Caso Castillo Páez. Reparaciones, supra nota 26,  párr.  50;  Caso</w:t>
        <w:br/>
        <w:t>Loayza Tamayo. Reparaciones (Art. 63.1 Convención Americana  sobre  Derechos</w:t>
        <w:br/>
        <w:t>Humanos), Sentencia de 27 de noviembre de 1998. Serie C No.  42,  párr.  84;</w:t>
        <w:br/>
        <w:t>Caso Garrido y  Baigorria.  Reparaciones  (art.  63.1  Convención  Americana</w:t>
        <w:br/>
        <w:t>sobre Derechos Humanos). Sentencia de 27 de agosto de 1998. Serie C No.  39,</w:t>
        <w:br/>
        <w:t xml:space="preserve"> párr. 40;  Caso  Caballero  Delgado  y  Santana.  Reparaciones  (art.  63.1</w:t>
        <w:br/>
        <w:t>Convención Americana sobre Derechos Humanos). Sentencia de 29  de  enero  de</w:t>
        <w:br/>
        <w:t>1997. Serie C No. 31, párr. 15; Caso Neira  Alegría  y  Otros.  Reparaciones</w:t>
        <w:br/>
        <w:t>(art. 63.1 Convención Americana sobre Derechos Humanos). Sentencia de 19  de</w:t>
        <w:br/>
        <w:t>septiembre  de  1996.  Serie  C  No.  29,  párr.  36;  y  Caso  El   Amparo.</w:t>
        <w:br/>
        <w:t>Reparaciones  (art.  63.1  Convención  Americana  sobre  Derechos  Humanos).</w:t>
        <w:br/>
        <w:t>Sentencia de 14 de septiembre de 1996. Serie C No. 28, párr. 14.</w:t>
        <w:br/>
        <w:br/>
        <w:t>[48]  Cfr., Caso Juan Humberto Sánchez, supra nota 4, párr. 148;  Caso“Cinco</w:t>
        <w:br/>
        <w:t>Pensionistas”, supra nota 4, párr. 174; y Caso Cantos, supra nota  6,  párr.</w:t>
        <w:br/>
        <w:t>67.</w:t>
        <w:br/>
        <w:br/>
        <w:t>[49]  Cfr., Caso Juan Humberto Sánchez, supra nota 4, párr.  149;  Caso  Las</w:t>
        <w:br/>
        <w:t>Palmeras, Reparaciones, supra  nota  5,  párr.  38;  y  Caso  del  Caracazo,</w:t>
        <w:br/>
        <w:t>Reparaciones, supra nota 5, párr. 77.</w:t>
        <w:br/>
        <w:br/>
        <w:t>[50]  Cfr., Caso Juan Humberto  Sánchez,  supra  nota  4,  párr.  149;  Caso</w:t>
        <w:br/>
        <w:t>Cantos, supra nota 6, párr. 68; y Caso  Las  Palmeras,  Reparaciones,  supra</w:t>
        <w:br/>
        <w:t>nota 5, párr. 38.</w:t>
        <w:br/>
        <w:br/>
        <w:t>[51]  Cfr., Caso Juan Humberto  Sánchez,  supra  nota  4,  párr.  150;  Caso</w:t>
        <w:br/>
        <w:t>Trujillo Oroza, Reparaciones,  supra  nota  30,  párr.  62;  y  Caso  Bámaca</w:t>
        <w:br/>
        <w:t>Velásquez, Reparaciones, supra nota 30, párr. 40.</w:t>
        <w:br/>
        <w:br/>
        <w:t>[52]  Cfr., Caso Juan Humberto Sánchez, supra nota 4, párr.  156;  Caso  Las</w:t>
        <w:br/>
        <w:t>Palmeras, Reparaciones, supra nota 5, párrs. 54-55; y Caso  Trujillo  Oroza,</w:t>
        <w:br/>
        <w:t>Reparaciones, supra nota 30, párr. 57.</w:t>
        <w:br/>
        <w:br/>
        <w:t>[53]        De conformidad con el artículo  2  del  Reglamento,  el  término</w:t>
        <w:br/>
        <w:t>“familiares” significa “los familiares inmediatos, es decir, ascendientes  y</w:t>
        <w:br/>
        <w:t>descendientes  en   línea   directa,   hermanos,   cónyuges   o   compañeros</w:t>
        <w:br/>
        <w:t>permanentes, o aquellos determinados por la Corte en su caso”.</w:t>
        <w:br/>
        <w:br/>
        <w:t>[54]  Cfr., Caso Juan Humberto Sánchez, supra nota 4, párr.  156;  Caso  Las</w:t>
        <w:br/>
        <w:t>Palmeras, Reparaciones, supra nota 5,  párrs.  54  y  55;  y  Caso  Trujillo</w:t>
        <w:br/>
        <w:t>Oroza, Reparaciones, supra nota 30, párr. 57.</w:t>
        <w:br/>
        <w:br/>
        <w:t>[55]  Cfr.,  Caso  Durand  y  Ugarte.  Reparaciones  (art.  63.1  Convención</w:t>
        <w:br/>
        <w:t>Americana sobre Derechos Humanos). Sentencia de  3  de  diciembre  de  2001.</w:t>
        <w:br/>
        <w:t>Serie C No. 89, párr. 27.</w:t>
        <w:br/>
        <w:br/>
        <w:t>[56]  Cfr., Caso Castillo Páez, Reparaciones, supra nota 26, párr. 74.</w:t>
        <w:br/>
        <w:br/>
        <w:t>[57]  Cfr., Caso Juan Humberto Sánchez, supra nota 4, párr. 164; y Caso  del</w:t>
        <w:br/>
        <w:t>Caracazo, Reparaciones, supra nota 5, párr. 91.</w:t>
        <w:br/>
        <w:br/>
        <w:t>[58]  Cfr., Caso del Caracazo, Reparaciones, supra nota 5, párr. 91.c).</w:t>
        <w:br/>
        <w:br/>
        <w:t>[59]  Cfr., Caso Juan Humberto Sánchez, supra nota 4, párr.  168;  Caso  del</w:t>
        <w:br/>
        <w:t>Caracazo, Reparaciones, supra nota 5,  párr.  94;  y  Caso  Trujillo  Oroza,</w:t>
        <w:br/>
        <w:t>Reparaciones, supra nota 30, párr. 77.</w:t>
        <w:br/>
        <w:br/>
        <w:t>[60]  Cfr., Caso Trujillo Oroza, Reparaciones,  supra  nota  30,  párr.  82;</w:t>
        <w:br/>
        <w:t>Caso de la “Panel Blanca” (Paniagua Morales y  otros),  Reparaciones,  supra</w:t>
        <w:br/>
        <w:t>nota 30, párr. 104;  y  Caso  Blake.  Reparaciones   (art.  63.1  Convención</w:t>
        <w:br/>
        <w:t>Americana sobre Derechos Humanos). Sentencia de 22 de enero de  1999.  Serie</w:t>
        <w:br/>
        <w:t>C No. 48, párr. 54.</w:t>
        <w:br/>
        <w:br/>
        <w:t>[61]  Cfr., Caso Juan Humberto  Sánchez,  supra  nota  4,  párr.  172;  Caso</w:t>
        <w:br/>
        <w:t>“Cinco  Pensionistas”,  supra  nota  4,  párr.  180;  Caso   Las   Palmeras,</w:t>
        <w:br/>
        <w:t>Reparaciones, supra nota 5, párr. 74;  Caso  Trujillo  Oroza,  Reparaciones,</w:t>
        <w:br/>
        <w:t>supra nota 30, párr. 83; Caso Bámaca  Velásquez,  Reparaciones,  supra  nota</w:t>
        <w:br/>
        <w:t>30, párr. 60; Caso Cantoral Benavides, Reparaciones, supra  nota  30,  párr.</w:t>
        <w:br/>
        <w:t>57; Caso de la Comunidad Mayagna (Sumo) Awas Tingni,  supra  nota  4,  párr.</w:t>
        <w:br/>
        <w:t>166; Caso Cesti Hurtado. Reparaciones, supra nota 30, párr. 51; Caso de  los</w:t>
        <w:br/>
        <w:t>“Niños de la Calle” (Villagrán Morales y otros),  Reparaciones,  supra  nota</w:t>
        <w:br/>
        <w:t>30, párr. 88; y Caso de  la  “Panel  Blanca”  (Paniagua  Morales  y  otros),</w:t>
        <w:br/>
        <w:t>Reparaciones, supra nota 30, párr. 105. En igual sentido,  Cfr.  Eur.  Court</w:t>
        <w:br/>
        <w:t>HR, Ruiz Torija v. Spain judgment of 9 December 1994, Series  A  no.  303-A,</w:t>
        <w:br/>
        <w:t>para. 33; Eur. Court HR, Boner v. the United Kingdom judgment of 28  October</w:t>
        <w:br/>
        <w:t>1994, Series A no. 300-B, para. 46; Eur. Court HR, Kroon and Others  v.  the</w:t>
        <w:br/>
        <w:t>Netherlands judgment of 27 October 1994, Series A no. 297-C, para.  45;  Eur</w:t>
        <w:br/>
        <w:t>Court H.R., Darby v. Sweden judgment of 23 October 1990, Series A  no.  187,</w:t>
        <w:br/>
        <w:t>para. 40; Eur. Court  H.R.,  Wassink  v.  The  Netherlands  judgment  of  27</w:t>
        <w:br/>
        <w:t>September  1990,  Series  A  no.  185-A,  para.   41;   Eur.   Court   H.R.,</w:t>
        <w:br/>
        <w:t>Koendjbiharie v. The Netherlands, judgment of 25 October 1990, Series A  no.</w:t>
        <w:br/>
        <w:t>185-B, para. 34; and Eur. Court  H.R.,  Mc  Callum  v.  The  United  Kingdom</w:t>
        <w:br/>
        <w:t>judgment of 30 August 1990, Series A no. 183, para. 37.</w:t>
        <w:br/>
        <w:br/>
        <w:t>[62]  Cfr., Caso Juan Humberto Sánchez, supra nota 4, párr.  172;  Caso  del</w:t>
        <w:br/>
        <w:t>Caracazo, Reparaciones, supra nota 5,  párr.  99;  y  Caso  Trujillo  Oroza,</w:t>
        <w:br/>
        <w:t>Reparaciones, supra nota 30, párr. 83.</w:t>
        <w:br/>
        <w:br/>
        <w:t>[63]  Cfr., Caso Trujillo Oroza, Reparaciones,  supra  nota  30,  párr.  85;</w:t>
        <w:br/>
        <w:t>Caso Garrido y Baigorria, Reparaciones, supra nota  47,  párr.  49;  y  Caso</w:t>
        <w:br/>
        <w:t>Aloeboetoe y otros.  Reparaciones  (art.  63.1  Convención  Americana  sobre</w:t>
        <w:br/>
        <w:t>Derechos Humanos). Sentencia de 10 de septiembre de 1993. Serie  C  No.  15,</w:t>
        <w:br/>
        <w:t>párr. 52.</w:t>
        <w:br/>
        <w:br/>
        <w:t>[64]  Cfr., Caso Juan Humberto  Sánchez,  supra  nota  4,  párr.  174;  Caso</w:t>
        <w:br/>
        <w:t>Trujillo Oroza, Reparaciones,  supra  nota  30,  parr.  85;  y  Caso  Bámaca</w:t>
        <w:br/>
        <w:t>Velásquez, Reparaciones, supra nota 30, párr. 62.</w:t>
        <w:br/>
        <w:br/>
        <w:t>[65]  Cfr., Caso de los “Niños de la Calle”  (Villagrán  Morales  y  otros).</w:t>
        <w:br/>
        <w:t>Reparaciones, supra nota 30, párr. 91.b); y Condición  jurídica  y  derechos</w:t>
        <w:br/>
        <w:t>humanos del niño, supra nota 4, párr. 87.</w:t>
        <w:br/>
        <w:br/>
        <w:t>[66]  Cfr., Caso Juan Humberto Sánchez, supra nota 4, párr.  175;  Caso  del</w:t>
        <w:br/>
        <w:t>Caracazo, Reparaciones, supra nota 5, párr. 50 e); y  Caso  Trujillo  Oroza,</w:t>
        <w:br/>
        <w:t>Reparaciones, supra nota 30, párr. 88.</w:t>
        <w:br/>
        <w:br/>
        <w:t>[67]  Cfr., Caso Cantoral Benavides, Reparaciones, supra nota 30, párr.  51;</w:t>
        <w:br/>
        <w:t>Caso Blake, Reparaciones, supra nota 60, párr. 50;  y  Caso  Loayza  Tamayo,</w:t>
        <w:br/>
        <w:t>Reparaciones, supra nota 47, párr. 129.d).</w:t>
        <w:br/>
        <w:br/>
        <w:t>[68]  Cfr., Caso Juan Humberto Sánchez, supra nota 4, párr.  184;  Caso  del</w:t>
        <w:br/>
        <w:t>Caracazo,  Reparaciones,  supra  nota  5,  párr.  115;  Caso  Las  Palmeras,</w:t>
        <w:br/>
        <w:t>Reparaciones, supra nota 5, párr. 66;  Caso  Trujillo  Oroza,  Reparaciones,</w:t>
        <w:br/>
        <w:t>supra nota 30, párr. 99; Caso Bámaca  Velásquez,  Reparaciones,  supra  nota</w:t>
        <w:br/>
        <w:t>30, párrs. 76 y 77; y Caso Cantoral Benavides, Reparaciones, supra nota  30,</w:t>
        <w:br/>
        <w:t>párrs. 69 y 70.</w:t>
        <w:br/>
        <w:br/>
        <w:t>[69]  Cfr., Caso Juan Humberto Sánchez,  supra  nota  4,  párr.   110;  Caso</w:t>
        <w:br/>
        <w:t>Bámaca Velásquez, supra nota 30, párr. 172; y  Caso  de  los  “Niños  de  la</w:t>
        <w:br/>
        <w:t>Calle” (Villagrán Morales y otros). Sentencia de 19 de  noviembre  de  1999.</w:t>
        <w:br/>
        <w:t>Serie C No. 63, párrs. 144-145. En igual sentido, Comentario General  No.  6</w:t>
        <w:br/>
        <w:t>(Décimo sexta sesión, 1982), párr. 3, supra nota 123; María Fanny Suárez  de</w:t>
        <w:br/>
        <w:t>Guerrero v. Colombia. Comunicación No.  R.11/45  (5  de  febrero  de  1979),</w:t>
        <w:br/>
        <w:t>U.N.Doc. Supp. No. 40 (A/37/40) en 137 (1982), pág. 137.</w:t>
        <w:br/>
        <w:br/>
        <w:t>[70]   Cfr., Caso Juan Humberto Sánchez,  supra  nota  4,  párr.  144;  Caso</w:t>
        <w:br/>
        <w:t>Bámaca Velásquez, supra nota 30, párr. 212; y  Caso  de  los  “Niños  de  la</w:t>
        <w:br/>
        <w:t>Calle” (Villagrán Morales y otros), supra nota 69, párr. 226.</w:t>
        <w:br/>
        <w:br/>
        <w:t>[71]  Cfr., Caso Juan Humberto  Sánchez,  supra  nota  4,  párr.  144;  Caso</w:t>
        <w:br/>
        <w:t>Bámaca Velásquez, supra nota 30, párr. 212; y  Caso  de  los  “Niños  de  la</w:t>
        <w:br/>
        <w:t>Calle” (Villagrán Morales y otros), supra nota 69, párr. 226.</w:t>
        <w:br/>
        <w:br/>
        <w:t>[72]  Cfr., Caso Hilaire, Constantine y Benjamin  y  otros,  supra  nota  5,</w:t>
        <w:br/>
        <w:t>párrs. 142 a 144; Caso Suárez Rosero. Sentencia de 12 de noviembre de  1997.</w:t>
        <w:br/>
        <w:t>Serie C No. 35, párrs. 71 y 72; y Caso Genie Lacayo.  Sentencia  del  29  de</w:t>
        <w:br/>
        <w:t>enero de 1997. Serie C No. 30, párr. 77.</w:t>
        <w:br/>
        <w:br/>
        <w:t>[73]  Cfr., Caso Trujillo Oroza, Reparaciones, supra  nota  30,  párr.  106;</w:t>
        <w:br/>
        <w:t>Caso Barrios  Altos,  supra  nota  3,  párr.   41;  y  Caso  Barrios  Altos.</w:t>
        <w:br/>
        <w:t>Interpretación de la Sentencia  de  Fondo.  (art.  67  Convención  Americana</w:t>
        <w:br/>
        <w:t>sobre Derechos Humanos). Sentencia de 3 de septiembre de 2001. Serie  C  No.</w:t>
        <w:br/>
        <w:t>83, párr. 15.</w:t>
        <w:br/>
        <w:br/>
        <w:t>[74]  Cfr., Caso Barrios Altos, supra nota 3, párr. 43.</w:t>
        <w:br/>
        <w:br/>
        <w:t>[75]  Cfr., Caso  “Cinco  Pensionistas”,  supra  nota  4,  párr.  164;  Caso</w:t>
        <w:br/>
        <w:t>Hilaire, Constantine y Benjamin y otros, supra nota 5,  párr.  112;  y  Caso</w:t>
        <w:br/>
        <w:t>Trujillo Oroza, Reparaciones, supra nota 30, párr. 96.</w:t>
        <w:br/>
        <w:br/>
        <w:t>[76]  Cfr., Caso Juan Humberto Sánchez, supra nota  4,  párrs.  143  y  185;</w:t>
        <w:br/>
        <w:t>Caso Las Palmeras, Reparaciones, supra nota  5,  párr.  53.a);  y  Caso  del</w:t>
        <w:br/>
        <w:t>Caracazo, Reparaciones, supra nota 5, párrs. 116 y 117.</w:t>
        <w:br/>
        <w:br/>
        <w:t>[77]  Cfr., Caso Juan  Humberto  Sánchez,  supra  nota  4,  párr.  86;  Caso</w:t>
        <w:br/>
        <w:t>Hilaire, Constantine y Benjamin y otros, supra nota 5,  párr.  101;  y  Caso</w:t>
        <w:br/>
        <w:t>Bámaca Velásquez, supra nota 30, párr. 174; y Caso Durand  y  Ugarte,  supra</w:t>
        <w:br/>
        <w:t>nota 30, párr. 69. Vid., en un sentido parecido, Caso  del  Caracazo,  supra</w:t>
        <w:br/>
        <w:t>nota 3, párr. 127.</w:t>
        <w:br/>
        <w:br/>
        <w:t>[78]  Cfr., Caso Juan  Humberto  Sánchez,  supra  nota  4,  párr.  86;  Caso</w:t>
        <w:br/>
        <w:t>Hilaire, Constantine y Benjamin y otros, supra nota 5,  párr.  101;  y  Caso</w:t>
        <w:br/>
        <w:t>Bámaca Velásquez, supra nota 30, párr. 174. En  igual  sentido,  cfr.,  Eur.</w:t>
        <w:br/>
        <w:t>Court H.R., Ribitsch v. Austria. Judgment  of  4  December  1995,  Series  A</w:t>
        <w:br/>
        <w:t>No. 336, para. 38; and Eur. Court H.R., Tomasi v. France.  Judgment   of  27</w:t>
        <w:br/>
        <w:t>August 1992, Series A  No. 214-A, para. 115.</w:t>
        <w:br/>
        <w:br/>
        <w:t>[79]  Cfr., Caso Juan Humberto Sánchez, supra nota 4, párr. 78; Caso  Bámaca</w:t>
        <w:br/>
        <w:t>Velásquez, supra nota 30, párr. 139; y Caso Durand y Ugarte, supra nota  30,</w:t>
        <w:br/>
        <w:t>párr. 85.</w:t>
        <w:br/>
        <w:br/>
        <w:t>[80]  Cfr., Caso Cantoral Benavides, supra nota 30, párr. 87; Caso Durand  y</w:t>
        <w:br/>
        <w:t>Ugarte, supra nota 30, párr. 78; y Caso Castillo  Petruzzi  y  otros,  supra</w:t>
        <w:br/>
        <w:t>nota 30, párr. 195.</w:t>
        <w:br/>
        <w:br/>
        <w:br/>
        <w:br/>
        <w:t>[81]  Cfr. Eur. Court HR, Iwanczuk v. Poland (App. 25196/94) Judgment of  15</w:t>
        <w:br/>
        <w:t>November 2001, para. 53.</w:t>
        <w:br/>
        <w:br/>
        <w:t>[82]  Cfr., Caso Juan Humberto Sánchez, supra nota 4, párr. 96; Caso  Bámaca</w:t>
        <w:br/>
        <w:t>Velásquez, supra nota 30, párr. 150; y Caso Cantoral Benavides,  supra  nota</w:t>
        <w:br/>
        <w:t>30, párr. 90.</w:t>
        <w:br/>
        <w:br/>
        <w:t>[83]  Cfr., Caso Juan Humberto Sánchez, supra nota 4, párr.  100.  En  igual</w:t>
        <w:br/>
        <w:t>sentido, cfr., Eur. Court HR, Salman v. Turkey judgment  of  27  June  2000,</w:t>
        <w:br/>
        <w:t>Reports of Judgments and Decisions  2000-VII,  párr.   98;  Eur.  Court  HR,</w:t>
        <w:br/>
        <w:t>Timurtas v. Turkey judgment of  13  June  2000,  Reports  of  Judgments  and</w:t>
        <w:br/>
        <w:t>Decisions 2000-VI, párr. 82; Eur. Court HR, Selmouni v. France  judgment  of</w:t>
        <w:br/>
        <w:t>28 July 1999, Reports of Judgments and  Decisions  1999-V,  párr.  87;  Eur.</w:t>
        <w:br/>
        <w:t>Court HR, Ribitsch v. Austria, supra nota 78, párr. 34; and  Eur.  Court  H.</w:t>
        <w:br/>
        <w:t>R., Case of Tomasi v. France, supra nota 78, párrs. 108-110.</w:t>
        <w:br/>
        <w:br/>
        <w:t>[84]  Cfr., Caso Juan Humberto Sánchez, supra nota 4, párr. 85; Caso  Bámaca</w:t>
        <w:br/>
        <w:t>Velásquez, supra nota 30, párr. 194; y Caso de la “Panel  Blanca”  (Paniagua</w:t>
        <w:br/>
        <w:t>Morales y otros), supra nota 30, párr. 167.</w:t>
        <w:br/>
        <w:br/>
        <w:t>[85]  Cfr., Caso Bámaca Velásquez, supra nota 30, párr. 150;  Caso  Cantoral</w:t>
        <w:br/>
        <w:t>Benavides, supra nota 30, párr. 82; y  Caso  de  los  “Niños  de  la  Calle”</w:t>
        <w:br/>
        <w:t>(Villagrán Morales y otros), supra nota 69, párr. 164.</w:t>
        <w:br/>
        <w:br/>
        <w:t>[86]  Cfr., Caso Juan Humberto Sánchez, supra nota 4, párr. 82.</w:t>
        <w:br/>
        <w:br/>
        <w:t>[87]  Cfr., Caso Juan Humberto Sánchez, supra  nota  4,  párr.  84;  y  Caso</w:t>
        <w:br/>
        <w:t>Castillo Petruzzi y otros, supra nota  30,  párr.  108.  En  igual  sentido,</w:t>
        <w:br/>
        <w:t>Cfr., Eur. Court H. R., Brogan and Others v. The  United  Kingdom,  decision</w:t>
        <w:br/>
        <w:t>of 23 March 1988, Series A no. 145-B, paras. 58-59, 61-62.</w:t>
        <w:br/>
        <w:br/>
        <w:t>[88]  Cfr., El derecho a la información sobre la asistencia consular  en  el</w:t>
        <w:br/>
        <w:t>marco de las garantías del debido  proceso  legal.  Opinión  Consultiva  OC-</w:t>
        <w:br/>
        <w:t>16/99 de 1 de octubre de 1999. Serie A No. 16, párr.  86.</w:t>
        <w:br/>
        <w:br/>
        <w:t>[89]  Cfr., El derecho a la información sobre la asistencia consular  en  el</w:t>
        <w:br/>
        <w:t>marco de las garantías del debido proceso legal, supra nota 88, párr. 106.</w:t>
        <w:br/>
        <w:br/>
        <w:t>[90]  Cfr., Council of Europe. Committee on the Prevention of  Torture.  2nd</w:t>
        <w:br/>
        <w:t>General Report  on the CPT´s activities covering the  period  I  January  to</w:t>
        <w:br/>
        <w:t>December 1991, paras. 36-43.</w:t>
        <w:br/>
        <w:br/>
        <w:t>[91]  Cfr., Caso Cantoral Benavides, supra nota 30,  párrs.  127  y  128;  y</w:t>
        <w:br/>
        <w:t>Castillo Petruzzi y otros, supra nota 30, párr. 139, 141 y 142.</w:t>
        <w:br/>
        <w:br/>
        <w:t>[92]  Cfr., Council of Europe. Committee on the Prevention of Torture.   9th</w:t>
        <w:br/>
        <w:t>General Report [CPT/Inf (99), 12], paras. 37-41.</w:t>
        <w:br/>
        <w:br/>
        <w:t>[93]  Cfr., Caso Cantoral Benavides, supra nota 30,  párrs.  85  y  106.  En</w:t>
        <w:br/>
        <w:t>igual sentido, cfr., Council of  Europe.  Committee  on  the  Prevention  of</w:t>
        <w:br/>
        <w:t>Torture, European Union.  9th General Report [CPT/Inf (99), 12], paras.  33-</w:t>
        <w:br/>
        <w:t>34.</w:t>
        <w:br/>
        <w:br/>
        <w:t>[94]  Cfr., Eur. Court HR, Dougoz  v.  Greece  Judgment  of  6  March  2001,</w:t>
        <w:br/>
        <w:t>Reports of Judgments and Decisions 2001-II, parrs. 46  and  48.  Council  of</w:t>
        <w:br/>
        <w:t>Europe. Committee on the Prevention of Torture, European Union. 9th  General</w:t>
        <w:br/>
        <w:t>Report [CPT/Inf (99), 12], paras. 33-34.</w:t>
        <w:br/>
        <w:br/>
        <w:br/>
        <w:t>[95]  Cfr., Caso Juan Humberto Sánchez, supra nota 4, párr. 189; y  Caso  de</w:t>
        <w:br/>
        <w:t>la “Panel Blanca” (Paniagua Morales y otros), Reparaciones, supra  nota  30,</w:t>
        <w:br/>
        <w:t>párr. 203.</w:t>
        <w:br/>
        <w:br/>
        <w:t>[96]  Cfr., Condición jurídica y derechos humanos del niño,  supra  nota  4,</w:t>
        <w:br/>
        <w:t>párr. 42.</w:t>
        <w:br/>
        <w:br/>
        <w:t>[97]  Cfr., Condición jurídica y derechos humanos del niño,  supra  nota  4,</w:t>
        <w:br/>
        <w:t>párr. 56.</w:t>
        <w:br/>
        <w:br/>
        <w:t>[98]  Cfr., Artículo 37.b de la Convención sobre los Derechos  del  Niño;  y</w:t>
        <w:br/>
        <w:t>reglas  13  y  19  de  las  Reglas  Mínimas  de  Naciones  Unidas  para   la</w:t>
        <w:br/>
        <w:t>Administración de Justicia de Menores (Reglas de Beijing) (1985).</w:t>
        <w:br/>
        <w:br/>
        <w:t>[99]  Cfr., Condición jurídica y derechos humanos del niño,  supra  nota  4,</w:t>
        <w:br/>
        <w:t>párr. 78.</w:t>
        <w:br/>
        <w:br/>
        <w:t>[100] Cfr., Council of Europe. Committee on the Prevention of  Torture,  9th</w:t>
        <w:br/>
        <w:t>General Report [CPT/Inf (99) 12], para. 21.</w:t>
        <w:br/>
        <w:br/>
        <w:t>[101] Cfr., Caso Juan Humberto Sánchez, supra nota 4, párr.  100.  En  igual</w:t>
        <w:br/>
        <w:t>sentido, cfr., Eur. Court HR, Salman v. Turkey, supra  nota  83,  para.  98;</w:t>
        <w:br/>
        <w:t>Eur. Court HR, Timurtas v. Turkey, supra nota 83, para. 82; Eur.  Court  HR,</w:t>
        <w:br/>
        <w:t>Selmouni v. France, supra nota 83, para. 87;  Eur.  Court  HR,  Ribitsch  v.</w:t>
        <w:br/>
        <w:t>Austria, supra nota 78, para. 34; and Eur. Court H. R., Case  of  Tomasi  v.</w:t>
        <w:br/>
        <w:t>France, supra nota 78, paras. 108-110.</w:t>
        <w:br/>
        <w:br/>
        <w:t>[102]       Cfr., Caso Juan Humberto Sánchez, supra nota 4, párr. 111;  Caso</w:t>
        <w:br/>
        <w:t>Durand y Ugarte, supra nota 30, párr. 65; y Caso Cantoral  Benavides,  supra</w:t>
        <w:br/>
        <w:t>nota 30, párr. 55. En este mismo sentido la Corte Europea ha  formulado  una</w:t>
        <w:br/>
        <w:t>extensa jurisprudencia: Eur. Court HR,  Aksoy  v.  Turkey.  judgment  of  18</w:t>
        <w:br/>
        <w:t>December 1996, Reports of Judgments and Decisions 1996-VI,  para.  61;  Eur.</w:t>
        <w:br/>
        <w:t>Court HR, Salman v.  Turkey,  supra  nota  83,  para.  98;  Eur.  Court  HR,</w:t>
        <w:br/>
        <w:t>Timurtas v. Turkey, supra nota 83, para. 82;  Eur.  Court  HR,  Selmouni  v.</w:t>
        <w:br/>
        <w:t>France, supra nota 83, para. 87; Eur. Court HR, Ribitsch v.  Austria,  supra</w:t>
        <w:br/>
        <w:t>nota 78, para. 34; y and Eur. Court H. R., Case of Tomasi v.  France,  supra</w:t>
        <w:br/>
        <w:t>nota 78, paras. 108-111.</w:t>
        <w:br/>
        <w:t>[103]       Cfr. Caso “Cinco Pensionistas”, supra nota 4,  párr.  164;  Caso</w:t>
        <w:br/>
        <w:t>Cantos, supra nota 6, párr. 59; y Caso Hilaire,  Constantine  y  Benjamin  y</w:t>
        <w:br/>
        <w:t>otros, supra nota 5, párr. 111.</w:t>
        <w:br/>
        <w:br/>
        <w:t>[104]       Cfr. Caso “Cinco Pensionistas”, supra nota 4,  párr.  165;  Caso</w:t>
        <w:br/>
        <w:t>Cantos, supra nota 6, párr. 61; y Caso Hilaire,  Constantine  y  Benjamin  y</w:t>
        <w:br/>
        <w:t>otros, supra nota 5, párr. 113.</w:t>
        <w:br/>
        <w:br/>
        <w:t>[105]       Cfr. Caso Juan Humberto Sánchez, supra nota 4, párr.  188;  Caso</w:t>
        <w:br/>
        <w:t>Las Palmeras, Reparaciones, supra nota 5, párr. 75;  y  Caso  del  Caracazo,</w:t>
        <w:br/>
        <w:t>Reparaciones, supra nota 5, párr. 128.</w:t>
        <w:br/>
        <w:br/>
        <w:t>[106] Cfr., Caso Juan Humberto Sánchez, supra nota 4, párr.  193;  Caso  Las</w:t>
        <w:br/>
        <w:t>Palmeras, Reparaciones, supra  nota  5,  párr.  82;  y  Caso  del  Caracazo,</w:t>
        <w:br/>
        <w:t>Reparaciones, supra nota 5, párr. 130.</w:t>
        <w:br/>
        <w:br/>
        <w:t>[107] Cfr., Caso Juan Humberto  Sánchez,  supra  nota  4,  párr.  193;  Caso</w:t>
        <w:br/>
        <w:t>“Cinco Pensionistas”, supra nota 4, párr. 181; y Caso Cantos, supra nota  6,</w:t>
        <w:br/>
        <w:t>párr. 72.</w:t>
        <w:br/>
        <w:br/>
        <w:t>[108] Cfr., Caso Juan Humberto  Sánchez,  supra  nota  4,  párr.  193;  Caso</w:t>
        <w:br/>
        <w:t>“Cinco Pensionistas”, supra nota 4, párr. 181; y Caso Cantos, supra nota  6,</w:t>
        <w:br/>
        <w:t>párr. 72.</w:t>
        <w:br/>
        <w:br/>
        <w:t>[109]       Cfr. Caso Juan Humberto Sánchez, supra nota 4, párr.  197;  Caso</w:t>
        <w:br/>
        <w:t>“Cinco  Pensionistas”,  supra  nota  4,  párr.  183;  Caso   Las   Palmeras,</w:t>
        <w:br/>
        <w:t>Reparaciones, supra nota 5,  párr.  92;  Caso  del  Caracazo,  Reparaciones,</w:t>
        <w:br/>
        <w:t>supra nota 5, párr. 139; Caso Trujillo Oroza, Reparaciones, supra  nota  30,</w:t>
        <w:br/>
        <w:t>párr. 137; Caso Bámaca Velásquez, Reparaciones, supra nota  30,  párr.  100;</w:t>
        <w:br/>
        <w:t>Caso Durand y Ugarte, Reparaciones, supra nota 55, párr. 28;  Caso  Cantoral</w:t>
        <w:br/>
        <w:t>Benavides, Reparaciones, supra  nota  30,  párr.  95;  Caso  Barrios  Altos.</w:t>
        <w:br/>
        <w:t>Reparaciones  (art.  63.1  Convención  Americana  sobre  Derechos  Humanos).</w:t>
        <w:br/>
        <w:t>Sentencia de 30 de noviembre de 2001. Serie C No. 87, párr. 40; Caso  de  la</w:t>
        <w:br/>
        <w:t>Comunidad Mayagna (Sumo) Awas Tingni, supra nota 4, párr.  170;  Caso  Cesti</w:t>
        <w:br/>
        <w:t>Hurtado, Reparaciones, supra nota 30, párr. 76; Caso de  los  “Niños  de  la</w:t>
        <w:br/>
        <w:t>Calle” (Villagrán Morales y otros), Reparaciones, supra nota 30, párr.  119;</w:t>
        <w:br/>
        <w:t>Caso de la “Panel Blanca” (Paniagua Morales y  otros).  Reparaciones,  supra</w:t>
        <w:br/>
        <w:t>nota 30, párr. 225; Caso Blake, Reparaciones, supra nota 60, párr. 71;  Caso</w:t>
        <w:br/>
        <w:t>Suárez Rosero, Reparaciones, supra nota 47, párr. 109; Caso  Castillo  Páez,</w:t>
        <w:br/>
        <w:t>Reparaciones, supra nota 26, párr. 114; Caso  Loayza  Tamayo,  Reparaciones,</w:t>
        <w:br/>
        <w:t>supra nota 47, párr. 188; Caso  Garrido  y  Baigorria,  Reparaciones,  supra</w:t>
        <w:br/>
        <w:t>nota 47, párr. 39; Caso Caballero Delgado  y  Santana,  Reparaciones,  supra</w:t>
        <w:br/>
        <w:t>nota 47, párr. 31; Caso Neira Alegría y otros, Reparaciones, supra nota  47,</w:t>
        <w:br/>
        <w:t>párr. 64; y Caso El Amparo, Reparaciones, supra nota 47, párr. 45.</w:t>
        <w:br/>
        <w:t xml:space="preserve">    [110].  Cf.  Corte  Interamericana   de   Derechos   Humanos   (CtIADH),</w:t>
        <w:br/>
        <w:t>Transcripción de la Audiencia Pública en el caso  Bulacio  versus  Argentina</w:t>
        <w:br/>
        <w:t>(Celebrada en la sede de la Corte los días 06 y 07 de marzo de 2003), pp. 7-</w:t>
        <w:br/>
        <w:t>8, y cf. pp. 10-12 (circulación interna).</w:t>
        <w:br/>
        <w:br/>
        <w:t xml:space="preserve">    [111]. Cf. CtIADH, Transcripción de la Audiencia  Pública...,  op.  cit.</w:t>
        <w:br/>
        <w:t>supra n. (1), p. 10.</w:t>
        <w:br/>
        <w:br/>
        <w:t xml:space="preserve">    [112]. CtIADH, Transcripción de la Audiencia Pública..., op. cit.  supra</w:t>
        <w:br/>
        <w:t>n. (1), p. 7.</w:t>
        <w:br/>
        <w:br/>
        <w:t xml:space="preserve">    [113]. CtIADH, Transcripción de la Audiencia Pública..., op. cit.  supra</w:t>
        <w:br/>
        <w:t>n. (1), p. 11.</w:t>
        <w:br/>
        <w:br/>
        <w:t xml:space="preserve">    [114]. En la penetrante frase final - versos 1529-1530.</w:t>
        <w:br/>
        <w:br/>
        <w:t xml:space="preserve">    [115]. Versos 1417-1420.</w:t>
        <w:br/>
        <w:br/>
        <w:t xml:space="preserve">    [116]. Ph. Ariès, Morir  en  Occidente  -  desde  la  Edad  Media  hasta</w:t>
        <w:br/>
        <w:t>Nuestros Días, Buenos Aires, A. Hidalgo Ed., 2000, p. 77.</w:t>
        <w:br/>
        <w:br/>
        <w:t xml:space="preserve">    [117]. Aristóteles, Poética (circa 335-322 a.C.), I-2;  VI-27,  30,  32;</w:t>
        <w:br/>
        <w:t>VII-41; IX-56. El célebre análisis aristotélico de la tragedia griega  (como</w:t>
        <w:br/>
        <w:t>imitación de la acción y de la vida)  fue  retomada  siglos  después,  sobre</w:t>
        <w:br/>
        <w:t>todo por los pensadores de los siglos XVII y XVIII.</w:t>
        <w:br/>
        <w:br/>
        <w:t xml:space="preserve">    [118]. A.A. Cançado Trindade, "A Emancipação do Ser Humano como  Sujeito</w:t>
        <w:br/>
        <w:t>do Direito Internacional e os Limites da Razão de  Estado",  in:  Quem  Está</w:t>
        <w:br/>
        <w:t>Escrevendo o Futuro? 25 Textos para o Século XXI, Brasília,  Ed.  Letraviva,</w:t>
        <w:br/>
        <w:t>2000, pp. 99-112.</w:t>
        <w:br/>
        <w:br/>
        <w:t xml:space="preserve">    [119]. De fines del siglo VIII o inicio del siglo VII a.C..</w:t>
        <w:br/>
        <w:br/>
        <w:t xml:space="preserve">    [120]. J.M. Redfield, Nature and Culture in the Iliad - The  Tragedy  of</w:t>
        <w:br/>
        <w:t>Hector, rev. ed., Durham/London, Duke Univ. Press, 1994, pp.  87-88  y  216-</w:t>
        <w:br/>
        <w:t>217. - Los guerreros de Homero sabían que jamás tendrían  control  total  de</w:t>
        <w:br/>
        <w:t>su propio destino, y se transformaban en medios, en cosas, en  la  insensata</w:t>
        <w:br/>
        <w:t>lucha por el poder, incapaces  siquiera  de  "someter  sus  acciones  a  sus</w:t>
        <w:br/>
        <w:t>pensamientos". Como observó Simone Weil con tanta perspicacia, casi  pierden</w:t>
        <w:br/>
        <w:t>significación los términos "opresores y oprimidos", frente a  la  impotencia</w:t>
        <w:br/>
        <w:t>de todos ante la máquina de guerra, convertida en máquina de destrucción  de</w:t>
        <w:br/>
        <w:t>los espíritus y de fabricación de la  inconsciencia;  S.  Weil,  Reflexiones</w:t>
        <w:br/>
        <w:t>sobre las Causas de la Libertad y de  la  Opresión  Social,  Barcelona,  Ed.</w:t>
        <w:br/>
        <w:t>Paidós/Universidad Autónoma de Barcelona,  1995,pp.  81-82,  84  y  130-131.</w:t>
        <w:br/>
        <w:t>Como en la Ilíada de  Homero,  no  hay  vencedores  y  vencidos,  todos  son</w:t>
        <w:br/>
        <w:t>tomados por la fuerza, posuídos por la guerra, degradados  por  brutalidades</w:t>
        <w:br/>
        <w:t>y masacres; S. Weil, "L'Iliade ou le Poème de  la  Guerre  (1940-1941)",  in</w:t>
        <w:br/>
        <w:t>Oeuvres, Paris, Quarto Gallimard, 1999, pp. 527-552.</w:t>
        <w:br/>
        <w:br/>
        <w:br/>
        <w:t xml:space="preserve">    [121]. J.-M. Domenach, Le retour  du  tragique,  Paris,  Éd.  du  Seuil,</w:t>
        <w:br/>
        <w:t>1967, p. 279.</w:t>
        <w:br/>
        <w:br/>
        <w:t xml:space="preserve">    [122]. J.-P. Vernant e  P.  Vidal-Naquet,  Mito  e  Tragédia  na  Grécia</w:t>
        <w:br/>
        <w:t>Antiga, São Paulo, Edit. Perspectiva, 1999, pp. 3-4, 21 y 47.</w:t>
        <w:br/>
        <w:br/>
        <w:t xml:space="preserve">    [123]. Ibid., p. 51.</w:t>
        <w:br/>
        <w:br/>
        <w:t xml:space="preserve">    [124]. J. De Romilly, La Grèce antique contre la  violence,  Paris,  Éd.</w:t>
        <w:br/>
        <w:t>de Fallois, 2000, pp. 18-19, 25, 33, 50-51, 55, 63-64, 74-75  y  161-163;  y</w:t>
        <w:br/>
        <w:t>cf. S. Goldhill, Reading Greek Tragedy, Cambridge,  University  Press,  1999</w:t>
        <w:br/>
        <w:t>[reprint], pp. 28-31, 34, 37 y 39-40.</w:t>
        <w:br/>
        <w:br/>
        <w:t xml:space="preserve">    [125]. Verso 503. - En una línea similar de reflexión, Eurípides,  a  su</w:t>
        <w:br/>
        <w:t>vez, confesaba, en su Hipólito, no saber  a  quién,  "entre  los  mortales",</w:t>
        <w:br/>
        <w:t>poder llamar de "feliz" (verso 981);  y,  también  en  un  tono  de  alerta,</w:t>
        <w:br/>
        <w:t>agregaba que "dolorosa es  la  vida  de  los  mortales  y  jamás  cesan  sus</w:t>
        <w:br/>
        <w:t>sufrimientos" (verso 190).</w:t>
        <w:br/>
        <w:br/>
        <w:t xml:space="preserve">    [126]. J. De Romilly, La Grèce antique..., op. cit. supra n.  (15),  pp.</w:t>
        <w:br/>
        <w:t>61-62 y 115-116.</w:t>
        <w:br/>
        <w:br/>
        <w:t xml:space="preserve">    [127]. Ibid., pp. 118, 120 y 122.</w:t>
        <w:br/>
        <w:br/>
        <w:t xml:space="preserve">    [128]. Ibid., p. 177.</w:t>
        <w:br/>
        <w:br/>
        <w:t xml:space="preserve">    [129]. T.S. Eliot, "Murder in the Cathedral" (de 1935), in The  Complete</w:t>
        <w:br/>
        <w:t>Poems  and  Plays  1909-1950,  N.Y./London,  Harcourt  Brace  &amp;  Co.,   1980</w:t>
        <w:br/>
        <w:t>[reprint], pp. 208-209.</w:t>
        <w:br/>
        <w:br/>
        <w:t xml:space="preserve">    [130]. - "Life's but a  walking  shadow...";  Shakespeare,  Macbeth  (de</w:t>
        <w:br/>
        <w:t>1605-1606); acto V, escena V, verso 24.</w:t>
        <w:br/>
        <w:br/>
        <w:t xml:space="preserve">    [131]. M. de Unamuno, The Tragic Sense of Life, London,  Collins/Fontana</w:t>
        <w:br/>
        <w:t>Libr., 1962 [reprint], pp. 209 y 204.</w:t>
        <w:br/>
        <w:br/>
        <w:t xml:space="preserve">    [132]. Refiriéndose a la muerte del marido y sus consecuencias.</w:t>
        <w:br/>
        <w:br/>
        <w:t xml:space="preserve">    [133]. De 1643-1644; versos 1721-1724.</w:t>
        <w:br/>
        <w:br/>
        <w:t xml:space="preserve">    [134]. Versos 909-912.</w:t>
        <w:br/>
        <w:br/>
        <w:br/>
        <w:t xml:space="preserve">    [135]. Dicha audiencia pública en el caso Bulacio  versus  Argentina  es</w:t>
        <w:br/>
        <w:t>memorable por más de un motivo. Quedará en la memoria de todos  los  que  de</w:t>
        <w:br/>
        <w:t>ella participaron, sobre todo, por el espíritu de respeto y dignidad  que  a</w:t>
        <w:br/>
        <w:t>ella supieron imprimir todos los intervenientes: las representantes  de  los</w:t>
        <w:br/>
        <w:t>familiares de la víctima, los de  la  Comisión  Interamericana  de  Derechos</w:t>
        <w:br/>
        <w:t>Humanos,  así  como  los  del  Estado  demandado,  se  mostraron  genuina  e</w:t>
        <w:br/>
        <w:t>igualmente dispuestos a llegar a una solución satisfactoria para el caso  en</w:t>
        <w:br/>
        <w:t>sus alegatos ante la Corte. La referida audiencia, además,  ya  forma  parte</w:t>
        <w:br/>
        <w:t>de la historia del Tribunal, pues  fue  la  última  que  se  realizó  en  la</w:t>
        <w:br/>
        <w:t>primera sala de audiencias (que, con la ampliación de sus instalaciones,  ya</w:t>
        <w:br/>
        <w:t>no existe), utilizada desde que empezó a funcionar la Corte hasta  entonces.</w:t>
        <w:br/>
        <w:t>Por esta razón, al cerrarla, me permití anunciar: - "a  partir  del  momento</w:t>
        <w:br/>
        <w:t>en que yo haga sonar el mazo, esta sala dejará de ser una sala de  audiencia</w:t>
        <w:br/>
        <w:t>y pasará a ser parte de la historia de esta  Corte"  (CtIADH,  Transcripción</w:t>
        <w:br/>
        <w:t>de la Audiencia Pública..., op. cit. supra  n.  (1),  p.  56).  Difícilmente</w:t>
        <w:br/>
        <w:t>podría este primer gran capítulo de la historia de la operación de la  Corte</w:t>
        <w:br/>
        <w:t>tener un cierre más adecuado y conmovedor que la referida audiencia  pública</w:t>
        <w:br/>
        <w:t>en el caso Bulacio.</w:t>
        <w:br/>
        <w:br/>
        <w:t xml:space="preserve">    [136]. Cf. CtIADH, Transcripción de la Audiencia  Pública...,  op.  cit.</w:t>
        <w:br/>
        <w:t>supra n. (1), pp. 15 y 23 (circulación interna).</w:t>
        <w:br/>
        <w:br/>
        <w:t xml:space="preserve">    [137]. Ibid., p. 23 (peritaje de la psicóloga Sra. Graciela Guilis).</w:t>
        <w:br/>
        <w:br/>
        <w:t xml:space="preserve">    [138]. Un sobreviviente de la tortura, por ejemplo, jamás será la  misma</w:t>
        <w:br/>
        <w:t>persona.</w:t>
        <w:br/>
        <w:br/>
        <w:t xml:space="preserve">    [139]. Verso 178.</w:t>
        <w:br/>
        <w:br/>
        <w:t xml:space="preserve">    [140]. G. Steiner, The Death of Tragedy, London, Faber, 1961,  pp.  128-</w:t>
        <w:br/>
        <w:t>129, 193 y 354.</w:t>
        <w:br/>
        <w:br/>
        <w:t xml:space="preserve">    [141]. Tema central de las consideraciones de Ésquilo en Las  Euménides:</w:t>
        <w:br/>
        <w:t>uno conoce las reglas, cumple entonces "transformarlas en  justicia"  (verso</w:t>
        <w:br/>
        <w:t>587); y de las ponderaciones de Euripides, en su Hécuba, obsesionada por  la</w:t>
        <w:br/>
        <w:t>idea de la justicia (versos 349-350, 1115, 1130-1134, y 1371).</w:t>
        <w:br/>
        <w:br/>
        <w:t xml:space="preserve">    [142]. G. Steiner, op. cit. supra n. (31), p. 355.</w:t>
        <w:br/>
        <w:br/>
        <w:t xml:space="preserve">    [143]. Cf. Corte Interamericana de Derechos Humanos, caso Castillo  Páez</w:t>
        <w:br/>
        <w:t>versus Perú, Sentencia sobre  el  fondo,  del  03.11.1997,  párrs.  1-92;  y</w:t>
        <w:br/>
        <w:t>Sentencia sobre reparaciones, del 27.11.1998, párrs. 1-118.</w:t>
        <w:br/>
        <w:br/>
        <w:t xml:space="preserve">    [144]. A. Schopenhauer, Los Designios del Destino, Madrid, Tecnos,  1994</w:t>
        <w:br/>
        <w:t>[reed.], p. 28.</w:t>
        <w:br/>
        <w:br/>
        <w:t xml:space="preserve">    [145]. Sobre  el  sentido  de  esta  evolución,  cf.,  v.g.,  C.  Rocco,</w:t>
        <w:br/>
        <w:t>Tragedia e Ilustración - El Pensamiento Político Ateniense y los Dilemas  de</w:t>
        <w:br/>
        <w:t>la Modernidad, Santiago de Chile, Edit. Andrés Bello, 1996, pp. 177-215.</w:t>
        <w:br/>
        <w:br/>
        <w:t xml:space="preserve">    [146]. Santi Romano, L'ordre juridique (trad. 2a.  ed.,  reed.),  Paris,</w:t>
        <w:br/>
        <w:t>Dalloz, 2002, p. 16.</w:t>
        <w:br/>
        <w:br/>
        <w:t xml:space="preserve">    [147]. A punto de configurarse, en la práctica forense contemporánea  en</w:t>
        <w:br/>
        <w:t>diversos países, una lamentable y condenable "industria de reparaciones".</w:t>
        <w:br/>
        <w:br/>
        <w:t xml:space="preserve">    [148]. Y cf. párrs. 110-121 de la presente Sentencia.</w:t>
        <w:br/>
        <w:br/>
        <w:t xml:space="preserve">    [149]. Y cf. párrs. 122-138 de la presente Sentencia; y, en cuanto a  la</w:t>
        <w:br/>
        <w:t>adecuación de la  normativa  de  derecho  interno  a  la  de  la  Convención</w:t>
        <w:br/>
        <w:t>Americana, cf. también párrs. 139-145 de la presente Sentencia.</w:t>
        <w:br/>
        <w:br/>
        <w:t xml:space="preserve">    [150].  Este  orden  de  prioridad  está  conforme  a  lo  expresado  en</w:t>
        <w:br/>
        <w:t>audiencia pública ante la Corte tanto por la madre de Walter David  Bulacio,</w:t>
        <w:br/>
        <w:t>quien subrayó la importancia de la realización  de  la  justicia  “para  que</w:t>
        <w:br/>
        <w:t>nunca más le pase a un joven lo que  le  pasó  a  [su]  hijo”  (cf.  CtIADH,</w:t>
        <w:br/>
        <w:t>Transcripción de la Audiencia Pública..., op. cit. supra  n.  (1),  pp.  11-</w:t>
        <w:br/>
        <w:t>12), como por las representantes  de  los  familiares  de  la  víctima  (cf.</w:t>
        <w:br/>
        <w:t>ibid., pp. 34-35).</w:t>
        <w:br/>
        <w:br/>
        <w:br/>
        <w:t xml:space="preserve">    [151]. La capacidad humana tanto de promover el  bien  como  cometer  el</w:t>
        <w:br/>
        <w:t>mal no ha cesado de atraer la atención del pensamiento humano a la largo  de</w:t>
        <w:br/>
        <w:t>los siglos; cf. F. Alberoni, Las Razones del Bien y del Mal, México,  Gedisa</w:t>
        <w:br/>
        <w:t>Edit., 1988, pp. 9-196; A.-D.  Sertillanges,  Le  problème  du  mal,  Paris,</w:t>
        <w:br/>
        <w:t>Aubier, 1949, pp. 5-412.</w:t>
        <w:br/>
        <w:br/>
        <w:t xml:space="preserve">    [152]. Como me permití señalar en mi Voto Concurrente  de  ayer,  en  la</w:t>
        <w:br/>
        <w:t>Opinión Consultiva n. 18 de la  Corte  Interamericana,  sobre  la  Condición</w:t>
        <w:br/>
        <w:t>Jurídica y Derechos de los Migrantes Indocumentados (del 17.09.2203),  párr.</w:t>
        <w:br/>
        <w:t>89.</w:t>
        <w:br/>
        <w:br/>
        <w:t xml:space="preserve">    [153]. Ph. Ariès, op. cit. supra n. (7), pp. 87,  165,  199,  213,  217,</w:t>
        <w:br/>
        <w:t>239 y 251.</w:t>
        <w:br/>
        <w:br/>
        <w:t xml:space="preserve">    [154]. Sobre estos lazos de solidaridad, cf. mis Votos Razonados  en  el</w:t>
        <w:br/>
        <w:t>caso  Bámaca  Velásquez   versus   Guatemala   (Sentencias   de   la   Corte</w:t>
        <w:br/>
        <w:t>Interamericana sobre el fondo, del 25.11.2000,  y  sobre  reparaciones,  del</w:t>
        <w:br/>
        <w:t>22.02.2002).</w:t>
        <w:br/>
        <w:br/>
        <w:t>[155]       Entre muchas, Caso Juan Humberto Sánchez.  Sentencia   de  7  de</w:t>
        <w:br/>
        <w:t>junio de 2003. Serie C No. 99, párr. 142; Caso Bámaca  Velásquez.  Sentencia</w:t>
        <w:br/>
        <w:t>de 25 de noviembre de 2000. Serie  C  No.  70,  párr.  210;  Caso  Caballero</w:t>
        <w:br/>
        <w:t>Delgado y Santana. Sentencia de 8 de diciembre de  1995.  Serie  C  No.  22,</w:t>
        <w:br/>
        <w:t>párrs. 55 y 56; Caso Fairén Garbi y  Solís  Corrales.  Sentencia  de  15  de</w:t>
        <w:br/>
        <w:t>marzo de 1989. Serie C No. 6, párr. 161; Caso Godínez Cruz. Sentencia de  20</w:t>
        <w:br/>
        <w:t>de enero de 1989. Serie C  No.  5,  párrs.  174  a  176;  y  Caso  Velásquez</w:t>
        <w:br/>
        <w:t>Rodríguez. Sentencia de 29 de julio de 1988. Serie C No.  4,  párrs.  165  a</w:t>
        <w:br/>
        <w:t>167.</w:t>
        <w:br/>
        <w:br/>
        <w:t>[156]       Según  tiene  dicho  la  Corte  “la  falta  en  su  conjunto  de</w:t>
        <w:br/>
        <w:t>investigación,  persecución,  captura,  enjuiciamiento  y  condena  de   los</w:t>
        <w:br/>
        <w:t>responsables de las violaciones de los derecho protegidos por la  Convención</w:t>
        <w:br/>
        <w:t>Americana, toda vez que el  Estado  tiene  la  obligación  de  combatir  tal</w:t>
        <w:br/>
        <w:t>situación por todos los medios  legales  disponibles  ya  que  la  impunidad</w:t>
        <w:br/>
        <w:t>propicia la repetición crónica de las violaciones de derechos humanos  y  la</w:t>
        <w:br/>
        <w:t>total indefensión de las víctimas y  de  sus  familiares”  (Cfr.  Caso  Juan</w:t>
        <w:br/>
        <w:t>Humberto Sánchez, supra nota  1,  párrs.  143  y  185;  Caso  Las  Palmeras.</w:t>
        <w:br/>
        <w:t>Reparaciones  (art.  63.1  Convención  Americana  sobre  Derechos  Humanos).</w:t>
        <w:br/>
        <w:t>Sentencia de 26 de noviembre de 2002. Serie C No. 96, párr. 53.a); Caso  del</w:t>
        <w:br/>
        <w:t>Caracazo.  Reparaciones  (art.  63.1  Convención  Americana  sobre  Derechos</w:t>
        <w:br/>
        <w:t>Humanos). Sentencia de 29 de agosto de 2002. Serie  C  No.  95,  párr.  117;</w:t>
        <w:br/>
        <w:t>Caso Trujillo Oroza. Reparaciones  (art.  63.1  Convención  Americana  sobre</w:t>
        <w:br/>
        <w:t>Derechos Humanos). Sentencia de 27 de febrero  de  2002.  Serie  C  No.  92,</w:t>
        <w:br/>
        <w:t>párrs. 97, 101 y 112; Caso Las Palmeras. Sentencia  de  6  de  diciembre  de</w:t>
        <w:br/>
        <w:t>2001. Serie C No. 90, párr. 56; Caso Bámaca  Velásquez.  Reparaciones  (art.</w:t>
        <w:br/>
        <w:t>63.1 Convención Americana  sobre  Derechos  Humanos).  Sentencia  de  22  de</w:t>
        <w:br/>
        <w:t>febrero de 2002. Serie C No. 91, párr. 64; Caso Bámaca Velásquez.  Sentencia</w:t>
        <w:br/>
        <w:t>de 25 de noviembre de 2000. Serie C No. 70, párr. 211; y Caso de  la  “Panel</w:t>
        <w:br/>
        <w:t>Banca” (Paniagua Morales y otros). Sentencia de 8 de marzo de 1998. Serie  C</w:t>
        <w:br/>
        <w:t>No. 37, párr. 173).</w:t>
        <w:br/>
        <w:br/>
        <w:t>[157]       Cfr.       Caso  Benavides  Cevallos.  Resolución  de  la  Corte</w:t>
        <w:br/>
        <w:t>Interamericana  de  Derechos  Humanos  de   9   de   septiembre   de   2003,</w:t>
        <w:br/>
        <w:t>considerandos sexto y séptimo;  Caso  Trujillo  Oroza,  Reparaciones,  supra</w:t>
        <w:br/>
        <w:t>nota 2, párr. 106; Caso Barrios Altos. Interpretación  de  la  Sentencia  de</w:t>
        <w:br/>
        <w:t>Fondo. (art. 67 Convenció8;n??£)  *    ë     ò    abª«Œ</w:t>
        <w:br/>
        <w:t>?</w:t>
        <w:br/>
        <w:t>ª</w:t>
        <w:br/>
        <w:t>¬</w:t>
        <w:br/>
        <w:t>­</w:t>
        <w:br/>
        <w:t>k</w:t>
        <w:br/>
        <w:t>ÑÖïöÌÉÊ"?òãòÔÊ¼Ê°Ê¥Ê¼Ê•Ê¼ˆ¼y¼Ê¥Êˆ¼ÊkÊ`ÊUÊ¥hkCJH*[pic]OJQJhk5?CJOJQJhkB*CJOJQ</w:t>
        <w:br/>
        <w:t>Jphÿhk5?CJOJQJmHsHhk5?:?CJOJQJjhk0JCJOJQJU[pic]hk6?CJOJQJhk0JCJOJQJhkn</w:t>
        <w:br/>
        <w:t>Americana sobre Derechos Humanos). Sentencia de 3 de septiembre de 2001.</w:t>
        <w:br/>
        <w:t>Serie C No. 83, párr. 15; y Caso Barrios Altos. Sentencia de 14 de marzo de</w:t>
        <w:br/>
        <w:t>2001. Serie C No. 75, párr. 41.</w:t>
        <w:br/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