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Juan Humberto Sánchez Vs. Honduras</w:t>
        <w:br/>
        <w:br/>
        <w:br/>
        <w:t xml:space="preserve">                    Sentencia de 26 de noviembre de  2003</w:t>
        <w:br/>
        <w:t xml:space="preserve">     (Interpretación de la Sentencia de Excepciones Preliminares, Fondo,</w:t>
        <w:br/>
        <w:t xml:space="preserve">                           Reparaciones y Costas)</w:t>
        <w:br/>
        <w:br/>
        <w:br/>
        <w:br/>
        <w:t>En el caso Juan Humberto Sánchez,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Pesantes; Juez;</w:t>
        <w:br/>
        <w:t xml:space="preserve">      Máximo Pacheco Gómez, Juez;</w:t>
        <w:br/>
        <w:t xml:space="preserve">      Oliver Jackman, Juez; y</w:t>
        <w:br/>
        <w:t xml:space="preserve">      Alirio Abreu Burelli,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con el artículo 67 de  la  Convención  Americana  sobre  Derechos</w:t>
        <w:br/>
        <w:t>Humanos (en adelante “la Convención”  o  “la  Convención  Americana”)  y  el</w:t>
        <w:br/>
        <w:t>artículo 58 del Reglamento  de  la  Corte  (en  adelante  “el  Reglamento”)*</w:t>
        <w:br/>
        <w:t>resuelve  sobre  la  demanda  de  interpretación  de  la   Sentencia   sobre</w:t>
        <w:br/>
        <w:t>excepciones preliminares, fondo y reparaciones emitida por la Corte el 7  de</w:t>
        <w:br/>
        <w:t>junio de 2003 en el Caso Juan Humberto Sánchez (en  adelante  “la  sentencia</w:t>
        <w:br/>
        <w:t>dictada”), presentada por el Estado de Honduras (en  adelante  “el  Estado”)</w:t>
        <w:br/>
        <w:t>el 6 de octubre de 2003.</w:t>
        <w:br/>
        <w:br/>
        <w:br/>
        <w:br/>
        <w:br/>
        <w:br/>
        <w:t xml:space="preserve">                                      I</w:t>
        <w:br/>
        <w:br/>
        <w:t xml:space="preserve">                    Competencia y Composición de la corte</w:t>
        <w:br/>
        <w:br/>
        <w:t>1.    El artículo 67 de la Convención establece que</w:t>
        <w:br/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br/>
        <w:t>De  conformidad  con  el  artículo  citado,  la  Corte  es  competente  para</w:t>
        <w:br/>
        <w:t>interpretar sus fallos y, para el examen de la  demanda  de  interpretación,</w:t>
        <w:br/>
        <w:t>debe tener, si es posible, la misma  composición  que  tenía  al  dictar  la</w:t>
        <w:br/>
        <w:t>Sentencia respectiva (artículo 58.3 del Reglamento).  En  esta  ocasión,  la</w:t>
        <w:br/>
        <w:t>Corte se integra con los jueces que dictaron  la  sentencia  de  excepciones</w:t>
        <w:br/>
        <w:t>preliminares, fondo y reparaciones, cuya interpretación ha  sido  solicitada</w:t>
        <w:br/>
        <w:t>por el Estado.</w:t>
        <w:br/>
        <w:br/>
        <w:br/>
        <w:br/>
        <w:br/>
        <w:br/>
        <w:br/>
        <w:br/>
        <w:br/>
        <w:t xml:space="preserve">                                     II</w:t>
        <w:br/>
        <w:br/>
        <w:t xml:space="preserve">          Introducción de la demanda de interpretación y su objeto</w:t>
        <w:br/>
        <w:br/>
        <w:t>2.    El 6 de octubre de 2003 el Estado  presentó,  de  conformidad  con  el</w:t>
        <w:br/>
        <w:t>artículo 67 de la Convención Americana y el artículo 58 del Reglamento,  una</w:t>
        <w:br/>
        <w:t>demanda de interpretación de la Sentencia  sobre  excepciones  preliminares,</w:t>
        <w:br/>
        <w:t>fondo y reparaciones.</w:t>
        <w:br/>
        <w:br/>
        <w:br/>
        <w:br/>
        <w:t>3.    En la demanda de interpretación,  el  Estado  formula  consideraciones</w:t>
        <w:br/>
        <w:t>sobre los siguientes aspectos de la Sentencia de 7  de  junio  de  2003:  la</w:t>
        <w:br/>
        <w:t>composición de la Corte en la audiencia  pública  y  al  momento  de  dictar</w:t>
        <w:br/>
        <w:t>sentencia; la valoración de  la  prueba  efectuada  por  el  Tribunal  y  la</w:t>
        <w:br/>
        <w:t>determinación de los hechos probados en la Sentencia;  la  determinación  de</w:t>
        <w:br/>
        <w:t>las reparaciones y los beneficiarios de las mismas.   Asimismo,  solicita  a</w:t>
        <w:br/>
        <w:t>la Corte que considere que, si bien el recurso de revisión no existe  en  la</w:t>
        <w:br/>
        <w:t>Convención Americana, ni en Estatuto de la Corte Interamericana de  Derechos</w:t>
        <w:br/>
        <w:t>Humanos[1] (en adelante “el Estatuto”), ni en el Reglamento de  Corte,  ello</w:t>
        <w:br/>
        <w:t>no es motivo suficiente para que dicho recurso sea rechazado, ya que en  “el</w:t>
        <w:br/>
        <w:t>caso de autos se han producido (hechos relevantes( que el  Estado  considera</w:t>
        <w:br/>
        <w:t>fraudulentos”; en razón de lo cual, el Estado también interpone  un  recurso</w:t>
        <w:br/>
        <w:t>de revisión contra la Sentencia dictada en cuanto  a  la  consideración  que</w:t>
        <w:br/>
        <w:t>hace la Corte del documento titulado “Informe Secreto” que fue  adjuntado  a</w:t>
        <w:br/>
        <w:t>la demanda presentada por la Comisión  Interamericana  de  Derechos  Humanos</w:t>
        <w:br/>
        <w:t>(en adelante “la Comisión” o “la Comisión Interamericana”) como Anexo 1.</w:t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  Procedimiento ante la Corte</w:t>
        <w:br/>
        <w:br/>
        <w:t>4.    Mediante nota de 7 de octubre de 2003 la Secretaría de  la  Corte  (en</w:t>
        <w:br/>
        <w:t>adelante “la Secretaría”) transmitió copia de la demanda  de  interpretación</w:t>
        <w:br/>
        <w:t>a la Comisión Interamericana y a los representantes  de  la  víctima  y  sus</w:t>
        <w:br/>
        <w:t>familiares (en  adelante  “los  representantes  de   las  víctimas”)  y,  de</w:t>
        <w:br/>
        <w:t>conformidad con el artículo 58 del Reglamento, les invitó  a  presentar  las</w:t>
        <w:br/>
        <w:t>alegaciones escritas que  estimasen  pertinentes  a  más  tardar  el  31  de</w:t>
        <w:br/>
        <w:t>octubre del mismo año.</w:t>
        <w:br/>
        <w:br/>
        <w:br/>
        <w:br/>
        <w:t>5.    El 31 de octubre de 2003 la  Comisión  y  los  representantes  de  las</w:t>
        <w:br/>
        <w:t>víctimas presentaron sus escritos sobre  observaciones  a  la  solicitud  de</w:t>
        <w:br/>
        <w:t>interpretación de Sentencia en el presente caso.</w:t>
        <w:br/>
        <w:br/>
        <w:br/>
        <w:br/>
        <w:t xml:space="preserve">                                     IV</w:t>
        <w:br/>
        <w:br/>
        <w:t xml:space="preserve">                                Admisibilidad</w:t>
        <w:br/>
        <w:br/>
        <w:t>6.    El Estado solicitó, tal como fue narrado (supra 2 y 3), que  la  Corte</w:t>
        <w:br/>
        <w:t>interpretara y revisara la Sentencia dictada  por  este  Tribunal  el  7  de</w:t>
        <w:br/>
        <w:t>junio de 2003.</w:t>
        <w:br/>
        <w:br/>
        <w:t>7.    Corresponde ahora a la Corte verificar si los términos de  la  demanda</w:t>
        <w:br/>
        <w:t>de interpretación cumplen las  normas  aplicables.  El  artículo  67  de  la</w:t>
        <w:br/>
        <w:t>Convención exige,  como  presupuesto  de  admisibilidad  de  la  demanda  de</w:t>
        <w:br/>
        <w:t>interpretación de sentencia, que dicha demanda  sea  presentada  “dentro  de</w:t>
        <w:br/>
        <w:t>los noventa días a partir de la fecha de la  notificación  del  fallo”.   La</w:t>
        <w:br/>
        <w:t>Corte ha constatado que la Sentencia sobre excepciones  preliminares,  fondo</w:t>
        <w:br/>
        <w:t>y reparaciones en el presente caso fue notificada al Estado el  9  de  julio</w:t>
        <w:br/>
        <w:t>de 2003.  Por lo tanto, la demanda de interpretación, de fecha 6 de  octubre</w:t>
        <w:br/>
        <w:t>de 2003, fue presentada oportunamente (supra 2).</w:t>
        <w:br/>
        <w:br/>
        <w:t>8.    El artículo 29 del Reglamento de la Corte establece que</w:t>
        <w:br/>
        <w:br/>
        <w:t xml:space="preserve">      1.    [l]as sentencias  y  las  resoluciones  que  pongan  término  al</w:t>
        <w:br/>
        <w:t xml:space="preserve">      proceso son de la competencia exclusiva de la Corte.</w:t>
        <w:br/>
        <w:br/>
        <w:br/>
        <w:t xml:space="preserve">      (((</w:t>
        <w:br/>
        <w:br/>
        <w:br/>
        <w:t xml:space="preserve">      3.    Contra las sentencias y resoluciones  de  la  Corte  no  procede</w:t>
        <w:br/>
        <w:t xml:space="preserve">      ningún medio de impugnación.</w:t>
        <w:br/>
        <w:br/>
        <w:t>9.    Asimismo el artículo 58 del Reglamento establece,  en  lo  conducente,</w:t>
        <w:br/>
        <w:t>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t>10.   El Estatuto en su artículo 25 señala que</w:t>
        <w:br/>
        <w:br/>
        <w:t xml:space="preserve">     1. (l(a Corte dictará sus normas procesales.</w:t>
        <w:br/>
        <w:br/>
        <w:br/>
        <w:t xml:space="preserve">     2. Las  normas  procesales  podrán  delegar  en  el  Presidente  o  en</w:t>
        <w:br/>
        <w:t xml:space="preserve">        comisiones  de  la  propia  Corte,  determinadas   partes   de   la</w:t>
        <w:br/>
        <w:t xml:space="preserve">        tramitación procesal, con excepción de las sentencias definitivas y</w:t>
        <w:br/>
        <w:t xml:space="preserve">        de las opiniones consultivas. Los autos o resoluciones que no  sean</w:t>
        <w:br/>
        <w:t xml:space="preserve">        de mero trámite, dictadas por el Presidente o las comisiones de  la</w:t>
        <w:br/>
        <w:t xml:space="preserve">        Corte, serán siempre recurribles ante la Corte en pleno.</w:t>
        <w:br/>
        <w:br/>
        <w:br/>
        <w:t xml:space="preserve">     3. La Corte dictará también su Reglamento.</w:t>
        <w:br/>
        <w:br/>
        <w:t>11.   En relación con la impugnación  de  las  decisiones  adoptadas  en  el</w:t>
        <w:br/>
        <w:t>proceso ante la Corte Interamericana, el Tribunal ha señalado que</w:t>
        <w:br/>
        <w:br/>
        <w:t xml:space="preserve">      únicamente las decisiones del  Presidente  o  de  las  comisiones  del</w:t>
        <w:br/>
        <w:t xml:space="preserve">      Tribunal [constituidas de conformidad con el artículo 25 del  Estatuto</w:t>
        <w:br/>
        <w:t xml:space="preserve">      de la Corte] pueden ser combatidas ante el pleno de la Corte, pero las</w:t>
        <w:br/>
        <w:t xml:space="preserve">      restantes, entre ellas las pronunciadas al  resolver  las  excepciones</w:t>
        <w:br/>
        <w:t xml:space="preserve">      preliminares, no pueden ser objeto de impugnación[2].</w:t>
        <w:br/>
        <w:br/>
        <w:t>12.   En lo que respecta a la revisión de una sentencia de la  Corte,  tanto</w:t>
        <w:br/>
        <w:t>el artículo 25 del Estatuto, como los  artículos  6  y  29  del  Reglamento,</w:t>
        <w:br/>
        <w:t>disponen que las decisiones que no sean de mero  trámite,  dictadas  por  el</w:t>
        <w:br/>
        <w:t>Presidente o las comisiones de la Corte, serán recurribles ante el pleno  de</w:t>
        <w:br/>
        <w:t>la Corte. En la práctica, aunque no  se  hace  referencia  expresa  a  estos</w:t>
        <w:br/>
        <w:t>preceptos, los mismos han servido para que la Corte  modifique  resoluciones</w:t>
        <w:br/>
        <w:t>previamente  adoptadas  por  el  Presidente,  entre  otras,  en  materia  de</w:t>
        <w:br/>
        <w:t>audiencias  públicas  y  de  las  convocatorias  respectivas,  ya  sea   por</w:t>
        <w:br/>
        <w:t>apelación  de  las  partes  contra  la  Resolución  del  Presidente[3],  por</w:t>
        <w:br/>
        <w:t>objeciones formuladas por alguna de las partes a alguno de los puntos de  la</w:t>
        <w:br/>
        <w:t>convocatoria[4], por objeciones con respecto al  conocimiento  superviniente</w:t>
        <w:br/>
        <w:t>por una de las partes  de  impedimentos  en  la  persona  del  Juez  ad  hoc</w:t>
        <w:br/>
        <w:t>designado[5], por simples observaciones de las partes[6], como  en  el  caso</w:t>
        <w:br/>
        <w:t>de que algún testigo se viera imposibilitado de  declarar;  o,  incluso,  de</w:t>
        <w:br/>
        <w:t>oficio[7], inter alia, por razones de programación de las actividades de  la</w:t>
        <w:br/>
        <w:t>Corte.</w:t>
        <w:br/>
        <w:br/>
        <w:t>13.   Las peticiones del Estado, en el  presente  caso,  se  refieren  a  la</w:t>
        <w:br/>
        <w:t>interpretación del  fallo  y  a  la  revisión  del  mismo  fundadas  en  los</w:t>
        <w:br/>
        <w:t>artículos 67 de la Convención Americana y 58 del  Reglamento  de  la  Corte,</w:t>
        <w:br/>
        <w:t>“por estar el Estado en total desacuerdo con el sentido y el alcance  de  la</w:t>
        <w:br/>
        <w:t>sentencia”  y en que “las sentencias que deba dictar esta (…( Corte,  tienen</w:t>
        <w:br/>
        <w:t>que estar motivadas” (supra 3).</w:t>
        <w:br/>
        <w:br/>
        <w:t>14.     De   conformidad   con   lo   señalado   por   diversos   tribunales</w:t>
        <w:br/>
        <w:t>internacionales, la labor de interpretar que le corresponde  a  un  tribunal</w:t>
        <w:br/>
        <w:t>internacional supone la precisión de un  texto,  no  sólo  en  cuanto  a  lo</w:t>
        <w:br/>
        <w:t>decidido  en  sus  puntos  resolutivos  sino,  además,  en   cuanto   a   la</w:t>
        <w:br/>
        <w:t>determinación  del   alcance,   el   sentido   y   la   finalidad   de   sus</w:t>
        <w:br/>
        <w:t>consideraciones. Como esta Corte ha señalado, una  solicitud  o  demanda  de</w:t>
        <w:br/>
        <w:t>interpretación de una sentencia</w:t>
        <w:br/>
        <w:br/>
        <w:t xml:space="preserve">      no debe utilizarse como un medio de impugnación sino  únicamente  debe</w:t>
        <w:br/>
        <w:t xml:space="preserve">      tener como objeto desentrañar el sentido de un fallo cuando una de las</w:t>
        <w:br/>
        <w:t xml:space="preserve">      partes sostiene que el texto  de  sus  puntos  resolutivos  o  de  sus</w:t>
        <w:br/>
        <w:t xml:space="preserve">      consideraciones carece de claridad o precisión, siempre y cuando  esas</w:t>
        <w:br/>
        <w:t xml:space="preserve">      consideraciones incidan en dicha parte resolutiva y, por tanto, no  se</w:t>
        <w:br/>
        <w:t xml:space="preserve">      puede pedir la modificación o anulación de la sentencia  respectiva  a</w:t>
        <w:br/>
        <w:t xml:space="preserve">      través de una demanda de interpretación[8].</w:t>
        <w:br/>
        <w:br/>
        <w:t>15.   Esta Corte ha señalado igualmente  que  es  admisible  el  recurso  de</w:t>
        <w:br/>
        <w:t>revisión en casos excepcionales, cuando un hecho, conocido luego de  emitida</w:t>
        <w:br/>
        <w:t>la sentencia, afecte  lo  decidido,  o  demuestre  un  vicio  sustancial  de</w:t>
        <w:br/>
        <w:t>ésta[9]. En el caso sub judice, no se alude a un hecho relevante  posterior,</w:t>
        <w:br/>
        <w:t>que modifique sustancialmente lo decidido por el Tribunal, sino que, por  el</w:t>
        <w:br/>
        <w:t>contrario, la solicitud de revisión se basa en la alegación de una serie  de</w:t>
        <w:br/>
        <w:t>pruebas que, como se analizó en la Sentencia[10], el  Estado  no  sometió  a</w:t>
        <w:br/>
        <w:t>consideración de la Corte sino hasta en la audiencia pública  celebrada  los</w:t>
        <w:br/>
        <w:t>días 6 y 7 de marzo de  2003,  pese  a  que  los  hechos  habían  estado  en</w:t>
        <w:br/>
        <w:t>conocimiento del propio Estado desde  julio  de  1992.  El  Estado  tuvo  la</w:t>
        <w:br/>
        <w:t>oportunidad procesal para referirse a este tema en la fase  escrita,  el  11</w:t>
        <w:br/>
        <w:t>de enero de 2002 en su contestación a la demanda[11]; y, sin embargo, no  lo</w:t>
        <w:br/>
        <w:t>hizo.</w:t>
        <w:br/>
        <w:br/>
        <w:t>16.   La Corte, observa, igualmente,  que  el  Estado  solicita  información</w:t>
        <w:br/>
        <w:t>sobre los requisitos que deben ser exigidos al  momento  de  ser  presentada</w:t>
        <w:br/>
        <w:t>una denuncia ante la Comisión, de conformidad con el artículo 46.1.d  de  la</w:t>
        <w:br/>
        <w:t>Convención. Sobre el particular, llama la atención que  el  Estado  no  haya</w:t>
        <w:br/>
        <w:t>alegado ante la Corte ese punto para su consideración en  momento  oportuno,</w:t>
        <w:br/>
        <w:t>como habría sido la etapa de excepciones preliminares, motivo  por  el  cual</w:t>
        <w:br/>
        <w:t>no puede pretender que a través de una demanda de interpretación,  la  Corte</w:t>
        <w:br/>
        <w:t>analice una cuestión no alegada oportunamente.  En razón de lo  anterior,  y</w:t>
        <w:br/>
        <w:t>como  fue  señalado  en  el  párrafo  precedente,  la  Corte  rechaza,   por</w:t>
        <w:br/>
        <w:t>improcedente, la solicitud de interpretación presentada  por  el  Estado  en</w:t>
        <w:br/>
        <w:t>relación con la admisibilidad de la denuncia ante la Comisión.</w:t>
        <w:br/>
        <w:br/>
        <w:t>17.   Aún cuando la demanda de interpretación no se adecua en  sus  términos</w:t>
        <w:br/>
        <w:t>a lo previsto en el artículo 67 de la Convención y en  el  artículo  58  del</w:t>
        <w:br/>
        <w:t>Reglamento, la Corte decide analizar algunos de los  particulares  señalados</w:t>
        <w:br/>
        <w:t>por el Estado, a fin de aclarar el sentido y el alcance  de  los  mismos,  a</w:t>
        <w:br/>
        <w:t>saber: composición de la Corte, valoración de la prueba y hechos probados  y</w:t>
        <w:br/>
        <w:t>reparaciones.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18.   Antes de entrar a analizar los argumentos  de  las  partes,  la  Corte</w:t>
        <w:br/>
        <w:t>rechaza las expresiones del agente del Estado, Sergio Zavala  Leiva,  en  su</w:t>
        <w:br/>
        <w:t>solicitud  de  interpretación,  que  fueron  inapropiadas,  innecesarias   y</w:t>
        <w:br/>
        <w:t>contrarias al lenguaje que debe utilizarse en el  litigio  internacional  y,</w:t>
        <w:br/>
        <w:t>consecuentemente, ante los órganos del sistema interamericano de  protección</w:t>
        <w:br/>
        <w:t>de los derechos humanos, sean éstos la Comisión o la Corte. En razón  de  lo</w:t>
        <w:br/>
        <w:t>cual el Tribunal, como ha hecho en ocasiones anteriores en otros  casos[12],</w:t>
        <w:br/>
        <w:t>solicita al agente designado por el Estado, que en el futuro se abstenga  de</w:t>
        <w:br/>
        <w:t>utilizar ese tipo de expresiones.</w:t>
        <w:br/>
        <w:br/>
        <w:br/>
        <w:t xml:space="preserve">                                      v</w:t>
        <w:br/>
        <w:t xml:space="preserve">                      sobre la Composición de la Corte</w:t>
        <w:br/>
        <w:br/>
        <w:br/>
        <w:t>Alegatos del Estado</w:t>
        <w:br/>
        <w:br/>
        <w:br/>
        <w:t>19.   El Estado manifestó, respecto de la Sentencia de este  caso  y  de  la</w:t>
        <w:br/>
        <w:t>composición de la Corte al emitirla, que:</w:t>
        <w:br/>
        <w:br/>
        <w:br/>
        <w:br/>
        <w:t xml:space="preserve">   a) La sentencia  no  fue  motivada.  En  este  sentido,  aduce  que  “las</w:t>
        <w:br/>
        <w:t xml:space="preserve">      (s(entencias que deba dictar (la( Corte, tienen que  estar  motivadas,</w:t>
        <w:br/>
        <w:t xml:space="preserve">      es decir(,( se debe imperativamente exponer razonadamente los hechos y</w:t>
        <w:br/>
        <w:t xml:space="preserve">      las consecuencias jurídicas a que la misma conduce, debiendo  reflejar</w:t>
        <w:br/>
        <w:t xml:space="preserve">      la opinión unánime de los jueces, lo  que  en  el  caso  de  autos  no</w:t>
        <w:br/>
        <w:t xml:space="preserve">      acontece”;</w:t>
        <w:br/>
        <w:br/>
        <w:br/>
        <w:br/>
        <w:t xml:space="preserve">   b) además, suscribe la Sentencia el Juez Pacheco Gómez, quien “no  estuvo</w:t>
        <w:br/>
        <w:t xml:space="preserve">      presente, no asistió, ni participó en ninguna de  las  audiencias  del</w:t>
        <w:br/>
        <w:t xml:space="preserve">      procedimiento oral correspondiente, [es decir que]  no  presenció  los</w:t>
        <w:br/>
        <w:t xml:space="preserve">      alegatos ni participó en la evacuación de las pruebas”,  procedimiento</w:t>
        <w:br/>
        <w:t xml:space="preserve">      que violenta el principio de inmediatez; y</w:t>
        <w:br/>
        <w:br/>
        <w:br/>
        <w:br/>
        <w:t xml:space="preserve">   c) finalmente aseveró que, de conformidad con el Reglamento y el Estatuto</w:t>
        <w:br/>
        <w:t xml:space="preserve">      de la Corte, “cinco integrantes del Tribunal hacen quórum, por lo  que</w:t>
        <w:br/>
        <w:t xml:space="preserve">      no llega(ba( a comprender ese desaguisado  (sic)”  en  relación  a  lo</w:t>
        <w:br/>
        <w:t xml:space="preserve">      ocurrido con el Juez Pacheco Gómez.</w:t>
        <w:br/>
        <w:br/>
        <w:br/>
        <w:br/>
        <w:br/>
        <w:t>Alegatos de la Comisión</w:t>
        <w:br/>
        <w:br/>
        <w:br/>
        <w:br/>
        <w:t>20.   La  Comisión  solicitó  a  la  Corte  que  “recha[ce]  la  demanda  de</w:t>
        <w:br/>
        <w:t>interpretación presentada por el Estado hondureño” y requiera al  Estado  el</w:t>
        <w:br/>
        <w:t>cumplimiento inmediato de todos los extremos de la Sentencia de 7  de  junio</w:t>
        <w:br/>
        <w:t>de 2003, de conformidad con el artículo 68.1 de la Convención Americana.  En</w:t>
        <w:br/>
        <w:t>sus observaciones, la  Comisión  se  refirió  a  los  “cuestionamientos  del</w:t>
        <w:br/>
        <w:t>Estado relativos al principio de inmediatez procesal” y señaló que:</w:t>
        <w:br/>
        <w:br/>
        <w:br/>
        <w:br/>
        <w:t xml:space="preserve">     a) el artículo 57.3 del Reglamento  de  la  Corte  establece  que  las</w:t>
        <w:br/>
        <w:t xml:space="preserve">        sentencias serán firmadas por todos los jueces que participaron  en</w:t>
        <w:br/>
        <w:t xml:space="preserve">        la votación y que será válido el  fallo  que  sea  firmado  por  la</w:t>
        <w:br/>
        <w:t xml:space="preserve">        mayoría de los jueces y por el Secretario; en el caso  sub  judice,</w:t>
        <w:br/>
        <w:t xml:space="preserve">        de la lectura de la primera página de la Sentencia de 7 de junio de</w:t>
        <w:br/>
        <w:t xml:space="preserve">        2003, se puede verificar que  el  Juez  Pacheco  Gómez  integró  la</w:t>
        <w:br/>
        <w:t xml:space="preserve">        composición de  la  Corte  Interamericana  “y  (,(  por  lo  tanto,</w:t>
        <w:br/>
        <w:t xml:space="preserve">        participó en la deliberación, decisión y firma de la misma”;</w:t>
        <w:br/>
        <w:br/>
        <w:br/>
        <w:br/>
        <w:br/>
        <w:t xml:space="preserve">     b) la ausencia del Juez Pacheco Gómez en la única audiencia  del  caso</w:t>
        <w:br/>
        <w:t xml:space="preserve">        no implica que estuviera impedido de participar en la  deliberación</w:t>
        <w:br/>
        <w:t xml:space="preserve">        y firma de la Sentencia en el presente caso, de conformidad con los</w:t>
        <w:br/>
        <w:t xml:space="preserve">        dos  momentos  procesales  establecidos  en  el  artículo  14   del</w:t>
        <w:br/>
        <w:t xml:space="preserve">        Reglamento:  la  celebración  de  la   audiencia   pública   y   la</w:t>
        <w:br/>
        <w:t xml:space="preserve">        deliberación y posterior decisión en  un  caso;  en  este  sentido,</w:t>
        <w:br/>
        <w:t xml:space="preserve">        “(e(s evidente que el derecho a participar  en  las  deliberaciones</w:t>
        <w:br/>
        <w:t xml:space="preserve">        corresponde a todos los jueces y que no se limita ese derecho, como</w:t>
        <w:br/>
        <w:t xml:space="preserve">        pretende el Estado, a aquellos jueces que estuvieron  presentes  en</w:t>
        <w:br/>
        <w:t xml:space="preserve">        las audiencias”. Es decir, no  existe  prohibición  alguna  en  las</w:t>
        <w:br/>
        <w:t xml:space="preserve">        normas que regulan los procedimientos ante la Corte que se  refiera</w:t>
        <w:br/>
        <w:t xml:space="preserve">        a la imposibilidad de un juez que no ha participado en la audiencia</w:t>
        <w:br/>
        <w:t xml:space="preserve">        pública de participar en la deliberación, decisión y votación de un</w:t>
        <w:br/>
        <w:t xml:space="preserve">        caso; y</w:t>
        <w:br/>
        <w:br/>
        <w:br/>
        <w:br/>
        <w:br/>
        <w:t xml:space="preserve">     c) en cuanto a que no todos los jueces suscriben la Sentencia, con  lo</w:t>
        <w:br/>
        <w:t xml:space="preserve">        cual los hechos  y  las  consecuencias  jurídicas,  de  acuerdo  al</w:t>
        <w:br/>
        <w:t xml:space="preserve">        Estado, no reflejan la opinión unánime de los jueces, los artículos</w:t>
        <w:br/>
        <w:t xml:space="preserve">        23 del Estatuto  y  13  de  su  Reglamento,  establecen  el  quórum</w:t>
        <w:br/>
        <w:t xml:space="preserve">        necesario para las deliberaciones de la Corte,  lo  cual  el  mismo</w:t>
        <w:br/>
        <w:t xml:space="preserve">        Estado reconoce en su demanda de interpretación, que fue  respetado</w:t>
        <w:br/>
        <w:t xml:space="preserve">        en la Sentencia.  Por otro lado, de conformidad con el artículo  15</w:t>
        <w:br/>
        <w:t xml:space="preserve">        del Reglamento, no es necesario que la Sentencia haya sido adoptada</w:t>
        <w:br/>
        <w:t xml:space="preserve">        por unanimidad, sino sólo por la mayoría de los jueces presentes en</w:t>
        <w:br/>
        <w:t xml:space="preserve">        las votaciones.</w:t>
        <w:br/>
        <w:br/>
        <w:br/>
        <w:br/>
        <w:br/>
        <w:t>Alegatos de los representantes de las víctimas</w:t>
        <w:br/>
        <w:br/>
        <w:br/>
        <w:br/>
        <w:t>21.   Los representantes de las víctimas solicitaron a la Corte  que  “tenga</w:t>
        <w:br/>
        <w:t>por  desestimada  la  demanda  de  interpretación  de  la  sentencia   sobre</w:t>
        <w:br/>
        <w:t>excepciones preliminares, fondo y reparaciones dictada por [la Corte]  el  7</w:t>
        <w:br/>
        <w:t>de junio de 2003 en el caso de  referencia  interpuesta  por  el  Estado  de</w:t>
        <w:br/>
        <w:t>Honduras”; sin embargo, hicieron las  siguientes  observaciones  respecto  a</w:t>
        <w:br/>
        <w:t>los argumentos del Estado sobre la composición del Tribunal:</w:t>
        <w:br/>
        <w:br/>
        <w:br/>
        <w:br/>
        <w:t xml:space="preserve">     a) en relación con “la falta de la  firma  de  todos  los  jueces  del</w:t>
        <w:br/>
        <w:t xml:space="preserve">        Tribunal”,  señalaron  que  existe  un  quórum  para  la  toma   de</w:t>
        <w:br/>
        <w:t xml:space="preserve">        decisiones por parte de la Corte, establecido en el artículo 24 del</w:t>
        <w:br/>
        <w:t xml:space="preserve">        Estatuto, que en el caso en estudio fue observado en todo  momento;</w:t>
        <w:br/>
        <w:t xml:space="preserve">        y</w:t>
        <w:br/>
        <w:br/>
        <w:br/>
        <w:br/>
        <w:br/>
        <w:t xml:space="preserve">     b) la Corte reseñó en  los  comunicados  de  prensa,  relativos  a  la</w:t>
        <w:br/>
        <w:t xml:space="preserve">        audiencia  pública  y  a  la  Sentencia,   cuál   había   sido   la</w:t>
        <w:br/>
        <w:t xml:space="preserve">        participación del  Juez  Pacheco  Gómez.  En  este  último  momento</w:t>
        <w:br/>
        <w:t xml:space="preserve">        procesal, el artículo 57 del Reglamento señala que  las  sentencias</w:t>
        <w:br/>
        <w:t xml:space="preserve">        serán firmadas por todos los jueces que participaron en la votación</w:t>
        <w:br/>
        <w:t xml:space="preserve">        o, incluso, sólo  por  la  mayoría  de  los  jueces  presentes.  La</w:t>
        <w:br/>
        <w:t xml:space="preserve">        Sentencia en el caso en  estudio,  se  apega  a  los  señalamientos</w:t>
        <w:br/>
        <w:t xml:space="preserve">        establecidos en la Convención, el Estatuto y el  Reglamento,  a  la</w:t>
        <w:br/>
        <w:t xml:space="preserve">        vez que es consistente con la práctica que el Tribunal ha mantenido</w:t>
        <w:br/>
        <w:t xml:space="preserve">        a través de sus sentencias y de la cual no se desprende que  exista</w:t>
        <w:br/>
        <w:t xml:space="preserve">        un “desaguisado, al pretender que el honorable Juez  Pacheco  Gómez</w:t>
        <w:br/>
        <w:t xml:space="preserve">        haya estado presente en las audiencias, cuando no lo estaba”.</w:t>
        <w:br/>
        <w:br/>
        <w:br/>
        <w:br/>
        <w:t>Consideraciones de la Corte</w:t>
        <w:br/>
        <w:br/>
        <w:br/>
        <w:t>22.   El artículo 19.3 del Reglamento señala que:</w:t>
        <w:br/>
        <w:br/>
        <w:t xml:space="preserve">           [c]uando por cualquier causa un juez no esté presente en  alguna</w:t>
        <w:br/>
        <w:t xml:space="preserve">           de las audiencias o en otros actos del proceso, la  Corte  podrá</w:t>
        <w:br/>
        <w:t xml:space="preserve">           decidir su inhabilitación para  continuar  conociendo  del  caso</w:t>
        <w:br/>
        <w:t xml:space="preserve">           habida cuenta de todas circunstancias que,  a  su  juicio,  sean</w:t>
        <w:br/>
        <w:t xml:space="preserve">           relevantes.</w:t>
        <w:br/>
        <w:br/>
        <w:t>23.   El artículo 6 del Reglamento  de  la  Corte  en  sus  incisos  2  y  3</w:t>
        <w:br/>
        <w:t>establece que</w:t>
        <w:br/>
        <w:br/>
        <w:t xml:space="preserve">           (((</w:t>
        <w:br/>
        <w:br/>
        <w:br/>
        <w:t xml:space="preserve">           2.    (l(a Corte podrá designar otras  comisiones  para  asuntos</w:t>
        <w:br/>
        <w:t xml:space="preserve">           específicos. En casos de urgencia,  si  la  Corte  no  estuviere</w:t>
        <w:br/>
        <w:t xml:space="preserve">           reunida, podrá hacerlo el Presidente.</w:t>
        <w:br/>
        <w:br/>
        <w:br/>
        <w:t xml:space="preserve">           3.    Las comisiones se regirán por las  disposiciones  del  […]</w:t>
        <w:br/>
        <w:t xml:space="preserve">           Reglamento, en cuanto fueren aplicables.</w:t>
        <w:br/>
        <w:br/>
        <w:t>24.   Por su parte el artículo 13 del mismo cuerpo legal señala que</w:t>
        <w:br/>
        <w:br/>
        <w:t xml:space="preserve">           (e(l quórum para las deliberaciones de  la  Corte  es  de  cinco</w:t>
        <w:br/>
        <w:t xml:space="preserve">           jueces.</w:t>
        <w:br/>
        <w:br/>
        <w:t>25.   El artículo 14.1 del Reglamento de la Corte establece que</w:t>
        <w:br/>
        <w:br/>
        <w:t xml:space="preserve">           (l(as audiencias serán públicas y tendrán lugar en la sede de la</w:t>
        <w:br/>
        <w:t xml:space="preserve">           Corte. Cuando circunstancias excepcionales así  lo  justifiquen,</w:t>
        <w:br/>
        <w:t xml:space="preserve">           la Corte podrá celebrar audiencias privadas o fuera de su sede y</w:t>
        <w:br/>
        <w:t xml:space="preserve">           decidirá quiénes podrán asistir a ellas. Aun en estos casos,  se</w:t>
        <w:br/>
        <w:t xml:space="preserve">           levantarán actas en los términos previstos por  el  artículo  42</w:t>
        <w:br/>
        <w:t xml:space="preserve">           de(l( Reglamento.</w:t>
        <w:br/>
        <w:br/>
        <w:t>26.   En este sentido, el artículo 42 del mismo Reglamento señala que</w:t>
        <w:br/>
        <w:br/>
        <w:br/>
        <w:t xml:space="preserve">      1.    (d(e cada audiencia se levantará un acta que expresará:</w:t>
        <w:br/>
        <w:br/>
        <w:br/>
        <w:t xml:space="preserve">      a.    el nombre de los jueces presentes;</w:t>
        <w:br/>
        <w:br/>
        <w:br/>
        <w:t xml:space="preserve">      b.    el nombre de las personas mencionadas en los artículos 2l, 22  y</w:t>
        <w:br/>
        <w:t xml:space="preserve">      23 de(l( Reglamento que hubieren estado presentes;</w:t>
        <w:br/>
        <w:br/>
        <w:br/>
        <w:t xml:space="preserve">      c.    los nombres y datos personales de los testigos, peritos y  demás</w:t>
        <w:br/>
        <w:t xml:space="preserve">      personas que hayan comparecido;</w:t>
        <w:br/>
        <w:br/>
        <w:br/>
        <w:t xml:space="preserve">      d.    las declaraciones hechas expresamente para que consten  en  acta</w:t>
        <w:br/>
        <w:t xml:space="preserve">      por los Estados Partes, por la Comisión  y  por  las  víctimas  o  las</w:t>
        <w:br/>
        <w:t xml:space="preserve">      presuntas víctimas, sus familiares o  sus  representantes  debidamente</w:t>
        <w:br/>
        <w:t xml:space="preserve">      acreditados;</w:t>
        <w:br/>
        <w:br/>
        <w:br/>
        <w:t xml:space="preserve">      e.    las declaraciones hechas  por  los  testigos,  peritos  y  demás</w:t>
        <w:br/>
        <w:t xml:space="preserve">      personas que hayan comparecido, así como  las  preguntas  que  se  les</w:t>
        <w:br/>
        <w:t xml:space="preserve">      formularen y sus respuestas;</w:t>
        <w:br/>
        <w:br/>
        <w:br/>
        <w:t xml:space="preserve">      f.    el texto de las preguntas hechas por los jueces y las respuestas</w:t>
        <w:br/>
        <w:t xml:space="preserve">      respectivas;</w:t>
        <w:br/>
        <w:br/>
        <w:br/>
        <w:t xml:space="preserve">      g.    el texto de las decisiones que la Corte hubiere  tomado  durante</w:t>
        <w:br/>
        <w:t xml:space="preserve">      la audiencia.</w:t>
        <w:br/>
        <w:br/>
        <w:br/>
        <w:t xml:space="preserve">      2.    Los Agentes, Delegados, las víctimas o las  presuntas  víctimas,</w:t>
        <w:br/>
        <w:t xml:space="preserve">      sus familiares o sus representantes debidamente acreditados, así  como</w:t>
        <w:br/>
        <w:t xml:space="preserve">      los  testigos,  peritos  y  demás  personas  que  hayan   comparecido,</w:t>
        <w:br/>
        <w:t xml:space="preserve">      recibirán copia de las partes pertinentes de la  transcripción  de  la</w:t>
        <w:br/>
        <w:t xml:space="preserve">      audiencia a fin  de  que,  bajo  el  control  del  Secretario,  puedan</w:t>
        <w:br/>
        <w:t xml:space="preserve">      corregir los errores de transcripción. El Secretario fijará, según las</w:t>
        <w:br/>
        <w:t xml:space="preserve">      instrucciones que reciba del Presidente, los plazos de que  dispondrán</w:t>
        <w:br/>
        <w:t xml:space="preserve">      para ese fin.</w:t>
        <w:br/>
        <w:br/>
        <w:br/>
        <w:t xml:space="preserve">      3.    El acta será firmada por el Presidente y  el  Secretario,  quien</w:t>
        <w:br/>
        <w:t xml:space="preserve">      dará fe de su contenido.</w:t>
        <w:br/>
        <w:br/>
        <w:br/>
        <w:t xml:space="preserve">      4.    Se enviará copia del acta a los Agentes, a los Delegados, a  las</w:t>
        <w:br/>
        <w:t xml:space="preserve">      víctimas  y  a  las  presuntas  víctimas,   sus   familiares   o   sus</w:t>
        <w:br/>
        <w:t xml:space="preserve">      representantes debidamente acreditados.</w:t>
        <w:br/>
        <w:br/>
        <w:t>27.   La Corte considera, según las normas antes  transcritas,  que  existen</w:t>
        <w:br/>
        <w:t>tres momentos procesales o fases debidamente deslindados en las  normas  del</w:t>
        <w:br/>
        <w:t>procedimiento ante la Corte: a) la fase escrita, que está compuesta por  los</w:t>
        <w:br/>
        <w:t>escritos  de  demanda  y  sus  anexos  presentados  por  la   Comisión;   la</w:t>
        <w:br/>
        <w:t>contestación de la demanda y sus anexos presentados  por  el  Estado;  y  el</w:t>
        <w:br/>
        <w:t>escrito  de  solicitudes,  argumentos   y   pruebas   presentado   por   los</w:t>
        <w:br/>
        <w:t>representantes de las víctimas. Igualmente por los  escritos  agregados  por</w:t>
        <w:br/>
        <w:t>iniciativa  del  Tribunal  o  de  las  partes,  cuando  se  han   solicitado</w:t>
        <w:br/>
        <w:t>declaraciones  juradas  de  testigos  y  peritos,  ponderadas  como   prueba</w:t>
        <w:br/>
        <w:t>documental[13]; b) la fase  oral,  por  su  parte,  comprende  la  audiencia</w:t>
        <w:br/>
        <w:t>pública, en la cual los jueces, que comparezcan a la misma, escuchan  a  los</w:t>
        <w:br/>
        <w:t>testigos y peritos ofrecidos por las partes, así como los  alegatos  finales</w:t>
        <w:br/>
        <w:t>de las mismas; y c) la fase de deliberación y emisión de  sentencia,  cuando</w:t>
        <w:br/>
        <w:t>la Corte reunida  analiza  los  argumentos  de  las  partes  y  el  material</w:t>
        <w:br/>
        <w:t>probatorio aportado por  éstas  en  las  diversas  fases  del  procedimiento</w:t>
        <w:br/>
        <w:t>(etapas oral y escrita) con el objeto de emitir una sentencia.</w:t>
        <w:br/>
        <w:br/>
        <w:t>28.   De conformidad a lo dispuesto en los artículos 25 del Estatuto y  6  y</w:t>
        <w:br/>
        <w:t>14.1 del Reglamento, la Corte es soberana para  decidir  cuál  es  la  mejor</w:t>
        <w:br/>
        <w:t>forma para recabar la prueba de acuerdo con las  particularidades  del  caso</w:t>
        <w:br/>
        <w:t>en cuestión y con los principios de economía procesal y seguridad  jurídica,</w:t>
        <w:br/>
        <w:t>así como para determinar su composición[14] entre los miembros  que  asisten</w:t>
        <w:br/>
        <w:t>a la audiencia pública y quienes integran  el  Tribunal  al  momento  de  la</w:t>
        <w:br/>
        <w:t>deliberación[15]. En ocasiones, y como parte de sus facultades, la Corte  en</w:t>
        <w:br/>
        <w:t>otros casos ha decidido: a) delegar en parte de sus miembros  la  evacuación</w:t>
        <w:br/>
        <w:t>de parte de la prueba[16];  b)  asignar  a  alguno  de  los  jueces  recabar</w:t>
        <w:br/>
        <w:t>algunos  elementos  probatorios  necesarios   para   la   deliberación   del</w:t>
        <w:br/>
        <w:t>Tribunal[17]; e, incluso c) encargar  al  personal  de  la  Secretaría,  por</w:t>
        <w:br/>
        <w:t>decisión de la Corte,  la  evacuación  de  determinados  medios  probatorios</w:t>
        <w:br/>
        <w:t>requeridos  por  el  Tribunal  para  decidir  un  caso  concreto[18];  o  d)</w:t>
        <w:br/>
        <w:t>determinar que algunos testimonios y  peritajes  ofrecidos  por  las  partes</w:t>
        <w:br/>
        <w:t>para la audiencia pública se rindan a través de  una  declaración  jurada  o</w:t>
        <w:br/>
        <w:t>“affidávit”[19].</w:t>
        <w:br/>
        <w:br/>
        <w:t>29.   Las facultades antes  descritas  derivan  de  la  naturaleza  jurídica</w:t>
        <w:br/>
        <w:t>propia de un tribunal internacional  de  derechos  humanos,  en  el  que  no</w:t>
        <w:br/>
        <w:t>pueden exigirse los mismos formalismos que en el  derecho  interno[20],  sin</w:t>
        <w:br/>
        <w:t>menoscabo del principio del contradictorio[21]. Sin embargo, corresponde  al</w:t>
        <w:br/>
        <w:t>Tribunal en definitiva decidir los elementos de prueba en que se fundará  su</w:t>
        <w:br/>
        <w:t>decisión.</w:t>
        <w:br/>
        <w:br/>
        <w:t>30.   A su vez, cabe destacar que, conforme a los  artículos  14  y  42  del</w:t>
        <w:br/>
        <w:t>Reglamento, de  toda audiencia que se celebre en  la  sede  de  la  Corte  o</w:t>
        <w:br/>
        <w:t>fuera  de  ésta,  se  levantará  un  acta,  a  la  cual  se  acompañará  una</w:t>
        <w:br/>
        <w:t>transcripción de todas las intervenciones producidas durante  la  audiencia.</w:t>
        <w:br/>
        <w:t>Esta transcripción es puesta a disposición  de  los  miembros  del  Tribunal</w:t>
        <w:br/>
        <w:t>previamente al momento de sus deliberaciones, así como de  las  partes  para</w:t>
        <w:br/>
        <w:t>correcciones de los eventuales  errores  materiales.  Esta  transcripción  y</w:t>
        <w:br/>
        <w:t>grabación íntegra de la audiencia pública permite a los jueces, que  así  lo</w:t>
        <w:br/>
        <w:t>deseen, volver a revisar todo lo acaecido durante aquélla.   De  este  modo,</w:t>
        <w:br/>
        <w:t>si bien el Juez Pacheco Gómez no participó de la audiencia pública,  conoció</w:t>
        <w:br/>
        <w:t>en detalle todo lo sucedido durante ésta, gracias a  las  transcripciones  y</w:t>
        <w:br/>
        <w:t>grabaciones de la misma.</w:t>
        <w:br/>
        <w:br/>
        <w:t>31.   Es de conocimiento del agente del Estado, que la transcripción  de  la</w:t>
        <w:br/>
        <w:t>audiencia pública fue recibida por las partes  para  la  corrección  de  los</w:t>
        <w:br/>
        <w:t>errores materiales el 7 de abril de 2003.</w:t>
        <w:br/>
        <w:br/>
        <w:t>32.   En el caso en examen, cabe señalar que la composición enunciada en  la</w:t>
        <w:br/>
        <w:t>primera página de la Sentencia corresponde a los  integrantes  del  Tribunal</w:t>
        <w:br/>
        <w:t>que deliberaron y decidieron el Caso Juan Humberto Sánchez el  pasado  7  de</w:t>
        <w:br/>
        <w:t>junio de 2003 y quienes, asimismo, han sido miembros de este Tribunal  desde</w:t>
        <w:br/>
        <w:t>que el caso ingresó a su conocimiento el 8 de septiembre de 2001.</w:t>
        <w:br/>
        <w:br/>
        <w:t>33.   Por las razones anteriores, la Corte Interamericana  decide  rechazar,</w:t>
        <w:br/>
        <w:t>por improcedente, la  solicitud  de  interpretación  en  lo  relativo  a  la</w:t>
        <w:br/>
        <w:t>composición del Tribunal, durante la  audiencia  pública  y  al  momento  de</w:t>
        <w:br/>
        <w:t>dictar la sentencia correspondiente en el presente caso.</w:t>
        <w:br/>
        <w:br/>
        <w:br/>
        <w:t xml:space="preserve">                                     vi</w:t>
        <w:br/>
        <w:t xml:space="preserve">                      sobre la valoración de la prueba</w:t>
        <w:br/>
        <w:t xml:space="preserve">                            y los hechos probados</w:t>
        <w:br/>
        <w:br/>
        <w:br/>
        <w:t>Alegatos del Estado</w:t>
        <w:br/>
        <w:br/>
        <w:br/>
        <w:t>34.   En cuanto a la valoración de la  prueba  y  los  hechos  probados,  el</w:t>
        <w:br/>
        <w:t>Estado alegó que:</w:t>
        <w:br/>
        <w:br/>
        <w:t xml:space="preserve">   a) existe poca reglamentación en lo relativo  a  la  apreciación  de  las</w:t>
        <w:br/>
        <w:t xml:space="preserve">      pruebas tanto en el Reglamento como en la Convención, en razón  de  lo</w:t>
        <w:br/>
        <w:t xml:space="preserve">      cual aseguró que “la liberalidad en la aceptación  de  los  medios  de</w:t>
        <w:br/>
        <w:t xml:space="preserve">      prueba  tiene  que  ser  moderada  con  la   necesidad   de   ponderar</w:t>
        <w:br/>
        <w:t xml:space="preserve">      razonablemente el valor probatorio de cada uno de  ellos”;</w:t>
        <w:br/>
        <w:br/>
        <w:t xml:space="preserve">   b) algunos hechos aportados por el  Estado  que  “debieron  agregarse  al</w:t>
        <w:br/>
        <w:t xml:space="preserve">      acer[v]o probatorio fueron eludidos  […]  y  ni  tan  siquiera  fueron</w:t>
        <w:br/>
        <w:t xml:space="preserve">      objeto  de  pronunciamiento”.  Por  ejemplo,  el  Estado  alegó   como</w:t>
        <w:br/>
        <w:t xml:space="preserve">      violatorio del debido proceso legal  y  del  derecho  de  defensa  del</w:t>
        <w:br/>
        <w:t xml:space="preserve">      Estado que ciertos hechos expuestos en sus  diversos  escritos,  entre</w:t>
        <w:br/>
        <w:t xml:space="preserve">      ellos “las lesiones post mortem de la víctima  que  los  peticionarios</w:t>
        <w:br/>
        <w:t xml:space="preserve">      suponen torturas, […] las deposiciones de las hermanas de Sánchez  que</w:t>
        <w:br/>
        <w:t xml:space="preserve">      afirmaron contundentemente [en el  proceso  interno]  que  a  éste  lo</w:t>
        <w:br/>
        <w:t xml:space="preserve">      habían secuestrado personas del ‘otro lado’ (de la frontera), que  sus</w:t>
        <w:br/>
        <w:t xml:space="preserve">      captores fueron hombres barbados, enmascarados, (paramilitares)  y  no</w:t>
        <w:br/>
        <w:t xml:space="preserve">      miembros del ejército nacional  de  Honduras”  no  fueron  tomados  en</w:t>
        <w:br/>
        <w:t xml:space="preserve">      consideración por el Tribunal;</w:t>
        <w:br/>
        <w:br/>
        <w:br/>
        <w:t xml:space="preserve">   c) quedó demostrado con abundante prueba, tanto en la fase  escrita  como</w:t>
        <w:br/>
        <w:t xml:space="preserve">      durante el procedimiento oral,  que  el  documento  titulado  “Informe</w:t>
        <w:br/>
        <w:t xml:space="preserve">      Secreto” no era válido y que, de haber sido verdadero, “era  la  única</w:t>
        <w:br/>
        <w:t xml:space="preserve">      prueba  en  que  se  podría  haber  sustentado  la  denuncia  ante  la</w:t>
        <w:br/>
        <w:t xml:space="preserve">      Comisión”. A su vez la Corte, “no accedió a dictar un auto para  mejor</w:t>
        <w:br/>
        <w:t xml:space="preserve">      proveer,  solicitando   información   o   verificando   por   medio[s]</w:t>
        <w:br/>
        <w:t xml:space="preserve">      científicos la veracidad o no del ‘documento’ redargüido por el Estado</w:t>
        <w:br/>
        <w:t xml:space="preserve">      de falsedad, de modo que no quedare ninguna duda de la  veracidad  del</w:t>
        <w:br/>
        <w:t xml:space="preserve">      mismo; se debió profundizar m[á]s  para  establecer  que  los  hombres</w:t>
        <w:br/>
        <w:t xml:space="preserve">      armados que capturaron a Sánchez no eran  militares  hondureños,  sino</w:t>
        <w:br/>
        <w:t xml:space="preserve">      guerrilleros del Frente  Morazanista  de  Liberación  Nacional  de  El</w:t>
        <w:br/>
        <w:t xml:space="preserve">      Salvador (sic) al suponer que aquel había desertado de sus filas”.  La</w:t>
        <w:br/>
        <w:t xml:space="preserve">      Sentencia, “en una forma que no es clara o precisa, ni congruente  con</w:t>
        <w:br/>
        <w:t xml:space="preserve">      los hechos establecidos”, por un lado señala que  dicho  documento  no</w:t>
        <w:br/>
        <w:t xml:space="preserve">      forma parte del acervo probatorio del caso; pero, por  otro,  “condena</w:t>
        <w:br/>
        <w:t xml:space="preserve">      injustamente al Estado a pagar una exorbitante suma de dinero y a otra</w:t>
        <w:br/>
        <w:t xml:space="preserve">      serie de responsabilidades”.   Por  estas  razones,  es  necesaria  la</w:t>
        <w:br/>
        <w:t xml:space="preserve">      revisión de la  sentencia,  “para  que  por  conducto  de  los  medios</w:t>
        <w:br/>
        <w:t xml:space="preserve">      técnicos y científicos que están al alcance del Tribunal se establezca</w:t>
        <w:br/>
        <w:t xml:space="preserve">      si el documento ‘es verdadero o falso’”; y</w:t>
        <w:br/>
        <w:br/>
        <w:t xml:space="preserve">   d) finalmente, los hechos que  la  Sentencia  considera  probados,  están</w:t>
        <w:br/>
        <w:t xml:space="preserve">      fundados “en una mera apreciación o presunción”, dado que considera en</w:t>
        <w:br/>
        <w:t xml:space="preserve">      abstracto la existencia de un  patrón  de  desapariciones  forzadas  y</w:t>
        <w:br/>
        <w:t xml:space="preserve">      ejecuciones en los años 80 en el Estado, y “con s(ó(lo esa apreciación</w:t>
        <w:br/>
        <w:t xml:space="preserve">      subjetiva se conden[a] al Estado injustamente por el crimen de Sánchez</w:t>
        <w:br/>
        <w:t xml:space="preserve">      sin  haber  tomado  en  cuenta   todos   los   elementos   probatorios</w:t>
        <w:br/>
        <w:t xml:space="preserve">      establecidos por el Estado”. La Sentencia basa sus conclusiones en los</w:t>
        <w:br/>
        <w:t xml:space="preserve">      Casos Velásquez Rodríguez y Godínez Cruz y le otorga  el  carácter  de</w:t>
        <w:br/>
        <w:t xml:space="preserve">      plena prueba al libro “Los hechos hablan por sí mismos”, el  cual  “no</w:t>
        <w:br/>
        <w:t xml:space="preserve">      tiene  rigor  científico”.  Es  decir,  que  la  Corte  no   tomó   en</w:t>
        <w:br/>
        <w:t xml:space="preserve">      consideración que “los captores de  Sánchez  no  fueron  miembros  del</w:t>
        <w:br/>
        <w:t xml:space="preserve">      Ejército Nacional, sino  […]  guerrilleros  del  izquierdista  (Frente</w:t>
        <w:br/>
        <w:t xml:space="preserve">      Farabundo Martí para la Liberación Nacional (en  adelante  “FMLN”)  …(</w:t>
        <w:br/>
        <w:t xml:space="preserve">      pero los alegatos del Estado no fueron tomados en cuenta, pues siempre</w:t>
        <w:br/>
        <w:t xml:space="preserve">      existió un evidente prejuzgamiento (sic) de este  Tribunal  en  contra</w:t>
        <w:br/>
        <w:t xml:space="preserve">      del Estado, lo que así se comunicó oportunamente al Secretario  de  la</w:t>
        <w:br/>
        <w:t xml:space="preserve">      Corte al contestar  un  requerimiento  de  [é]ste  para  hacer  llegar</w:t>
        <w:br/>
        <w:t xml:space="preserve">      algunos datos relativos a la expectativa de vida del (h(ondureño y  al</w:t>
        <w:br/>
        <w:t xml:space="preserve">      salario mínimo en la década de los 90”.</w:t>
        <w:br/>
        <w:br/>
        <w:br/>
        <w:t>Alegatos de la Comisión</w:t>
        <w:br/>
        <w:br/>
        <w:br/>
        <w:t>35.   Respecto a estas  alegaciones,  la  Comisión  formuló  las  siguientes</w:t>
        <w:br/>
        <w:t>observaciones:</w:t>
        <w:br/>
        <w:br/>
        <w:br/>
        <w:t xml:space="preserve">   a) el Estado tuvo la oportunidad procesal para  plantear  los  argumentos</w:t>
        <w:br/>
        <w:t xml:space="preserve">      relacionados con  los  hechos  que  la  Corte  consideró  probados  y,</w:t>
        <w:br/>
        <w:t xml:space="preserve">      efectivamente los planteó y “lo que ahora pretende  es  someter  a  la</w:t>
        <w:br/>
        <w:t xml:space="preserve">      Corte cuestiones de  hecho  sobre  las  cuales  (el(  Tribunal  ya  se</w:t>
        <w:br/>
        <w:t xml:space="preserve">      pronunció en su sentencia”; consecuentemente, “el Estado no busca  que</w:t>
        <w:br/>
        <w:t xml:space="preserve">      la Corte aclare sus incertidumbres con respecto al sentido  y  alcance</w:t>
        <w:br/>
        <w:t xml:space="preserve">      del fallo, objetivo único de un recurso de  interpretación,  sino  que</w:t>
        <w:br/>
        <w:t xml:space="preserve">      pretende que [el] Tribunal revise  la  sentencia  cuya  interpretación</w:t>
        <w:br/>
        <w:t xml:space="preserve">      pide” afirmando que se basa en  meras  apreciaciones  o  presunciones.</w:t>
        <w:br/>
        <w:t xml:space="preserve">      Por lo tanto, “se trata de una apelación de suyo improcedente”;</w:t>
        <w:br/>
        <w:br/>
        <w:t xml:space="preserve">   b) el “hecho relevante”, es decir, la no participación de militares en lo</w:t>
        <w:br/>
        <w:t xml:space="preserve">      acaecido a Juan Humberto Sánchez, a que se refiere el Estado, y que el</w:t>
        <w:br/>
        <w:t xml:space="preserve">      mismo alega justificaría la procedencia del recurso de  revisión  como</w:t>
        <w:br/>
        <w:t xml:space="preserve">      consecuencia de su aparición con  posterioridad  a  la  demanda  y  su</w:t>
        <w:br/>
        <w:t xml:space="preserve">      contestación  al  calificarlo  de  fraudulento   (supra   34.c),   “no</w:t>
        <w:br/>
        <w:t xml:space="preserve">      constituye un hecho jurídico nuevo,  decisivo  y  desconocido  por  la</w:t>
        <w:br/>
        <w:t xml:space="preserve">      Corte Interamericana al momento de dictar la sentencia”.   Igualmente,</w:t>
        <w:br/>
        <w:t xml:space="preserve">      la prueba a la que se refiere  el  Estado  y  que  objetó  durante  la</w:t>
        <w:br/>
        <w:t xml:space="preserve">      audiencia pública y en sus alegatos finales  escritos,  fue  analizada</w:t>
        <w:br/>
        <w:t xml:space="preserve">      por la Corte en el momento oportuno, al determinar que no contaba  con</w:t>
        <w:br/>
        <w:t xml:space="preserve">      elementos suficientes  para  verificar  si  el  medio  de  prueba  era</w:t>
        <w:br/>
        <w:t xml:space="preserve">      auténtico o no, por lo que no lo  tomó  en  consideración  dentro  del</w:t>
        <w:br/>
        <w:t xml:space="preserve">      acervo probatorio del caso,  pues, además, existían “numerosas pruebas</w:t>
        <w:br/>
        <w:t xml:space="preserve">      que demostraban la violación de los derechos humanos  por  parte  de[l</w:t>
        <w:br/>
        <w:t xml:space="preserve">      Estado]”;</w:t>
        <w:br/>
        <w:br/>
        <w:br/>
        <w:br/>
        <w:t xml:space="preserve">   c) en relación con el cuestionamiento del Estado  de  que  “la  Corte  no</w:t>
        <w:br/>
        <w:t xml:space="preserve">      accedió a dictar un auto para mejor proveer, solicitando información o</w:t>
        <w:br/>
        <w:t xml:space="preserve">      verificando por medio(s(  científicos  la  veracidad  del  ‘documento’</w:t>
        <w:br/>
        <w:t xml:space="preserve">      (anexo 1 de la demanda( redargüido por  el  Estado  de  falsedad”,  la</w:t>
        <w:br/>
        <w:t xml:space="preserve">      Comisión observa que la Corte no tuvo en cuenta ese  documento  dentro</w:t>
        <w:br/>
        <w:t xml:space="preserve">      del acervo probatorio del caso y  ese  tipo  de  providencias  son  de</w:t>
        <w:br/>
        <w:t xml:space="preserve">      carácter facultativo y no obligatorio para la  Corte.  Por  lo  tanto,</w:t>
        <w:br/>
        <w:t xml:space="preserve">      este documento, al cual la  Corte  no  le  adjudicó  valor  probatorio</w:t>
        <w:br/>
        <w:t xml:space="preserve">      alguno, no puede justificar la revisión de una fallo que  ya  adquirió</w:t>
        <w:br/>
        <w:t xml:space="preserve">      valor de cosa juzgada internacional;</w:t>
        <w:br/>
        <w:br/>
        <w:br/>
        <w:br/>
        <w:t xml:space="preserve">   d) sobre el rechazo por el Estado, del argumento relativo a la existencia</w:t>
        <w:br/>
        <w:t xml:space="preserve">      de un patrón de desapariciones en la época de los hechos del caso,  la</w:t>
        <w:br/>
        <w:t xml:space="preserve">      Comisión aseguró que el  Estado  tuvo  la  oportunidad  procesal  para</w:t>
        <w:br/>
        <w:t xml:space="preserve">      plantear su contradicción  u  objeción.  En  este  sentido,  alega  la</w:t>
        <w:br/>
        <w:t xml:space="preserve">      Comisión, que la Corte ha establecido  que  la  interpretación  de  un</w:t>
        <w:br/>
        <w:t xml:space="preserve">      fallo tiene por objeto precisar o aclarar una decisión judicial  y  no</w:t>
        <w:br/>
        <w:t xml:space="preserve">      la revisión o modificación de cuestiones ya decididas; en  particular,</w:t>
        <w:br/>
        <w:t xml:space="preserve">      señala la Comisión, el Tribunal le dio valor probatorio al libro  “Los</w:t>
        <w:br/>
        <w:t xml:space="preserve">      hechos hablan  por  sí  mismos”,  obra  del  Comisionado  Nacional  de</w:t>
        <w:br/>
        <w:t xml:space="preserve">      Derechos Humanos de Honduras, en su  carácter  oficial  y  dentro  del</w:t>
        <w:br/>
        <w:t xml:space="preserve">      ejercicio de sus funciones constitucionales,  relativo  al  patrón  de</w:t>
        <w:br/>
        <w:t xml:space="preserve">      desaparición forzada. En dicho documento se incluía el  caso  de  Juan</w:t>
        <w:br/>
        <w:t xml:space="preserve">      Humberto Sánchez  “por  considerar  que  era  emblemático  y  [porque]</w:t>
        <w:br/>
        <w:t xml:space="preserve">      demostraba que aún en el mes de julio de 1992, fecha en que ocurrieron</w:t>
        <w:br/>
        <w:t xml:space="preserve">      los hechos del caso, quedaban rezagos de las desapariciones  estatales</w:t>
        <w:br/>
        <w:t xml:space="preserve">      que habían sido práctica estatal en la década de los 80 en  Honduras”;</w:t>
        <w:br/>
        <w:t xml:space="preserve">      y</w:t>
        <w:br/>
        <w:br/>
        <w:br/>
        <w:br/>
        <w:t xml:space="preserve">   e) por último, señala la Comisión que, corresponde a la Corte  determinar</w:t>
        <w:br/>
        <w:t xml:space="preserve">      cuáles  han  de  ser  los  criterios  de  valoración  de  las  pruebas</w:t>
        <w:br/>
        <w:t xml:space="preserve">      aplicables  en  cada  caso  y  para  un  tribunal  internacional,  los</w:t>
        <w:br/>
        <w:t xml:space="preserve">      criterios de valoración de la prueba son menos  formales  que  en  los</w:t>
        <w:br/>
        <w:t xml:space="preserve">      sistemas legales internos, lo cual ya ha sido establecido por la misma</w:t>
        <w:br/>
        <w:t xml:space="preserve">      jurisprudencia interamericana.</w:t>
        <w:br/>
        <w:br/>
        <w:t>Alegatos de los representantes de las víctimas</w:t>
        <w:br/>
        <w:br/>
        <w:t>36.   En relación  con  la  demanda  de  interpretación  presentada  por  el</w:t>
        <w:br/>
        <w:t>Estado, los representantes de las víctimas señalaron sobre la valoración  de</w:t>
        <w:br/>
        <w:t>la prueba y los hechos probados que:</w:t>
        <w:br/>
        <w:br/>
        <w:t xml:space="preserve">     a) por un lado, el artículo 67 de la Convención Americana dispone  que</w:t>
        <w:br/>
        <w:t xml:space="preserve">        el fallo de la Corte será definitivo e inapelable y que, en caso de</w:t>
        <w:br/>
        <w:t xml:space="preserve">        desacuerdo sobre el sentido  o  alcance  del  mismo,  la  Corte  lo</w:t>
        <w:br/>
        <w:t xml:space="preserve">        interpretará a solicitud de cualquiera  de  las  partes.  Por  otro</w:t>
        <w:br/>
        <w:t xml:space="preserve">        lado, el artículo 29  del  Reglamento  establece  que  contra   las</w:t>
        <w:br/>
        <w:t xml:space="preserve">        sentencias y resoluciones de la Corte no procede  ningún  medio  de</w:t>
        <w:br/>
        <w:t xml:space="preserve">        impugnación;</w:t>
        <w:br/>
        <w:br/>
        <w:br/>
        <w:t xml:space="preserve">     b) en este sentido, no se referirían a  los  argumentos  relativos  al</w:t>
        <w:br/>
        <w:t xml:space="preserve">        fondo del asunto, dado que  “no  entran  dentro  de  las  hipótesis</w:t>
        <w:br/>
        <w:t xml:space="preserve">        planteadas por el único recurso  establecido  en  la  Convención(,(</w:t>
        <w:br/>
        <w:t xml:space="preserve">        referente a la interpretación de la sentencia”;</w:t>
        <w:br/>
        <w:br/>
        <w:br/>
        <w:t xml:space="preserve">     c) la Corte ha señalado, desde sus primeras sentencias referentes a la</w:t>
        <w:br/>
        <w:t xml:space="preserve">        interpretación de sus decisiones, que  “la  interpretación  de  una</w:t>
        <w:br/>
        <w:t xml:space="preserve">        sentencia implica no sólo la precisión  del  texto  de  los  puntos</w:t>
        <w:br/>
        <w:t xml:space="preserve">        resolutivos  del  fallo,  sino  también  de  la  determinación  del</w:t>
        <w:br/>
        <w:t xml:space="preserve">        alcance, el sentido y la finalidad de la resolución, de acuerdo con</w:t>
        <w:br/>
        <w:t xml:space="preserve">        las consideraciones de la misma”; y</w:t>
        <w:br/>
        <w:br/>
        <w:br/>
        <w:t xml:space="preserve">     d) en la demanda de interpretación interpuesta en  el  presente  caso,</w:t>
        <w:br/>
        <w:t xml:space="preserve">        “no existe mención alguna sobre aspectos del fallo cuyo  sentido  o</w:t>
        <w:br/>
        <w:t xml:space="preserve">        alcance s(on( dudosos o controversiales” y, por el  contrario,  “se</w:t>
        <w:br/>
        <w:t xml:space="preserve">        solicita la revisión de la sentencia mediante el  análisis  de  los</w:t>
        <w:br/>
        <w:t xml:space="preserve">        argumentos de fondo y la manera de apreciación de la prueba, hechos</w:t>
        <w:br/>
        <w:t xml:space="preserve">        que fueron debidamente considerados y fundamentados por  (la  Corte</w:t>
        <w:br/>
        <w:t xml:space="preserve">        Interamericana(” en la Sentencia.</w:t>
        <w:br/>
        <w:br/>
        <w:br/>
        <w:t>Consideraciones de la Corte</w:t>
        <w:br/>
        <w:br/>
        <w:br/>
        <w:t>37.   El artículo 43 del Reglamento de la Corte dispone</w:t>
        <w:br/>
        <w:br/>
        <w:t xml:space="preserve">      1.    Las pruebas promovidas por las partes sólo  serán  admitidas  si</w:t>
        <w:br/>
        <w:t xml:space="preserve">      son ofrecidas en la demanda y en su contestación y en su caso,  en  el</w:t>
        <w:br/>
        <w:t xml:space="preserve">      escrito de excepciones preliminares y en su contestación.</w:t>
        <w:br/>
        <w:br/>
        <w:br/>
        <w:t xml:space="preserve">      2.    Las pruebas rendidas ante  la  Comisión  serán  incorporadas  al</w:t>
        <w:br/>
        <w:t xml:space="preserve">      expediente,  siempre  que  hayan  sido  recibidas  en   procedimientos</w:t>
        <w:br/>
        <w:t xml:space="preserve">      contradictorios,  salvo   que   la   Corte   considere   indispensable</w:t>
        <w:br/>
        <w:t xml:space="preserve">      repetirlas.</w:t>
        <w:br/>
        <w:br/>
        <w:br/>
        <w:t xml:space="preserve">      3.    Excepcionalmente la Corte podrá admitir una prueba si alguna  de</w:t>
        <w:br/>
        <w:t xml:space="preserve">      las partes  alegare  fuerza  mayor,  un  impedimento  grave  o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br/>
        <w:t xml:space="preserve">      4.    En el  caso  de  la  presunta  víctima,  sus  familiares  o  sus</w:t>
        <w:br/>
        <w:t xml:space="preserve">      representantes debidamente acreditados,  la  admisión  de  pruebas  se</w:t>
        <w:br/>
        <w:t xml:space="preserve">      regirá además por lo dispuesto en los artículos 23, 35.4  y  36.5  del</w:t>
        <w:br/>
        <w:t xml:space="preserve">      Reglamento.</w:t>
        <w:br/>
        <w:br/>
        <w:t>38.   El artículo 44 del mismo Reglamento señala que</w:t>
        <w:br/>
        <w:br/>
        <w:t xml:space="preserve">      En cualquier estado de la causa la Corte podrá:</w:t>
        <w:br/>
        <w:br/>
        <w:t xml:space="preserve">      1.     Procurar  de  oficio  toda  prueba  que  considere   útil.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dictámen sobre un punto determinado. Mientras la Corte no</w:t>
        <w:br/>
        <w:t xml:space="preserve">      lo autorice, los documentos respectivos no serán publicados.</w:t>
        <w:br/>
        <w:br/>
        <w:br/>
        <w:t xml:space="preserve">      4.    Comisionar a uno o varios de  sus  miembros  para  que  realicen</w:t>
        <w:br/>
        <w:t xml:space="preserve">      cualquier medida de instrucción.</w:t>
        <w:br/>
        <w:br/>
        <w:t>39.   El artículo 48 del Reglamento establece que</w:t>
        <w:br/>
        <w:br/>
        <w:t xml:space="preserve">      1.    El testigo podrá ser objetado por  cualesquiera  de  las  partes</w:t>
        <w:br/>
        <w:t xml:space="preserve">      antes de prestar declaración.</w:t>
        <w:br/>
        <w:br/>
        <w:br/>
        <w:t xml:space="preserve">      2.    La Corte podrá, si lo estimare útil, oír a título informativo  a</w:t>
        <w:br/>
        <w:t xml:space="preserve">      una persona que estaría impedida para declarar como testigo.</w:t>
        <w:br/>
        <w:br/>
        <w:br/>
        <w:t xml:space="preserve">      3.    El valor de las declaraciones y el  de  las  objeciones  de  las</w:t>
        <w:br/>
        <w:t xml:space="preserve">      partes sobre las mismas será apreciado por la Corte.</w:t>
        <w:br/>
        <w:br/>
        <w:t>40.   Esta Corte, al examinar  los  argumentos  del  Estado,  resumidos  con</w:t>
        <w:br/>
        <w:t>anterioridad (supra 34), advierte que, indebidamente, y bajo  la  apariencia</w:t>
        <w:br/>
        <w:t>de una solicitud de interpretación, se pretende la  modificación  de  hechos</w:t>
        <w:br/>
        <w:t>que el Tribunal declaró probados (supra 15 y  16),  sobre  la  base  de  las</w:t>
        <w:br/>
        <w:t>mismas argumentaciones esgrimidas por el Estado que  fueron  escuchadas  por</w:t>
        <w:br/>
        <w:t>la Corte en los momentos procesales correspondientes[22],  y  analizadas  en</w:t>
        <w:br/>
        <w:t>sus deliberaciones al dictar su Sentencia.</w:t>
        <w:br/>
        <w:br/>
        <w:t>41.   Por cuanto el Estado alegó  que  el  fallo  adolece  de  omisiones  en</w:t>
        <w:br/>
        <w:t>algunos  aspectos  y  de  falta  de  fundamentación  en  otros,   la   Corte</w:t>
        <w:br/>
        <w:t>seguidamente hace algunas consideraciones al respecto.</w:t>
        <w:br/>
        <w:br/>
        <w:t>42.   En su Sentencia en el presente caso, la  Corte  señaló  los  criterios</w:t>
        <w:br/>
        <w:t>que utilizó para la valoración de la prueba[23].  Principio  rector  en  tal</w:t>
        <w:br/>
        <w:t>sentido es que la justicia “no  puede  ser  sacrificada  en  aras  de  meras</w:t>
        <w:br/>
        <w:t>formalidades”, en razón  de  lo  cual,  los  tribunales  internacionales  de</w:t>
        <w:br/>
        <w:t>derechos humanos, disponen de  una  mayor  amplitud  y  flexibilidad  en  la</w:t>
        <w:br/>
        <w:t>valoración de la prueba tomando como base las reglas de la lógica  y  de  la</w:t>
        <w:br/>
        <w:t>experiencia[24]. Al interpretar los artículos 43 y  44  del  Reglamento,  la</w:t>
        <w:br/>
        <w:t>Corte ha establecido que la prueba documental será admitida si la  misma  es</w:t>
        <w:br/>
        <w:t>presentada por la parte  en  su  oportunidad  procesal,  o,  posteriormente,</w:t>
        <w:br/>
        <w:t>cuando la misma es sobreviniente o  cuando  el  Tribunal  la  solicita  como</w:t>
        <w:br/>
        <w:t>prueba para mejor resolver[25].</w:t>
        <w:br/>
        <w:br/>
        <w:t>43.   En cuanto al argumento del Estado sobre el supuesto adelantamiento  de</w:t>
        <w:br/>
        <w:t>criterio por haber ordenado el  Tribunal  una  prueba  para  mejor  resolver</w:t>
        <w:br/>
        <w:t>(supra  34.d),  esta  Corte  considera  que  este  punto  fue  oportunamente</w:t>
        <w:br/>
        <w:t>aclarado,  en  nota  de  referencia  REF.:CDH-11.073/131,  en  la  cual   el</w:t>
        <w:br/>
        <w:t>Presidente de la Corte respondió al Estado que:</w:t>
        <w:br/>
        <w:br/>
        <w:t xml:space="preserve">      la solicitud de información  como  prueba  para  mejor  resolver  está</w:t>
        <w:br/>
        <w:t xml:space="preserve">      contemplada como una facultad que tiene el  Tribunal,  de  conformidad</w:t>
        <w:br/>
        <w:t xml:space="preserve">      con el artículo 44 de su Reglamento, y  tiene  por  finalidad  que  la</w:t>
        <w:br/>
        <w:t xml:space="preserve">      Corte tenga todos los elementos probatorios necesarios en caso de  que</w:t>
        <w:br/>
        <w:t xml:space="preserve">      pueda fallar en una misma  sentencia  tanto  excepciones  preliminares</w:t>
        <w:br/>
        <w:t xml:space="preserve">      como fondo  y  reparaciones,  en  virtud  del  principio  de  economía</w:t>
        <w:br/>
        <w:t xml:space="preserve">      procesal (artículos 36.6 y 56.1 del Reglamento).</w:t>
        <w:br/>
        <w:br/>
        <w:t>Este criterio fue respaldado por  la  Corte  al  valorar  la  prueba  en  el</w:t>
        <w:br/>
        <w:t>presente caso[26], de acuerdo con una práctica generalizada en esta  materia</w:t>
        <w:br/>
        <w:t>por el Tribunal[27].</w:t>
        <w:br/>
        <w:br/>
        <w:t>44.   En relación con algunos de los documentos[28] a  que  hace  referencia</w:t>
        <w:br/>
        <w:t>el Estado en su escrito  de  solicitud  de  interpretación  relativos  a  la</w:t>
        <w:br/>
        <w:t>responsabilidad estatal por la  ejecución  extrajudicial  de  Juan  Humberto</w:t>
        <w:br/>
        <w:t>Sánchez, debe  señalarse  que  éstos  fueron  presentados  en  la  audiencia</w:t>
        <w:br/>
        <w:t>pública y no al contestar la demanda, lo cual hace  que  algunos  de  dichos</w:t>
        <w:br/>
        <w:t>documentos sean extemporáneos, de  conformidad  con  las  reglas  procesales</w:t>
        <w:br/>
        <w:t>analizadas[29]. Asimismo, y respecto a lo alegado por el Estado, de  que  no</w:t>
        <w:br/>
        <w:t>se tomaron en consideración  sus  argumentaciones  sobre  la  tortura  y  la</w:t>
        <w:br/>
        <w:t>responsabilidad de quienes asesinaron a Juan Humberto  Sánchez,  esta  Corte</w:t>
        <w:br/>
        <w:t>ha señalado reiteradamente que, como órgano judicial de  protección  de  los</w:t>
        <w:br/>
        <w:t>derechos humanos, en los procesos que conoce, las partes no comparecen  como</w:t>
        <w:br/>
        <w:t>“sujetos en un proceso penal, pues la Corte no impone penas a  las  personas</w:t>
        <w:br/>
        <w:t>culpables de violar los derechos humanos [... sino  por  el  contrario,  su]</w:t>
        <w:br/>
        <w:t>función [...] es proteger a las víctimas y determinar la reparación  de  los</w:t>
        <w:br/>
        <w:t>daños ocasionados por  los  Estados  responsables  de  tales  acciones”[30].</w:t>
        <w:br/>
        <w:t>Corresponde al  Estado  determinar,  a  través  de  los  órganos  judiciales</w:t>
        <w:br/>
        <w:t>internos, quienes son los autores materiales e intelectuales de los  delitos</w:t>
        <w:br/>
        <w:t>o crímenes, y a este Tribunal establecer si ha habido  participación,  apoyo</w:t>
        <w:br/>
        <w:t>o tolerancia del poder público en esas violaciones de derechos  humanos  que</w:t>
        <w:br/>
        <w:t>comprometa la responsabilidad internacional del Estado por la infracción  de</w:t>
        <w:br/>
        <w:t>la Convención[31].</w:t>
        <w:br/>
        <w:br/>
        <w:t>45.   Como lo señalara este Tribunal en el caso concreto[32]</w:t>
        <w:br/>
        <w:br/>
        <w:t xml:space="preserve">      185.  (a(l momento de la (…( Sentencia, después de más de  diez  años,</w:t>
        <w:br/>
        <w:t xml:space="preserve">      aún no se han identificado y  sancionado  a  los  responsables  de  la</w:t>
        <w:br/>
        <w:t xml:space="preserve">      detención, tortura y ejecución extrajudicial de Juan Humberto Sánchez,</w:t>
        <w:br/>
        <w:t xml:space="preserve">      por lo que se ha configurado  una  situación  de  grave  impunidad  en</w:t>
        <w:br/>
        <w:t xml:space="preserve">      relación con los respectivos  hechos,  situación  que  constituye  una</w:t>
        <w:br/>
        <w:t xml:space="preserve">      infracción del deber del Estado al que se ha hecho referencia, lesiona</w:t>
        <w:br/>
        <w:t xml:space="preserve">      a la víctima, a sus familiares y al conjunto de la sociedad y propicia</w:t>
        <w:br/>
        <w:t xml:space="preserve">      la repetición crónica de las violaciones de los  derechos  humanos  de</w:t>
        <w:br/>
        <w:t xml:space="preserve">      que se trata[33].</w:t>
        <w:br/>
        <w:br/>
        <w:br/>
        <w:br/>
        <w:t xml:space="preserve">      186.  Es, pues, necesario, como lo ha establecido este Tribunal  tanto</w:t>
        <w:br/>
        <w:t xml:space="preserve">      en (la( Sentencia (…( como en  casos  anteriores[34],  que  el  Estado</w:t>
        <w:br/>
        <w:t xml:space="preserve">      lleve a cabo una investigación efectiva de los hechos  de  este  caso,</w:t>
        <w:br/>
        <w:t xml:space="preserve">      identifique a los responsables de los mismos,  tanto  materiales  como</w:t>
        <w:br/>
        <w:t xml:space="preserve">      intelectuales,  así  como  eventuales  encubridores,  y  los  sancione</w:t>
        <w:br/>
        <w:t xml:space="preserve">      administrativa y penalmente según corresponda.  Los procesos  internos</w:t>
        <w:br/>
        <w:t xml:space="preserve">      de que se trata deben versar sobre las violaciones del  derecho  a  la</w:t>
        <w:br/>
        <w:t xml:space="preserve">      vida y del derecho a la integridad personal a las que se refiere  esta</w:t>
        <w:br/>
        <w:t xml:space="preserve">      misma Sentencia. Los familiares de  la  víctima  deberán  tener  pleno</w:t>
        <w:br/>
        <w:t xml:space="preserve">      acceso y capacidad de actuar, en todas  las  etapas  e  instancias  de</w:t>
        <w:br/>
        <w:t xml:space="preserve">      dichas investigaciones, de acuerdo con la ley interna y las normas  de</w:t>
        <w:br/>
        <w:t xml:space="preserve">      la  Convención  Americana.   Los  resultados  de  éstas  deberán   ser</w:t>
        <w:br/>
        <w:t xml:space="preserve">      públicamente divulgados, para que la  sociedad  hondureña  conozca  la</w:t>
        <w:br/>
        <w:t xml:space="preserve">      verdad.</w:t>
        <w:br/>
        <w:br/>
        <w:br/>
        <w:t>46.   En cuanto a las argumentaciones respecto al anexo  1  de  la  demanda,</w:t>
        <w:br/>
        <w:t>denominado “Informe Secreto”, esta Corte, en su Sentencia de 7 de  junio  de</w:t>
        <w:br/>
        <w:t>2003 y previas las consideraciones necesarias[35], decidió dejar  fuera  del</w:t>
        <w:br/>
        <w:t>acervo probatorio el  documento  en  mención,  y,  por  tanto  inútiles  las</w:t>
        <w:br/>
        <w:t>diligencias  propuestas  por  el  Estado  para   la   verificación   de   la</w:t>
        <w:br/>
        <w:t>autenticidad  de  dicho  documento.  El  Tribunal  consideró  asimismo,  que</w:t>
        <w:br/>
        <w:t>existían otras pruebas, suficientes  para  comprobar  los  hechos,  posición</w:t>
        <w:br/>
        <w:t>consistente con las amplias facultades en materia probatoria que  le  otorga</w:t>
        <w:br/>
        <w:t>el artículo 44 del Reglamento de la Corte.</w:t>
        <w:br/>
        <w:br/>
        <w:t>47.   Considera igualmente la Corte, como lo ha hecho en  casos  anteriores,</w:t>
        <w:br/>
        <w:t>que en los procesos sobre violaciones de los derechos  humanos,  la  defensa</w:t>
        <w:br/>
        <w:t>del Estado no puede descansar  sobre  la  imposibilidad  del  demandante  de</w:t>
        <w:br/>
        <w:t>allegar  pruebas  que,  en  los  casos  que  no  pueden  obtenerse  sin   la</w:t>
        <w:br/>
        <w:t>cooperación del Estado, con lo cual las partes, y en particular  el  Estado,</w:t>
        <w:br/>
        <w:t>deben facilitar al Tribunal todos los elementos probatorios requeridos[36].</w:t>
        <w:br/>
        <w:br/>
        <w:t>48.   En lo relativo a la descalificación por el Estado del Informe  del  ex</w:t>
        <w:br/>
        <w:t>Procurador  de  Derechos  Humanos,  perito  en  la  audiencia  pública,  Leo</w:t>
        <w:br/>
        <w:t>Valladares  Lanza,  observa  el  Tribunal  que  dichas   objeciones   fueron</w:t>
        <w:br/>
        <w:t>desechadas por la  Corte  por  considerarlas  insuficientes  para  invalidar</w:t>
        <w:br/>
        <w:t>dicho peritaje[37].  Por  su  parte,  el  Estado  tampoco  objetó  el  libro</w:t>
        <w:br/>
        <w:t>aportado por el mencionado perito, luego que la Corte le trasladó  el  mismo</w:t>
        <w:br/>
        <w:t>el 3 de marzo de 2003[38]. Además, producto de  la  naturaleza  especial  de</w:t>
        <w:br/>
        <w:t>esta instancia internacional, la  Corte  ha  establecido  la  presunción  de</w:t>
        <w:br/>
        <w:t>validez de aquellos documentos que no hayan  sido  controvertidos[39]  y  ha</w:t>
        <w:br/>
        <w:t>evitado siempre suministrar una  rígida  determinación  de  la  cantidad  de</w:t>
        <w:br/>
        <w:t>prueba necesaria para fundar el fallo[40], tal y como se dio en el caso  sub</w:t>
        <w:br/>
        <w:t>judice, en el  cual  la  existencia  y  prueba  del  patrón  de  ejecuciones</w:t>
        <w:br/>
        <w:t>extrajudiciales no se basó, como lo  afirma  el  Estado,  únicamente  en  el</w:t>
        <w:br/>
        <w:t>libro del ex Procurador de Derechos Humanos sino, además, entre  otros,  por</w:t>
        <w:br/>
        <w:t>ser un hecho conocido por esta Corte a través de las  declaraciones  de  los</w:t>
        <w:br/>
        <w:t>testigos propuestos por las partes  en  casos  anteriores  contra  el  mismo</w:t>
        <w:br/>
        <w:t>Estado sobre hechos acaecidos en la misma época[41] en  que  sucedieron  los</w:t>
        <w:br/>
        <w:t>hechos de este caso.</w:t>
        <w:br/>
        <w:br/>
        <w:br/>
        <w:br/>
        <w:t>49.   En razón de lo anterior, la Corte Interamericana decide desestimar  la</w:t>
        <w:br/>
        <w:t>interpretación solicitada en lo relativo a los hechos probados y  la  prueba</w:t>
        <w:br/>
        <w:t>utilizada para la decisión correspondiente en el presente caso.</w:t>
        <w:br/>
        <w:br/>
        <w:br/>
        <w:br/>
        <w:t xml:space="preserve">                                     vii</w:t>
        <w:br/>
        <w:t xml:space="preserve">                           sobre las reparaciones</w:t>
        <w:br/>
        <w:br/>
        <w:br/>
        <w:t>Alegatos del Estado</w:t>
        <w:br/>
        <w:br/>
        <w:br/>
        <w:t>50.   En relación con la aplicación, por la Corte, del  artículo  63  de  la</w:t>
        <w:br/>
        <w:t>Convención Americana el Estado alegó que:</w:t>
        <w:br/>
        <w:br/>
        <w:t xml:space="preserve">   a) para la determinación de la indemnización la Corte debió haber  dejado</w:t>
        <w:br/>
        <w:t xml:space="preserve">      abierto el procedimiento para que las partes acordaran el pago de  las</w:t>
        <w:br/>
        <w:t xml:space="preserve">      indemnizaciones, y, solamente si  no  lo  hicieren,  podría  la  Corte</w:t>
        <w:br/>
        <w:t xml:space="preserve">      establecer los montos respectivos, tal como fue  el  procedimiento  en</w:t>
        <w:br/>
        <w:t xml:space="preserve">      casos anteriores contra Honduras. La determinación  del  monto  de  la</w:t>
        <w:br/>
        <w:t xml:space="preserve">      indemnización puede ser negociada por las partes, y “a  ellas  es  que</w:t>
        <w:br/>
        <w:t xml:space="preserve">      compete exclusivamente su fijación, s[ó]lo en el caso  de  que  no  se</w:t>
        <w:br/>
        <w:t xml:space="preserve">      pongan de acuerdo, podrá la Corte [f]ijar su cuantía”.   Sin  embargo,</w:t>
        <w:br/>
        <w:t xml:space="preserve">      el Estado destacó que las anteriores consideraciones  se  hacían  “sin</w:t>
        <w:br/>
        <w:t xml:space="preserve">      perjuicio de [que la Corte se] pronunci[e] en la [Sentencia] sobre las</w:t>
        <w:br/>
        <w:t xml:space="preserve">      medidas de naturaleza distinta [a  la  pecuniaria]  (derivadas  de  la</w:t>
        <w:br/>
        <w:t xml:space="preserve">      obligación de respeto y garantía contenida en el [artículo]  1  de  la</w:t>
        <w:br/>
        <w:t xml:space="preserve">      Convención, tales como la investigación de los hechos relativos a  las</w:t>
        <w:br/>
        <w:t xml:space="preserve">      desapariciones de las víctimas, o el castigo de  los  responsables  de</w:t>
        <w:br/>
        <w:t xml:space="preserve">      las mismas, lo  que  s[í]  se  aproxima  al  concepto  más  amplio  de</w:t>
        <w:br/>
        <w:t xml:space="preserve">      ‘reparación’[)]”. En este sentido, el Estado señaló que “la […]  Corte</w:t>
        <w:br/>
        <w:t xml:space="preserve">      parece haber confundido la diferencia que existe entre ‘reparación’  e</w:t>
        <w:br/>
        <w:t xml:space="preserve">      ‘indemnización[’],  y  la  función  que  compete  a  la  Corte  en  la</w:t>
        <w:br/>
        <w:t xml:space="preserve">      determinación de unas y otras  de  acuerdo  a  la  interpretación  del</w:t>
        <w:br/>
        <w:t xml:space="preserve">      artículo 63.1 de la Convención Americana y “al haberse alejado […]  la</w:t>
        <w:br/>
        <w:t xml:space="preserve">      Corte de su propia jurisprudencia”. Asimismo, señaló que la Corte debe</w:t>
        <w:br/>
        <w:t xml:space="preserve">      fijarse en criterios de “carácter muy objetivo, jamás la indemnización</w:t>
        <w:br/>
        <w:t xml:space="preserve">      puede ser discrecional o arbitraria como aparece de  la  sentencia”  y</w:t>
        <w:br/>
        <w:t xml:space="preserve">      que sean producto de daños demostrados en los hechos probados y no “en</w:t>
        <w:br/>
        <w:t xml:space="preserve">      meras  disgregaciones  alejadas  de  la  litis   o   presunciones   de</w:t>
        <w:br/>
        <w:t xml:space="preserve">      responsabilidad inducidas por factores exógenos”;</w:t>
        <w:br/>
        <w:br/>
        <w:t xml:space="preserve">   b) la Sentencia no es clara en cuanto al procedimiento utilizado para  la</w:t>
        <w:br/>
        <w:t xml:space="preserve">      determinación de los montos de la indemnización  por daño  material  e</w:t>
        <w:br/>
        <w:t xml:space="preserve">      inmaterial, ya que “no se establece ninguna fórmula para ello”;</w:t>
        <w:br/>
        <w:br/>
        <w:t xml:space="preserve">   c) la “Sentencia se extralimita y va  m[á]s  allá  de  las  facultades  o</w:t>
        <w:br/>
        <w:t xml:space="preserve">      atribuciones de que está investido el Tribunal, pues (…( la cuantía de</w:t>
        <w:br/>
        <w:t xml:space="preserve">      la indemnización por los daños materiales e inmateriales se  abulta  o</w:t>
        <w:br/>
        <w:t xml:space="preserve">      eleva injustificadamente al otorgar este beneficio, no a las  personas</w:t>
        <w:br/>
        <w:t xml:space="preserve">      que tienen derecho a la sucesión legal  de la víctima, si   no  que  a</w:t>
        <w:br/>
        <w:t xml:space="preserve">      toda la parentela de la misma”. Agregó que la Corte se ha apartado  de</w:t>
        <w:br/>
        <w:t xml:space="preserve">      su misma práctica en cuanto  a  la  determinación  de  los  sucesores,</w:t>
        <w:br/>
        <w:t xml:space="preserve">      establecida en el Caso Aloeboetoe y otros;</w:t>
        <w:br/>
        <w:br/>
        <w:br/>
        <w:t xml:space="preserve">   d) la Sentencia violenta “la doctrina  sobre [d]erecho [de sucesión] y de</w:t>
        <w:br/>
        <w:t xml:space="preserve">      la [j]urisprudencia de la Corte”, pues “sin fundamento legal establece</w:t>
        <w:br/>
        <w:t xml:space="preserve">      en forma antojadiza”, quiénes deben ser tenidos como beneficiarios  de</w:t>
        <w:br/>
        <w:t xml:space="preserve">      la indemnización, por concepto de pérdida de ingresos de Juan Humberto</w:t>
        <w:br/>
        <w:t xml:space="preserve">      Sánchez, a las hijas  y  compañeras  de  hogar  de  éste.  Agrega  que</w:t>
        <w:br/>
        <w:t xml:space="preserve">      Sánchez, como operador  de  Radio  Venceremos,  no  tenía  un  trabajo</w:t>
        <w:br/>
        <w:t xml:space="preserve">      regular ni devengaba salario alguno, “por lo  que  no  puede  aducirse</w:t>
        <w:br/>
        <w:t xml:space="preserve">      entonces  que  todas  las  personas  mencionadas  en   la   sentencia,</w:t>
        <w:br/>
        <w:t xml:space="preserve">      exceptuando  a  sus  hijas  y  a  su  madre,  tendrían  derecho  a  la</w:t>
        <w:br/>
        <w:t xml:space="preserve">      indemnización porque al no tener la  víctima  ingresos  regulares,  no</w:t>
        <w:br/>
        <w:t xml:space="preserve">      puede  aducirse  de   que   todas   las   demás   personas   dependían</w:t>
        <w:br/>
        <w:t xml:space="preserve">      económicamente de aqu[é]lla, lo anterior al haberse inferido así en la</w:t>
        <w:br/>
        <w:t xml:space="preserve">      sentencia fue una  mera  apreciación  del  Tribunal  sin  sustentación</w:t>
        <w:br/>
        <w:t xml:space="preserve">      jurídica alguna”;</w:t>
        <w:br/>
        <w:br/>
        <w:br/>
        <w:t xml:space="preserve">   e) en  la  Sentencia  no  quedó  bien  definido  el  concepto  de  “parte</w:t>
        <w:br/>
        <w:t xml:space="preserve">      lesionada”, ya que no sólo se estableció la calidad  de  beneficiarios</w:t>
        <w:br/>
        <w:t xml:space="preserve">      de las reparaciones a los derechohabientes de la víctima, sino también</w:t>
        <w:br/>
        <w:t xml:space="preserve">      “a parientes que no pueden  tener  aquel  concepto”.   En  todo  caso,</w:t>
        <w:br/>
        <w:t xml:space="preserve">      “ninguno de los que se  suponen  parientes  de  la  víctima  estar[ía]</w:t>
        <w:br/>
        <w:t xml:space="preserve">      eximido de la necesidad de acreditar su identidad y su parentesco  con</w:t>
        <w:br/>
        <w:t xml:space="preserve">      la víctima[, dado que e]n el caso de autos, la víctima y los  miembros</w:t>
        <w:br/>
        <w:t xml:space="preserve">      de su familia que tienen derecho a la sucesión vivían  en  una  aldea,</w:t>
        <w:br/>
        <w:t xml:space="preserve">      con acceso al Municipio de Colomoncag[u]a en donde  está  el  Registro</w:t>
        <w:br/>
        <w:t xml:space="preserve">      Civil de las Personas”;</w:t>
        <w:br/>
        <w:br/>
        <w:t xml:space="preserve">   f) “además de los principios que conforman la regla general en materia de</w:t>
        <w:br/>
        <w:t xml:space="preserve">      sucesión, excepcionalmente puede  establecerse  que  la  indemnización</w:t>
        <w:br/>
        <w:t xml:space="preserve">      deb[a] extenderse además de los sucesores de  la  víctima,  a  quienes</w:t>
        <w:br/>
        <w:t xml:space="preserve">      hayan tenido una relación de dependencia con esta última”. Respecto de</w:t>
        <w:br/>
        <w:t xml:space="preserve">      las compañeras de la víctima, “de  acuerdo  a  la  ley,  solamente  le</w:t>
        <w:br/>
        <w:t xml:space="preserve">      correspondería este derecho a la concubina  con  la  cual  hacía  vida</w:t>
        <w:br/>
        <w:t xml:space="preserve">      conyugal, y no a las anteriores, que pudieron haber  incurrido  en  la</w:t>
        <w:br/>
        <w:t xml:space="preserve">      causal de indignidad para suceder”. En  la  Sentencia  se  concede  el</w:t>
        <w:br/>
        <w:t xml:space="preserve">      beneficio de la indemnización a dos compañeras de hogar de la víctima,</w:t>
        <w:br/>
        <w:t xml:space="preserve">      sin determinar la Corte las  reglas  mediante  las  cuales  hizo  este</w:t>
        <w:br/>
        <w:t xml:space="preserve">      cálculo;</w:t>
        <w:br/>
        <w:br/>
        <w:t xml:space="preserve">   g) Juan José Vijil, a quien corresponde, en conjunto con la madre  de  la</w:t>
        <w:br/>
        <w:t xml:space="preserve">      víctima, una indemnización de US$8.200,00 (ocho mil doscientos dólares</w:t>
        <w:br/>
        <w:t xml:space="preserve">      de los Estados Unidos de América) por concepto de gastos de búsqueda y</w:t>
        <w:br/>
        <w:t xml:space="preserve">      gastos médicos y de traslado, “no tenía ningún  parentesco  con  [Juan</w:t>
        <w:br/>
        <w:t xml:space="preserve">      Humberto] Sánchez,  se  supondría  [el  parentesco]  por  afinidad  si</w:t>
        <w:br/>
        <w:t xml:space="preserve">      hubiere estado casado con la madre de [é]ste, pero  no  quedó  probado</w:t>
        <w:br/>
        <w:t xml:space="preserve">      este extremo […] ni se probó  que  dependía  económicamente”  de  Juan</w:t>
        <w:br/>
        <w:t xml:space="preserve">      Humberto Sánchez;</w:t>
        <w:br/>
        <w:br/>
        <w:t xml:space="preserve">   h) asimismo, la Sentencia dispone el pago de una indemnización a favor de</w:t>
        <w:br/>
        <w:t xml:space="preserve">      las hermanas de Juan Humberto Sánchez, “cuando [los] únicos  causantes</w:t>
        <w:br/>
        <w:t xml:space="preserve">      o derechohabientes [de éste]  son  sus  menores  hijos;  las  esposas,</w:t>
        <w:br/>
        <w:t xml:space="preserve">      únicamente tienen derecho, de conformidad [con] la legislación interna</w:t>
        <w:br/>
        <w:t xml:space="preserve">      del Estado y [con] las reglas de sucesión a la cuarta parte  conyugal,</w:t>
        <w:br/>
        <w:t xml:space="preserve">      y los padres solamente cuando carezcan de recursos, a una cuarta parte</w:t>
        <w:br/>
        <w:t xml:space="preserve">      [lo cual] no aparece […] acreditado”; e</w:t>
        <w:br/>
        <w:br/>
        <w:t xml:space="preserve">   i) la indemnización por concepto del daño  inmaterial  correspondiente  a</w:t>
        <w:br/>
        <w:t xml:space="preserve">      Juan Humberto Sánchez se ordena que sea distribuida no sólo entre  sus</w:t>
        <w:br/>
        <w:t xml:space="preserve">      hijas, “únicas derechohabientes”, sino también entre sus compañeras  y</w:t>
        <w:br/>
        <w:t xml:space="preserve">      sus padres, a pesar de que “[e]l Sr. Juan José Vijil Hernández  no  lo</w:t>
        <w:br/>
        <w:t xml:space="preserve">      era”.  Asimismo, se ordena el pago también a Vijil Hernández, como  “a</w:t>
        <w:br/>
        <w:t xml:space="preserve">      su demás parentela, que no formaba parte de su  núcleo  familiar”,  de</w:t>
        <w:br/>
        <w:t xml:space="preserve">      una indemnización por concepto de daño inmaterial causado directamente</w:t>
        <w:br/>
        <w:t xml:space="preserve">      a ellos.</w:t>
        <w:br/>
        <w:br/>
        <w:br/>
        <w:t>Alegatos de la Comisión</w:t>
        <w:br/>
        <w:br/>
        <w:br/>
        <w:t>51.    La  Comisión   manifestó   que   “considera[ba]   improcedentes   los</w:t>
        <w:br/>
        <w:t>cuestionamientos planteados [relativos a  las  reparaciones],  dado  que  no</w:t>
        <w:br/>
        <w:t>[constituyen el objeto] de una demanda  de  interpretación”.   Sin  embargo,</w:t>
        <w:br/>
        <w:t>realizó las siguientes consideraciones en relación con este punto:</w:t>
        <w:br/>
        <w:br/>
        <w:t xml:space="preserve">   a) el argumento del Estado según el cual la indemnización impuesta por la</w:t>
        <w:br/>
        <w:t xml:space="preserve">      Corte es “discrecional o  arbitraria”  constituye  un  cuestionamiento</w:t>
        <w:br/>
        <w:t xml:space="preserve">      directo al contenido del fallo que contraría el  sentido  convencional</w:t>
        <w:br/>
        <w:t xml:space="preserve">      de la figura de la interpretación de la Sentencia. En relación con  el</w:t>
        <w:br/>
        <w:t xml:space="preserve">      monto de las indemnizaciones, los criterios utilizados  por  la  Corte</w:t>
        <w:br/>
        <w:t xml:space="preserve">      relativos a los daños materiales  e  inmateriales  “son  absolutamente</w:t>
        <w:br/>
        <w:t xml:space="preserve">      claros y abundantes” y han quedado consagrados en los párrafos  158  a</w:t>
        <w:br/>
        <w:t xml:space="preserve">      178 de la Sentencia; y, en este sentido,  “resulta  claro  que  en  su</w:t>
        <w:br/>
        <w:t xml:space="preserve">      demanda el Estado no  plantea  una  duda  para  ser  aclarada  en  los</w:t>
        <w:br/>
        <w:t xml:space="preserve">      términos  del  artículo  68.1  de  la  Convención,  sino  un  evidente</w:t>
        <w:br/>
        <w:t xml:space="preserve">      desacuerdo en torno a los montos fijados por la Corte, de  los  cuales</w:t>
        <w:br/>
        <w:t xml:space="preserve">      pretende, en el fondo,  una  modificación  mediante  un  mecanismo  no</w:t>
        <w:br/>
        <w:t xml:space="preserve">      contemplado por la Convención Americana, la cual  debe  ser  de  plano</w:t>
        <w:br/>
        <w:t xml:space="preserve">      rechazada” por la Corte;</w:t>
        <w:br/>
        <w:br/>
        <w:t xml:space="preserve">   b) la objeción procesal del Estado  fundada  en  la  unificación  de  las</w:t>
        <w:br/>
        <w:t xml:space="preserve">      etapas del procedimiento seguido ante la Corte “desconoce uno  de  los</w:t>
        <w:br/>
        <w:t xml:space="preserve">      objetivos centrales de la […] última reforma  del  Reglamento  de  [la</w:t>
        <w:br/>
        <w:t xml:space="preserve">      Corte], consistente en asegurar una mayor celeridad y agilidad  en  el</w:t>
        <w:br/>
        <w:t xml:space="preserve">      proceso[, …] el cual consagra como regla  general  que  en  una  misma</w:t>
        <w:br/>
        <w:t xml:space="preserve">      sentencia el Tribunal se pronuncie […] tanto sobre el fondo del asunto</w:t>
        <w:br/>
        <w:t xml:space="preserve">      como sobre las reparaciones y costas”;</w:t>
        <w:br/>
        <w:br/>
        <w:t xml:space="preserve">   c) [e]l Reglamento de la Corte, a  diferencia  del  de  la  Comisión,  no</w:t>
        <w:br/>
        <w:t xml:space="preserve">      contempla  un  procedimiento  especial  para  la  negociación  de  una</w:t>
        <w:br/>
        <w:t xml:space="preserve">      solución amistosa entre las partes, sino que reconoce la capacidad  de</w:t>
        <w:br/>
        <w:t xml:space="preserve">      éstas para acordar una solución amistosa y, en caso de que llegaren  a</w:t>
        <w:br/>
        <w:t xml:space="preserve">      un acuerdo, faculta a la Corte a dar por terminado anticipadamente  el</w:t>
        <w:br/>
        <w:t xml:space="preserve">      asunto, de conformidad con el artículo 53 del Reglamento;</w:t>
        <w:br/>
        <w:br/>
        <w:t xml:space="preserve">   d) “el sentido de la indemnización es procurar la reparación o restitutio</w:t>
        <w:br/>
        <w:t xml:space="preserve">      in  integrum  de  los  daños  efectivamente  sufridos  por  el   hecho</w:t>
        <w:br/>
        <w:t xml:space="preserve">      violatorio de los derechos humanos” y, en este  sentido,  el  artículo</w:t>
        <w:br/>
        <w:t xml:space="preserve">      63.1 de la Convención  Americana  establece  “un  criterio  amplio  en</w:t>
        <w:br/>
        <w:t xml:space="preserve">      materia de reparación, el cual no está  sometido  a  condicionamientos</w:t>
        <w:br/>
        <w:t xml:space="preserve">      procedimentales o a limitaciones  relativas  a  los  vínculos  de  los</w:t>
        <w:br/>
        <w:t xml:space="preserve">      efectivamente afectados con la víctima”;</w:t>
        <w:br/>
        <w:br/>
        <w:br/>
        <w:t xml:space="preserve">   e) en consecuencia, la Corte estimó que  el  término  “familiares  de  la</w:t>
        <w:br/>
        <w:t xml:space="preserve">      víctima” debe entenderse como un concepto amplio que  abarca  a  todas</w:t>
        <w:br/>
        <w:t xml:space="preserve">      aquellas  personas  vinculadas  por  un  parentesco  cercano,  quienes</w:t>
        <w:br/>
        <w:t xml:space="preserve">      podrían tener derecho a recibir una indemnización,  sin  consideración</w:t>
        <w:br/>
        <w:t xml:space="preserve">      alguna del derecho interno en esta materia. La interpretación  dada  a</w:t>
        <w:br/>
        <w:t xml:space="preserve">      esta norma, ha permitido al  Tribunal  incluir  en  esta  categoría  a</w:t>
        <w:br/>
        <w:t xml:space="preserve">      compañeros o a cualquier persona, según las circunstancias del caso; y</w:t>
        <w:br/>
        <w:br/>
        <w:br/>
        <w:br/>
        <w:t xml:space="preserve">   f) es innecesaria cualquier interpretación respecto de  las  personas  en</w:t>
        <w:br/>
        <w:t xml:space="preserve">      cuyo perjuicio fueron cometidas las violaciones  y  los  criterios  de</w:t>
        <w:br/>
        <w:t xml:space="preserve">      determinación de  los  beneficiarios  de  las  reparaciones  “dada  la</w:t>
        <w:br/>
        <w:t xml:space="preserve">      claridad manifiesta” de la Sentencia de la Corte sobre este punto,  en</w:t>
        <w:br/>
        <w:t xml:space="preserve">      sus párrafos 155 y 156.</w:t>
        <w:br/>
        <w:br/>
        <w:br/>
        <w:t>Alegatos de los representantes de las víctimas</w:t>
        <w:br/>
        <w:br/>
        <w:br/>
        <w:t>52.    En  relación  con  los  alegatos  del   Estado   referentes   a   las</w:t>
        <w:br/>
        <w:t>reparaciones, los representantes de las víctimas señalaron que:</w:t>
        <w:br/>
        <w:br/>
        <w:br/>
        <w:t xml:space="preserve">     a)  a  raíz  de  las  recientes  reformas   reglamentarias,   “se   ha</w:t>
        <w:br/>
        <w:t xml:space="preserve">        privilegiado la economía procesal” en los casos ante la  Corte,  ya</w:t>
        <w:br/>
        <w:t xml:space="preserve">        que el artículo 36.6 del Reglamento de la Corte que entró en  vigor</w:t>
        <w:br/>
        <w:t xml:space="preserve">        el 1 de junio de 2001, faculta al Tribunal  para  resolver  en  una</w:t>
        <w:br/>
        <w:t xml:space="preserve">        sola Sentencia las excepciones preliminares y el fondo del caso  y,</w:t>
        <w:br/>
        <w:t xml:space="preserve">        por  otro  lado,  el  artículo  56.1  del   Reglamento   prevé   un</w:t>
        <w:br/>
        <w:t xml:space="preserve">        procedimiento separado para la determinación  de  las  reparaciones</w:t>
        <w:br/>
        <w:t xml:space="preserve">        sólo “cuando en la  sentencia  de  fondo  no  se  hubiese  decidido</w:t>
        <w:br/>
        <w:t xml:space="preserve">        específicamente sobre reparaciones”;</w:t>
        <w:br/>
        <w:br/>
        <w:br/>
        <w:br/>
        <w:br/>
        <w:t xml:space="preserve">     b) si bien es cierto, la  Corte  tenía  la  práctica  de  emitir  tres</w:t>
        <w:br/>
        <w:t xml:space="preserve">        sentencias  en  cada  caso  (excepciones  preliminares,   fondo   y</w:t>
        <w:br/>
        <w:t xml:space="preserve">        reparaciones), como lo hizo en  el  Caso  Velásquez  Rodríguez,  “a</w:t>
        <w:br/>
        <w:t xml:space="preserve">        través de los nuevos reglamentos esta práctica ha cambiado”;</w:t>
        <w:br/>
        <w:br/>
        <w:br/>
        <w:br/>
        <w:t xml:space="preserve">     c) “la determinación de las indemnizaciones, así  como  su  monto,  se</w:t>
        <w:br/>
        <w:t xml:space="preserve">        ajustan a los criterios establecidos por la  jurisprudencia  de  la</w:t>
        <w:br/>
        <w:t xml:space="preserve">        Corte  y  los  principios  de  derecho  internacional  generalmente</w:t>
        <w:br/>
        <w:t xml:space="preserve">        reconocidos en la materia”;</w:t>
        <w:br/>
        <w:br/>
        <w:br/>
        <w:br/>
        <w:t xml:space="preserve">     d) en cuanto a “la violación de la doctrina del derecho de  sucesión”,</w:t>
        <w:br/>
        <w:t xml:space="preserve">        de conformidad con el artículo 27 de la Convención de  Viena  sobre</w:t>
        <w:br/>
        <w:t xml:space="preserve">        el Derecho de los Tratados de 1969, un Estado no puede invocar  las</w:t>
        <w:br/>
        <w:t xml:space="preserve">        disposiciones de su derecho  interno  como  justificación  para  el</w:t>
        <w:br/>
        <w:t xml:space="preserve">        incumplimiento de un tratado;</w:t>
        <w:br/>
        <w:br/>
        <w:br/>
        <w:br/>
        <w:t xml:space="preserve">     e) por  otro  lado,  el  artículo  68.1  de  la  Convención  Americana</w:t>
        <w:br/>
        <w:t xml:space="preserve">        establece que los Estados se comprometen a cumplir la  decisión  de</w:t>
        <w:br/>
        <w:t xml:space="preserve">        la Corte en todo caso en que sean partes;</w:t>
        <w:br/>
        <w:br/>
        <w:br/>
        <w:br/>
        <w:t xml:space="preserve">     f) “el Estado no distingue entre herederos de la[s] víctimas,  y,  […]</w:t>
        <w:br/>
        <w:t xml:space="preserve">        los familiares como afectados directos de una  violación,  lo  cual</w:t>
        <w:br/>
        <w:t xml:space="preserve">        los  hace  acreedores  [de]  la  reparación,   situación   que   es</w:t>
        <w:br/>
        <w:t xml:space="preserve">        determinada de manera clara en  las  secciones  XIII  a  XV  de  la</w:t>
        <w:br/>
        <w:t xml:space="preserve">        [S]entencia”;</w:t>
        <w:br/>
        <w:br/>
        <w:br/>
        <w:br/>
        <w:t xml:space="preserve">     g) los representantes habían señalado claramente el vínculo familiar o</w:t>
        <w:br/>
        <w:t xml:space="preserve">        afectivo que unía a cada persona con la  víctima  en  sus  alegatos</w:t>
        <w:br/>
        <w:t xml:space="preserve">        orales y escritos, “sin que [é]stos fueran controvertid[o]s por  el</w:t>
        <w:br/>
        <w:t xml:space="preserve">        Estado”, por lo cual éste no puede solicitar una revisión  de  este</w:t>
        <w:br/>
        <w:t xml:space="preserve">        punto después de emitida la Sentencia;</w:t>
        <w:br/>
        <w:br/>
        <w:br/>
        <w:br/>
        <w:t xml:space="preserve">     h) la determinación de los beneficiarios y del monto correspondiente a</w:t>
        <w:br/>
        <w:t xml:space="preserve">        cada uno de ellos por concepto de indemnización establecidos en  la</w:t>
        <w:br/>
        <w:t xml:space="preserve">        Sentencia es coincidente con  los  elementos  establecidos  por  la</w:t>
        <w:br/>
        <w:t xml:space="preserve">        Corte en su  jurisprudencia.  Específicamente,  los  representantes</w:t>
        <w:br/>
        <w:t xml:space="preserve">        consideraron que en la Sentencia  sobre  reparaciones  en  el  Caso</w:t>
        <w:br/>
        <w:t xml:space="preserve">        Villagrán  Morales  y  otros  la  Corte  había  señalado  “que  los</w:t>
        <w:br/>
        <w:t xml:space="preserve">        familiares de  una  persona  fallecida  deben  ser  tenid[o]s  como</w:t>
        <w:br/>
        <w:t xml:space="preserve">        beneficiari[o]s de reparación en su condición  de  derechohabientes</w:t>
        <w:br/>
        <w:t xml:space="preserve">        y, por otro, en su condición de víctimas de una  violación”  y  que</w:t>
        <w:br/>
        <w:t xml:space="preserve">        los daños provocados a otros familiares de la víctima o a terceros,</w:t>
        <w:br/>
        <w:t xml:space="preserve">        por la muerte de ésta,  pueden  ser  reclamados  fundándose  en  un</w:t>
        <w:br/>
        <w:t xml:space="preserve">        derecho propio; e</w:t>
        <w:br/>
        <w:br/>
        <w:br/>
        <w:br/>
        <w:t xml:space="preserve">     i) en el caso se alegaron violaciones a los derechos de los  “miembros</w:t>
        <w:br/>
        <w:t xml:space="preserve">        de relación sanguínea o política” más cercana, a quienes los hechos</w:t>
        <w:br/>
        <w:t xml:space="preserve">         ocurridos “generaron sin lugar a duda un nivel  tal  de  angustia,</w:t>
        <w:br/>
        <w:t xml:space="preserve">        causado directamente  por  las  acciones  y  omisiones  del  Estado</w:t>
        <w:br/>
        <w:t xml:space="preserve">        hondureño, que la Corte valoró al momento de emitir su fallo”.</w:t>
        <w:br/>
        <w:br/>
        <w:br/>
        <w:br/>
        <w:t>Consideraciones de la Corte</w:t>
        <w:br/>
        <w:br/>
        <w:br/>
        <w:t>53. 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54.   De conformidad  con  el  artículo  63.1  de  la  Convención,  una  vez</w:t>
        <w:br/>
        <w:t>declaradas las violaciones, la Corte debe determinar  las  reparaciones  que</w:t>
        <w:br/>
        <w:t>correspondan. Esta norma a su vez, ha sido complementada por el artículo  31</w:t>
        <w:br/>
        <w:t>del Reglamento de la  Corte  que  establece  que  el  artículo  63.1  de  la</w:t>
        <w:br/>
        <w:t>Convención “podrá ser invocad[o] en cualquier etapa de la causa”, es  decir,</w:t>
        <w:br/>
        <w:t>que no se exige, conforme a su Reglamento, que la Corte, como lo  afirma  el</w:t>
        <w:br/>
        <w:t>Estado, deba decidir separadamente  sobre  las  reparaciones,  o  tenga  que</w:t>
        <w:br/>
        <w:t>someter a consideración de las  partes,  la  posibilidad  de  llegar  a  una</w:t>
        <w:br/>
        <w:t>solución amistosa. En este sentido, la Sentencia de  7  de  junio  de  2003,</w:t>
        <w:br/>
        <w:t>consistente con la jurisprudencia constante del Tribunal, declaró que[42]</w:t>
        <w:br/>
        <w:br/>
        <w:t xml:space="preserve">    147.    (d(e acuerdo con lo expuesto en  (la  Sentencia(  la  Corte  ha</w:t>
        <w:br/>
        <w:t xml:space="preserve">    encontrado que con ocasión de los hechos de este caso se  violaron  los</w:t>
        <w:br/>
        <w:t xml:space="preserve">    artículos 7, 5, 4, 8 y 25 de la Convención Americana,  todos  ellos  en</w:t>
        <w:br/>
        <w:t xml:space="preserve">    relación con el artículo 1.1 de la misma, en perjuicio de Juan Humberto</w:t>
        <w:br/>
        <w:t xml:space="preserve">    Sánchez y, en algunos  de  estos  casos,  de  alguno  o  todos  de  sus</w:t>
        <w:br/>
        <w:t xml:space="preserve">    familiares (… María Dominga Sánchez (madre); Juan José Vijil  Hernández</w:t>
        <w:br/>
        <w:t xml:space="preserve">    (padre de crianza);  Reina  Isabel  Sánchez  (hermana);  María  Milagro</w:t>
        <w:br/>
        <w:t xml:space="preserve">    Sánchez (hermana); Rosa Delia Sánchez (hermana); Domitila Vijil Sánchez</w:t>
        <w:br/>
        <w:t xml:space="preserve">    (hermana); María Florinda Vijil Sánchez (hermana);  Juan  Carlos  Vijil</w:t>
        <w:br/>
        <w:t xml:space="preserve">    Sánchez  (hermano);  Julio  Sánchez  (hermano);  Celio  Vijil   Sánchez</w:t>
        <w:br/>
        <w:t xml:space="preserve">    (hermano); Donatila Argueta Sánchez (compañera); Breidy Maybeli Sánchez</w:t>
        <w:br/>
        <w:t xml:space="preserve">    Argueta (hija); Velvia Lastenia Argueta Pereira  (compañera);  y  Norma</w:t>
        <w:br/>
        <w:t xml:space="preserve">    Iveth Sánchez Argueta (hija)(.   Este  Tribunal  ha  reiterado,  en  su</w:t>
        <w:br/>
        <w:t xml:space="preserve">    jurisprudencia constante, que es un principio de Derecho  Internacional</w:t>
        <w:br/>
        <w:t xml:space="preserve">    que toda violación a una obligación internacional que haya  causado  un</w:t>
        <w:br/>
        <w:t xml:space="preserve">    daño, genera una obligación de proporcionar una reparación adecuada  de</w:t>
        <w:br/>
        <w:t xml:space="preserve">    dicho daño[43]. A tales efectos, la Corte se ha basado en  el  artículo</w:t>
        <w:br/>
        <w:t xml:space="preserve">    63.1 de la Convención Americana (…(.</w:t>
        <w:br/>
        <w:br/>
        <w:br/>
        <w:t xml:space="preserve">    148.    Como lo ha señalado la Corte, el artículo 63.1 de la Convención</w:t>
        <w:br/>
        <w:t xml:space="preserve">    Americana recoge una norma consuetudinaria que constituye  uno  de  los</w:t>
        <w:br/>
        <w:t xml:space="preserve">    principios fundamentales del derecho internacional contemporáneo  sobre</w:t>
        <w:br/>
        <w:t xml:space="preserve">    la responsabilidad de los Estados. De esta  manera,  al  producirse  un</w:t>
        <w:br/>
        <w:t xml:space="preserve">    hecho  ilícito  imputable  a  un  Estado,   surge   de   inmediato   la</w:t>
        <w:br/>
        <w:t xml:space="preserve">    responsabilidad internacional de éste por la  violación  de  una  norma</w:t>
        <w:br/>
        <w:t xml:space="preserve">    internacional, con el consecuente deber de reparación y de hacer  cesar</w:t>
        <w:br/>
        <w:t xml:space="preserve">    las consecuencias de la violación[44].</w:t>
        <w:br/>
        <w:br/>
        <w:br/>
        <w:t xml:space="preserve">    149.    La reparación del daño ocasionado  por  la  infracción  de  una</w:t>
        <w:br/>
        <w:t xml:space="preserve">    obligación internacional requiere, siempre que sea  posible,  la  plena</w:t>
        <w:br/>
        <w:t xml:space="preserve">    restitución  (restitutio  in  integrum),  la  cual   consiste   en   el</w:t>
        <w:br/>
        <w:t xml:space="preserve">    restablecimiento de la situación anterior a la violación.   De  no  ser</w:t>
        <w:br/>
        <w:t xml:space="preserve">    esto posible, como en el presente caso, le corresponde a este  Tribunal</w:t>
        <w:br/>
        <w:t xml:space="preserve">    internacional ordenar que se adopten una serie  de  medidas  para  que,</w:t>
        <w:br/>
        <w:t xml:space="preserve">    además de garantizarse el  respeto  de  los  derechos  conculcados,  se</w:t>
        <w:br/>
        <w:t xml:space="preserve">    reparen las consecuencias que produjeron las infracciones y se  efectúe</w:t>
        <w:br/>
        <w:t xml:space="preserve">    el  pago  de  una  indemnización  como  compensación  por   los   daños</w:t>
        <w:br/>
        <w:t xml:space="preserve">    ocasionados en el caso pertinente[45].  La obligación de  reparar,  que</w:t>
        <w:br/>
        <w:t xml:space="preserve">    se regula en todos los aspectos  (alcance,  naturaleza,  modalidades  y</w:t>
        <w:br/>
        <w:t xml:space="preserve">    determinación de los beneficiarios) por el  derecho  internacional,  no</w:t>
        <w:br/>
        <w:t xml:space="preserve">    puede ser modificada o incumplida  por  el  Estado  obligado  invocando</w:t>
        <w:br/>
        <w:t xml:space="preserve">    disposiciones de su derecho interno[46].</w:t>
        <w:br/>
        <w:br/>
        <w:br/>
        <w:t xml:space="preserve">    150.    En lo que se refiere a la violación del derecho  a  la  vida  y</w:t>
        <w:br/>
        <w:t xml:space="preserve">    algunos otros derechos (libertad  e  integridad  personales,  garantías</w:t>
        <w:br/>
        <w:t xml:space="preserve">    judiciales y protección judicial), por no ser posible la restitutio  in</w:t>
        <w:br/>
        <w:t xml:space="preserve">    integrum y dada la naturaleza  del  bien  afectado,  la  reparación  se</w:t>
        <w:br/>
        <w:t xml:space="preserve">    realiza, inter alia, según la práctica  jurisprudencial  internacional,</w:t>
        <w:br/>
        <w:t xml:space="preserve">    mediante una justa indemnización o compensación pecuniaria  cuando  sea</w:t>
        <w:br/>
        <w:t xml:space="preserve">    procedente, a la cual es necesario que se sumen las medidas de carácter</w:t>
        <w:br/>
        <w:t xml:space="preserve">    positivo que el Estado debe adoptar para asegurar  que  hechos  lesivos</w:t>
        <w:br/>
        <w:t xml:space="preserve">    como los del presente caso no se repitan[47].</w:t>
        <w:br/>
        <w:br/>
        <w:t>55.   En primer lugar, la Corte destaca que el capítulo V de  su  Reglamento</w:t>
        <w:br/>
        <w:t>permite  la  terminación  anticipada  del  proceso,  sea  en  razón  de   un</w:t>
        <w:br/>
        <w:t>sobreseimiento o de una solución amistosa[48]. Esta  terminación  anticipada</w:t>
        <w:br/>
        <w:t>del procedimiento ante la Corte se da por iniciativa de las partes,  no  del</w:t>
        <w:br/>
        <w:t>Tribunal y así ha ocurrido en numerosos casos[49].  En el caso  sub  judice,</w:t>
        <w:br/>
        <w:t>y tal y como consta en los expedientes del  mismo  ante  la  Corte,  no  fue</w:t>
        <w:br/>
        <w:t>sometida por las partes  a  su  consideración  o  decisión  ninguna  de  las</w:t>
        <w:br/>
        <w:t>figuras establecidas para la terminación anticipada del proceso[50].  En  lo</w:t>
        <w:br/>
        <w:t>que respecta a lo señalado por el Estado de  que  son  las  partes  las  que</w:t>
        <w:br/>
        <w:t>deben acordar las reparaciones y, subsidiariamente, la Corte,  cabe  señalar</w:t>
        <w:br/>
        <w:t>que ésta, por lo  general  después  de  pronunciarse  sobre  el  fondo  pasa</w:t>
        <w:br/>
        <w:t>inmediatamente a la etapa de reparaciones, o, decide en una misma  sentencia</w:t>
        <w:br/>
        <w:t>sobre excepciones preliminares, fondo y  reparaciones[51].  Merece  destacar</w:t>
        <w:br/>
        <w:t>que la posibilidad de llegar a una solución amistosa entre las  partes,  con</w:t>
        <w:br/>
        <w:t>intervención directa de un órgano del sistema interamericano  de  protección</w:t>
        <w:br/>
        <w:t>de los derechos humanos, fue encomendada a la  Comisión  Interamericana  por</w:t>
        <w:br/>
        <w:t>el artículo 48.1.f) de la Convención Americana,  con  el  propósito  de  que</w:t>
        <w:br/>
        <w:t>ésta  gestionara  que  los  Estados  diesen  una  solución  a  las  posibles</w:t>
        <w:br/>
        <w:t>violaciones de derechos humanos en el ámbito interno. Sin embargo,  como  lo</w:t>
        <w:br/>
        <w:t>ha analizado esta Corte esta “actuación de la Comisión debe intentarse  sólo</w:t>
        <w:br/>
        <w:t>cuando las circunstancias de una controversia determinen la necesidad  o  la</w:t>
        <w:br/>
        <w:t>conveniencia  de  utilizar  este  instrumento,  supuestos   sujetos   a   la</w:t>
        <w:br/>
        <w:t>apreciación de la Comisión”[52].</w:t>
        <w:br/>
        <w:br/>
        <w:t>56.   En cuanto a las objeciones planteadas por el Estado  respecto  de  las</w:t>
        <w:br/>
        <w:t>indemnizaciones,  cabe  señalar  que,  al   igual   que   otros   tribunales</w:t>
        <w:br/>
        <w:t>internacionales, y como se ha señalado reiteradamente en esta Sentencia,  la</w:t>
        <w:br/>
        <w:t>Corte tiene criterios flexibles para la apreciación de la prueba (supra  42,</w:t>
        <w:br/>
        <w:t>46 y 48) y la aplicación de la sana crítica[53]  al  momento  de  establecer</w:t>
        <w:br/>
        <w:t>las  reparaciones  de  un  caso   y,   si   corresponde,   las   respectivas</w:t>
        <w:br/>
        <w:t>indemnizaciones.  Para  efectos  de  la  determinación  de   estas   últimas</w:t>
        <w:br/>
        <w:t>cantidades,  los  tribunales  internacionales  suelen  utilizar  la  equidad</w:t>
        <w:br/>
        <w:t>conforme a las circunstancias del caso  en  particular,  y  así  lograr  una</w:t>
        <w:br/>
        <w:t>compensación razonable del daño ocasionado y no se basan por lo  general  en</w:t>
        <w:br/>
        <w:t>fórmulas  estáticas  y  rígidas,  como  pretende  el  Estado[54].   Por   el</w:t>
        <w:br/>
        <w:t>contrario, y como lo ha interpretado este Tribunal en reiteradas  ocasiones,</w:t>
        <w:br/>
        <w:t>incluyendo el caso en estudio[55], parte de la función trascendental  de  un</w:t>
        <w:br/>
        <w:t>tribunal internacional es llevar a cabo un interpretación  dinámica  de  los</w:t>
        <w:br/>
        <w:t>tratados sometidos a su competencia. Como  lo  señalara  esta  Corte  en  la</w:t>
        <w:br/>
        <w:t>Opinión Consultiva No. 16, El Derecho a la Información sobre  la  Asistencia</w:t>
        <w:br/>
        <w:t>Consular en el Marco de las Garantías del Debido Proceso Legal:</w:t>
        <w:br/>
        <w:br/>
        <w:t xml:space="preserve">      (e(sta  orientación  adquiere  particular  relevancia  en  el  Derecho</w:t>
        <w:br/>
        <w:t xml:space="preserve">      Internacional de los Derechos Humanos, que ha avanzado mucho  mediante</w:t>
        <w:br/>
        <w:t xml:space="preserve">      la interpretación evolutiva de  los  instrumentos  internacionales  de</w:t>
        <w:br/>
        <w:t xml:space="preserve">      protección.  Tal  interpretación  evolutiva  es  consecuente  con  las</w:t>
        <w:br/>
        <w:t xml:space="preserve">      reglas generales de interpretación de los tratados consagradas  en  la</w:t>
        <w:br/>
        <w:t xml:space="preserve">      Convención de  Viena  de  1969.   Tanto  esta  Corte,  en  la  Opinión</w:t>
        <w:br/>
        <w:t xml:space="preserve">      Consultiva sobre la Interpretación de la Declaración Americana de  los</w:t>
        <w:br/>
        <w:t xml:space="preserve">      Derechos y Deberes del  Hombre  (1989)[56],  [...]  entre  otros,  han</w:t>
        <w:br/>
        <w:t xml:space="preserve">      señalado que los tratados de derechos humanos son instrumentos  vivos,</w:t>
        <w:br/>
        <w:t xml:space="preserve">      cuya interpretación tiene que acompañar la evolución de los tiempos  y</w:t>
        <w:br/>
        <w:t xml:space="preserve">      las condiciones de vida actuales[57].</w:t>
        <w:br/>
        <w:br/>
        <w:t>57.   En relación con la determinación de las personas que tienen derecho  a</w:t>
        <w:br/>
        <w:t>las indemnizaciones, cabe destacar que  el  Tribunal  puede  otorgar  dichas</w:t>
        <w:br/>
        <w:t>cantidades a personas tanto en razón de su derecho propio por  considerarlas</w:t>
        <w:br/>
        <w:t>víctimas de violaciones  de  derechos  humanos,  como  en  su  condición  de</w:t>
        <w:br/>
        <w:t>sucesores-familiares  de  alguna  de  las  víctimas  de  las   vulneraciones</w:t>
        <w:br/>
        <w:t>declaradas[58].  Para  hacer  esta  determinación,  el  Tribunal   toma   en</w:t>
        <w:br/>
        <w:t>consideración en sus decisiones las situaciones concretas  de  las  familias</w:t>
        <w:br/>
        <w:t>involucradas en los casos; y, a su vez, la realidad que  nutre  el  concepto</w:t>
        <w:br/>
        <w:t>de familia en el continente, es decir, que “el término familiares  significa</w:t>
        <w:br/>
        <w:t>los  familiares  inmediatos  (((  ascendientes  y  descendientes  en   línea</w:t>
        <w:br/>
        <w:t>directa,  hermanos,  cónyuges   o   compañeros   permanentes,   o   aquellos</w:t>
        <w:br/>
        <w:t>determinados por la Corte en su caso[.]”[59] En virtud de  lo  cual  dispone</w:t>
        <w:br/>
        <w:t>quiénes deben recibir una indemnización por sucesión, o por derecho  propio.</w:t>
        <w:br/>
        <w:t>En este sentido, los familiares de una víctima que ha  fallecido  pueden,  a</w:t>
        <w:br/>
        <w:t>su vez, sufrir daños materiales, y corresponde  a  la  Corte  Interamericana</w:t>
        <w:br/>
        <w:t>establecer una indemnización que aquéllos pueden reclamar fundándose  en  un</w:t>
        <w:br/>
        <w:t>derecho propio[60] no necesariamente coincidente con  los  criterios  de  la</w:t>
        <w:br/>
        <w:t>legislación sucesoral interna.</w:t>
        <w:br/>
        <w:br/>
        <w:t>58.   En  razón  de  lo  anterior,  la  Corte  hizo  sus  consideraciones  y</w:t>
        <w:br/>
        <w:t>diferenciaciones respecto de las personas beneficiadas en  el  capítulo  XIV</w:t>
        <w:br/>
        <w:t>de la Sentencia de 7 de junio de 2003[61], y señaló que las  violaciones  de</w:t>
        <w:br/>
        <w:t>los derechos de la Convención Americana fueron cometidas</w:t>
        <w:br/>
        <w:br/>
        <w:t xml:space="preserve">      ((( en perjuicio de ((( Juan Humberto Sánchez, María  Dominga  Sánchez</w:t>
        <w:br/>
        <w:t xml:space="preserve">      (madre); Juan José Vijil Hernández (padre de  crianza);  Reina  Isabel</w:t>
        <w:br/>
        <w:t xml:space="preserve">      Sánchez (hermana), María Milagro Sánchez (hermana), Rosa Delia Sánchez</w:t>
        <w:br/>
        <w:t xml:space="preserve">      (hermana), Domitila Vijil  Sánchez  (hermana);  María  Florinda  Vijil</w:t>
        <w:br/>
        <w:t xml:space="preserve">      Sánchez (hermana); Juan Carlos Vijil Sánchez (hermano); Julio  Sánchez</w:t>
        <w:br/>
        <w:t xml:space="preserve">      (hermano); Celio Vijil Sánchez  (hermano);  Donatila  Argueta  Sánchez</w:t>
        <w:br/>
        <w:t xml:space="preserve">      (compañera); Breidy Maybeli Sánchez Argueta  (hija);  Velvia  Lastenia</w:t>
        <w:br/>
        <w:t xml:space="preserve">      Argueta Pereira (compañera) y  Norma  Iveth  Sánchez  Argueta  (hija),</w:t>
        <w:br/>
        <w:t xml:space="preserve">      todos  ellos  –en  su  carácter  de   víctimas-   deben   considerarse</w:t>
        <w:br/>
        <w:t xml:space="preserve">      comprendidos dentro  de  dicha  categoría  y  ser  acreedores  de  las</w:t>
        <w:br/>
        <w:t xml:space="preserve">      reparaciones que  fije  la  Corte,  tanto  en  relación  con  el  daño</w:t>
        <w:br/>
        <w:t xml:space="preserve">      material, cuando corresponda, como en relación con el daño inmaterial.</w:t>
        <w:br/>
        <w:t xml:space="preserve">       Respecto de ((( Juan Humberto Sánchez  habrá  además  que  determinar</w:t>
        <w:br/>
        <w:t xml:space="preserve">      cuáles de las reparaciones que habrían de ser establecidas en su favor</w:t>
        <w:br/>
        <w:t xml:space="preserve">      pueden ser objeto de transmisión por sucesión a  sus  familiares  y  a</w:t>
        <w:br/>
        <w:t xml:space="preserve">      cuáles de ellos.</w:t>
        <w:br/>
        <w:br/>
        <w:t>59.   En cuanto al derecho de sucesión de  las  indemnizaciones  dictadas  a</w:t>
        <w:br/>
        <w:t>favor de Juan Humberto Sánchez, este Tribunal, para resolver,  ha  recurrido</w:t>
        <w:br/>
        <w:t>a las reglas de la lógica  y  la  experiencia,  como  ha  sido  su  práctica</w:t>
        <w:br/>
        <w:t>constante. Como se citó y señaló en el párrafo 164 de la Sentencia de  7  de</w:t>
        <w:br/>
        <w:t>junio de 2003, la Corte ha evolucionado en sus criterios sobre  la  sucesión</w:t>
        <w:br/>
        <w:t>en su reciente Sentencia dictada en el Caso del Caracazo vs.  Venezuela,  al</w:t>
        <w:br/>
        <w:t>otorgar determinados porcentajes de las indemnizaciones por sucesión  a  los</w:t>
        <w:br/>
        <w:t>hijos, cónyuge o compañera, padres o a quienes hubieran tenido una  relación</w:t>
        <w:br/>
        <w:t>afectiva del mismo carácter, sea en su condición de padre de crianza,  tías,</w:t>
        <w:br/>
        <w:t>tíos o abuelos. En  caso  de  no  existir  ninguno  de  los  anteriores,  la</w:t>
        <w:br/>
        <w:t>indemnización será entregada en un porcentaje igual a los  padres  y  a  los</w:t>
        <w:br/>
        <w:t>hermanos de  la  víctima.  Finalmente,  “en  el  evento  que  no  existieren</w:t>
        <w:br/>
        <w:t>familiares  en  alguna  o  algunas  de  las  categorías  definidas  en   los</w:t>
        <w:br/>
        <w:t>(términos( anteriores, lo que le  hubiere  correspondido  a  los  familiares</w:t>
        <w:br/>
        <w:t>ubicados en esa o esas categorías, acrecerá  proporcionalmente  a  la  parte</w:t>
        <w:br/>
        <w:t>que  les  corresponda  a  las  restantes”[62].  Esta  evolución  tiene   sus</w:t>
        <w:br/>
        <w:t>antecedentes en los casos que se citan seguidamente: en el  Caso  El  Amparo</w:t>
        <w:br/>
        <w:t>vs.  Venezuela,  por  ejemplo,  al  momento  de  la  determinación  de   los</w:t>
        <w:br/>
        <w:t>beneficiarios, se estableció que una de las víctimas, no sólo tenía  esposa,</w:t>
        <w:br/>
        <w:t>sino a su vez compañera, por lo que parte de la indemnización por los  daños</w:t>
        <w:br/>
        <w:t>materiales e inmateriales, correspondiente a la víctima,  se  dividió  entre</w:t>
        <w:br/>
        <w:t>ambas[63]; en el Caso Garrido y Baigorria vs.  Argentina  el  reconocimiento</w:t>
        <w:br/>
        <w:t>de la condición de  beneficiarios  por  sucesión  del  daño  inmaterial,  se</w:t>
        <w:br/>
        <w:t>otorgó a dos hijos extramatrimoniales de Raúl Baigorria, sobre  la  base  de</w:t>
        <w:br/>
        <w:t>una manifestación efectuada por éste[64]; en  el  Caso  Niños  de  la  Calle</w:t>
        <w:br/>
        <w:t>(Villagrán Morales y otros ) vs. Guatemala, la Corte  declaró  la  violación</w:t>
        <w:br/>
        <w:t>de los artículos 5.2, 8.1 y 25 de la Convención  Americana  con  respecto  a</w:t>
        <w:br/>
        <w:t>las madres y a una de las abuelas de los cinco niños de la calle que  habían</w:t>
        <w:br/>
        <w:t>sido torturados y cuatro de ellos, a su vez, muertos a manos de agentes  del</w:t>
        <w:br/>
        <w:t>Estado[65]. Finalmente, en el Caso Bámaca Velásquez vs.  Guatemala,  pese  a</w:t>
        <w:br/>
        <w:t>que la Comisión solicitó la declaratoria de violación de algunas  normas  de</w:t>
        <w:br/>
        <w:t>la Convención en perjuicio  de  Bámaca  Velásquez,  la  Corte  reconoció  la</w:t>
        <w:br/>
        <w:t>violación de otros derechos respecto de su esposa, de  las  hermanas  y  del</w:t>
        <w:br/>
        <w:t>padre de la víctima.</w:t>
        <w:br/>
        <w:br/>
        <w:t>60.   De conformidad con lo analizado en el párrafo anterior  y  de  acuerdo</w:t>
        <w:br/>
        <w:t>con el principio básico del derecho internacional general consagrado  en  el</w:t>
        <w:br/>
        <w:t>artículo 27 de la Convención de Viena “[u]na  parte  no  podrá  invocar  las</w:t>
        <w:br/>
        <w:t>disposiciones de su derecho interno como  justificación  del  incumplimiento</w:t>
        <w:br/>
        <w:t>de un tratado [...]”, ya que los  Estados  deben  cumplir  sus  obligaciones</w:t>
        <w:br/>
        <w:t>convencionales internacionales de buena fe (pacta sunt  servanda).  Como  lo</w:t>
        <w:br/>
        <w:t>ha decidido la Corte recientemente, en el Caso Bulacio vs. Argentina[66]</w:t>
        <w:br/>
        <w:t xml:space="preserve">      […]</w:t>
        <w:br/>
        <w:t xml:space="preserve">      son  inadmisibles  las  disposiciones  de  prescripción  o   cualquier</w:t>
        <w:br/>
        <w:t xml:space="preserve">      obstáculo de derecho interno mediante el cual se pretenda  impedir  la</w:t>
        <w:br/>
        <w:t xml:space="preserve">      investigación y sanción de los  responsables  de  las  violaciones  de</w:t>
        <w:br/>
        <w:t xml:space="preserve">      derechos  humanos[67].  La  Corte  considera  que   las   obligaciones</w:t>
        <w:br/>
        <w:t xml:space="preserve">      generales consagradas en los  artículos  1.1  y  2  de  la  Convención</w:t>
        <w:br/>
        <w:t xml:space="preserve">      Americana requieren de  los  Estados  Partes  la  pronta  adopción  de</w:t>
        <w:br/>
        <w:t xml:space="preserve">      providencias de toda índole para que nadie sea sustraído del derecho a</w:t>
        <w:br/>
        <w:t xml:space="preserve">      la protección  judicial[68],  consagrada  en  el  artículo  25  de  la</w:t>
        <w:br/>
        <w:t xml:space="preserve">      Convención Americana.</w:t>
        <w:br/>
        <w:br/>
        <w:br/>
        <w:t>En este sentido, como ya lo ha señalado esta  Corte,  son  inadmisibles  las</w:t>
        <w:br/>
        <w:t>disposiciones u  obstáculos  de  derecho  interno  mediante  los  cuales  se</w:t>
        <w:br/>
        <w:t>pretenda impedir la  aplicación  de  una  norma  o  institución  de  derecho</w:t>
        <w:br/>
        <w:t>interno[69].</w:t>
        <w:br/>
        <w:br/>
        <w:t>61.   La Corte ya ha establecido en reiteradas  oportunidades  que  el  daño</w:t>
        <w:br/>
        <w:t>material “supone la pérdida o detrimento de los ingresos  de  las  víctimas,</w:t>
        <w:br/>
        <w:t>los gastos efectuados con motivo  de  los  hechos  y  las  consecuencias  de</w:t>
        <w:br/>
        <w:t>carácter pecuniario que tengan un nexo causal con los hechos del  caso”[70].</w:t>
        <w:br/>
        <w:t>En consecuencia, la determinación de los beneficiarios de  la  indemnización</w:t>
        <w:br/>
        <w:t>por concepto de daño material no se  basa  sólo  en  el  establecimiento  de</w:t>
        <w:br/>
        <w:t>vínculos familiares con la víctima, sino también, en que  se  hayan  sufrido</w:t>
        <w:br/>
        <w:t>daños  como  consecuencia  de  los  hechos  violatorios  de  la   Convención</w:t>
        <w:br/>
        <w:t>imputables al Estado.</w:t>
        <w:br/>
        <w:br/>
        <w:t>62.   La  Corte  observa  que  el  Estado  confunde  el  derecho  interno  e</w:t>
        <w:br/>
        <w:t>internacional en lo referente a esta materia. En el presente caso, la  Corte</w:t>
        <w:br/>
        <w:t>determinó diversos rubros del daño material que debían ser indemnizados  por</w:t>
        <w:br/>
        <w:t>el Estado, tomando en cuenta “las pretensiones  de  las  partes,  el  acervo</w:t>
        <w:br/>
        <w:t>probatorio, los hechos probados  del  […]  caso  y  [los  criterios  de  la]</w:t>
        <w:br/>
        <w:t>jurisprudencia” del Tribunal[71].  En consecuencia, la Corte reconoció</w:t>
        <w:br/>
        <w:br/>
        <w:t xml:space="preserve">      a) los gastos efectivamente llevados a cabo por  los  padres  de  Juan</w:t>
        <w:br/>
        <w:t xml:space="preserve">      Humberto Sánchez y por una de sus compañeras “con el fin de indagar su</w:t>
        <w:br/>
        <w:t xml:space="preserve">      paradero, ante el encubrimiento de lo  ocurrido  y  la  abstención  de</w:t>
        <w:br/>
        <w:t xml:space="preserve">      investigar los hechos por parte de las autoridades hondureñas”[72];</w:t>
        <w:br/>
        <w:br/>
        <w:br/>
        <w:t xml:space="preserve">      b) la pérdida de ingresos de las hermanas de  Juan  Humberto  Sánchez,</w:t>
        <w:br/>
        <w:t xml:space="preserve">      quienes perdieron sus trabajos “como consecuencia del traslado de [una</w:t>
        <w:br/>
        <w:t xml:space="preserve">      de  ellas]  a   la   audiencia   pública   celebrada   en   la   Corte</w:t>
        <w:br/>
        <w:t xml:space="preserve">      Interamericana”[73] y a  favor  de  una  de  las  compañeras  de  Juan</w:t>
        <w:br/>
        <w:t xml:space="preserve">      Humberto Sánchez, quien corrió igual suerte, pero como consecuencia de</w:t>
        <w:br/>
        <w:t xml:space="preserve">      las  gestiones  que  llevó  a  cabo  para  localizar  el  paradero  de</w:t>
        <w:br/>
        <w:t xml:space="preserve">      Sánchez[74]; y</w:t>
        <w:br/>
        <w:br/>
        <w:br/>
        <w:t xml:space="preserve">      c) asimismo, al igual que lo ha hecho en otras  oportunidades[75],  la</w:t>
        <w:br/>
        <w:t xml:space="preserve">      Corte estableció en el presente caso una indemnización por concepto de</w:t>
        <w:br/>
        <w:t xml:space="preserve">      gastos médicos ocasionados y futuros y  por  el  traslado  al  que  se</w:t>
        <w:br/>
        <w:t xml:space="preserve">      vieron forzados los familiares de Juan Humberto Sánchez.  En  relación</w:t>
        <w:br/>
        <w:t xml:space="preserve">      con el primer punto, sobre los gastos médicos, la Corte  encontró  que</w:t>
        <w:br/>
        <w:t xml:space="preserve">      tanto los padres como una de las compañeras de Juan  Humberto  Sánchez</w:t>
        <w:br/>
        <w:t xml:space="preserve">      “sufrieron diversos padecimientos en su salud  como  resultado  de  la</w:t>
        <w:br/>
        <w:t xml:space="preserve">      detención y ejecución extrajudicial de […] Juan Humberto Sánchez[, los</w:t>
        <w:br/>
        <w:t xml:space="preserve">      cuales] se enmarca[n] en la situación de la  detención  arbitraria  de</w:t>
        <w:br/>
        <w:t xml:space="preserve">      [Juan Humberto  Sánchez],  la  incertidumbre  sobre  su  paradero,  el</w:t>
        <w:br/>
        <w:t xml:space="preserve">      sufrimiento al desconocer las circunstancias de su muerte, la angustia</w:t>
        <w:br/>
        <w:t xml:space="preserve">      por las lesiones que aparecieran en su cadáver,  el  dolor  ocasionado</w:t>
        <w:br/>
        <w:t xml:space="preserve">      por ser enterrado en el lugar en el cual fue hallado, y su frustración</w:t>
        <w:br/>
        <w:t xml:space="preserve">      e impotencia ante la falta de resultados de las investigaciones de los</w:t>
        <w:br/>
        <w:t xml:space="preserve">      hechos por parte de  las  autoridades  públicas  hondureñas”[76].   Es</w:t>
        <w:br/>
        <w:t xml:space="preserve">      decir, que la indemnización por este concepto establecida a  favor  de</w:t>
        <w:br/>
        <w:t xml:space="preserve">      María Dominga Sánchez, Juan José Vijil Hernández  y  Donatila  Argueta</w:t>
        <w:br/>
        <w:t xml:space="preserve">      Sánchez no se funda, como lo alega el  Estado,  en  una  determinación</w:t>
        <w:br/>
        <w:t xml:space="preserve">      “antojadiza” del Tribunal,  sino  que  tiene  por  causa  directa  las</w:t>
        <w:br/>
        <w:t xml:space="preserve">      acciones del Estado que la Corte declaró violatorias de la  Convención</w:t>
        <w:br/>
        <w:t xml:space="preserve">      Americana en su Sentencia  de  7  de  junio  de  2003.   Asimismo,  el</w:t>
        <w:br/>
        <w:t xml:space="preserve">      Tribunal analizó el segundo punto,  es  decir,  la  indemnización  por</w:t>
        <w:br/>
        <w:t xml:space="preserve">      concepto del cambio de  residencia  al  que  se  vieron  forzados  los</w:t>
        <w:br/>
        <w:t xml:space="preserve">      familiares  de  Juan   Humberto   Sánchez   “como   consecuencia   del</w:t>
        <w:br/>
        <w:t xml:space="preserve">      hostigamiento que empezaron a recibir después de los  hechos  de  este</w:t>
        <w:br/>
        <w:t xml:space="preserve">      caso”[77].</w:t>
        <w:br/>
        <w:br/>
        <w:t>63.   En síntesis, la Corte acordó en el presente caso  indemnizaciones  por</w:t>
        <w:br/>
        <w:t>concepto de varios rubros comprendidos en la categoría más amplia  del  daño</w:t>
        <w:br/>
        <w:t>material, consistentes  con su propia jurisprudencia[78], las  cuales  deben</w:t>
        <w:br/>
        <w:t>ser cumplidas por el Estado. Dichas  indemnizaciones  deben  ser  pagadas  a</w:t>
        <w:br/>
        <w:t>Donatila Argueta Sánchez, Juan José Vijil Hernández, María Dominga  Sánchez,</w:t>
        <w:br/>
        <w:t>Domitila Vijil Sánchez y  Reina  Isabel  Sánchez  por  derecho  propio  como</w:t>
        <w:br/>
        <w:t>indemnización por los daños que les fueron  causados  directamente  por  las</w:t>
        <w:br/>
        <w:t>acciones del Estado y en su carácter de víctimas de las mismas.   Carece  de</w:t>
        <w:br/>
        <w:t>relevancia si son reconocidos o no como derechohabientes  de  Juan  Humberto</w:t>
        <w:br/>
        <w:t>Sánchez  por  el  derecho  interno  del  Estado,   pues   su   carácter   de</w:t>
        <w:br/>
        <w:t>beneficiarios de las reparaciones por concepto de daño emergente  y  pérdida</w:t>
        <w:br/>
        <w:t>de ingresos está determinado directamente por los  daños  que  a  ellos  les</w:t>
        <w:br/>
        <w:t>fueron causados.</w:t>
        <w:br/>
        <w:br/>
        <w:t>64.   Igualmente, fundándose en el derecho propio de los familiares de  Juan</w:t>
        <w:br/>
        <w:t>Humberto Sánchez, en su condición de víctimas con derecho a una  reparación,</w:t>
        <w:br/>
        <w:t>la Corte  determinó  una  indemnización  por  concepto  de  daño  inmaterial</w:t>
        <w:br/>
        <w:t>teniendo en cuenta, además, que “la impunidad  imperante  en  este  caso  ha</w:t>
        <w:br/>
        <w:t>constituido y sigue causando sufrimiento para los familiares  que  los  hace</w:t>
        <w:br/>
        <w:t>sentirse vulnerables  y  en  estado  de  indefensión  permanente  frente  al</w:t>
        <w:br/>
        <w:t>Estado, situación que les provoca una  profunda  angustia,  como  además  ha</w:t>
        <w:br/>
        <w:t>quedado demostrado”[79].</w:t>
        <w:br/>
        <w:br/>
        <w:t>65.    Por  otra  parte,  dichos  familiares  sufrieron  también   por   las</w:t>
        <w:br/>
        <w:t>violaciones a los derechos de Juan Humberto Sánchez, pues los  padecimientos</w:t>
        <w:br/>
        <w:t>del mismo como víctima de la violación a los  derechos  consagrados  en  los</w:t>
        <w:br/>
        <w:t>artículos 4 y 5 de la Convención Americana “se extienden de igual  manera  a</w:t>
        <w:br/>
        <w:t>los miembros más íntimos de  la  familia,  particularmente  a  aquéllos  que</w:t>
        <w:br/>
        <w:t>tuvieron un contacto afectivo estrecho con  la  víctima”[80],  que  en  este</w:t>
        <w:br/>
        <w:t>caso la Corte consideró que incluían al padre de  crianza  y  a  los  medios</w:t>
        <w:br/>
        <w:t>hermanos de la víctima “quienes  como  miembros  de  una  familia  integrada</w:t>
        <w:br/>
        <w:t>mantenían un vínculo estrecho con […] Juan Humberto Sánchez”[81].</w:t>
        <w:br/>
        <w:br/>
        <w:t>66.   Al  igual  que  en  el  caso  del  daño  emergente,  la  indemnización</w:t>
        <w:br/>
        <w:t>establecida por la Corte para los familiares de  Juan  Humberto  Sánchez  se</w:t>
        <w:br/>
        <w:t>fundamenta en su propio sufrimiento y no en  su  calidad  de  sucesores  del</w:t>
        <w:br/>
        <w:t>mismo.   La  existencia  del  vínculo  familiar,  en  los  términos  que  ha</w:t>
        <w:br/>
        <w:t>desarrollado  la  Corte  en  su  jurisprudencia[82],  permite  al   Tribunal</w:t>
        <w:br/>
        <w:t>establecer si se ha causado  sufrimiento  a  otras  personas  además  de  la</w:t>
        <w:br/>
        <w:t>víctima;  una  vez  establecida  la  existencia  de  este  sufrimiento,  los</w:t>
        <w:br/>
        <w:t>familiares de la víctima deben ser indemnizados, sin atender a la  condición</w:t>
        <w:br/>
        <w:t>que tendrían o no de derechohabientes según las reglas del  derecho  interno</w:t>
        <w:br/>
        <w:t>del Estado.</w:t>
        <w:br/>
        <w:br/>
        <w:t>67.   En razón de lo anterior, la Corte Interamericana decide desestimar  la</w:t>
        <w:br/>
        <w:t>interpretación solicitada en lo relativo a las reparaciones en  el  presente</w:t>
        <w:br/>
        <w:t>caso.</w:t>
        <w:br/>
        <w:br/>
        <w:t>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el artículo 58  del  Reglamento  de  la  Corte  Interamericana  de</w:t>
        <w:br/>
        <w:t>Derechos Humanos</w:t>
        <w:br/>
        <w:br/>
        <w:t>DECIDE:</w:t>
        <w:br/>
        <w:br/>
        <w:t>Por unanimidad,</w:t>
        <w:br/>
        <w:br/>
        <w:t>1.    Rechazar por improcedente el recurso de revisión de la Sentencia de  7</w:t>
        <w:br/>
        <w:t>de junio de 2003 en el  Caso  Juan  Humberto  Sánchez,  interpuesto  por  el</w:t>
        <w:br/>
        <w:t>Estado.</w:t>
        <w:br/>
        <w:br/>
        <w:t>2.    Rechazar por infundada la  pretensión  del  Estado  de  interpretación</w:t>
        <w:br/>
        <w:t>contenida en la solicitud, in toto, de la Sentencia de 7 de  junio  de  2003</w:t>
        <w:br/>
        <w:t>en el Caso Juan Humberto Sánchez.</w:t>
        <w:br/>
        <w:br/>
        <w:t>3.    Continuar con la supervisión del cumplimiento de la Sentencia de 7  de</w:t>
        <w:br/>
        <w:t>junio de 2003, en los términos establecidos en los párrafos  196  a  200  de</w:t>
        <w:br/>
        <w:t>dicho fallo.</w:t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 xml:space="preserve">  Sergio García Ramírez      Hernán Salgado Pesantes</w:t>
        <w:br/>
        <w:br/>
        <w:t>Máximo Pacheco Gómez   Oliver Jackman</w:t>
        <w:br/>
        <w:br/>
        <w:t xml:space="preserve">                            Alirio Abreu Burelli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    De conformidad con la Resolución de la Corte de 13 de  marzo  de  2001</w:t>
        <w:br/>
        <w:t>sobre Disposiciones Transitorias al Reglamento  de  la  Corte,  la  presente</w:t>
        <w:br/>
        <w:t>Sentencia  sobre  la  interpretación  de  la  Sentencia  sobre   excepciones</w:t>
        <w:br/>
        <w:t>preliminares, fondo y reparaciones del caso se dicta  en  los  términos  del</w:t>
        <w:br/>
        <w:t>Reglamento adoptado en la Resolución de la  Corte  de  24  de  noviembre  de</w:t>
        <w:br/>
        <w:t>2000.</w:t>
        <w:br/>
        <w:br/>
        <w:t>[1]   Aprobado mediante Resolución No. 448 adoptada por la Asamblea  General</w:t>
        <w:br/>
        <w:t>de la OEA en su noveno período de sesiones, celebrado  en  La  Paz,  Bolivia</w:t>
        <w:br/>
        <w:t>octubre de 1979.</w:t>
        <w:br/>
        <w:br/>
        <w:t>[2]   Caso Castillo Páez. Resolución de la Corte  de  10  de  septiembre  de</w:t>
        <w:br/>
        <w:t>1996,  Sistematización  de  las  Resoluciones   Procesales   de   la   Corte</w:t>
        <w:br/>
        <w:t>Interamericana de Derechos Humanos-Compendio: Agosto 1986-Junio 2001.  Serie</w:t>
        <w:br/>
        <w:t>F, No. 1, Tomo  III,  Considerando  séptimo,  pp.  892-896;  y  Caso  Loayza</w:t>
        <w:br/>
        <w:t>Tamayo.  Resolución de la  Corte  de  27  de  junio  de  1996,  Considerando</w:t>
        <w:br/>
        <w:t>séptimo.</w:t>
        <w:br/>
        <w:br/>
        <w:t>[3]   Cfr., Caso Paniagua Morales y otros. Resolución de la Corte de  14  de</w:t>
        <w:br/>
        <w:t>noviembre de 1997; Caso Paniagua Morales y otros. Resolución de la Corte  de</w:t>
        <w:br/>
        <w:t>23 de septiembre de 1997; Caso Blake. Resolución de la Corte de 28 de  enero</w:t>
        <w:br/>
        <w:t>de 1996; y Caso Cayara.  Resolución de la Corte de 30 de enero de 1993.</w:t>
        <w:br/>
        <w:br/>
        <w:t>[4]   Cfr., Caso Baena Ricardo y otros. Resolución de  la  Corte  de  24  de</w:t>
        <w:br/>
        <w:t>enero de 2000; Caso Bámaca Velásquez.  Resolución  de  la  Corte  de  29  de</w:t>
        <w:br/>
        <w:t>agosto de 1998; y Caso Genie Lacayo.   Resolución  de  la  Corte  de  28  de</w:t>
        <w:br/>
        <w:t>noviembre de 1995.</w:t>
        <w:br/>
        <w:br/>
        <w:t>[5]   Cfr., Caso de los 19 Comerciantes. Resolución de  la  Corte  de  8  de</w:t>
        <w:br/>
        <w:t>septiembre de 2003.</w:t>
        <w:br/>
        <w:br/>
        <w:t>[6]   Cfr., Caso Las Palmeras. Resolución de la  Corte  de  28  de  mayo  de</w:t>
        <w:br/>
        <w:t>2001; Caso del Periódico “La Nación”. Medidas Provisionales.  Resolución  de</w:t>
        <w:br/>
        <w:t>la Corte  de  21  de  mayo  de  2001;  Caso  de  las  personas  haitianas  y</w:t>
        <w:br/>
        <w:t>dominicanas  de   origen   haitiano   en   República   Dominicana.   Medidas</w:t>
        <w:br/>
        <w:t>Provisionales.  Resolución de la Corte de 7 de agosto de  2000;  Caso  Baena</w:t>
        <w:br/>
        <w:t>Ricardo y otros. Resolución de la Corte de 25 de enero de 2000; Caso  Olmedo</w:t>
        <w:br/>
        <w:t>Bustos y otros. Resolución de la Corte de  9  de  noviembre  de  1999;  Caso</w:t>
        <w:br/>
        <w:t>Bámaca Velásquez. Resoluciones de la Corte de 1 de septiembre de 1998  y  de</w:t>
        <w:br/>
        <w:t>16 de junio de 1998; y Caso Fairén Garbí y Solís  Corrales.   Resolución  de</w:t>
        <w:br/>
        <w:t>la Corte de 28 de septiembre de 1987.</w:t>
        <w:br/>
        <w:br/>
        <w:t>[7]    Cfr.,  Caso  de  la  Comunidad  de  San  José  de  Apartadó.  Medidas</w:t>
        <w:br/>
        <w:t>Provisionales. Resolución de la Corte de 13 de noviembre de 2000.</w:t>
        <w:br/>
        <w:br/>
        <w:t>[8]   Caso Cesti Hurtado. Interpretación de la  Sentencia  de  Reparaciones.</w:t>
        <w:br/>
        <w:t>(art. 67 Convención Americana sobre Derechos Humanos). Sentencia  de  27  de</w:t>
        <w:br/>
        <w:t>noviembre de 2001. Serie C No. 86,  párr.  31;  en  sentido  parecido,  Caso</w:t>
        <w:br/>
        <w:t>Ivcher  Bronstein.  Interpretación  de  la  Sentencia  de  Fondo.  (art.  67</w:t>
        <w:br/>
        <w:t>Convención Americana sobre Derechos Humanos). Sentencia de 4  de  septiembre</w:t>
        <w:br/>
        <w:t>de 2001. Serie C No. 84, párr. 19; Caso Suárez Rosero. Interpretación de  la</w:t>
        <w:br/>
        <w:t>Sentencia sobre Reparaciones. (Art. 67  de  la  Convención  Americana  sobre</w:t>
        <w:br/>
        <w:t>Derechos Humanos).  Sentencia de 29 de mayo de 1999.  Serie C No. 51,  párr.</w:t>
        <w:br/>
        <w:t>20; Caso Loayza Tamayo. Solicitud de Interpretación de la  Sentencia  de  17</w:t>
        <w:br/>
        <w:t>de septiembre de 1997. Resolución de la Corte de 8 de marzo de  1998.  Serie</w:t>
        <w:br/>
        <w:t>C  No.  47,  párrs.  16  y  18;  Eur.  Court  H.R.,  Hentrich   v.   France,</w:t>
        <w:br/>
        <w:t>(interpretation), Judgment  of  3  July  1997),  Reports  of  Judgments  and</w:t>
        <w:br/>
        <w:t>Decisions 1997-IV, para.  16;  Eur.  Court  H.R.,  Allenet  de  Ribemont  v.</w:t>
        <w:br/>
        <w:t>France, (interpretation), judgment of 7 August 1996,  Reports  of  Judgments</w:t>
        <w:br/>
        <w:t>and Decisions 1996-III, paras. 17 and 23; and Eur. Court  H.  R.,  Ringeisen</w:t>
        <w:br/>
        <w:t>v. Austria, (interpretation), Judgment of 23 June 1973, Series A,  Vol.  16,</w:t>
        <w:br/>
        <w:t>para 13.</w:t>
        <w:br/>
        <w:br/>
        <w:t>[9]   Cfr., Caso Genie Lacayo. Solicitud de Revisión de la Sentencia  de  29</w:t>
        <w:br/>
        <w:t>de enero de 1997. Resolución de la Corte de 13 de septiembre de 1997.  Serie</w:t>
        <w:br/>
        <w:t>C No. 45, párrs. 10-12.</w:t>
        <w:br/>
        <w:br/>
        <w:t>[10]  Cfr., Caso Juan Humberto Sánchez. Sentencia de 7  de  junio  de  2003.</w:t>
        <w:br/>
        <w:t>Serie C No. 99, párrs. 37, 39, 45, 46, 50 y 56.</w:t>
        <w:br/>
        <w:br/>
        <w:t>[11]  Cfr., Caso Juan Humberto Sánchez, supra nota 10, párr. 16.</w:t>
        <w:br/>
        <w:br/>
        <w:t>[12]  Cfr., inter alia, Caso Blake. Resolución del Presidente  de  la  Corte</w:t>
        <w:br/>
        <w:t>de 30 de enero de 1996, Sistematización de las  Resoluciones  Procesales  de</w:t>
        <w:br/>
        <w:t>la Corte Interamericana de  Derechos  Humanos-Compendio:  Agosto  1986-Junio</w:t>
        <w:br/>
        <w:t>2001. Serie F, No. 1, Tomo II, pp. 607 y 608; y Caso  Loayza  Tamayo.  Carta</w:t>
        <w:br/>
        <w:t>del  Presidente,  REF.:   CDH-11.154/352   de   16   de   abril   de   1997,</w:t>
        <w:br/>
        <w:t>Sistematización de las Resoluciones Procesales de  la  Corte  Interamericana</w:t>
        <w:br/>
        <w:t>de Derechos Humanos-Compendio: Agosto 1986-Junio 2001. Serie F, No. 1,  Tomo</w:t>
        <w:br/>
        <w:t>II, p. 609.</w:t>
        <w:br/>
        <w:br/>
        <w:t>[13]  Cfr., inter alia, Caso Bulacio.  Sentencia  de  18  de  septiembre  de</w:t>
        <w:br/>
        <w:t>2003. Serie C No. 100, párr. 62; Caso Juan Humberto Sánchez, supra nota  10,</w:t>
        <w:br/>
        <w:t>párr. 55; Caso Las Palmeras. Reparaciones (art.  63.1  Convención  Americana</w:t>
        <w:br/>
        <w:t>sobre Derechos Humanos). Sentencia de 26 de noviembre de 2002. Serie  C  No.</w:t>
        <w:br/>
        <w:t>96,  párr.  30;  Caso  del  Caracazo.  Reparaciones  (art.  63.1  Convención</w:t>
        <w:br/>
        <w:t>Americana sobre Derechos Humanos). Sentencia de 29 de agosto de 2002.  Serie</w:t>
        <w:br/>
        <w:t>C No. 95, párr. 60; Caso de los “Niños de la  Calle”  (Villagrán  Morales  y</w:t>
        <w:br/>
        <w:t>otros).  Reparaciones  (art.  63.1  Convención  Americana   sobre   Derechos</w:t>
        <w:br/>
        <w:t>Humanos). Sentencia de 26 de mayo de 2001. Serie C No. 77,  párr.  48;  Caso</w:t>
        <w:br/>
        <w:t>Castillo Páez. Reparaciones (art. 63.1 Convención Americana  sobre  Derechos</w:t>
        <w:br/>
        <w:t>Humanos). Sentencia de 27 de noviembre de 1998. Serie C No. 43, párrs. 40  y</w:t>
        <w:br/>
        <w:t>41; y Caso Loayza  Tamayo.  Reparaciones  (art.  63.1  Convención  Americana</w:t>
        <w:br/>
        <w:t>sobre Derechos Humanos). Sentencia de 27 de noviembre de 1998. Serie  C  No.</w:t>
        <w:br/>
        <w:t>42, párrs. 54 a) y 57.</w:t>
        <w:br/>
        <w:br/>
        <w:br/>
        <w:br/>
        <w:t>[14]  En cuanto al cambio de composición, existen  normas  específicas  para</w:t>
        <w:br/>
        <w:t>el efecto en los artículos 54.3 de la Convención Americana, 5  del  Estatuto</w:t>
        <w:br/>
        <w:t>de la Corte y 16.1 del Reglamento. En este sentido, la Corte  ha  hecho  sus</w:t>
        <w:br/>
        <w:t>interpretaciones al respecto, Caso Genie Lacayo. Resolución de la  Corte  de</w:t>
        <w:br/>
        <w:t>18  de  mayo  de  1995,  (art.  54.3  Convención  Americana  sobre  Derechos</w:t>
        <w:br/>
        <w:t>Humanos),  Sistematización  de  las  Resoluciones  Procesales  de  la  Corte</w:t>
        <w:br/>
        <w:t>Interamericana de Derechos Humanos-Compendio: Agosto 1986-Junio 2001.  Serie</w:t>
        <w:br/>
        <w:t>F, No. 1, Tomo II, Considerandos cuarto y sexto, pp. 555-568; y  Caso  Neira</w:t>
        <w:br/>
        <w:t>Alegría y otros. Resolución de la Corte de 29 de junio de 1992,  (art.  54.3</w:t>
        <w:br/>
        <w:t>Convención  Americana  sobre  Derechos  Humanos),  Sistematización  de   las</w:t>
        <w:br/>
        <w:t>Resoluciones Procesales de la  Corte  Interamericana  de  Derechos  Humanos-</w:t>
        <w:br/>
        <w:t>Compendio: Agosto 1986-Junio 2001. Serie F, No. 1, Tomo II,  párrs.  9,  10,</w:t>
        <w:br/>
        <w:t>11 y 18, pp. 569-590.</w:t>
        <w:br/>
        <w:br/>
        <w:t>[15]  Cfr., inter alia, Caso Cantos. Sentencia de 28 de noviembre  de  2002.</w:t>
        <w:br/>
        <w:t>Serie C No. 97; Caso Las Palmeras. Reparacione, supra nota 13;  Caso  Bámaca</w:t>
        <w:br/>
        <w:t>Velásquez. Reparaciones  (art.  63.1  Convención  Americana  sobre  Derechos</w:t>
        <w:br/>
        <w:t>Humanos). Sentencia de 22 de febrero de 2002.  Serie  C  No.  91;  Caso  Las</w:t>
        <w:br/>
        <w:t>Palmeras. Sentencia de 6 de diciembre de 2001. Serie C No. 90;  Caso  Durand</w:t>
        <w:br/>
        <w:t>y Ugarte.  Reparaciones  (art.  63.1  Convención  Americana  sobre  Derechos</w:t>
        <w:br/>
        <w:t>Humanos). Sentencia de 3  de  diciembre  de  2001.  Serie  C  No.  89;  Caso</w:t>
        <w:br/>
        <w:t>Cantoral Benavides.  Reparaciones  (art.  63.1  Convención  Americana  sobre</w:t>
        <w:br/>
        <w:t>Derechos Humanos). Sentencia de 3 de diciembre de  2001.  Serie  C  No.  88;</w:t>
        <w:br/>
        <w:t>Caso Cesti Hurtado.  Reparaciones  (art.  63.1  Convención  Americana  sobre</w:t>
        <w:br/>
        <w:t>Derechos Humanos). Sentencia de 31 de mayo de 2001. Serie C No. 78; Caso  de</w:t>
        <w:br/>
        <w:t>los “Niños de la Calle” (Villagrán Morales  y  otros),  Reparaciones,  supra</w:t>
        <w:br/>
        <w:t>nota 13; Caso de la “Panel Blanca” (Paniagua Morales y otros).  Reparaciones</w:t>
        <w:br/>
        <w:t>(art. 63.1 Convención Americana sobre Derechos Humanos). Sentencia de 25  de</w:t>
        <w:br/>
        <w:t>mayo de 2001. Serie C No. 76; Caso del  Tribunal  Constitucional.  Sentencia</w:t>
        <w:br/>
        <w:t>de 31 de enero de 2001. Serie C No. 71; Caso Bámaca Velásquez. Sentencia  de</w:t>
        <w:br/>
        <w:t>25 de noviembre de 2000. Serie C No. 70; Caso Durand y Ugarte. Sentencia  de</w:t>
        <w:br/>
        <w:t>16 de agosto de 2000. Serie C No. 68; Caso Trujillo Oroza. Sentencia  de  26</w:t>
        <w:br/>
        <w:t>de enero de 2000. Serie C No. 64; Caso Cesti Hurtado.  Sentencia  de  29  de</w:t>
        <w:br/>
        <w:t>septiembre de 1999. Serie C No. 56; Caso  de  la  “Panel  Blanca”  (Paniagua</w:t>
        <w:br/>
        <w:t>Morales y otros). Sentencia de 8 de marzo de 1998. Serie C No.  37;  y  Caso</w:t>
        <w:br/>
        <w:t>Genie Lacayo. Sentencia del 29 de enero de 1997. Serie C No. 30.</w:t>
        <w:br/>
        <w:br/>
        <w:t>[16]  En el Caso Bámaca Velásquez, el 1 de septiembre de  1998,  supra  nota</w:t>
        <w:br/>
        <w:t>6, la Corte, resolvió comisionar al entonces Presidente de  la  Corte,  Juez</w:t>
        <w:br/>
        <w:t>Hernán Salgado Pesantes, al entonces Vicepresidente,  Juez  Antônio  Augusto</w:t>
        <w:br/>
        <w:t>Cançado Trindade y al Juez Alirio Abreu Burelli para asistir a la  audiencia</w:t>
        <w:br/>
        <w:t>pública convocada en Washington, D.C., para recabar  el  testimonio  de  los</w:t>
        <w:br/>
        <w:t>testigos Otoniel de la Roca Mendoza y Nery Angel  Urízar  García,  ofrecidos</w:t>
        <w:br/>
        <w:t>por la Comisión.</w:t>
        <w:br/>
        <w:br/>
        <w:t>[17]  Caso Aloeboetoe y otros. OEA/Ser.L/V/III.29, doc. 4, 10  de  enero  de</w:t>
        <w:br/>
        <w:t>1994, Informe Anual de la Corte Interamericana de Derechos Humanos de  1993,</w:t>
        <w:br/>
        <w:t>p. 12.</w:t>
        <w:br/>
        <w:br/>
        <w:t>[18]  En el Caso Aloeboetoe y otros, la Corte  reseñó  como  “su  Secretaria</w:t>
        <w:br/>
        <w:t>adjunta [...] viajara a Suriname para obtener información  adicional  acerca</w:t>
        <w:br/>
        <w:t>de la situación económica, financiera y bancaria del  país,  así  como  para</w:t>
        <w:br/>
        <w:t>conocer la aldea de Gujaba,  a  fin  de  obtener  información  enderezada  a</w:t>
        <w:br/>
        <w:t>facilitar  al  Tribunal  dictar  una  sentencia  ajustada  a   la   realidad</w:t>
        <w:br/>
        <w:t>surinamesa”. (Caso Aloeboetoe y otros. Reparaciones  (art.  63.1  Convención</w:t>
        <w:br/>
        <w:t>Americana Sobre Derechos Humanos), Sentencia de 10 de  septiembre  de  1993.</w:t>
        <w:br/>
        <w:t>Serie C No. 15, párr.40).</w:t>
        <w:br/>
        <w:br/>
        <w:t>[19]  Cfr., inter alia, Caso Bulacio, supra nota 13,  párr.  62;  Caso  Juan</w:t>
        <w:br/>
        <w:t>Humberto Sánchez, supra nota 10, párr. 55; Caso Las Palmeras,  Reparaciones,</w:t>
        <w:br/>
        <w:t>supra nota 13, párr. 30; Caso del Caracazo,  Reparaciones,  supra  nota  13,</w:t>
        <w:br/>
        <w:t>párr. 60; Caso de los “Niños de  la  Calle”  (Villagrán  Morales  y  otros),</w:t>
        <w:br/>
        <w:t>Reparaciones, supra nota 13, párr. 48;  Caso  Castillo  Páez,  Reparaciones,</w:t>
        <w:br/>
        <w:t>supra nota 13, párrs. 40; y 41; y Caso Loayza  Tamayo,  Reparaciones,  supra</w:t>
        <w:br/>
        <w:t>nota 13, párrs 54 a) y 57.</w:t>
        <w:br/>
        <w:br/>
        <w:t>[20]  Cfr., Caso Bulacio, supra  nota  13,  párr.  67;  Caso  Juan  Humberto</w:t>
        <w:br/>
        <w:t>Sánchez, supra nota 10, párr. 30; Caso “Cinco  Pensionistas”.  Sentencia  de</w:t>
        <w:br/>
        <w:t>28 de febrero de 2003. Serie C No. 98, párr. 65;  Caso  Cantos,  supra  nota</w:t>
        <w:br/>
        <w:t>15, párr. 27; Caso del Caracazo, Reparaciones,  supra  nota  13,  párr.  38;</w:t>
        <w:br/>
        <w:t>Caso Hilaire, Constantine y Benjamin y otros. Sentencia de 21  de  junio  de</w:t>
        <w:br/>
        <w:t>2002. Serie C No. 94, párr. 65;  Caso  Trujillo  Oroza.  Reparaciones  (art.</w:t>
        <w:br/>
        <w:t>63.1 Convención Americana  sobre  Derechos  Humanos).  Sentencia  de  27  de</w:t>
        <w:br/>
        <w:t>febrero  de  2002.  Serie  C  No.  92,  párr.  37;  Caso  Bámaca  Velásquez,</w:t>
        <w:br/>
        <w:t>Reparaciones,  supra  nota  15,   párr.   15;   Caso   Cantoral   Benavides,</w:t>
        <w:br/>
        <w:t>Reparaciones, supra nota 15, párr. 22; Caso de la Comunidad  Mayagna  (Sumo)</w:t>
        <w:br/>
        <w:t>Awas Tingni. Sentencia de 31 de agosto de 2001. Serie C No.  79,  párr.  89;</w:t>
        <w:br/>
        <w:t>Caso Cesti Hurtado, Reparaciones, supra nota  15,  párr.  21;  Caso  de  los</w:t>
        <w:br/>
        <w:t>“Niños de la Calle” (Villagrán Morales y otros),  Reparaciones,  supra  nota</w:t>
        <w:br/>
        <w:t>13, párr. 40;  Caso  de  la  “Panel  Blanca”  (Paniagua  Morales  y  otros).</w:t>
        <w:br/>
        <w:t>Reparaciones, supra nota 15, párr. 51; Caso Ivcher Bronstein.  Sentencia  de</w:t>
        <w:br/>
        <w:t>6 de febrero de 2001. Serie C No. 74, párr. 65; Caso  “La  Última  Tentación</w:t>
        <w:br/>
        <w:t>de Cristo” (Olmedo Bustos y otros). Sentencia  de  5  de  febrero  de  2001.</w:t>
        <w:br/>
        <w:t>Serie C No. 73, párrs. 49 a 51; Caso Baena Ricardo y otros. Sentencia  de  2</w:t>
        <w:br/>
        <w:t>de  febrero  de  2001.  Serie  C  No.  72,  párr.  71;  Caso  del   Tribunal</w:t>
        <w:br/>
        <w:t>Constitucional, supra nota 15, párr. 46; Caso Bámaca Velásquez,  supra  nota</w:t>
        <w:br/>
        <w:t>15, párr. 97; Caso Cantoral Benavides. Sentencia de 18 de  agosto  de  2000.</w:t>
        <w:br/>
        <w:t>Serie C No. 69, párr. 45; Caso Durand y Ugarte. Sentencia de  16  de  agosto</w:t>
        <w:br/>
        <w:t>de 2000. Serie C No. 68, párr. 45; Caso  Paniagua  Morales  y  otros,  supra</w:t>
        <w:br/>
        <w:t>nota 15, párr. 70; Caso Castillo Páez, Sentencia de 3 de noviembre de  1997.</w:t>
        <w:br/>
        <w:t>Serie C No. 34,  párr.  39;  y  Caso  Loayza  Tamayo.  Sentencia  de  17  de</w:t>
        <w:br/>
        <w:t>septiembre de 1997. Serie C No. 33, párr. 42.</w:t>
        <w:br/>
        <w:br/>
        <w:t>[21]  Cfr., Caso Bulacio, supra  nota  13,  párr.  40;  Caso  Juan  Humberto</w:t>
        <w:br/>
        <w:t>Sánchez, supra nota 10, párr. 28; Caso “Cinco Pensionistas”, supra nota  20,</w:t>
        <w:br/>
        <w:t>párr. 64;  y  Condición  Jurídica  y  Derechos  Humanos  del  Niño.  Opinión</w:t>
        <w:br/>
        <w:t>Consultiva OC-17/02 de 28 de agosto de 2002. Serie A No.  17,  párr.  132  y</w:t>
        <w:br/>
        <w:t>133. En igual sentido, Cour Eur. D.H., Affaire Gaucher c. France,  Arrêt  du</w:t>
        <w:br/>
        <w:t>9 octobre 2003, para. 15; Cour Eur. D.H., Affaire Duriez-Costes  c.  France,</w:t>
        <w:br/>
        <w:t>Arrêt du 7 octobre 2003, para. 32;  and Eur. Court  H.R.,  Case  of  Edwards</w:t>
        <w:br/>
        <w:t>and Lewis v. the United Kingdom, Judgment of 22 July, 2003, para. 52.</w:t>
        <w:br/>
        <w:br/>
        <w:t>[22]  Caso Juan Humberto Sánchez, supra nota 10, párrs. 22, 23, 24, 26,  34,</w:t>
        <w:br/>
        <w:t>37, 41, 46, 47, 51, 52, 54 y 55.</w:t>
        <w:br/>
        <w:br/>
        <w:t>[23]  Caso Juan Humberto Sánchez, supra nota 10, párrs. 27 a 31, 45 a 60.</w:t>
        <w:br/>
        <w:br/>
        <w:t>[24]  Cfr., Caso Bulacio, supra  nota  13,  párr.  42;  Caso  Juan  Humberto</w:t>
        <w:br/>
        <w:t>Sánchez, supra nota 10, párr. 30; y Caso “Cinco  Pensionistas”,  supra  nota</w:t>
        <w:br/>
        <w:t>20, párr. 65.</w:t>
        <w:br/>
        <w:br/>
        <w:t>[25]  Cfr., Caso Bulacio, supra nota 13, párrs. 18, 27, 30 y 57;  Caso  Juan</w:t>
        <w:br/>
        <w:t>Humberto Sánchez, supra nota 10, párrs. 25 y 45; Caso “Cinco  Pensionistas”,</w:t>
        <w:br/>
        <w:t>supra nota 20, párrs. 39, 30 y 84; Caso del  Caracazo,  Reparaciones,  supra</w:t>
        <w:br/>
        <w:t>nota 13, párr. 29; Caso Hilaire, Constantine y Benjamin y otros, supra  nota</w:t>
        <w:br/>
        <w:t>20, párr. 42; Caso Trujillo Oroza, supra nota  20,  párrs.  21  y  22;  Caso</w:t>
        <w:br/>
        <w:t>Bámaca Velásquez, Reparaciones, supra nota 15, párrs. 10 y 23;  Caso  de  la</w:t>
        <w:br/>
        <w:t>Comunidad Mayagna (Sumo) Awas Tingni, supra nota 20, párrs.  68,  69  y  96;</w:t>
        <w:br/>
        <w:t>Caso de los “Niños de la Calle” (Villagrán Morales y  otros),  Reparaciones,</w:t>
        <w:br/>
        <w:t>supra nota 13, párr. 34; Caso de  la  “Panel  Blanca”  (Paniagua  Morales  y</w:t>
        <w:br/>
        <w:t>otros), Reparaciones, supra nota 15, párr. 42; Caso “La Última Tentación  de</w:t>
        <w:br/>
        <w:t>Cristo” (Olmedo Bustos y otros),  supra  nota  20,  párrs.  30  y  37;  Caso</w:t>
        <w:br/>
        <w:t>Cantoral Benavides, supra nota 20, párr. 22; Caso  Durand  y  Ugarte,  supra</w:t>
        <w:br/>
        <w:t>nota 15, párr. 31; Caso Loayza Tamayo, Reparaciones, supra  nota  13,  párr.</w:t>
        <w:br/>
        <w:t>26; Caso Castillo Petruzzi y otros. Sentencia de 30 de mayo de  1999.  Serie</w:t>
        <w:br/>
        <w:t>C No.  52;  párr.  76;  Caso  Blake.  Reparaciones   (art.  63.1  Convención</w:t>
        <w:br/>
        <w:t>Americana sobre Derechos Humanos). Sentencia de 22 de enero de  1999.  Serie</w:t>
        <w:br/>
        <w:t>C No. 48, párr. 16; Caso Suárez Rosero. Reparaciones (art.  63.1  Convención</w:t>
        <w:br/>
        <w:t>Americana sobre Derechos Humanos). Sentencia de 20 de enero de  1999.  Serie</w:t>
        <w:br/>
        <w:t>C No.  44,  párr.  33;  Caso  Durand  y  Ugarte.  Excepciones  Preliminares.</w:t>
        <w:br/>
        <w:t>Sentencia de 28 de mayo de 1999. Serie C No. 50, párrs. 21, 25, 27;  y  Caso</w:t>
        <w:br/>
        <w:t>Castillo Páez, Reparaciones, supra nota 13, párr. 19.</w:t>
        <w:br/>
        <w:br/>
        <w:t>[26]  Caso Juan Humberto Sánchez, supra nota 10, párrs. 25, 27 al 31 y 45  a</w:t>
        <w:br/>
        <w:t>56.</w:t>
        <w:br/>
        <w:br/>
        <w:t>[27]  Cfr., Caso Bulacio, supra  nota  13,  párr.  41;  Caso  Juan  Humberto</w:t>
        <w:br/>
        <w:t>Sánchez, supra nota 10, párr. 29; Caso  Las  Palmeras,  Reparaciones,  supra</w:t>
        <w:br/>
        <w:t>nota 13, párr. 17; Caso del Caracazo, Reparaciones,  supra  nota  13,  párr.</w:t>
        <w:br/>
        <w:t>37; Caso Hilaire, Constantine y Benjamin y otros, supra nota 20,  párr.  64;</w:t>
        <w:br/>
        <w:t>Caso Trujillo Oroza, Reparaciones, supra nota  20,  párr.  36;  Caso  Bámaca</w:t>
        <w:br/>
        <w:t>Velásquez. Reparaciones, supra nota 15, párr. 14; Caso  Cantoral  Benavides,</w:t>
        <w:br/>
        <w:t>Reparaciones,  supra  nota  15,   párr.   21;   Caso   Cantoral   Benavides,</w:t>
        <w:br/>
        <w:t>Reparaciones, supra nota 15, párr. 21;  Caso  Cesti  Hurtado,  Reparaciones,</w:t>
        <w:br/>
        <w:t>supra nota 15, párr. 20; Caso de los “Niños de la Calle” (Villagrán  Morales</w:t>
        <w:br/>
        <w:t>y otros), Reparaciones, supra nota 13, párr. 39; Caso de la  “Panel  Blanca”</w:t>
        <w:br/>
        <w:t>(Paniagua Morales y otros), Reparaciones, supra nota 15,  párr  50;  y  Caso</w:t>
        <w:br/>
        <w:t>Castillo Páez.  Reparaciones, supra nota 13, párr. 37.</w:t>
        <w:br/>
        <w:br/>
        <w:t>[28]  Caso Juan Humberto Sánchez, supra nota 10, párrs. 37,  39,  45,  46  y</w:t>
        <w:br/>
        <w:t>56.</w:t>
        <w:br/>
        <w:br/>
        <w:t>[29]  Caso Juan Humberto Sánchez, supra nota 10, párrs. 23, 37 y 46.</w:t>
        <w:br/>
        <w:br/>
        <w:t>[30]         Caso de los “Niños de la Calle” (Villagrán  Morales  y  otros).</w:t>
        <w:br/>
        <w:t>Sentencia de 19 de noviembre de 1999. Serie C No. 63, párr. 75;  y  Caso  de</w:t>
        <w:br/>
        <w:t>la “Panel Blanca” (Paniagua Morales y otros), supra nota 15,  párr.  91;  en</w:t>
        <w:br/>
        <w:t>igual sentido, Caso Suárez Rosero. Sentencia de 12  de  noviembre  de  1997.</w:t>
        <w:br/>
        <w:t>Serie C No. 35, párr. 37; Caso Godínez Cruz. Sentencia de  20  de  enero  de</w:t>
        <w:br/>
        <w:t>1989. Serie C No. 5, párr. 140; y Caso Velásquez Rodríguez, Sentencia de  29</w:t>
        <w:br/>
        <w:t>de julio de 1988. Serie C No. 4, párr. 134;</w:t>
        <w:br/>
        <w:br/>
        <w:t>[31]  Cfr. Caso de los “Niños de la  Calle”  (Villagrán  Morales  y  otros),</w:t>
        <w:br/>
        <w:t>supra nota 30, párr. 75; Caso de  la  “Panel  Blanca”  (Paniagua  Morales  y</w:t>
        <w:br/>
        <w:t>otros), supra nota 15, párr.91; y Caso Blake. Sentencia de 24  de  enero  de</w:t>
        <w:br/>
        <w:t>1998. Serie C No. 36, párrs. 76 a 78.</w:t>
        <w:br/>
        <w:br/>
        <w:t>[32]  Caso Juan Humberto Sánchez, supra nota 10, párrs. 185 y 186.</w:t>
        <w:br/>
        <w:br/>
        <w:t>[33]  Cfr. Caso Las Palmeras, Reparaciones,  supra  nota  13,  párr.  53.a);</w:t>
        <w:br/>
        <w:t>Caso del Caracazo, Reparaciones, supra nota 13, párr. 117; y  Caso  Trujillo</w:t>
        <w:br/>
        <w:t>Oroza, Reparaciones, supra nota 20, párrs. 97, 101 y 112.</w:t>
        <w:br/>
        <w:br/>
        <w:t>[34]  Cfr. Caso Las Palmeras, Reparaciones, supra nota 13,  párr.  66;  Caso</w:t>
        <w:br/>
        <w:t>del Caracazo, Reparaciones, supra  nota  13,  párr.  118;  y  Caso  Trujillo</w:t>
        <w:br/>
        <w:t>Oroza, Reparaciones, supra nota 20, párr. 99.</w:t>
        <w:br/>
        <w:br/>
        <w:t>[35]  Caso Juan Humberto Sánchez, supra nota 10, párrs. 47 a 50.</w:t>
        <w:br/>
        <w:br/>
        <w:t>[36]  Cfr.  Caso de la Comunidad Mayagna (Sumo) Awas Tingni, supra nota  20,</w:t>
        <w:br/>
        <w:t>párr. 99; Caso Baena Ricardo y otros, supra nota 20, párr. 81;  Caso  Bámaca</w:t>
        <w:br/>
        <w:t>Velásquez, supra nota 15, párr. 152; Caso  Cantoral  Benavides,  supra  nota</w:t>
        <w:br/>
        <w:t>20, párr. 55; Caso Durand y Ugarte, supra nota 15, párr.  51;  Caso  de  los</w:t>
        <w:br/>
        <w:t>“Niños de la Calle” (Villagrán Morales y otros), supra nota 30,  párr.  251;</w:t>
        <w:br/>
        <w:t>Caso Neira Alegría y otros. Sentencia de 19 de enero de 1995.  Serie  C  No.</w:t>
        <w:br/>
        <w:t>20, párr. 65; Caso Gangaram Panday. Sentencia de 21 de enero de 1994.  Serie</w:t>
        <w:br/>
        <w:t>C No. 16, párr. 49; Caso Godínez Cruz, supra nota  30,  párr.  141;  y  Caso</w:t>
        <w:br/>
        <w:t>Velásquez Rodríguez, supra nota 30, párr. 135.</w:t>
        <w:br/>
        <w:br/>
        <w:t>[37]  Caso Juan Humberto Sánchez, supra nota 10, párr. 59.</w:t>
        <w:br/>
        <w:br/>
        <w:t>[38]  Cfr. Nota de  la  Secretaría  de  REF  CDH  11.073/101;  y  Caso  Juan</w:t>
        <w:br/>
        <w:t>Humberto Sánchez, supra nota 10, párr. 53.</w:t>
        <w:br/>
        <w:br/>
        <w:t>[39]  Cfr., inter alia, Caso Bulacio, supra nota 13,  párr.  57;  Caso  Juan</w:t>
        <w:br/>
        <w:t>Humberto Sánchez, supra nota 10, párr.  45;  y  Caso  “Cinco  Pensionistas”,</w:t>
        <w:br/>
        <w:t>supra nota 20, párr. 84; y Caso Cantos, supra nota 15, párr. 41.</w:t>
        <w:br/>
        <w:br/>
        <w:t>[40]  Cfr., Caso Bulacio, supra  nota  13,  párr.  42;  Caso  Juan  Humberto</w:t>
        <w:br/>
        <w:t>Sánchez, supra nota 10, párr. 30; Caso “Cinco Pensionistas”, supra nota  20,</w:t>
        <w:br/>
        <w:t>párr. 65 y Caso Cantos, supra nota 15, párr. 27;  en  igual  sentido,  Corfu</w:t>
        <w:br/>
        <w:t>Channel, Merits, Judgment I.C.J. Reports  1949;  Military  and  Paramilitary</w:t>
        <w:br/>
        <w:t>Activities in and against Nicaragua (Nicaragua v. United States  of  America</w:t>
        <w:br/>
        <w:t>), Merits, Judgment, I.C.J. Reports 1986, párrs. 29-30 y 59-60.</w:t>
        <w:br/>
        <w:br/>
        <w:t>[41]  Cfr., Caso Godínez Cruz, supra nota 30, párrs.  153  b),  165,  167  y</w:t>
        <w:br/>
        <w:t>198; Caso Velásquez Rodríguez, supra nota 30,  párrs.  147.b),  157  y  188;</w:t>
        <w:br/>
        <w:t>Declaración de Leonel Casco Gutiérrez rendida ante la  Corte  Interamericana</w:t>
        <w:br/>
        <w:t>el 3 de marzo de 2003; Dictamen de Leo  Valladares  Lanza  rendida  ante  la</w:t>
        <w:br/>
        <w:t>Corte Interamericana el 3 de marzo de 2003; Dictamen de Héctor Fortín  Pavón</w:t>
        <w:br/>
        <w:t>rendido  ante  la  Corte  Interamericana  el  4  de  marzo  de  2003;   Nota</w:t>
        <w:br/>
        <w:t>periodística del Diario  Tiempo,  “Tres  asesinatos  en  quince  días  y  la</w:t>
        <w:br/>
        <w:t>inseguridad verdadera” de 31 de julio de 1992; Nota periodística del  Diario</w:t>
        <w:br/>
        <w:t>Tribuna, “Asesinatos Ideológicos son los de Borjas y Cayo Eng Lee” de 31  de</w:t>
        <w:br/>
        <w:t>julio de 1992; Nota periodística del Diario Prensa “Piden  interpelación  de</w:t>
        <w:br/>
        <w:t>jefes militares” de 18 de septiembre de 1992 en expediente que se  encuentra</w:t>
        <w:br/>
        <w:t>en la Secretaría de la Corte  y  se  denomina  “Anexos  correspondientes  al</w:t>
        <w:br/>
        <w:t>escrito de observaciones de los representantes de la presunta víctima y  sus</w:t>
        <w:br/>
        <w:t>familiares ante la Corte  Interamericana  de  Derechos  Humanos”,  anexo  7,</w:t>
        <w:br/>
        <w:t>págs. 22 a 24; y Declaración jurada de Celso Sánchez  Domínguez  emitida  el</w:t>
        <w:br/>
        <w:t>28 de febrero de 2003, en expediente que se encuentra en  la  Secretaría  de</w:t>
        <w:br/>
        <w:t>la   Corte   y   se   denomina   “Transcripción   de   audiencia    pública.</w:t>
        <w:br/>
        <w:t>Excepciones/Fondo/Reparaciones”, págs. 51 a 59; y  Comisionado  Nacional  de</w:t>
        <w:br/>
        <w:t>los Derechos Humanos “Los hechos hablan por sí  mismos.  Informe  preliminar</w:t>
        <w:br/>
        <w:t>sobre los desaparecidos en honduras 1980 1993”, Segunda  Edición.  Editorial</w:t>
        <w:br/>
        <w:t>Guaymuras,  Tegucigalpa,  2002,  en  expediente  que  se  encuentra  en   la</w:t>
        <w:br/>
        <w:t>Secretaría de la Corte y se denomina “Transcripción  de  audiencia  pública.</w:t>
        <w:br/>
        <w:t>Excepciones/Fondo/Reparaciones”, pags. 255-260 y 383-386.</w:t>
        <w:br/>
        <w:br/>
        <w:t>[42]  Caso Juan Humberto Sánchez, supra nota 10, párrs. 147 a 150.</w:t>
        <w:br/>
        <w:br/>
        <w:t>[43]  Caso “Cinco Pensionistas”, supra nota  20,  párr.  173;  Caso  Cantos,</w:t>
        <w:br/>
        <w:t>supra nota 15, párr. 66; Caso Las Palmeras,  Reparaciones,  supra  nota  13,</w:t>
        <w:br/>
        <w:t>párr. 37; Caso del Caracazo, Reparaciones, supra nota 13, párr. 76;  y  Caso</w:t>
        <w:br/>
        <w:t>Trujillo Oroza, Reparaciones, supra nota 20, párr. 60.</w:t>
        <w:br/>
        <w:br/>
        <w:t>[44]  Cfr., Caso “Cinco  Pensionistas”,  supra  nota  20,  párr.  174;  Caso</w:t>
        <w:br/>
        <w:t>Cantos, supra nota 15, párr. 67;  Caso  Las  Palmeras,  Reparaciones,  supra</w:t>
        <w:br/>
        <w:t>nota 13, párr. 37; y Caso del Caracazo, Reparaciones, supra nota  13,  párr.</w:t>
        <w:br/>
        <w:t>76.</w:t>
        <w:br/>
        <w:br/>
        <w:t>[45]  Cfr., Caso Las Palmeras, Reparaciones, supra nota 13, párr.  38;  Caso</w:t>
        <w:br/>
        <w:t>del Caracazo, Reparaciones,  supra  nota  13,  párr.  77;  y  Caso  Hilaire,</w:t>
        <w:br/>
        <w:t>Constantine y Benjamin y otros, supra nota 20, párr. 203.</w:t>
        <w:br/>
        <w:br/>
        <w:t>[46]  Cfr., Caso Las Palmeras, Reparaciones, supra nota 13, párr.  38;  Caso</w:t>
        <w:br/>
        <w:t>del  Caracazo,  Reparaciones,  supra  nota  13,  párr.  77;  Caso   Hilaire,</w:t>
        <w:br/>
        <w:t>Constantine y Benjamin y otros, supra nota 20, párr. 203. Además véase  Caso</w:t>
        <w:br/>
        <w:t>Bulacio, supra nota 13, párr. 72; Caso Juan  Humberto  Sánchez,  supra  nota</w:t>
        <w:br/>
        <w:t>10, párr. 149; Caso Cantos, supra nota 15,  párr.  68;  Caso  Las  Palmeras,</w:t>
        <w:br/>
        <w:t>Reparaciones, supra nota 13, párr.  38;  Caso  del  Caracazo,  Reparaciones,</w:t>
        <w:br/>
        <w:t>supra nota 13, párr. 77; Caso  Hilaire,  Constantine  y  Benjamin  y  otros,</w:t>
        <w:br/>
        <w:t>supra nota 20, párr. 203; Caso Trujillo Oroza, Reparaciones, supra nota  20,</w:t>
        <w:br/>
        <w:t>párr. 61; Caso Bámaca Velásquez, Reparaciones,  supra  nota  15,  párr.  39;</w:t>
        <w:br/>
        <w:t>Caso Cantoral Benavides, Reparaciones, supra nota 15, párr. 41;  Caso  Cesti</w:t>
        <w:br/>
        <w:t>Hurtado, Reparaciones, supra nota 15, párr. 34; Caso de  los  “Niños  de  la</w:t>
        <w:br/>
        <w:t>Calle” (Villagrán Morales y otros), Reparaciones, supra nota 13,  párr.  61;</w:t>
        <w:br/>
        <w:t>Caso de la “Panel Blanca” (Paniagua Morales y  otros),  Reparaciones,  supra</w:t>
        <w:br/>
        <w:t>nota  15,  párr.  77;  Caso  Blake.  Reparaciones   (art.  63.1   Convención</w:t>
        <w:br/>
        <w:t>Americana sobre Derechos Humanos). Sentencia de 22 de enero de  1999.  Serie</w:t>
        <w:br/>
        <w:t>C No. 48, párr. 32; Caso Suárez Rosero, Reparaciones, supra nota  25,  párr.</w:t>
        <w:br/>
        <w:t>42; Caso  Castillo  Páez,  Reparaciones,  supra  nota  13,  párr.  42;  Caso</w:t>
        <w:br/>
        <w:t>Caballero Delgado y Santana. Reparaciones (art.  63.1  Convención  Americana</w:t>
        <w:br/>
        <w:t>sobre Derechos Humanos). Sentencia de 29 de enero de 1997. Serie C  No.  31,</w:t>
        <w:br/>
        <w:t>párr. 16; Caso Neira Alegría y otros.  Reparaciones  (art.  63.1  Convención</w:t>
        <w:br/>
        <w:t>Americana sobre Derechos Humanos). Sentencia de 19 de  septiembre  de  1996.</w:t>
        <w:br/>
        <w:t>Serie  C  No.  29,  párr.  37;  Caso  El  Amparo.  Reparaciones  (art.  63.1</w:t>
        <w:br/>
        <w:t>Convención Americana sobre Derechos Humanos). Sentencia de 14 de  septiembre</w:t>
        <w:br/>
        <w:t>de 1996. Serie C No. 28, párr. 15; Caso Aloeboetoe  y  otros,  Reparaciones,</w:t>
        <w:br/>
        <w:t>supra nota 18, párr. 44;  Caso  Godínez  Cruz.  Indemnización  Compensatoria</w:t>
        <w:br/>
        <w:t>(art. 63.1 Convención Americana sobre Derechos Humanos). Sentencia de 21  de</w:t>
        <w:br/>
        <w:t>julio de 1989. Serie  C  No.  8,  párr.  28;  y  Caso  Velásquez  Rodríguez.</w:t>
        <w:br/>
        <w:t>Indemnización Compensatoria (art. 63.1 Convención Americana  sobre  Derechos</w:t>
        <w:br/>
        <w:t>Humanos). Sentencia de 21 de julio de 1989. Serie C No. 7, párr. 30.</w:t>
        <w:br/>
        <w:br/>
        <w:t>[47]  Cfr., Caso Las Palmeras, Reparaciones, supra nota 15, párr.  37;  Caso</w:t>
        <w:br/>
        <w:t>del Caracazo, Reparaciones, supra nota 13, párr. 77; y Caso Trujillo  Oroza,</w:t>
        <w:br/>
        <w:t>Reparaciones, supra nota 20, párr. 62.</w:t>
        <w:br/>
        <w:br/>
        <w:t>[48]  Cfr., Caso Bulacio, supra nota 13; Caso Barrios  Altos.  Sentencia  de</w:t>
        <w:br/>
        <w:t>14 de marzo de 2001. Serie C No. 75; Caso Trujillo  Oroza,  supra  nota  15;</w:t>
        <w:br/>
        <w:t>Caso del Caracazo. Sentencia de 11 de noviembre de 1999.  Serie  C  No.  58;</w:t>
        <w:br/>
        <w:t>Caso Benavides Cevallos. Sentencia de 19 de junio de 1998. Serie C  No.  38;</w:t>
        <w:br/>
        <w:t>Caso Garrido y Baigorria. Sentencia de 2 de febrero de  1996.  Serie  C  No.</w:t>
        <w:br/>
        <w:t>26; Caso El Amparo. Sentencia de 18 de enero de 1995. Serie C No.  19;  Caso</w:t>
        <w:br/>
        <w:t>Maqueda. Resolución de 17  de  enero  de  1995.  Serie  C  No.  18;  y  Caso</w:t>
        <w:br/>
        <w:t>Aloeboetoe y otros. Sentencia de 4 de diciembre de 1991. Serie C No. 11.</w:t>
        <w:br/>
        <w:br/>
        <w:t>[49]  Cfr., Caso Bulacio, supra nota 13, párrs. 25, 27, 31 a  33;  Caso  del</w:t>
        <w:br/>
        <w:t>Caracazo, Reparaciones, supra  nota  13,  párr.  51;  Caso  Trujillo  Oroza,</w:t>
        <w:br/>
        <w:t>Reparaciones, supra nota 20,  párr.  5;  Caso  Barrios  Altos.  Reparaciones</w:t>
        <w:br/>
        <w:t>(art. 63.1 Convención Americana sobre Derechos Humanos). Sentencia de 30  de</w:t>
        <w:br/>
        <w:t>noviembre de 2001. Serie C No. 87, párr. 3; Caso Barrios Altos,  supra  nota</w:t>
        <w:br/>
        <w:t>48, párrs. 34 y 35; Caso Trujillo Oroza, supra nota  15,  párrs.  36  y  37;</w:t>
        <w:br/>
        <w:t>Caso del Caracazo, supra nota 48, párrs. 37 y 39; Caso Garrido y  Baigorria.</w:t>
        <w:br/>
        <w:t>Reparaciones  (art.  63.1  Convención  Americana  sobre  Derechos  Humanos).</w:t>
        <w:br/>
        <w:t>Sentencia de 27 de agosto de 1998. Serie C No. 39,  párrs.  16  y  17;  Caso</w:t>
        <w:br/>
        <w:t>Benavides  Cevallos,  supra  nota  48,  párrs.  35  y  36;  Caso  Garrido  y</w:t>
        <w:br/>
        <w:t>Baigorria, supra nota 48, párrs. 24, 25 y 27; Caso El Amparo,  Reparaciones,</w:t>
        <w:br/>
        <w:t>supra nota 46, párrs. 4 y 5; Caso El Amparo, supra nota 48, párrs. 19 y  20;</w:t>
        <w:br/>
        <w:t>Caso Maqueda, supra nota 48, párrs. 26 y 27;  y  Caso  Aloeboetoe  y  otros,</w:t>
        <w:br/>
        <w:t>supra nota 48, párr. 22.</w:t>
        <w:br/>
        <w:br/>
        <w:t>[50]  Caso Juan Humberto Sánchez, supra nota 10, párrs. 9 al 26.</w:t>
        <w:br/>
        <w:br/>
        <w:t>[51]  Cfr., inter alia, Caso Bulacio, supra  nota  13;  Caso  del  Caracazo,</w:t>
        <w:br/>
        <w:t>Reparaciones, supra nota 13; Caso Trujillo Oroza, Reparaciones,  supra  nota</w:t>
        <w:br/>
        <w:t>20; Caso Trujillo Oroza, supra nota 15, párrs. 36 y 37; Caso  del  Caracazo,</w:t>
        <w:br/>
        <w:t>supra nota 48; Caso Baena Ricardo  y  otros,  supra  nota  20;  y  Caso  del</w:t>
        <w:br/>
        <w:t>Tribunal Constitucional, supra nota 15.</w:t>
        <w:br/>
        <w:br/>
        <w:t>[52]  Caso Genie Lacayo, supra nota 9, párr. 39; Caso  Caballero  Delgado  y</w:t>
        <w:br/>
        <w:t>Santana. Excepciones Preliminares. Sentencia de 21 de enero de  1994.  Serie</w:t>
        <w:br/>
        <w:t>C No. 17, párr. 26; Caso Godínez Cruz, Excepciones  Preliminares,  Sentencia</w:t>
        <w:br/>
        <w:t>de 26 de junio de 1987. Serie C No. 3, párr. 47; Caso Fairén Garbi  y  Solís</w:t>
        <w:br/>
        <w:t>Corrales, Excepciones Preliminares, Sentencia de 26 de junio de 1987.  Serie</w:t>
        <w:br/>
        <w:t>C No. 2, párr. 49; y Caso  Velásquez  Rodríguez,  Excepciones  Preliminares,</w:t>
        <w:br/>
        <w:t>Sentencia de 26 de junio de 1987. Serie C No. 1, párr. 44.</w:t>
        <w:br/>
        <w:br/>
        <w:t>[53]  Cfr., Caso Bulacio, supra  nota  13,  párr.  42;  Caso  Juan  Humberto</w:t>
        <w:br/>
        <w:t>Sánchez, supra nota 10, párr. 30; Caso “Cinco Pensionistas”, supra nota  20,</w:t>
        <w:br/>
        <w:t>párr. 65; y Caso Cantos, supra nota 15, párr. 27.</w:t>
        <w:br/>
        <w:br/>
        <w:t>[54]  Gloyal v.  UNESCO,  43  I.L.R.  396  (Tribunal  Administrativo  de  la</w:t>
        <w:br/>
        <w:t>Organización Internacional de Trabajo, 1969); Tribunal Administrativo de  la</w:t>
        <w:br/>
        <w:t>Organización Internacional de Trabajo (Opinión Consultiva) 1956, I.J.C.  77.</w:t>
        <w:br/>
        <w:t>Cfr., inter alia, Caso Bulacio, supra nota 13, párrs. 84, 88, 96, 100,  102,</w:t>
        <w:br/>
        <w:t>150, 152 y 153; Caso Juan Humberto Sánchez, supra nota 10, párrs. 163,  166,</w:t>
        <w:br/>
        <w:t>168, 172, 177, 193, 194 y 195; Caso “Cinco  Pensionistas”,  supra  nota  20,</w:t>
        <w:br/>
        <w:t>párrs. 180, 181 y 182; Caso Cantos,  supra  nota  15,  párr.  72;  Caso  Las</w:t>
        <w:br/>
        <w:t>Palmeras, Reparaciones, supra nota 13, párrs. 47 y 84;  Caso  del  Caracazo,</w:t>
        <w:br/>
        <w:t>Reparaciones, supra nota 13, párrs. 85, 86, 87, 94, 99, 100, 101, 102,  103,</w:t>
        <w:br/>
        <w:t>104, 106, 107,  109  y 133; Caso Hilaire, Constantine y  Benjamin  y  otros,</w:t>
        <w:br/>
        <w:t>supra  nota  20,  párrs.  215,  216,  218,  y  219;  Caso  Trujillo   Oroza,</w:t>
        <w:br/>
        <w:t>Reparaciones, supra nota 20, párrs. 73, 74 a), 74 b),  77,  83,  89,  128  y</w:t>
        <w:br/>
        <w:t>129; Caso Bámaca Velásquez, Reparaciones, supra nota 15,  párrs. 51  b),  54</w:t>
        <w:br/>
        <w:t>a), 54 c), 56, 60, 66 y 91; Caso  Cantoral  Benavides,  Reparaciones,  supra</w:t>
        <w:br/>
        <w:t>nota 15, párrs. 50, 51, 53, 57, 62  y  87;  Caso  de  la  Comunidad  Mayagna</w:t>
        <w:br/>
        <w:t>(Sumo) Awas Tingni, supra nota  20,  párrs.  167,  168  y  169;  Caso  Cesti</w:t>
        <w:br/>
        <w:t>Hurtado, Reparaciones, supra nota 15, párrs. 51, 53, 72 y 73;  Caso  de  los</w:t>
        <w:br/>
        <w:t>“Niños de la Calle” (Villagrán Morales y otros),  Reparaciones,  supra  nota</w:t>
        <w:br/>
        <w:t>13, párrs. 80, 84, 88, 90  y  109;  Caso  de  la  “Panel  Blanca”  (Paniagua</w:t>
        <w:br/>
        <w:t>Morales y otros), Reparaciones, supra nota 15, párrs.  99,  105,  110,  111,</w:t>
        <w:br/>
        <w:t>119, 126, 127, 138, 145, 187, 193 y 217; Caso Ivcher Bronstein,  supra  nota</w:t>
        <w:br/>
        <w:t>20, párrs. 183, 184 y 189; Caso “La  Última  Tentación  de  Cristo”  (Olmedo</w:t>
        <w:br/>
        <w:t>Bustos y otros), supra nota 20, párrs. 100  y  101;  Caso  Baena  Ricardo  y</w:t>
        <w:br/>
        <w:t>otros, supra nota 20,  párrs.  206,  207,  208  y  209;  Caso  del  Tribunal</w:t>
        <w:br/>
        <w:t>Constitucional, supra nota 15, párrs. 125 y 126; Caso  Blake,  Reparaciones,</w:t>
        <w:br/>
        <w:t>supra nota 46, párrs. 49, 58 y 70; Caso Suárez Rosero,  Reparaciones,  supra</w:t>
        <w:br/>
        <w:t>nota 25, párrs. 60 c), 67, 92 y 93; Caso Castillo Páez, Reparaciones,  supra</w:t>
        <w:br/>
        <w:t>nota 13, párrs. 75, 76, 77, 84, 90 y 112; Caso Loayza Tamayo,  Reparaciones,</w:t>
        <w:br/>
        <w:t>supra nota 13, párrs. 139,  141,  142  y  143;  Caso  Garrido  y  Baigorria,</w:t>
        <w:br/>
        <w:t>Reparaciones, supra nota 49, párrs. 63, 64 y 82; Caso  Caballero  Delgado  y</w:t>
        <w:br/>
        <w:t>Santana, Reparaciones, supra nota 46, párrs. 50 y  51;  Caso  Genie  Lacayo,</w:t>
        <w:br/>
        <w:t>supra nota 15, párr. 95; Caso Neira Alegría  y  otros,  Reparaciones,  supra</w:t>
        <w:br/>
        <w:t>nota 46, párrs. 42, 50, 56 y 61; Caso El Amparo,  Reparaciones,  supra  nota</w:t>
        <w:br/>
        <w:t>46, párr. 37; Caso Aloeboetoe y otros, Reparaciones, supra nota  18,  párrs.</w:t>
        <w:br/>
        <w:t>86 y 87; Caso Godínez Cruz.  Indemnización  Compensatoria,  supra  nota  46,</w:t>
        <w:br/>
        <w:t>párr. 25; y Caso Velásquez  Rodríguez,  Indemnización  Compensatoria,  supra</w:t>
        <w:br/>
        <w:t>nota 46, párr. 27.</w:t>
        <w:br/>
        <w:br/>
        <w:t>[55]  Caso Juan Humberto Sánchez, supra nota 10, párrs. 163, 166, 168,  172,</w:t>
        <w:br/>
        <w:t>177, 194 y 195.</w:t>
        <w:br/>
        <w:br/>
        <w:t>[56]  En lo  que  se  refiere  a  la  Declaración  Americana,  la  Corte  ha</w:t>
        <w:br/>
        <w:t>declarado que</w:t>
        <w:br/>
        <w:br/>
        <w:t xml:space="preserve">      a manera  de  interpretación  autorizada,  los  Estados  miembros  han</w:t>
        <w:br/>
        <w:t xml:space="preserve">      entendido que [ésta]  contiene  y  define  aquellos  derechos  humanos</w:t>
        <w:br/>
        <w:t xml:space="preserve">      esenciales a los que la Carta [de  la  Organización]  se  refiere,  de</w:t>
        <w:br/>
        <w:t xml:space="preserve">      manera que no se puede interpretar y aplicar [esta última] en  materia</w:t>
        <w:br/>
        <w:t xml:space="preserve">      de derechos humanos, sin integrar las normas pertinentes en  ella  con</w:t>
        <w:br/>
        <w:t xml:space="preserve">      las correspondientes disposiciones de la Declaración.  (Interpretación</w:t>
        <w:br/>
        <w:t xml:space="preserve">      de la Declaración Americana de los Derechos y Deberes del Hombre en el</w:t>
        <w:br/>
        <w:t xml:space="preserve">      marco del artículo  64  de  la  Convención  Americana  sobre  Derechos</w:t>
        <w:br/>
        <w:t xml:space="preserve">      Humanos, Opinión Consultiva OC-10/89 de 14 de julio de 1989.  Serie  A</w:t>
        <w:br/>
        <w:t xml:space="preserve">      No. 10; párr. 43).</w:t>
        <w:br/>
        <w:br/>
        <w:br/>
        <w:t>De esta manera, la Corte ha reconocido que  la  Declaración  constituye  una</w:t>
        <w:br/>
        <w:t>fuente de obligaciones internacionales para los Estados de  nuestra  región,</w:t>
        <w:br/>
        <w:t>las cuales  también pueden ser interpretadas en el  marco  de  la  evolución</w:t>
        <w:br/>
        <w:t>del “derecho americano” en esta materia.</w:t>
        <w:br/>
        <w:br/>
        <w:t>[57]  El derecho a la información sobre la asistencia consular en  el  marco</w:t>
        <w:br/>
        <w:t>de las garantias del debido proceso legal. Opinión Consultiva OC-16/99 de  1</w:t>
        <w:br/>
        <w:t>de octubre de 1999. Serie A No. 16, párr. 114;  y  en  igual  sentido,  Caso</w:t>
        <w:br/>
        <w:t>Cantoral Benavides, supra nota 20, párr. 99; y  Caso  Blake.  Interpretación</w:t>
        <w:br/>
        <w:t>de la Sentencia sobre Reparaciones   (art.  67  Convención  Americana  sobre</w:t>
        <w:br/>
        <w:t>Derechos Humanos). Sentencia de 1 de octubre de 1999. Serie C No. 57,  párr.</w:t>
        <w:br/>
        <w:t>21.</w:t>
        <w:br/>
        <w:br/>
        <w:t>[58]  Cfr., Caso Bulacio, supra  nota  13,  párr.  78;  Caso  Juan  Humberto</w:t>
        <w:br/>
        <w:t>Sánchez, supra nota 10, párr. 155; Caso Trujillo Oroza, Reparaciones,  supra</w:t>
        <w:br/>
        <w:t>nota 20, párr. 54; Caso  Bámaca  Velásquez,  Reparaciones,  supra  nota  15,</w:t>
        <w:br/>
        <w:t>párr. 30; Caso Cantoral Benavides, Reparaciones, supra nota  15,  párr.  36;</w:t>
        <w:br/>
        <w:t>Caso de los “Niños de la Calle” (Villagrán Morales y  otros),  Reparaciones,</w:t>
        <w:br/>
        <w:t>supra nota 13, párr. 65; Caso de  la  “Panel  Blanca”  (Paniagua  Morales  y</w:t>
        <w:br/>
        <w:t>otros), Reparaciones, supra nota 15, párr.  82;  Caso  Blake,  Reparaciones,</w:t>
        <w:br/>
        <w:t>supra nota 46, párr. 38; Caso Castillo Páez, Reparaciones,  supra  nota  13,</w:t>
        <w:br/>
        <w:t>párr. 54; y Caso Loayza Tamayo, Reparaciones, supra nota 13, párr. 89.</w:t>
        <w:br/>
        <w:br/>
        <w:t>[59]  Artículo 2.15  del  Reglamento  de  la  Corte  citado  en  Cfr.,  Caso</w:t>
        <w:br/>
        <w:t>Bulacio, supra nota 13, párr. 78; Caso Juan  Humberto  Sánchez,  supra  nota</w:t>
        <w:br/>
        <w:t>10, párr. 156; Caso Las Palmeras, Reparaciones, supra nota 13, párrs.  54  y</w:t>
        <w:br/>
        <w:t>55; Caso del Caracazo, Reparaciones, supra nota 13, párrs.  72  y  73;  Caso</w:t>
        <w:br/>
        <w:t>Trujillo  Oroza,  Reparaciones,  supra  nota  20,  párr.  57;  Caso   Bámaca</w:t>
        <w:br/>
        <w:t>Velásquez, Reparaciones, supra nota 15, párr. 34; Caso de los “Niños  de  la</w:t>
        <w:br/>
        <w:t>Calle” (Villagrán Morales y otros), Reparaciones, supra nota 13,  párr.  68;</w:t>
        <w:br/>
        <w:t>Caso de la “Panel Blanca” (Paniagua Morales y  otros),  Reparaciones,  supra</w:t>
        <w:br/>
        <w:t>nota 15, párr. 86; Caso Loayza Tamayo, Reparaciones, supra  nota  13,  párr.</w:t>
        <w:br/>
        <w:t>92; y Caso Garrido y Baigorria,  Reparaciones, supra nota 49, párr. 52.</w:t>
        <w:br/>
        <w:br/>
        <w:br/>
        <w:t>[60]  Caso Juan Humberto Sánchez, supra nota 10, párrs. 155 y 156.</w:t>
        <w:br/>
        <w:br/>
        <w:t>[61]  Caso del Caracazo, Reparaciones,  supra nota 15, párr. 91.</w:t>
        <w:br/>
        <w:br/>
        <w:t>[62]  Caso El Amparo, Reparaciones, supra nota 46,  párr 40. Cfr.  en  igual</w:t>
        <w:br/>
        <w:t>sentido Caso Juan Sánchez, supra nota 10, párr. 164 b).</w:t>
        <w:br/>
        <w:br/>
        <w:t>[63]  Caso Garrido y Baigorria, Reparaciones, supra nota  49,  párrs.  55  y</w:t>
        <w:br/>
        <w:t>56.</w:t>
        <w:br/>
        <w:br/>
        <w:t>[64]  Caso de los “Niños de la Calle” (Villagrán  Morales  y  otros),  supra</w:t>
        <w:br/>
        <w:t>nota 30, Resolutivos 4 y 6.</w:t>
        <w:br/>
        <w:br/>
        <w:t>[65]  Cfr., Caso Bulacio, supra nota  13,  párrs.  113  y  ss.;  Caso  Neira</w:t>
        <w:br/>
        <w:t>Alegría y otros. Cumplimiento de Sentencia. Resolución de la Corte de 28  de</w:t>
        <w:br/>
        <w:t>noviembre de 2002, considerando tercero; Caso  El  Amparo.  Cumplimiento  de</w:t>
        <w:br/>
        <w:t>Sentencia. Resolución de la Corte de 28 de noviembre de  2002,  considerando</w:t>
        <w:br/>
        <w:t>tercero; Caso Loayza Tamayo. Cumplimiento de  Sentencia.  Resolución  de  la</w:t>
        <w:br/>
        <w:t>Corte de 27 de noviembre de  2002,  considerando  tercero;  Caso  Garrido  y</w:t>
        <w:br/>
        <w:t>Baigorria. Cumplimiento de Sentencia. Resolución de la Corte  Interamericana</w:t>
        <w:br/>
        <w:t>de Derechos Humanos de 27 de noviembre  de  2002,  considerando  tercero;  e</w:t>
        <w:br/>
        <w:t>inter alia, Caso Trujillo Oroza, Reparaciones, supra  nota  20,  párr.  106;</w:t>
        <w:br/>
        <w:t>Caso Barrios Altos. Reparaciones, supra nota 49, párr. 41;  y  Caso  Barrios</w:t>
        <w:br/>
        <w:t>Altos.  Interpretación  de  la  Sentencia  de  Fondo.  (art.  67  Convención</w:t>
        <w:br/>
        <w:t>Americana sobre Derechos Humanos). Sentencia de 3  de  septiembre  de  2001.</w:t>
        <w:br/>
        <w:t>Serie C No. 83, párr. 15.</w:t>
        <w:br/>
        <w:br/>
        <w:t>[66]  Cfr., Caso Trujillo Oroza, Reparaciones, supra  nota  30,  párr.  106;</w:t>
        <w:br/>
        <w:t>Caso Barrios  Altos,  supra  nota  3,  párr.   41;  y  Caso  Barrios  Altos.</w:t>
        <w:br/>
        <w:t>Interpretación de la Sentencia de Fondo, supra nota 66, párr. 15.</w:t>
        <w:br/>
        <w:br/>
        <w:t>[67]  Cfr., Caso Barrios Altos, supra nota 48, párr. 43.</w:t>
        <w:br/>
        <w:br/>
        <w:t>[68]  Caso Bulacio, supra nota 13, párrs. 113 y ss.; Caso  Neira  Alegría  y</w:t>
        <w:br/>
        <w:t>otros. Cumplimiento de Sentencia, supra nota 66, considerando tercero;  Caso</w:t>
        <w:br/>
        <w:t>El Amparo. Cumplimiento de Sentencia, supra nota 66,  considerando  tercero;</w:t>
        <w:br/>
        <w:t>Caso Loayza Tamayo. Cumplimiento de Sentencia, supra nota  66,  considerando</w:t>
        <w:br/>
        <w:t>tercero; Caso Garrido y Baigorria, supra nota 66,  considerando  tercero;  e</w:t>
        <w:br/>
        <w:t>inter alia, Caso Trujillo Oroza, Reparaciones, supra  nota  20,  párr.  106;</w:t>
        <w:br/>
        <w:t>Caso Barrios Altos. Reparaciones, supra nota 49, párr. 41;  y  Caso  Barrios</w:t>
        <w:br/>
        <w:t>Altos. Interpretación de la Sentencia de Fondo, supra nota 66, párr.  15;  y</w:t>
        <w:br/>
        <w:t>Caso Barrios Altos, supra nota 48, párr. 41.</w:t>
        <w:br/>
        <w:br/>
        <w:t>[69]  Caso Juan Humberto Sánchez, supra nota 10, párr.  162.  Además,  Cfr.,</w:t>
        <w:br/>
        <w:t>Caso Trujillo Oroza, Reparaciones, supra nota  20,  párr.  65;  Caso  Bámaca</w:t>
        <w:br/>
        <w:t>Velásquez, Reparaciones, supra nota 15, párr.  43;  y  Caso  Castillo  Páez,</w:t>
        <w:br/>
        <w:t>Reparaciones, supra nota 13, párr. 76.</w:t>
        <w:br/>
        <w:br/>
        <w:t>[70]  Caso Juan Humberto Sánchez, supra nota 10, párr. 166.</w:t>
        <w:br/>
        <w:br/>
        <w:t>[71]  Caso Juan Humberto Sánchez, supra nota 10, párr. 166.a).</w:t>
        <w:br/>
        <w:br/>
        <w:t>[72]  Caso Juan  Humberto  Sánchez,  supra  nota  10,  párrs.  70.E.41.d)  y</w:t>
        <w:br/>
        <w:t>166.b).</w:t>
        <w:br/>
        <w:br/>
        <w:t>[73]  Caso Juan Humberto Sánchez, supra nota 10, párrs. 70.41.c) y 166.b).</w:t>
        <w:br/>
        <w:br/>
        <w:t>[74]  Cfr. Caso del Caracazo, Reparaciones, supra nota 13,  párr.  86;  Caso</w:t>
        <w:br/>
        <w:t>Trujillo Oroza,  Reparaciones,  supra  nota  20,  párr.  74.b;  Caso  Bámaca</w:t>
        <w:br/>
        <w:t>Velásquez.  Reparaciones,  supra  nota  15,  párr.  54.b);   Caso   Cantoral</w:t>
        <w:br/>
        <w:t>Benavides, Reparaciones, supra nota 15, , párr. 51. d); y Caso de la  “Panel</w:t>
        <w:br/>
        <w:t>Blanca” (Paniagua Morales y otros), Reparaciones, supra nota 15, párr. 98.</w:t>
        <w:br/>
        <w:br/>
        <w:t>[75]  Caso Juan Humberto Sánchez, supra nota 10, párr. 166.c).</w:t>
        <w:br/>
        <w:br/>
        <w:t>[76]  Caso Juan Humberto Sánchez, supra nota 10, párr. 166.d).</w:t>
        <w:br/>
        <w:br/>
        <w:t>[77]  Cfr., Caso Bulacio, supra nota 13, párrs. 84-89;  Caso  Juan  Humberto</w:t>
        <w:br/>
        <w:t>Sánchez, supra nota 10, párrs. 162-167;  Caso  del  Caracazo,  Reparaciones,</w:t>
        <w:br/>
        <w:t>supra nota 13, párrs. 84-93; Caso Trujillo Oroza, Reparaciones,  supra  nota</w:t>
        <w:br/>
        <w:t>20, párrs. 65 y 71 a 76; Caso Bámaca  Velásquez,  Reparaciones,  supra  nota</w:t>
        <w:br/>
        <w:t>15, párrs. 43 y 50 a 55; Caso Cantoral Benavides, Reparaciones,  supra  nota</w:t>
        <w:br/>
        <w:t>15, párrs. 47-52; Caso de los “Niños  de  la  Calle”  (Villagrán  Morales  y</w:t>
        <w:br/>
        <w:t>otros). Reparaciones, supra nota 13, párrs. 78  a  83;  Caso  de  la  “Panel</w:t>
        <w:br/>
        <w:t>Blanca” (Paniagua Morales y otros), Reparaciones, supra nota 15,  párrs.  91</w:t>
        <w:br/>
        <w:t>a 100, 115 a  120,  131  a  138,  149  a  153  y  164  a  170;  Caso  Blake,</w:t>
        <w:br/>
        <w:t>Reparaciones,  supra  nota  46,  párrs.  47  a  50;  Caso   Suárez   Rosero,</w:t>
        <w:br/>
        <w:t>Reparaciones,  supra  nota  25,  párrs.  58  a  60;  Caso   Castillo   Páez,</w:t>
        <w:br/>
        <w:t>Reparaciones, supra  nota  13,  párrs.  74  a  77;  y  Caso  Loayza  Tamayo,</w:t>
        <w:br/>
        <w:t>Reparaciones, supra nota 13, párrs. 128-133.</w:t>
        <w:br/>
        <w:br/>
        <w:t>[78]  Caso Juan Humberto Sánchez, supra nota 10, párr. 176.</w:t>
        <w:br/>
        <w:br/>
        <w:t>[79]  Caso Juan Humberto Sánchez, supra nota 10,  párr. 175.</w:t>
        <w:br/>
        <w:br/>
        <w:t>[80]  Caso Juan Humberto Sánchez, supra nota 10,  párr. 175.</w:t>
        <w:br/>
        <w:br/>
        <w:t>[81]  Cfr., Caso Bulacio, supra  nota  13,  párr.  78;  Caso  Juan  Humberto</w:t>
        <w:br/>
        <w:t>Sánchez, supra nota 10, párr. 156; Caso Las  Palmeras,  Reparaciones,  supra</w:t>
        <w:br/>
        <w:t>nota 13, párrs. 54 a 55; y Caso Trujillo  Oroza,  Reparaciones,  supra  nota</w:t>
        <w:br/>
        <w:t>20, párr. 57.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