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br/>
        <w:t xml:space="preserve">                    Caso Baena Ricardo y otros Vs. Panamá</w:t>
        <w:br/>
        <w:br/>
        <w:br/>
        <w:br/>
        <w:t xml:space="preserve">                    Sentencia de 28 de noviembre de 2003</w:t>
        <w:br/>
        <w:br/>
        <w:br/>
        <w:t xml:space="preserve">                                (Competencia)</w:t>
        <w:br/>
        <w:br/>
        <w:br/>
        <w:br/>
        <w:t>En el caso Baena Ricardo y otros,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Antônio A. Cançado Trindade, Presidente;</w:t>
        <w:br/>
        <w:t xml:space="preserve">      Sergio García Ramírez, Vicepresidente;</w:t>
        <w:br/>
        <w:t xml:space="preserve">      Hernán Salgado Pesantes, Juez;</w:t>
        <w:br/>
        <w:t xml:space="preserve">      Máximo Pacheco Gómez, Juez;</w:t>
        <w:br/>
        <w:t xml:space="preserve">      Oliver Jackman, Juez;</w:t>
        <w:br/>
        <w:t xml:space="preserve">      Alirio Abreu Burelli, Juez, y</w:t>
        <w:br/>
        <w:t xml:space="preserve">      Carlos Vicente de Roux Rengifo, Juez,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Adjunto,</w:t>
        <w:br/>
        <w:br/>
        <w:br/>
        <w:t>de conformidad con el artículo 25.1 del Estatuto de la  Corte  (en  adelante</w:t>
        <w:br/>
        <w:t>“el Estatuto”) y con los artículos 29, 55 y 57 del Reglamento  de  la  Corte</w:t>
        <w:br/>
        <w:t>(en  adelante  “el  Reglamento”),  dicta  la   siguiente   Sentencia   sobre</w:t>
        <w:br/>
        <w:t>Competencia en relación con el alegato del Estado  de  Panamá  (en  adelante</w:t>
        <w:br/>
        <w:t>“el Estado”  o  “Panamá”)  de  que  la  Corte  carece  de  competencia  para</w:t>
        <w:br/>
        <w:t>supervisar el cumplimiento de sus sentencias.</w:t>
        <w:br/>
        <w:br/>
        <w:br/>
        <w:t xml:space="preserve">                                      I</w:t>
        <w:br/>
        <w:br/>
        <w:t xml:space="preserve">                         Procedimiento ante la Corte</w:t>
        <w:br/>
        <w:br/>
        <w:br/>
        <w:t>1.    El 16 de enero de 1998 la Comisión Interamericana de Derechos  Humanos</w:t>
        <w:br/>
        <w:t>(en adelante “la Comisión” o “la Comisión Interamericana”) sometió  ante  la</w:t>
        <w:br/>
        <w:t>Corte una demanda contra Panamá que se originó en una denuncia (No.  11.325)</w:t>
        <w:br/>
        <w:t>recibida en la Secretaría de la Comisión el  22  de  febrero  de  1994.   La</w:t>
        <w:br/>
        <w:t>Comisión sometió este caso con el fin de que  la  Corte  decidiera  si  hubo</w:t>
        <w:br/>
        <w:t>violación, por  parte  de  Panamá,  de  los  artículos  1.1  (Obligación  de</w:t>
        <w:br/>
        <w:t>Respetar los  Derechos);  2  (Deber  de  Adoptar  Disposiciones  de  Derecho</w:t>
        <w:br/>
        <w:t>Interno);  8  (Garantías  Judiciales);  9  (Principio  de  Legalidad  y   de</w:t>
        <w:br/>
        <w:t>Retroactividad); 10 (Derecho a Indemnización); 15 (Derecho de  Reunión);  16</w:t>
        <w:br/>
        <w:t>(Libertad de Asociación); 25 (Protección  Judicial),  y  33  y  50.2  de  la</w:t>
        <w:br/>
        <w:t>Convención Americana sobre Derechos Humanos (en adelante “la  Convención”  o</w:t>
        <w:br/>
        <w:t>“la Convención Americana”).</w:t>
        <w:br/>
        <w:br/>
        <w:t>2.     El  18  de  noviembre  de  1999  la  Corte  emitió  la  Sentencia  de</w:t>
        <w:br/>
        <w:t>Excepciones Preliminares, en la cual resolvió, por unanimidad:</w:t>
        <w:br/>
        <w:br/>
        <w:t xml:space="preserve">        1. Desestimar las  excepciones  preliminares  interpuestas  por  el</w:t>
        <w:br/>
        <w:t xml:space="preserve">           Estado.</w:t>
        <w:br/>
        <w:br/>
        <w:t xml:space="preserve">      2.    Continuar con el conocimiento del presente caso.</w:t>
        <w:br/>
        <w:br/>
        <w:br/>
        <w:br/>
        <w:t>3.    El 2 de febrero de 2001 la Corte dictó la Sentencia sobre el Fondo y</w:t>
        <w:br/>
        <w:t>las Reparaciones y Costas, en la cual, por unanimidad:</w:t>
        <w:br/>
        <w:br/>
        <w:br/>
        <w:t xml:space="preserve">      1.    declar[ó] que el Estado violó los principios de legalidad  y  de</w:t>
        <w:br/>
        <w:t xml:space="preserve">      irretroactividad  consagrados  en  el  artículo  9  de  la  Convención</w:t>
        <w:br/>
        <w:t xml:space="preserve">      Americana sobre Derechos Humanos, en perjuicio de los 270 trabajadores</w:t>
        <w:br/>
        <w:t xml:space="preserve">      mencionados en el párrafo 4 de la […] Sentencia.</w:t>
        <w:br/>
        <w:br/>
        <w:t xml:space="preserve">      2.    declar[ó] que el Estado  violó  los  derechos  a  las  garantías</w:t>
        <w:br/>
        <w:t xml:space="preserve">      judiciales y a la protección judicial  consagrados  en  los  artículos</w:t>
        <w:br/>
        <w:t xml:space="preserve">      8.1, 8.2 y 25 de la Convención Americana sobre  Derechos  Humanos,  en</w:t>
        <w:br/>
        <w:t xml:space="preserve">      perjuicio de los 270 trabajadores mencionados en el párrafo  4  de  la</w:t>
        <w:br/>
        <w:t xml:space="preserve">      […] Sentencia.</w:t>
        <w:br/>
        <w:br/>
        <w:t xml:space="preserve">      3.     declar[ó]  que  el  Estado  no  violó  el  derecho  de  reunión</w:t>
        <w:br/>
        <w:t xml:space="preserve">      consagrado en el artículo 15 de la Convención Americana sobre Derechos</w:t>
        <w:br/>
        <w:t xml:space="preserve">      Humanos, en perjuicio  de  los  270  trabajadores  mencionados  en  el</w:t>
        <w:br/>
        <w:t xml:space="preserve">      párrafo 4 de la […] Sentencia.</w:t>
        <w:br/>
        <w:br/>
        <w:t xml:space="preserve">      4.    declar[ó] que el Estado  violó  el  derecho  a  la  libertad  de</w:t>
        <w:br/>
        <w:t xml:space="preserve">      asociación consagrado en el artículo 16  de  la  Convención  Americana</w:t>
        <w:br/>
        <w:t xml:space="preserve">      sobre  Derechos  Humanos,  en  perjuicio  de  los   270   trabajadores</w:t>
        <w:br/>
        <w:t xml:space="preserve">      mencionados en el párrafo 4 de la […] Sentencia.</w:t>
        <w:br/>
        <w:br/>
        <w:t xml:space="preserve">      5.    declar[ó] que el Estado incumplió las obligaciones generales  de</w:t>
        <w:br/>
        <w:t xml:space="preserve">      los artículos 1.1 y  2  de  la  Convención  Americana  sobre  Derechos</w:t>
        <w:br/>
        <w:t xml:space="preserve">      Humanos en conexión con las violaciones de  los  derechos  sustantivos</w:t>
        <w:br/>
        <w:t xml:space="preserve">      señalados en los puntos resolutivos anteriores de la […] Sentencia.</w:t>
        <w:br/>
        <w:br/>
        <w:br/>
        <w:t xml:space="preserve">      6.    decid[ió] que el  Estado  debe  pagar  a  los  270  trabajadores</w:t>
        <w:br/>
        <w:t xml:space="preserve">      mencionados  en  el  párrafo  4  de  la  […]  Sentencia,  los   montos</w:t>
        <w:br/>
        <w:t xml:space="preserve">      correspondientes a los salarios caídos y demás derechos laborales  que</w:t>
        <w:br/>
        <w:t xml:space="preserve">      les correspondan según su legislación, pago que, en  el  caso  de  los</w:t>
        <w:br/>
        <w:t xml:space="preserve">      trabajadores  que   hubiesen   fallecido,   deberá   hacerse   a   sus</w:t>
        <w:br/>
        <w:t xml:space="preserve">      derechohabientes.  El Estado procederá a fijar, siguiendo los trámites</w:t>
        <w:br/>
        <w:t xml:space="preserve">      nacionales pertinentes, los montos indemnizatorios respectivos, a  fin</w:t>
        <w:br/>
        <w:t xml:space="preserve">      de que las víctimas y en su caso sus derechohabientes los  reciban  en</w:t>
        <w:br/>
        <w:t xml:space="preserve">      un plazo  máximo de 12 meses contados a partir de la  notificación  de</w:t>
        <w:br/>
        <w:t xml:space="preserve">      la […] Sentencia.</w:t>
        <w:br/>
        <w:br/>
        <w:br/>
        <w:t xml:space="preserve">      7.    decid[ió] que el Estado debe reintegrar en sus cargos a los  270</w:t>
        <w:br/>
        <w:t xml:space="preserve">      trabajadores mencionados en el párrafo 4 de la  […]  Sentencia  y,  si</w:t>
        <w:br/>
        <w:t xml:space="preserve">      esto no fuera posible, brindarles alternativas de empleo que  respeten</w:t>
        <w:br/>
        <w:t xml:space="preserve">      las condiciones, salarios y remuneraciones que tenían  al  momento  de</w:t>
        <w:br/>
        <w:t xml:space="preserve">      ser despedidos.  En caso de no ser tampoco  posible  esto  último,  el</w:t>
        <w:br/>
        <w:t xml:space="preserve">      Estado deberá proceder al pago de la indemnización que  corresponda  a</w:t>
        <w:br/>
        <w:t xml:space="preserve">      la terminación de relaciones de trabajo, de conformidad con el derecho</w:t>
        <w:br/>
        <w:t xml:space="preserve">      laboral interno.  De la misma manera, a los  derechohabientes  de  las</w:t>
        <w:br/>
        <w:t xml:space="preserve">      víctimas que hayan fallecido el Estado les brindará las  retribuciones</w:t>
        <w:br/>
        <w:t xml:space="preserve">      por concepto de pensión o  retiro  que  les  corresponda.   El  Estado</w:t>
        <w:br/>
        <w:t xml:space="preserve">      deb[ía] proceder a cumplir con lo establecido  en  el  presente  punto</w:t>
        <w:br/>
        <w:t xml:space="preserve">      resolutivo en un plazo máximo de 12 meses  contados  a  partir  de  la</w:t>
        <w:br/>
        <w:t xml:space="preserve">      notificación de la […] Sentencia.</w:t>
        <w:br/>
        <w:br/>
        <w:br/>
        <w:t xml:space="preserve">      8.    decid[ió], por equidad, que el Estado debe pagar a cada  uno  de</w:t>
        <w:br/>
        <w:t xml:space="preserve">      los 270 trabajadores mencionados en el párrafo 4 de la […]  Sentencia,</w:t>
        <w:br/>
        <w:t xml:space="preserve">      la suma de US$ 3.000 (tres  mil  dólares  de  los  Estados  Unidos  de</w:t>
        <w:br/>
        <w:t xml:space="preserve">      América) por concepto de daño moral.  El  Estado  deb[ía]  proceder  a</w:t>
        <w:br/>
        <w:t xml:space="preserve">      cumplir con lo establecido en el presente punto resolutivo en un plazo</w:t>
        <w:br/>
        <w:t xml:space="preserve">      máximo de 90 días contados a partir  de  la  notificación  de  la  […]</w:t>
        <w:br/>
        <w:t xml:space="preserve">      Sentencia.</w:t>
        <w:br/>
        <w:br/>
        <w:br/>
        <w:t xml:space="preserve">      9.    decid[ió], por equidad, que el Estado debe pagar al conjunto  de</w:t>
        <w:br/>
        <w:t xml:space="preserve">      los 270 trabajadores mencionados en el párrafo 4 de la […]  Sentencia,</w:t>
        <w:br/>
        <w:t xml:space="preserve">      la suma de US$ 100.000 (cien mil dólares  de  los  Estados  Unidos  de</w:t>
        <w:br/>
        <w:t xml:space="preserve">      América)  como  reintegro  de  gastos  generados  por  las   gestiones</w:t>
        <w:br/>
        <w:t xml:space="preserve">      realizadas por las víctimas y sus representantes, y  la  suma  de  US$</w:t>
        <w:br/>
        <w:t xml:space="preserve">      20.000 (veinte mil dólares de los  Estados  Unidos  de  América)  como</w:t>
        <w:br/>
        <w:t xml:space="preserve">      reintegro de costas, causados en los procesos internos y en el proceso</w:t>
        <w:br/>
        <w:t xml:space="preserve">      internacional ante el sistema  interamericano  de  protección.   Estas</w:t>
        <w:br/>
        <w:t xml:space="preserve">      sumas se  pagarán  por  conducto  de  la  Comisión  Interamericana  de</w:t>
        <w:br/>
        <w:t xml:space="preserve">      Derechos Humanos.</w:t>
        <w:br/>
        <w:br/>
        <w:t xml:space="preserve">      10.   decid[ió] que supervisará el cumplimiento de  [la]  Sentencia  y</w:t>
        <w:br/>
        <w:t xml:space="preserve">      sólo después dará por concluido el caso.</w:t>
        <w:br/>
        <w:br/>
        <w:t>4.    Los días 11 de mayo de 2001, 6 de junio de 2001, 27 de junio de 2001,</w:t>
        <w:br/>
        <w:t>3 de septiembre de 2001, 20 de febrero de 2002 y 10 de mayo de 2002 el</w:t>
        <w:br/>
        <w:t>Estado presentó diversos escritos[1] en relación con el cumplimiento de la</w:t>
        <w:br/>
        <w:t>Sentencia de 2 de febrero de 2001.</w:t>
        <w:br/>
        <w:br/>
        <w:t>5.    Los días 15 de noviembre de 2001 y 1 de febrero de 2002 la Comisión</w:t>
        <w:br/>
        <w:t>Interamericana remitió escritos[2] en relación con el cumplimiento de la</w:t>
        <w:br/>
        <w:t>Sentencia de 2 de febrero de 2001.</w:t>
        <w:br/>
        <w:br/>
        <w:t>6.    Las víctimas y sus representantes legales presentaron diversas</w:t>
        <w:br/>
        <w:t>comunicaciones sobre el cumplimiento de la Sentencia de 2 de febrero de</w:t>
        <w:br/>
        <w:t>2001 en las siguientes fechas[3]: 4, 5, 14, 18 y 21 de junio de 2001; 30 de</w:t>
        <w:br/>
        <w:t>julio de 2001; 14 de agosto de 2001; 19 de octubre de 2001; 11, 15 y 18 de</w:t>
        <w:br/>
        <w:t>enero de 2002; 1 de febrero de 2002; 12, 21 y 25 de marzo de 2002; 12 de</w:t>
        <w:br/>
        <w:t>abril de 2002; 3 de mayo de 2002; y 3, 13 y 19 de junio de 2002.</w:t>
        <w:br/>
        <w:br/>
        <w:t>7.    Los días 14 y 15 de mayo de 2001 y el 12 de abril de 2002 el Defensor</w:t>
        <w:br/>
        <w:t>del Pueblo de Panamá remitió comunicaciones[4], en las cuales se refirió al</w:t>
        <w:br/>
        <w:t>cumplimiento de la Sentencia de 2 de febrero de 2001.</w:t>
        <w:br/>
        <w:br/>
        <w:t>8.    El 25 de febrero de 2002 por la mañana se celebró una  reunión  en  la</w:t>
        <w:br/>
        <w:t>sede  de  la  Corte[5],  en  la  cual  participaron  el  Presidente   y   el</w:t>
        <w:br/>
        <w:t>Vicepresidente  de  la  Corte   (en   adelante   “el   Presidente”   y   “el</w:t>
        <w:br/>
        <w:t>Vicepresidente”),  dos  funcionarios  de  la  Secretaría  de  la  Corte  (en</w:t>
        <w:br/>
        <w:t>adelante “la Secretaría”), y seis representantes del Estado.</w:t>
        <w:br/>
        <w:br/>
        <w:t>9.    El 25 de febrero de 2002 por la tarde se celebró  una  reunión  en  la</w:t>
        <w:br/>
        <w:t>sede  de  la  Corte[6],  en  la  cual  participaron  el  Presidente   y   el</w:t>
        <w:br/>
        <w:t>Vicepresidente, dos funcionarios de la Secretaría,  dos  representantes  del</w:t>
        <w:br/>
        <w:t>Centro por la Justicia y el Derecho  Internacional  (en  adelante  “CEJIL”),</w:t>
        <w:br/>
        <w:t>cinco víctimas, y un representante de la Defensoría del  Pueblo  de  Panamá.</w:t>
        <w:br/>
        <w:t>En dicha reunión las víctimas  participantes  entregaron  un  escrito  a  la</w:t>
        <w:br/>
        <w:t>Corte, al cual anexaron algunos documentos y un casete relacionados  con  el</w:t>
        <w:br/>
        <w:t>caso.</w:t>
        <w:br/>
        <w:br/>
        <w:t>10.   El 20 de junio de 2002 se  celebró  una  reunión  en  la  sede  de  la</w:t>
        <w:br/>
        <w:t>Corte[7], en la cual participaron tres funcionarios de la Secretaría y  tres</w:t>
        <w:br/>
        <w:t>víctimas.</w:t>
        <w:br/>
        <w:br/>
        <w:t>11.   El 21 de junio de 2002 se  celebró  una  reunión  en  la  sede  de  la</w:t>
        <w:br/>
        <w:t>Corte[8], en la cual participaron el Presidente y el Vicepresidente,  cuatro</w:t>
        <w:br/>
        <w:t>funcionarios de la Secretaría,  el  Director  de  CEJIL  Mesoamérica  y  dos</w:t>
        <w:br/>
        <w:t>víctimas.</w:t>
        <w:br/>
        <w:br/>
        <w:t>12.   El 21 de junio  de  2002  el  Tribunal  emitió  una  Resolución  sobre</w:t>
        <w:br/>
        <w:t>Cumplimiento de Sentencia, en la cual resolvió:</w:t>
        <w:br/>
        <w:br/>
        <w:t xml:space="preserve">      1.    Que el Estado deb[ía] presentar un informe detallado a la Corte,</w:t>
        <w:br/>
        <w:t xml:space="preserve">      a más tardar el 15 de agosto de 2002, de conformidad con lo  expresado</w:t>
        <w:br/>
        <w:t xml:space="preserve">      en los puntos considerativos dos y tres de la […] Resolución.</w:t>
        <w:br/>
        <w:br/>
        <w:t xml:space="preserve">      2.    Que las víctimas o sus  representantes  legales  y  la  Comisión</w:t>
        <w:br/>
        <w:t xml:space="preserve">      Interamericana   de   Derechos   Humanos   deb[ían]   presentar    sus</w:t>
        <w:br/>
        <w:t xml:space="preserve">      observaciones al informe del  Estado  dentro  de  un  plazo  de  siete</w:t>
        <w:br/>
        <w:t xml:space="preserve">      semanas contado a partir de su recepción.</w:t>
        <w:br/>
        <w:br/>
        <w:br/>
        <w:t>El informe que el Estado debía presentar, de conformidad con el punto</w:t>
        <w:br/>
        <w:t>considerativo segundo de la referida resolución, debía versar sobre:</w:t>
        <w:br/>
        <w:br/>
        <w:br/>
        <w:t xml:space="preserve">        a) el pago a los 270 trabajadores o, en su caso, a sus</w:t>
        <w:br/>
        <w:t xml:space="preserve">           derechohabientes, de los montos correspondientes a los salarios</w:t>
        <w:br/>
        <w:t xml:space="preserve">           caídos y demás derechos laborales correspondientes (punto</w:t>
        <w:br/>
        <w:t xml:space="preserve">           resolutivo sexto de la sentencia de 2 de febrero de 2001);</w:t>
        <w:br/>
        <w:br/>
        <w:br/>
        <w:t xml:space="preserve">        b) el trámite nacional seguido para fijar los montos</w:t>
        <w:br/>
        <w:t xml:space="preserve">           indemnizatorios respectivos, incluyendo los criterios o</w:t>
        <w:br/>
        <w:t xml:space="preserve">           parámetros utilizados para su determinación, la información</w:t>
        <w:br/>
        <w:t xml:space="preserve">           obtenida y la legislación aplicada (punto resolutivo sexto de la</w:t>
        <w:br/>
        <w:t xml:space="preserve">           sentencia de 2 de febrero de 2001);</w:t>
        <w:br/>
        <w:br/>
        <w:t xml:space="preserve">        c) el reintegro en sus cargos de los 270 trabajadores.  De ser el</w:t>
        <w:br/>
        <w:t xml:space="preserve">           caso, deb[ía] indicarse a la Corte si se les ha[bía] brindado</w:t>
        <w:br/>
        <w:t xml:space="preserve">           alternativas de empleo que respet[aran] las condiciones,</w:t>
        <w:br/>
        <w:t xml:space="preserve">           salarios y remuneraciones que tenían al momento de ser</w:t>
        <w:br/>
        <w:t xml:space="preserve">           despedidos.  Si esto tampoco ha[bía] sido posible, que</w:t>
        <w:br/>
        <w:t xml:space="preserve">           inform[ara] si ha[bía] procedido al pago de la indemnización</w:t>
        <w:br/>
        <w:t xml:space="preserve">           correspondiente a la terminación de relaciones de trabajo, de</w:t>
        <w:br/>
        <w:t xml:space="preserve">           conformidad con el derecho laboral interno (punto resolutivo</w:t>
        <w:br/>
        <w:t xml:space="preserve">           séptimo de la sentencia de 2 de febrero de 2001);</w:t>
        <w:br/>
        <w:br/>
        <w:t xml:space="preserve">        d) el pago a los derechohabientes de las víctimas fallecidas de las</w:t>
        <w:br/>
        <w:t xml:space="preserve">           retribuciones por concepto de pensión o retiro que les</w:t>
        <w:br/>
        <w:t xml:space="preserve">           corresponda (punto resolutivo séptimo de la sentencia de 2 de</w:t>
        <w:br/>
        <w:t xml:space="preserve">           febrero de 2001); y</w:t>
        <w:br/>
        <w:br/>
        <w:br/>
        <w:t xml:space="preserve">      e)    el pago de las costas y gastos (punto resolutivo noveno de la</w:t>
        <w:br/>
        <w:t xml:space="preserve">           sentencia de 2 de febrero de 2001).</w:t>
        <w:br/>
        <w:br/>
        <w:t>13.   El 16 de agosto de 2002[9] el Estado  presentó  el  informe  sobre  el</w:t>
        <w:br/>
        <w:t>cumplimiento de la sentencia requerido por la Corte mediante  la  Resolución</w:t>
        <w:br/>
        <w:t>de 21 de junio de 2002.</w:t>
        <w:br/>
        <w:br/>
        <w:t>14.   Los días 28 de junio, 23 de septiembre y 8 de  noviembre  de  2002[10]</w:t>
        <w:br/>
        <w:t>el  Estado  presentó  información  sobre  el  cumplimiento  de  los   puntos</w:t>
        <w:br/>
        <w:t>resolutivos sexto y noveno de la Sentencia de 2 de febrero  de  2001  (supra</w:t>
        <w:br/>
        <w:t>párr. 3).</w:t>
        <w:br/>
        <w:br/>
        <w:t>15.   El 7 de octubre de 2002[11] la Comisión  Interamericana  presentó  sus</w:t>
        <w:br/>
        <w:t>observaciones al informe del Estado de 16 de agosto  de  2002  (supra  párr.</w:t>
        <w:br/>
        <w:t>13), y el 14 de octubre de 2002[12] remitió un escrito en  relación  con  el</w:t>
        <w:br/>
        <w:t>cumplimiento del punto resolutivo noveno de la Sentencia de 2 de febrero  de</w:t>
        <w:br/>
        <w:t>2001 (supra párr. 3).</w:t>
        <w:br/>
        <w:br/>
        <w:t>16.    Los  días  2,  5  y  7  de  octubre  de  2002  las  víctimas  y   sus</w:t>
        <w:br/>
        <w:t>representantes legales presentaron sus observaciones[13] al informe  estatal</w:t>
        <w:br/>
        <w:t>de 16 de agosto de 2002 (supra párr.  13).  Asimismo,  las  víctimas  y  sus</w:t>
        <w:br/>
        <w:t>representantes  legales  remitieron  diversas  comunicaciones[14]  sobre  el</w:t>
        <w:br/>
        <w:t>cumplimiento de la Sentencia de 2 de  febrero  de  2001  en  las  siguientes</w:t>
        <w:br/>
        <w:t>fechas: 28 y 30 de junio de 2002; 6, 7, 10, 11, 22, 24, 25, 26, 27, 30 y  31</w:t>
        <w:br/>
        <w:t>de julio de 2002; 5, 16, 23 y 28 de agosto de 2002; 9, 17, 23, 24 y   25  de</w:t>
        <w:br/>
        <w:t>septiembre de 2002; 7 y 18 de octubre de 2002; y 7  y  12  de  noviembre  de</w:t>
        <w:br/>
        <w:t>2002.</w:t>
        <w:br/>
        <w:br/>
        <w:t>17.   Los días 1 de julio, 5 de  julio,  y  20  de  septiembre  de  2002  el</w:t>
        <w:br/>
        <w:t>Defensor del Pueblo de Panamá  presentó  escritos[15]  en  relación  con  el</w:t>
        <w:br/>
        <w:t>cumplimiento de la sentencia emitida por la Corte en este caso.</w:t>
        <w:br/>
        <w:br/>
        <w:t>18.   El 24 de junio de 2002 se celebró una reunión en la sede de la</w:t>
        <w:br/>
        <w:t>Corte[16], en la cual participaron tres funcionarios de la Secretaría y dos</w:t>
        <w:br/>
        <w:t>representantes del Estado.</w:t>
        <w:br/>
        <w:br/>
        <w:t xml:space="preserve">    19. El 28 de agosto de 2002 se celebró una reunión en  la  sede  de  la</w:t>
        <w:br/>
        <w:t xml:space="preserve">        Corte[17],  en  la  cual  participaron  tres  funcionarios  de   la</w:t>
        <w:br/>
        <w:t xml:space="preserve">        Secretaría y tres víctimas.</w:t>
        <w:br/>
        <w:br/>
        <w:t>20.   El 24 de septiembre de 2002  el  señor  Miguel  González  presentó  un</w:t>
        <w:br/>
        <w:t>escrito en calidad de amicus curiae[18], en relación con el cumplimiento  de</w:t>
        <w:br/>
        <w:t>la sentencia emitida por la Corte el 2 de febrero de  2001  en  el  presente</w:t>
        <w:br/>
        <w:t>caso.</w:t>
        <w:br/>
        <w:br/>
        <w:t>21.   El 22 de noviembre de 2002 la  Corte  emitió  una  segunda  Resolución</w:t>
        <w:br/>
        <w:t>sobre Cumplimiento de Sentencia, en la cual decidió:</w:t>
        <w:br/>
        <w:br/>
        <w:t xml:space="preserve">      1.    Que el Estado deberá determinar de  nuevo,  de  acuerdo  con  el</w:t>
        <w:br/>
        <w:t xml:space="preserve">      derecho interno aplicable, las cantidades específicas correspondientes</w:t>
        <w:br/>
        <w:t xml:space="preserve">      a los salarios caídos y demás derechos laborales de cada  una  de  las</w:t>
        <w:br/>
        <w:t xml:space="preserve">      270  víctimas,  sin  excluir  a  ninguna   de   ellas.    Esta   nueva</w:t>
        <w:br/>
        <w:t xml:space="preserve">      determinación deberá realizarse observando las  garantías  del  debido</w:t>
        <w:br/>
        <w:t xml:space="preserve">      proceso y según la legislación aplicable a cada víctima, de manera que</w:t>
        <w:br/>
        <w:t xml:space="preserve">      puedan  presentar  sus  alegatos  y  pruebas  y  se  les  informe  los</w:t>
        <w:br/>
        <w:t xml:space="preserve">      parámetros y legislación utilizadas por el Estado  para  realizar  los</w:t>
        <w:br/>
        <w:t xml:space="preserve">      cálculos.</w:t>
        <w:br/>
        <w:br/>
        <w:t xml:space="preserve">      2.    Que el trámite para la ejecución de lo  dispuesto  en  el  punto</w:t>
        <w:br/>
        <w:t xml:space="preserve">      resolutivo séptimo de la sentencia de 2  de  febrero  de  2001  deberá</w:t>
        <w:br/>
        <w:t xml:space="preserve">      realizarse observando las garantías del  debido  proceso  y  según  la</w:t>
        <w:br/>
        <w:t xml:space="preserve">      legislación aplicable a cada víctima, de manera que  puedan  presentar</w:t>
        <w:br/>
        <w:t xml:space="preserve">      sus alegatos y pruebas y se les informe los parámetros  y  legislación</w:t>
        <w:br/>
        <w:t xml:space="preserve">      utilizadas por el Estado.</w:t>
        <w:br/>
        <w:br/>
        <w:t xml:space="preserve">      3.    Que el pago de las  indemnizaciones  compensatorias  ordenado  a</w:t>
        <w:br/>
        <w:t xml:space="preserve">      favor de las 270 víctimas o sus derechohabientes no puede ser  gravado</w:t>
        <w:br/>
        <w:t xml:space="preserve">      por el Estado con tributo alguno existente o que pueda existir  en  el</w:t>
        <w:br/>
        <w:t xml:space="preserve">      futuro, incluido el impuesto sobre la renta.</w:t>
        <w:br/>
        <w:br/>
        <w:t xml:space="preserve">      4.    Que el Estado deberá cancelar los intereses moratorios generados</w:t>
        <w:br/>
        <w:t xml:space="preserve">      durante el tiempo en que incurrió en mora respecto  del  pago  de  las</w:t>
        <w:br/>
        <w:t xml:space="preserve">      indemnizaciones por concepto de daño moral.</w:t>
        <w:br/>
        <w:br/>
        <w:t xml:space="preserve">      5.     Que  los  finiquitos  firmados  por  algunas  víctimas  o   sus</w:t>
        <w:br/>
        <w:t xml:space="preserve">      derechohabientes como requisito para recibir el pago  por  los  montos</w:t>
        <w:br/>
        <w:t xml:space="preserve">      indemnizatorios dispuestos en el punto  resolutivo  sexto  que  fueron</w:t>
        <w:br/>
        <w:t xml:space="preserve">      calculados por el Estado son válidos únicamente en cuanto reconocen el</w:t>
        <w:br/>
        <w:t xml:space="preserve">      pago de la cantidad de dinero que en ellos se  estipula.   Carecen  de</w:t>
        <w:br/>
        <w:t xml:space="preserve">      validez las renuncias que en ellos se hicieron en el  sentido  de  que</w:t>
        <w:br/>
        <w:t xml:space="preserve">      las víctimas o sus derechohabientes quedaban satisfechas con el  pago,</w:t>
        <w:br/>
        <w:t xml:space="preserve">      por lo que tales renuncias  no  impiden  la  posibilidad  de  que  las</w:t>
        <w:br/>
        <w:t xml:space="preserve">      víctimas o sus derechohabientes presenten reclamaciones  y  comprueben</w:t>
        <w:br/>
        <w:t xml:space="preserve">      que el Estado debía pagarles una cantidad distinta  por  los  salarios</w:t>
        <w:br/>
        <w:t xml:space="preserve">      caídos y demás derechos laborales que les corresponden.</w:t>
        <w:br/>
        <w:br/>
        <w:t xml:space="preserve">      6.    Que las cantidades de dinero que el  Estado  supuestamente  pagó</w:t>
        <w:br/>
        <w:t xml:space="preserve">      por medio de cheques a 195 víctimas por los montos calculados por éste</w:t>
        <w:br/>
        <w:t xml:space="preserve">      por concepto de salarios  caídos  y  demás  derechos  laborales  serán</w:t>
        <w:br/>
        <w:t xml:space="preserve">      consideradas por este Tribunal como un adelanto de la totalidad de  la</w:t>
        <w:br/>
        <w:t xml:space="preserve">      reparación pecuniaria debida, para lo cual debe presentar a  la  Corte</w:t>
        <w:br/>
        <w:t xml:space="preserve">      copia de los finiquitos que comprueban la entrega de los cheques.</w:t>
        <w:br/>
        <w:br/>
        <w:t xml:space="preserve">      7.    Que el Estado ha cumplido con la obligación de pagar al conjunto</w:t>
        <w:br/>
        <w:t xml:space="preserve">      de las 270 víctimas la cantidad de US$ 100.000,00 (cien mil dólares de</w:t>
        <w:br/>
        <w:t xml:space="preserve">      los Estados Unidos de América) como reintegro de gastos y la  cantidad</w:t>
        <w:br/>
        <w:t xml:space="preserve">      de US$ 20.000,00 (veinte mil dólares de los Estados Unidos de América)</w:t>
        <w:br/>
        <w:t xml:space="preserve">      como reintegro de costas.</w:t>
        <w:br/>
        <w:br/>
        <w:t xml:space="preserve">      8.    Que, con el objeto de reintegrar las cantidades pagadas  por  el</w:t>
        <w:br/>
        <w:t xml:space="preserve">      Estado por concepto de costas y gastos, la Comisión Interamericana  de</w:t>
        <w:br/>
        <w:t xml:space="preserve">      Derechos Humanos deberá considerar los gastos de todas las víctimas  y</w:t>
        <w:br/>
        <w:t xml:space="preserve">      sus representantes y tomar en cuenta que no todas éstas se  encuentran</w:t>
        <w:br/>
        <w:t xml:space="preserve">      representadas por CEJIL.</w:t>
        <w:br/>
        <w:br/>
        <w:t xml:space="preserve">      9.    Que el Estado deberá entregar los cheques por concepto  de  daño</w:t>
        <w:br/>
        <w:t xml:space="preserve">      moral cuando las autoridades competentes determinen  quiénes  son  los</w:t>
        <w:br/>
        <w:t xml:space="preserve">      derechohabientes de las víctimas fallecidas que faltan por reparar,  y</w:t>
        <w:br/>
        <w:t xml:space="preserve">      deberá pagar los montos correspondientes a  los  intereses  moratorios</w:t>
        <w:br/>
        <w:t xml:space="preserve">      generados por haber pagado después de vencido el plazo de 90 días.</w:t>
        <w:br/>
        <w:br/>
        <w:br/>
        <w:t xml:space="preserve">      10.   Que el Estado deb[ía] presentar un informe detallado a la Corte,</w:t>
        <w:br/>
        <w:t xml:space="preserve">      a más tardar el 30 de junio de 2003, en el cual remit[iera]  copia  de</w:t>
        <w:br/>
        <w:t xml:space="preserve">      los  finiquitos  firmados  por  algunas  de   las   víctimas   o   sus</w:t>
        <w:br/>
        <w:t xml:space="preserve">      derechohabientes e indi[cara] todos los avances en el cumplimiento  de</w:t>
        <w:br/>
        <w:t xml:space="preserve">      las reparaciones ordenadas por esta Corte.</w:t>
        <w:br/>
        <w:br/>
        <w:t xml:space="preserve">      11.   Que las víctimas o sus  representantes  legales  y  la  Comisión</w:t>
        <w:br/>
        <w:t xml:space="preserve">      Interamericana   de   Derechos   Humanos   deb[ían]   presentar    sus</w:t>
        <w:br/>
        <w:t xml:space="preserve">      observaciones al informe del Estado dentro de un plazo de  tres  meses</w:t>
        <w:br/>
        <w:t xml:space="preserve">      contado a partir de su recepción.</w:t>
        <w:br/>
        <w:br/>
        <w:t xml:space="preserve">      12.   Que continuar[ía] supervisando el cumplimiento  integral  de  la</w:t>
        <w:br/>
        <w:t xml:space="preserve">      sentencia de 2  de  febrero  de  2001  y  sólo  después  de  su  cabal</w:t>
        <w:br/>
        <w:t xml:space="preserve">      cumplimiento dar[ía] por concluido el caso.</w:t>
        <w:br/>
        <w:br/>
        <w:br/>
        <w:t>22.   El 19 de diciembre de 2002 CEJIL, representante legal de la mayoría</w:t>
        <w:br/>
        <w:t>de las víctimas, remitió copia de un escrito dirigido al Secretario</w:t>
        <w:br/>
        <w:t>Ejecutivo de la Comisión Interamericana, y su anexo, en relación con el</w:t>
        <w:br/>
        <w:t>reintegro de costas y gastos.</w:t>
        <w:br/>
        <w:br/>
        <w:t>23.   El 24 de febrero de 2003 la Comisión Interamericana remitió  copia  de</w:t>
        <w:br/>
        <w:t>un escrito dirigido al señor Rolando Gómez C. y a CEJIL, en relación con  el</w:t>
        <w:br/>
        <w:t>cumplimiento del punto resolutivo noveno de la sentencia  dictada  por  este</w:t>
        <w:br/>
        <w:t>Tribunal el 2 de febrero de 2001 (supra párr. 3).</w:t>
        <w:br/>
        <w:br/>
        <w:t>24.   El 25 de  febrero  de  2003  la  Comisión  Interamericana  remitió  un</w:t>
        <w:br/>
        <w:t>escrito, mediante el cual informó  que  recibió  de  Panamá  las  cantidades</w:t>
        <w:br/>
        <w:t>ordenadas por el Tribunal por concepto de reintegro de gastos  y  costas  en</w:t>
        <w:br/>
        <w:t>la Sentencia de 2 de febrero de 2001, las cuales fueron  distribuidas  entre</w:t>
        <w:br/>
        <w:t>las víctimas y sus representantes legales.   En  consecuencia,  la  Comisión</w:t>
        <w:br/>
        <w:t>solicitó a la Corte que “determinar[a] el cumplimiento con el Punto 9 de  su</w:t>
        <w:br/>
        <w:t>Sentencia del 2 de febrero de 2001 y de la etapa relativa al pago de  costas</w:t>
        <w:br/>
        <w:t>y gastos”.</w:t>
        <w:br/>
        <w:br/>
        <w:t>25.   El 27 de febrero de 2003 la Secretaría otorgo un plazo hasta el 28  de</w:t>
        <w:br/>
        <w:t>marzo de 2003 para que las  víctimas  o  sus  representantes  legales  y  el</w:t>
        <w:br/>
        <w:t>Estado, presentaran las observaciones que estimaran pertinentes al  anterior</w:t>
        <w:br/>
        <w:t>escrito de la Comisión (supra párr. 24).</w:t>
        <w:br/>
        <w:br/>
        <w:t>26.   El 27 de febrero de 2003 el Estado presentó un escrito, en el cual se</w:t>
        <w:br/>
        <w:t>refirió al cumplimiento de la sentencia y a lo resuelto por el Tribunal en</w:t>
        <w:br/>
        <w:t>la Resolución de 22 de noviembre de 2002 sobre cumplimiento de sentencia</w:t>
        <w:br/>
        <w:t>(supra párr. 21).  En este escrito el Estado se refirió, inter alia, a: la</w:t>
        <w:br/>
        <w:t>determinación de los salarios caídos y demás derechos laborales, el pago de</w:t>
        <w:br/>
        <w:t>intereses moratorios respecto de las indemnizaciones por concepto de daño</w:t>
        <w:br/>
        <w:t>moral, el gravamen al pago de las indemnizaciones, y el cumplimiento del</w:t>
        <w:br/>
        <w:t>punto resolutivo séptimo de la Sentencia de 2 de febrero de 2001.  Además,</w:t>
        <w:br/>
        <w:t>expresó que la etapa de supervisión de cumplimiento de sentencia es una</w:t>
        <w:br/>
        <w:t>etapa “post-adjudicativa”, que “no está prevista por las normas que regulan</w:t>
        <w:br/>
        <w:t>la jurisdicción y el procedimiento de la Honorable Corte”, y que mediante</w:t>
        <w:br/>
        <w:t>la Resolución de 22 de noviembre de 2002 la Corte interpretó su propia</w:t>
        <w:br/>
        <w:t>Sentencia de 2 de febrero de 2001.</w:t>
        <w:br/>
        <w:br/>
        <w:t>27.   El 4 de marzo de 2003 la Secretaría informó que el anterior escrito</w:t>
        <w:br/>
        <w:t>del Estado había sido puesto en consideración de la Corte, y otorgó plazo</w:t>
        <w:br/>
        <w:t>hasta el 7 de abril de 2003 para que la Comisión Interamericana y las</w:t>
        <w:br/>
        <w:t>víctimas o sus representantes legales presentaran las observaciones que</w:t>
        <w:br/>
        <w:t>estimaren pertinentes.</w:t>
        <w:br/>
        <w:br/>
        <w:t>28.   El 26 de marzo de 2003 el Defensor del Pueblo de  Panamá  presentó  un</w:t>
        <w:br/>
        <w:t>escrito en calidad de amicus curiae, en relación con el cumplimiento  de  la</w:t>
        <w:br/>
        <w:t>Sentencia emitida por la Corte el 2 de febrero de 2001.</w:t>
        <w:br/>
        <w:br/>
        <w:t>29.   El 4 de abril de 2003 CEJIL presentó sus observaciones al escrito del</w:t>
        <w:br/>
        <w:t>Estado de 27 de febrero de 2003 (supra párr. 26 e infra párr. 56).</w:t>
        <w:br/>
        <w:br/>
        <w:t>30.   El 4 de abril de 2003 los señores Manrique Mejía, Ivanor Alonso, Juan</w:t>
        <w:br/>
        <w:t>O. Sanjur, Fernando Dimas, Miguel Prado, Andrés Guerrero, Rafael Tait Yepes</w:t>
        <w:br/>
        <w:t>y las señoras Estebana Nash y Marina Villalobos remitieron un escrito y sus</w:t>
        <w:br/>
        <w:t>anexos, mediante los cuales presentaron sus observaciones al escrito del</w:t>
        <w:br/>
        <w:t>Estado de 27 de febrero de 2003 (supra párr. 26 e infra párr. 57).</w:t>
        <w:br/>
        <w:br/>
        <w:t>31.   El 4 de abril de 2003 el señor Miguel González presentó un escrito  en</w:t>
        <w:br/>
        <w:t>calidad de amicus curiae, en relación con el cumplimiento  de  la  Sentencia</w:t>
        <w:br/>
        <w:t>de 2 de febrero de 2001.</w:t>
        <w:br/>
        <w:br/>
        <w:t>32.   El 7 de abril de 2003 la Comisión presentó sus observaciones al</w:t>
        <w:br/>
        <w:t>escrito del Estado de 27 de febrero de 2003 (supra párr. 26 e infra párr.</w:t>
        <w:br/>
        <w:t>55), y el 10 de los mismos mes y año remitió los anexos de este escrito de</w:t>
        <w:br/>
        <w:t>observaciones.</w:t>
        <w:br/>
        <w:br/>
        <w:t>33.   El 7 de abril de 2003 el señor Domingo De Gracia Cedeño presentó dos</w:t>
        <w:br/>
        <w:t>escritos de observaciones de los señores Fernando Del Río Gaona, José</w:t>
        <w:br/>
        <w:t>Santamaría Saucedo y las suyas al escrito del Estado de 27 de febrero de</w:t>
        <w:br/>
        <w:t>2003 (supra párr. 26 e infra párr. 57).  El 8 de los mismos mes y año</w:t>
        <w:br/>
        <w:t>remitieron los originales de los dos referidos escritos y sus anexos.</w:t>
        <w:br/>
        <w:br/>
        <w:t>34.   El 21 de abril de 2003 el señor  Juan  O.  Sanjur  remitió  un  correo</w:t>
        <w:br/>
        <w:t>electrónico,  mediante  el  cual  hizo  referencia  al  cumplimiento  de  la</w:t>
        <w:br/>
        <w:t>Sentencia emitida por la Corte el 2 de febrero de 2001.</w:t>
        <w:br/>
        <w:br/>
        <w:t>35.   El 22 de abril de 2003 el Estado  presentó  copia  de  los  documentos</w:t>
        <w:br/>
        <w:t>denominados “finiquitos”, de conformidad con lo solicitado por  el  Tribunal</w:t>
        <w:br/>
        <w:t>en los puntos  resolutivos  sexto  y  décimo  de  la  Resolución  de  22  de</w:t>
        <w:br/>
        <w:t>noviembre de 2002 (supra párr. 21).</w:t>
        <w:br/>
        <w:br/>
        <w:t>36.   El 23 de mayo de 2003 el  señor  Juan  O.  Sanjur  remitió  un  correo</w:t>
        <w:br/>
        <w:t>electrónico, en relación con  el  cumplimiento  de  la  Sentencia  de  2  de</w:t>
        <w:br/>
        <w:t>febrero de 2001.</w:t>
        <w:br/>
        <w:br/>
        <w:t>37.   El 6 de junio de 2003 la Corte emitió  una  tercera  Resolución  sobre</w:t>
        <w:br/>
        <w:t>Cumplimiento de Sentencia, en la cual resolvió:</w:t>
        <w:br/>
        <w:br/>
        <w:t xml:space="preserve">      1.    Mantener lo decidido en su Resolución de 22 de noviembre de</w:t>
        <w:br/>
        <w:t xml:space="preserve">      2002, por lo que las medidas de reparación dictadas en la Sentencia de</w:t>
        <w:br/>
        <w:t xml:space="preserve">      2 de febrero de 2001 se deben cumplir de conformidad con lo ordenado</w:t>
        <w:br/>
        <w:t xml:space="preserve">      por el Tribunal en la referida Resolución sobre cumplimiento de</w:t>
        <w:br/>
        <w:t xml:space="preserve">      sentencia.</w:t>
        <w:br/>
        <w:br/>
        <w:t xml:space="preserve">      2.    Que el Estado deb[ía] presentar, a más tardar el 30 de junio de</w:t>
        <w:br/>
        <w:t xml:space="preserve">      2003, un informe detallado en el cual indi[cara] todos los avances en</w:t>
        <w:br/>
        <w:t xml:space="preserve">      el cumplimiento de las reparaciones ordenadas por esta Corte, de</w:t>
        <w:br/>
        <w:t xml:space="preserve">      conformidad con lo solicitado por el Tribunal en el punto resolutivo</w:t>
        <w:br/>
        <w:t xml:space="preserve">      número 10 de la Resolución de 22 de noviembre de 2002.</w:t>
        <w:br/>
        <w:br/>
        <w:t xml:space="preserve">      3.    Que, una vez que  el  Estado  remit[iera]  el  referido  informe</w:t>
        <w:br/>
        <w:t xml:space="preserve">      detallado sobre el cumplimiento de la sentencia, las  víctimas  o  sus</w:t>
        <w:br/>
        <w:t xml:space="preserve">      representantes  legales  y  la  Comisión  Interamericana  de  Derechos</w:t>
        <w:br/>
        <w:t xml:space="preserve">      Humanos deb[ían] presentar sus observaciones a dicho informe dentro de</w:t>
        <w:br/>
        <w:t xml:space="preserve">      un plazo de tres meses, contados a partir de su recepción, tal y  como</w:t>
        <w:br/>
        <w:t xml:space="preserve">      fue indicado en el punto resolutivo número 11 de la Resolución  de  22</w:t>
        <w:br/>
        <w:t xml:space="preserve">      de noviembre de 2002.</w:t>
        <w:br/>
        <w:br/>
        <w:t xml:space="preserve">      4.    Que continuar[ía] supervisando el cumplimiento  integral  de  la</w:t>
        <w:br/>
        <w:t xml:space="preserve">      Sentencia de 2 de febrero de 2001.</w:t>
        <w:br/>
        <w:br/>
        <w:t>38.   El 3 de julio de 2003 la Secretaría, siguiendo instrucciones del</w:t>
        <w:br/>
        <w:t>Presidente, solicitó al Estado que presentara a la brevedad el informe</w:t>
        <w:br/>
        <w:t>detallado sobre los avances en el cumplimiento de las reparaciones</w:t>
        <w:br/>
        <w:t>ordenadas por la Corte, en virtud de que el plazo para su presentación</w:t>
        <w:br/>
        <w:t>había vencido el 30 de junio de 2003 (supra párr. 37).</w:t>
        <w:br/>
        <w:br/>
        <w:t>39.   El 11 de julio de 2003 el Estado remitió un escrito, mediante el cual</w:t>
        <w:br/>
        <w:t>indicó que “est[aba] próximo a cancelar el pago pendiente a los restantes</w:t>
        <w:br/>
        <w:t>75 trabajadores del caso” y que “seguidamente estar[ía] presentando el</w:t>
        <w:br/>
        <w:t>informe del avance actualizado de la implementación de la […] Sentencia, a</w:t>
        <w:br/>
        <w:t>más tardar el día 30 de julio de 2003”.</w:t>
        <w:br/>
        <w:br/>
        <w:t>40.   Los días 20 de junio y 21 y 24 de julio de 2003 la señora Xiomara</w:t>
        <w:br/>
        <w:t>Lasco de Cárdenas y los señores Juan O. Sanjur y Domingo De Gracia Cedeño,</w:t>
        <w:br/>
        <w:t>respectivamente, remitieron correos electrónicos, a los cuales adjuntaron</w:t>
        <w:br/>
        <w:t>anexos, en relación con el cumplimiento de la Sentencia emitida por la</w:t>
        <w:br/>
        <w:t>Corte el 2 de febrero de 2001.</w:t>
        <w:br/>
        <w:br/>
        <w:t>41.    El  30  de  julio  de  2003  el  Estado   remitió   un   escrito   de</w:t>
        <w:br/>
        <w:t>“[o]bservaciones  […]  a  la  Resolución  de  6  de  junio  de  2003  […]  e</w:t>
        <w:br/>
        <w:t>información sobre el proceso de implementación  de  la  Sentencia  de  2  de</w:t>
        <w:br/>
        <w:t>febrero de 200[1]”, emitidas por la Corte en  el  presente  caso.   En  este</w:t>
        <w:br/>
        <w:t>escrito Panamá, inter alia, reiteró (supra párr. 26 e infra  párr.  54)  que</w:t>
        <w:br/>
        <w:t>consideraba que mediante las Resoluciones de 22 de noviembre de 2002 y 6  de</w:t>
        <w:br/>
        <w:t>junio de 2003 la Corte “interpret[ó] de hecho su propia  Sentencia”,  y  que</w:t>
        <w:br/>
        <w:t>la etapa de supervisión de cumplimiento de sentencia es  “una  etapa  ‘post-</w:t>
        <w:br/>
        <w:t>adjudicativa’,  […]  que  no  se  encuentra  en  la  esfera   judicial   que</w:t>
        <w:br/>
        <w:t>corresponde a  la  Honorable  Corte  sino  estrictamente  en  la  política”.</w:t>
        <w:br/>
        <w:t>Asimismo, Panamá se refirió al cumplimiento de las  medidas  de  reparación.</w:t>
        <w:br/>
        <w:t>Al anterior escrito el Estado adjuntó un documento titulado  “Ministerio  de</w:t>
        <w:br/>
        <w:t>Economía y Finanzas, Dirección de Administración  y  Finanzas,  Departamento</w:t>
        <w:br/>
        <w:t>de Tesorería  Institucional,  Sentencia  de  2  de  febrero  de  2001  Corte</w:t>
        <w:br/>
        <w:t>Interamericana de Derechos Humanos, Informe de Ingresos  y  Egresos,  22  de</w:t>
        <w:br/>
        <w:t>julio de 2003”, el cual contiene quince folios anexos.  El 1  de  agosto  de</w:t>
        <w:br/>
        <w:t>2003 el Estado remitió otra copia del anterior  documento,  pero  contentivo</w:t>
        <w:br/>
        <w:t>de 74 folios anexos.</w:t>
        <w:br/>
        <w:br/>
        <w:t>42.   El 4 de agosto de 2003  la  Secretaría,  siguiendo  instrucciones  del</w:t>
        <w:br/>
        <w:t>Presidente y de  conformidad  con  lo  estipulado  en  el  punto  resolutivo</w:t>
        <w:br/>
        <w:t>tercero de la Resolución de 6 de junio de 2003 (supra párr. 37),  otorgó  un</w:t>
        <w:br/>
        <w:t>plazo  improrrogable  de  tres  meses  para   que   las   víctimas   o   sus</w:t>
        <w:br/>
        <w:t>representantes  legales  y  la  Comisión  Interamericana   presentaran   sus</w:t>
        <w:br/>
        <w:t>observaciones al escrito del Estado de 30 de  julio  de  2003  (supra  párr.</w:t>
        <w:br/>
        <w:t>41).</w:t>
        <w:br/>
        <w:br/>
        <w:t>43.   El 3 de septiembre de 2003 la señora Estebana Nash y el  señor  Ivanor</w:t>
        <w:br/>
        <w:t>Alonso  remitieron  un  escrito  y  varios  anexos,  en  relación   con   el</w:t>
        <w:br/>
        <w:t>cumplimiento de la sentencia en el presente caso.</w:t>
        <w:br/>
        <w:br/>
        <w:t>44.   El 28 de octubre de 2003 los señores Domingo De  Gracia  Cedeño,  José</w:t>
        <w:br/>
        <w:t>Santamaría Saucedo y Fernando Del Río Gaona presentaron un  escrito,  en  el</w:t>
        <w:br/>
        <w:t>cual se refirieron  al  cumplimiento  de  la  sentencia  y  presentaron  sus</w:t>
        <w:br/>
        <w:t>observaciones al informe del Estado de 30 de julio de 2003 (supra  párr.  41</w:t>
        <w:br/>
        <w:t>e infra párr. 57).</w:t>
        <w:br/>
        <w:br/>
        <w:t>45.   El 30 de octubre de 2003 los señores Fernando Del  Río  Gaona  y  José</w:t>
        <w:br/>
        <w:t>Santamaría Saucedo  presentaron  observaciones  adicionales  al  informe  de</w:t>
        <w:br/>
        <w:t>Panamá de 30 de julio de 2003 (supra párrs. 41 y 44 e infra párr. 57).</w:t>
        <w:br/>
        <w:br/>
        <w:t>46.   El 12 de noviembre  de  2003  el  señor  Miguel  González  remitió  un</w:t>
        <w:br/>
        <w:t>escrito en calidad de amicus curiae, referente al informe de  Panamá  de  30</w:t>
        <w:br/>
        <w:t>de julio de 2003 (supra párr. 41).</w:t>
        <w:br/>
        <w:br/>
        <w:t>47.   El 12 de noviembre de 2003 el señor Alfredo  Berrocal  A.  remitió  un</w:t>
        <w:br/>
        <w:t>correo electrónico, mediante el cual hizo referencia al cumplimiento  de  la</w:t>
        <w:br/>
        <w:t>Sentencia de 2  de  febrero  de  2001.    Ese  mismo  día  remitió  por  vía</w:t>
        <w:br/>
        <w:t>facsimilar los anexos a dicha comunicación.</w:t>
        <w:br/>
        <w:br/>
        <w:t>48.   El 12 de noviembre de  2003  el  señor  Juan  O.  Sanjur  remitió  dos</w:t>
        <w:br/>
        <w:t>correos electrónicos, mediante los cuales hizo  referencia  al  cumplimiento</w:t>
        <w:br/>
        <w:t>de la Sentencia emitida por la Corte el 2 de febrero  de  2001,  y  presentó</w:t>
        <w:br/>
        <w:t>sus observaciones al informe del Estado de 30 de julio de 2003 (supra  párr.</w:t>
        <w:br/>
        <w:t>41 e infra párr. 57).</w:t>
        <w:br/>
        <w:br/>
        <w:t>49.   El 13 de noviembre de 2003 la  Comisión  Interamericana  presentó  sus</w:t>
        <w:br/>
        <w:t>observaciones al informe del Estado de 30 de julio de 2003 (supra  párr.  41</w:t>
        <w:br/>
        <w:t>e infra párr. 55).</w:t>
        <w:br/>
        <w:br/>
        <w:t>50.   El 13 de  noviembre  de  2003  CEJIL  presentó  sus  observaciones  al</w:t>
        <w:br/>
        <w:t>informe del Estado de 30 de julio de 2003 (supra  párr.  41  e  infra  párr.</w:t>
        <w:br/>
        <w:t>56).</w:t>
        <w:br/>
        <w:br/>
        <w:t>51.   El 19 de noviembre de 2003 la Secretaría, siguiendo instrucciones  del</w:t>
        <w:br/>
        <w:t>Presidente, remitió un escrito a la Comisión Interamericana con  el  fin  de</w:t>
        <w:br/>
        <w:t>solicitarle que, a más  tardar  el  21  de  noviembre  de  2003,  presentara</w:t>
        <w:br/>
        <w:t>determinada  información  necesaria  para  que  la  Corte   considerara   el</w:t>
        <w:br/>
        <w:t>cumplimiento de lo estipulado en el punto resolutivo noveno de la  Sentencia</w:t>
        <w:br/>
        <w:t>de 2 de febrero de 2001 y en el punto resolutivo octavo de la Resolución  de</w:t>
        <w:br/>
        <w:t>22 de noviembre de 2002 (supra párrs. 3 y 21).</w:t>
        <w:br/>
        <w:br/>
        <w:t>52.   El 21 de noviembre de  2003  la  Comisión  Interamericana  remitió  un</w:t>
        <w:br/>
        <w:t>escrito en respuesta a la anterior  solicitud,  mediante  el  cual  presentó</w:t>
        <w:br/>
        <w:t>información sobre el reintegro de los gastos y costas que se debía  realizar</w:t>
        <w:br/>
        <w:t>por su conducto.</w:t>
        <w:br/>
        <w:br/>
        <w:br/>
        <w:t xml:space="preserve">                                     II</w:t>
        <w:br/>
        <w:t xml:space="preserve">                 Competencia de la Corte para Supervisar el</w:t>
        <w:br/>
        <w:t xml:space="preserve">           Cumplimiento de sus Decisiones: Argumentos de las Partes</w:t>
        <w:br/>
        <w:br/>
        <w:t>53.   Mediante escrito de 27 de febrero de 2003 (supra párr. 26)  el  Estado</w:t>
        <w:br/>
        <w:t>se refirió a lo  resuelto  por  el  Tribunal  en  la  Resolución  de  22  de</w:t>
        <w:br/>
        <w:t>noviembre de 2002 sobre cumplimiento de  sentencia  (supra  párr.  21).   En</w:t>
        <w:br/>
        <w:t>este escrito Panamá expresó, inter alia, que  la  etapa  de  supervisión  de</w:t>
        <w:br/>
        <w:t>cumplimiento de sentencia es una etapa  “post-adjudicativa”,  que  “no  está</w:t>
        <w:br/>
        <w:t>prevista por las normas que regulan la jurisdicción y  el  procedimiento  de</w:t>
        <w:br/>
        <w:t>la Honorable  Corte”,  y  que  mediante  la  referida  Resolución  la  Corte</w:t>
        <w:br/>
        <w:t>interpretó su propia Sentencia de 2 de febrero de 2001.</w:t>
        <w:br/>
        <w:br/>
        <w:t>54.   El 30 de julio de 2003 (supra párr. 41) el Estado remitió  un  escrito</w:t>
        <w:br/>
        <w:t>de “[o]bservaciones […] a la  Resolución  de  6  de  junio  de  2003  […]  e</w:t>
        <w:br/>
        <w:t>información sobre el proceso de implementación  de  la  Sentencia  de  2  de</w:t>
        <w:br/>
        <w:t>febrero  de  200[1]”,  emitidas  por  la  Corte  en  el  presente  caso.   A</w:t>
        <w:br/>
        <w:t>continuación se resumen las  objeciones  de  Panamá  a  la  competencia  del</w:t>
        <w:br/>
        <w:t>Tribunal para supervisar el cumplimiento de sus sentencias:</w:t>
        <w:br/>
        <w:br/>
        <w:t xml:space="preserve">   a) la etapa de supervisión de cumplimiento de  sentencia  es  “una  etapa</w:t>
        <w:br/>
        <w:t xml:space="preserve">      ‘post-adjudicativa’, […] que no se encuentra en la esfera judicial que</w:t>
        <w:br/>
        <w:t xml:space="preserve">      corresponde a la Honorable Corte sino estrictamente en la política, la</w:t>
        <w:br/>
        <w:t xml:space="preserve">      que aquí [es] exclusiva de la Asamblea General de la  Organización  de</w:t>
        <w:br/>
        <w:t xml:space="preserve">      los Estados Americanos”.  “Es precisamente por causa de su  reconocida</w:t>
        <w:br/>
        <w:t xml:space="preserve">      naturaleza política y no judicial que  dicha  etapa  post-adjudicativa</w:t>
        <w:br/>
        <w:t xml:space="preserve">      nunca se encuentra prevista en las normas que regulan la  jurisdicción</w:t>
        <w:br/>
        <w:t xml:space="preserve">      y el procedimiento de los tribunales internacionales”;</w:t>
        <w:br/>
        <w:br/>
        <w:t xml:space="preserve">      b)    la Convención Americana y el Estatuto  de  la  Corte  establecen</w:t>
        <w:br/>
        <w:t xml:space="preserve">      claramente los límites de la jurisdicción o competencia de  la  Corte.</w:t>
        <w:br/>
        <w:t xml:space="preserve">      El artículo 65 de la Convención  Americana  establece  claramente  que</w:t>
        <w:br/>
        <w:t xml:space="preserve">      sólo la Asamblea General de la Organización de los Estados  Americanos</w:t>
        <w:br/>
        <w:t xml:space="preserve">      (en adelante “la OEA”) tiene la función de supervisar el  cumplimiento</w:t>
        <w:br/>
        <w:t xml:space="preserve">      de los fallos de la Corte Interamericana de Derechos  Humanos.   Dicha</w:t>
        <w:br/>
        <w:t xml:space="preserve">      norma únicamente establece obligaciones a  cargo  de  la  Corte  y  no</w:t>
        <w:br/>
        <w:t xml:space="preserve">      establece obligación alguna para los Estados Partes, así como  tampoco</w:t>
        <w:br/>
        <w:t xml:space="preserve">      otorga derechos a la Corte ni le otorga competencia para supervisar el</w:t>
        <w:br/>
        <w:t xml:space="preserve">      cumplimiento de sus sentencias;</w:t>
        <w:br/>
        <w:br/>
        <w:t xml:space="preserve">      c)    al desarrollar el artículo 65 de la Convención y referirse a  la</w:t>
        <w:br/>
        <w:t xml:space="preserve">      competencia y funciones de la Corte, el Estatuto de la  Corte  tampoco</w:t>
        <w:br/>
        <w:t xml:space="preserve">      prevé ni autoriza una función supervisora del Tribunal.   El  artículo</w:t>
        <w:br/>
        <w:t xml:space="preserve">      30 del Estatuto  reitera  lo  dispuesto  por  el  artículo  65  de  la</w:t>
        <w:br/>
        <w:t xml:space="preserve">      Convención, y la segunda parte “es quizás aún más  indicativa  de  las</w:t>
        <w:br/>
        <w:t xml:space="preserve">      limitaciones jurisdiccionales de la Honorable Corte”, ya que establece</w:t>
        <w:br/>
        <w:t xml:space="preserve">      que el Tribunal únicamente puede “someter a la Asamblea General de  la</w:t>
        <w:br/>
        <w:t xml:space="preserve">      OEA proposiciones o recomendaciones […] en lo relacionado  al  trabajo</w:t>
        <w:br/>
        <w:t xml:space="preserve">      de la Corte”.  No es posible que la Corte, a través  de  una  práctica</w:t>
        <w:br/>
        <w:t xml:space="preserve">      constante, extienda unilateralmente  su  función  jurisdiccional  para</w:t>
        <w:br/>
        <w:t xml:space="preserve">      crear una función supervisora de sus sentencias, en contraposición  de</w:t>
        <w:br/>
        <w:t xml:space="preserve">      lo dispuesto en la Convención y en su Estatuto, en lugar de someter  a</w:t>
        <w:br/>
        <w:t xml:space="preserve">      la Asamblea General de la OEA sus  “proposiciones  o  recomendaciones”</w:t>
        <w:br/>
        <w:t xml:space="preserve">      sobre cualquier “mejoramiento […] en lo relacionado al trabajo  de  la</w:t>
        <w:br/>
        <w:t xml:space="preserve">      Corte”.  La Corte tampoco puede crear tal función bajo criterios de su</w:t>
        <w:br/>
        <w:t xml:space="preserve">      compétence de la compétence;</w:t>
        <w:br/>
        <w:br/>
        <w:t xml:space="preserve">      d)    el artículo 65 de la Convención “es cónsono con  lo  establecido</w:t>
        <w:br/>
        <w:t xml:space="preserve">      en los  instrumentos  jurídicos  que  desde  hace  décadas  sirven  de</w:t>
        <w:br/>
        <w:t xml:space="preserve">      fundamento a  otros  tribunales  internacionales”.   Al  respecto,  el</w:t>
        <w:br/>
        <w:t xml:space="preserve">      artículo 94.2 de la Carta de  la  ONU  reconoce  expresamente  que  la</w:t>
        <w:br/>
        <w:t xml:space="preserve">      función supervisora  del  cumplimiento  de  los  fallos  de  la  Corte</w:t>
        <w:br/>
        <w:t xml:space="preserve">      Internacional  de  Justicia  se  encuentra  a  cargo  del  Consejo  de</w:t>
        <w:br/>
        <w:t xml:space="preserve">      Seguridad de la ONU y no de dicho tribunal.  La Corte Internacional de</w:t>
        <w:br/>
        <w:t xml:space="preserve">      Justicia nunca ha intentado supervisar el cumplimiento de sus  fallos,</w:t>
        <w:br/>
        <w:t xml:space="preserve">      ya que reconoce que esa función es competencia exclusiva  del  Consejo</w:t>
        <w:br/>
        <w:t xml:space="preserve">      de Seguridad.  Por su parte, la Convención Europea de Derechos Humanos</w:t>
        <w:br/>
        <w:t xml:space="preserve">      le concede esa función supervisora del cumplimiento de las  sentencias</w:t>
        <w:br/>
        <w:t xml:space="preserve">      de la Corte Europea de Derechos Humanos al Comité de  Ministros.   “La</w:t>
        <w:br/>
        <w:t xml:space="preserve">      Corte Europea de Derechos Humanos nunca ha interferido en  la  función</w:t>
        <w:br/>
        <w:t xml:space="preserve">      supervisora del Comité de Ministros”;</w:t>
        <w:br/>
        <w:br/>
        <w:t xml:space="preserve">      e)    no es posible considerar como práctica  jurisprudencial  “a  una</w:t>
        <w:br/>
        <w:t xml:space="preserve">      experiencia tan joven como la de la Honorable Corte que  tiene  apenas</w:t>
        <w:br/>
        <w:t xml:space="preserve">      catorce (14) años respecto a la materia”;</w:t>
        <w:br/>
        <w:br/>
        <w:t xml:space="preserve">      f)    “[h]abiendo sido  creada  por  la  propia  Honorable  Corte,  la</w:t>
        <w:br/>
        <w:t xml:space="preserve">      aludida función supervisora no  tendría  ningún  fundamento  jurídico,</w:t>
        <w:br/>
        <w:t xml:space="preserve">      conforme al Artículo 2 del Estatuto de la propia Honorable  Corte,  en</w:t>
        <w:br/>
        <w:t xml:space="preserve">      las disposiciones de la Convención Americana”;</w:t>
        <w:br/>
        <w:br/>
        <w:t xml:space="preserve">      g)    el informe anual que la  Corte  debe  presentar  a  la  Asamblea</w:t>
        <w:br/>
        <w:t xml:space="preserve">      General de la OEA debe referirse específicamente a la labor anual  del</w:t>
        <w:br/>
        <w:t xml:space="preserve">      Tribunal, pero no a la labor  de  los  Estados  partes  en  los  casos</w:t>
        <w:br/>
        <w:t xml:space="preserve">      contenciosos;</w:t>
        <w:br/>
        <w:br/>
        <w:br/>
        <w:t xml:space="preserve">      h)    la Corte puede invitar a las partes del caso a  que  suministren</w:t>
        <w:br/>
        <w:t xml:space="preserve">      de forma  voluntaria  la  información  que  considere  necesaria  para</w:t>
        <w:br/>
        <w:t xml:space="preserve">      facilitar la realización de las funciones administrativas  autorizadas</w:t>
        <w:br/>
        <w:t xml:space="preserve">      y requeridas en los artículos 65 de la Convención y 30 del Estatuto de</w:t>
        <w:br/>
        <w:t xml:space="preserve">      la Corte, es decir, la obligación de señalar en el informe anual a  la</w:t>
        <w:br/>
        <w:t xml:space="preserve">      Asamblea General de la OEA “los casos en que un Estado  no  haya  dado</w:t>
        <w:br/>
        <w:t xml:space="preserve">      cumplimiento a sus fallos”  y  de  indicar,  de  ser  necesario,  “las</w:t>
        <w:br/>
        <w:t xml:space="preserve">      recomendaciones pertinentes”.  Corresponderá a la Asamblea General  de</w:t>
        <w:br/>
        <w:t xml:space="preserve">      la OEA, al considerar el  informe  anual  de  la  Corte,  “evaluar  la</w:t>
        <w:br/>
        <w:t xml:space="preserve">      respuesta, o la falta de ella, de un Estado que fue parte en  el  caso</w:t>
        <w:br/>
        <w:t xml:space="preserve">      respectivo a  la  invitación  de  la  Honorable  Corte  a  suministrar</w:t>
        <w:br/>
        <w:t xml:space="preserve">      información que le ayude a completar dicho informe  anual”.   Queda  a</w:t>
        <w:br/>
        <w:t xml:space="preserve">      criterio de la Asamblea General de la OEA  adoptar  las  acciones  que</w:t>
        <w:br/>
        <w:t xml:space="preserve">      estime adecuadas;</w:t>
        <w:br/>
        <w:br/>
        <w:t xml:space="preserve">      i)    la invitación que haga la Corte a los Estados Partes  por  medio</w:t>
        <w:br/>
        <w:t xml:space="preserve">      de correspondencia regular se distingue de la  exigencia  con  que  ha</w:t>
        <w:br/>
        <w:t xml:space="preserve">      solicitado al Estado  panameño  que   presente  información,  mediante</w:t>
        <w:br/>
        <w:t xml:space="preserve">      resoluciones que se presentan como producto de una función supervisora</w:t>
        <w:br/>
        <w:t xml:space="preserve">      que no se encuentra establecida ni en la Convención Americana ni en el</w:t>
        <w:br/>
        <w:t xml:space="preserve">      Estatuto de la Corte.  Lamenta tener conocimiento  ex  post  facto  de</w:t>
        <w:br/>
        <w:t xml:space="preserve">      cuál ha sido el procedimiento  aplicado  por  la  Corte,  el  cual  la</w:t>
        <w:br/>
        <w:t xml:space="preserve">      condujo a dictar las Resoluciones de 22 de noviembre de 2002 y de 6 de</w:t>
        <w:br/>
        <w:t xml:space="preserve">      junio de 2003;</w:t>
        <w:br/>
        <w:br/>
        <w:t xml:space="preserve">      j)    ningún tribunal internacional similar a la Corte  Interamericana</w:t>
        <w:br/>
        <w:t xml:space="preserve">      ha intentado modificar  su  jurisdicción  argumentando   una  práctica</w:t>
        <w:br/>
        <w:t xml:space="preserve">      constante;</w:t>
        <w:br/>
        <w:br/>
        <w:t xml:space="preserve">      k)    la aplicación del procedimiento descrito por el Tribunal  en  el</w:t>
        <w:br/>
        <w:t xml:space="preserve">      considerando séptimo de la Resolución de 6 de  junio  de  2003  no  se</w:t>
        <w:br/>
        <w:t xml:space="preserve">      encuentra amparada en el principio del debido proceso,  ya  que  dicho</w:t>
        <w:br/>
        <w:t xml:space="preserve">      procedimiento no fue previamente incorporado en la Convención o en  el</w:t>
        <w:br/>
        <w:t xml:space="preserve">      Estatuto o Reglamento de la Corte;</w:t>
        <w:br/>
        <w:br/>
        <w:t xml:space="preserve">      l)    “[e]n relación  a  la  naturaleza  del  ‘procedimiento  escrito’</w:t>
        <w:br/>
        <w:t xml:space="preserve">      descrito por la Honorable Corte en el Punto 7 [de la Resolución de  22</w:t>
        <w:br/>
        <w:t xml:space="preserve">      de noviembre de 2002 …,] el Estado panameño considera que difícilmente</w:t>
        <w:br/>
        <w:t xml:space="preserve">      se le puede denominar como  tal  a  un  simple  envío  de  informes  y</w:t>
        <w:br/>
        <w:t xml:space="preserve">      observaciones de la otra parte, en ausencia de todo tipo de  garantías</w:t>
        <w:br/>
        <w:t xml:space="preserve">      judiciales”.  En  el  referido  procedimiento  no  se  garantizan  las</w:t>
        <w:br/>
        <w:t xml:space="preserve">      “formalidades básicas en todo proceso,  de  debates,  de  pruebas,  de</w:t>
        <w:br/>
        <w:t xml:space="preserve">      testigos, de peritos, de objeciones, de  recusaciones  y  excepciones,</w:t>
        <w:br/>
        <w:t xml:space="preserve">      entre otros”.  Además, no se explica cómo  dicho  procedimiento  puede</w:t>
        <w:br/>
        <w:t xml:space="preserve">      ser exclusivamente escrito cuando el artículo 24 del  Estatuto  de  la</w:t>
        <w:br/>
        <w:t xml:space="preserve">      Corte requiere que se celebren audiencias;</w:t>
        <w:br/>
        <w:br/>
        <w:t xml:space="preserve">      m)    mediante las Resoluciones de 22 de noviembre  de  2002  y  6  de</w:t>
        <w:br/>
        <w:t xml:space="preserve">      junio de 2003 la Corte “interpret[ó] de hecho su propia Sentencia, sin</w:t>
        <w:br/>
        <w:t xml:space="preserve">      fundamento en el artículo 67 de la Convención Americana”, debido a que</w:t>
        <w:br/>
        <w:t xml:space="preserve">      “emitió […] nuevas decisiones sobre puntos concernientes al fondo y  a</w:t>
        <w:br/>
        <w:t xml:space="preserve">      las reparaciones que habían sido considerados en [la] Sentencia [de  2</w:t>
        <w:br/>
        <w:t xml:space="preserve">      de febrero de 2001]”.  Las Resoluciones de 22 de noviembre de 2002 y 6</w:t>
        <w:br/>
        <w:t xml:space="preserve">      de junio de 2003 “fueron dictadas por la Honorable Corte en  excès  de</w:t>
        <w:br/>
        <w:t xml:space="preserve">      pouvoir”;</w:t>
        <w:br/>
        <w:br/>
        <w:br/>
        <w:t xml:space="preserve">      n)     “ninguna  de  las  partes  en  el   caso   […]   solicitó   una</w:t>
        <w:br/>
        <w:t xml:space="preserve">      interpretación de la Sentencia a la Honorable Corte dentro  del  plazo</w:t>
        <w:br/>
        <w:t xml:space="preserve">      de  90  días  señalado  por  el  Artículo  67,   […]   situación   que</w:t>
        <w:br/>
        <w:t xml:space="preserve">      específicamente impide posteriores interpretaciones”;</w:t>
        <w:br/>
        <w:br/>
        <w:t xml:space="preserve">      o)    el Estado difiere de la opinión expresada por  la  Corte  en  el</w:t>
        <w:br/>
        <w:t xml:space="preserve">      considerando octavo de la Resolución de 6  de  junio  de  2003  (supra</w:t>
        <w:br/>
        <w:t xml:space="preserve">      párr. 37).   No  encuentra  fundamento  en  el  derecho  internacional</w:t>
        <w:br/>
        <w:t xml:space="preserve">      general, ni en la Convención ni en  el  Estatuto  de  la  Corte  a  la</w:t>
        <w:br/>
        <w:t xml:space="preserve">      afirmación de ésta de que “todo  órgano  internacional  con  funciones</w:t>
        <w:br/>
        <w:t xml:space="preserve">      jurisdiccionales, […] tiene el poder, inherente a sus atribuciones, de</w:t>
        <w:br/>
        <w:t xml:space="preserve">      determinar el alcance de sus resoluciones y fallos”;</w:t>
        <w:br/>
        <w:br/>
        <w:t xml:space="preserve">      p)    no comparte “con la Honorable  Corte  la  interpretación  de  su</w:t>
        <w:br/>
        <w:t xml:space="preserve">      compétence de la compétence respecto a funciones  no  establecidas  en</w:t>
        <w:br/>
        <w:t xml:space="preserve">      sus instrumentos jurídicos constitutivos como  lo  son  la  Convención</w:t>
        <w:br/>
        <w:t xml:space="preserve">      Americana y el Estatuto”;</w:t>
        <w:br/>
        <w:br/>
        <w:t xml:space="preserve">      q)    “la compétence de la compétence de un tribunal internacional  se</w:t>
        <w:br/>
        <w:t xml:space="preserve">      refiere a la potestad jurisdiccional de decidir la materia en disputa,</w:t>
        <w:br/>
        <w:t xml:space="preserve">      el propio caso delante del tribunal, y no ha emitir  las  ‘decisiones’</w:t>
        <w:br/>
        <w:t xml:space="preserve">      posteriores que contravengan de modo directo la fuerza de res judicata</w:t>
        <w:br/>
        <w:t xml:space="preserve">      de la sentencia de fondo en el caso”;</w:t>
        <w:br/>
        <w:br/>
        <w:t xml:space="preserve">      r)    “[l]a Honorable Corte parece dar a entender  […]  que,  por  ser</w:t>
        <w:br/>
        <w:t xml:space="preserve">      ella ‘maestra de su jurisdicción’, tal jurisdicción no  es  sujeto  de</w:t>
        <w:br/>
        <w:t xml:space="preserve">      objeciones por parte de los Estados”;</w:t>
        <w:br/>
        <w:br/>
        <w:t xml:space="preserve">      s)    “[e]s un principio reconocido por la Convención Americana que en</w:t>
        <w:br/>
        <w:t xml:space="preserve">      los procesos judiciales nada se presume y mucho menos una admisión  no</w:t>
        <w:br/>
        <w:t xml:space="preserve">      probada de cualquiera de las partes, por lo que  [la]  presunción  [de</w:t>
        <w:br/>
        <w:t xml:space="preserve">      que los Estados que presentan los instrumentos  de  aceptación  de  la</w:t>
        <w:br/>
        <w:t xml:space="preserve">      cláusula facultativa de  la  jurisdicción  obligatoria  presuponen  la</w:t>
        <w:br/>
        <w:t xml:space="preserve">      admisión del derecho de la Corte  a  resolver  cualquier  controversia</w:t>
        <w:br/>
        <w:t xml:space="preserve">      relativa a su jurisdicción,]  opera  seriamente  en  contra  de  estos</w:t>
        <w:br/>
        <w:t xml:space="preserve">      principios fundamentales”;</w:t>
        <w:br/>
        <w:br/>
        <w:t xml:space="preserve">      t)    el artículo 62.1 de la Convención se refiere a la competencia de</w:t>
        <w:br/>
        <w:t xml:space="preserve">      la Corte sobre los casos relativos a la interpretación o aplicación de</w:t>
        <w:br/>
        <w:t xml:space="preserve">      dicho tratado.  “[E]l considerar [las] objeciones [del  Estado]  a  la</w:t>
        <w:br/>
        <w:t xml:space="preserve">      ‘función supervisora’ aludida por la Honorable como un caso sería algo</w:t>
        <w:br/>
        <w:t xml:space="preserve">      totalmente ajeno a la definición ampliamente reconocida por el Derecho</w:t>
        <w:br/>
        <w:t xml:space="preserve">      Internacional general, como también a aquélla del Artículo 62(3) de la</w:t>
        <w:br/>
        <w:t xml:space="preserve">      Convención Americana”;</w:t>
        <w:br/>
        <w:br/>
        <w:t xml:space="preserve">      u)    el artículo 67 de  la  Convención  indica  los  tres  requisitos</w:t>
        <w:br/>
        <w:t xml:space="preserve">      fundamentales para que la Corte pueda considerar su propio  fallo,  “y</w:t>
        <w:br/>
        <w:t xml:space="preserve">      esto solamente para su interpretación”, y  no  establece  ningún  otro</w:t>
        <w:br/>
        <w:t xml:space="preserve">      motivo por el cual un fallo pueda volver  a  ser  considerado  por  el</w:t>
        <w:br/>
        <w:t xml:space="preserve">      Tribunal;</w:t>
        <w:br/>
        <w:br/>
        <w:t xml:space="preserve">      v)    la Resolución emitida por la Corte el 22 de noviembre de 2002 se</w:t>
        <w:br/>
        <w:t xml:space="preserve">      refirió a “puntos que no formaban  parte  de  la  disputa  o  caso  ya</w:t>
        <w:br/>
        <w:t xml:space="preserve">      decidido” en la Sentencia de 2 de febrero de 2001;</w:t>
        <w:br/>
        <w:br/>
        <w:t xml:space="preserve">      w)    “[e]l artículo 65 [de la Convención] es igualmente  taxativo  al</w:t>
        <w:br/>
        <w:t xml:space="preserve">      reconocer tanto el compromiso asumido por los  Estados  partes  de  la</w:t>
        <w:br/>
        <w:t xml:space="preserve">      Convención Americana en su Artículo 68[, …] como el mismo principio de</w:t>
        <w:br/>
        <w:t xml:space="preserve">      derecho internacional general que obliga a los Estados a  cumplir  con</w:t>
        <w:br/>
        <w:t xml:space="preserve">      los  fallos,  no   las   resoluciones   ni   ningún   otro   tipo   de</w:t>
        <w:br/>
        <w:t xml:space="preserve">      pronunciamiento, emitidos por la Honorable Corte en los casos  en  que</w:t>
        <w:br/>
        <w:t xml:space="preserve">      sean partes”.  Los artículos 66 a 69  de  la  Convención  se  refieren</w:t>
        <w:br/>
        <w:t xml:space="preserve">      taxativamente a “el fallo” de la Corte  y  ningún  artículo  de  dicho</w:t>
        <w:br/>
        <w:t xml:space="preserve">      tratado se refiere a las resoluciones del Tribunal; y</w:t>
        <w:br/>
        <w:br/>
        <w:t xml:space="preserve">      x)    no es posible considerar la existencia de una  controversia  con</w:t>
        <w:br/>
        <w:t xml:space="preserve">      la  simple  recepción  de  informes  y  de  observaciones,  “sin   las</w:t>
        <w:br/>
        <w:t xml:space="preserve">      formalidades de todo procedimiento y bajo uno que no está  contemplado</w:t>
        <w:br/>
        <w:t xml:space="preserve">      ni en la Convención Americana  ni  en  el  Estatuto  de  la  Honorable</w:t>
        <w:br/>
        <w:t xml:space="preserve">      Corte”.   Además,  estos  instrumentos  jurídicos  no  establecen   la</w:t>
        <w:br/>
        <w:t xml:space="preserve">      posibilidad que exista una controversia  sobre  la  ejecución  de  las</w:t>
        <w:br/>
        <w:t xml:space="preserve">      medidas de reparación, sino que la controversia debe darse por asuntos</w:t>
        <w:br/>
        <w:t xml:space="preserve">      “relacionados con normas específicas de la Convención Americana”.</w:t>
        <w:br/>
        <w:br/>
        <w:t>55.   En sus observaciones (supra párrs. 32 y 49) a los escritos del  Estado</w:t>
        <w:br/>
        <w:t>de 27 de febrero y 30 de julio de 2003 (supra párrs. 26 y 41),  la  Comisión</w:t>
        <w:br/>
        <w:t>indicó, inter alia, que:</w:t>
        <w:br/>
        <w:br/>
        <w:br/>
        <w:t xml:space="preserve">      a)    “los escritos presentados por el Estado […]  no  constituyen  un</w:t>
        <w:br/>
        <w:t xml:space="preserve">      informe detallado del cumplimiento de sentencia en este caso”, por  lo</w:t>
        <w:br/>
        <w:t xml:space="preserve">      que se reserva el derecho de presentar sus  observaciones  al  informe</w:t>
        <w:br/>
        <w:t xml:space="preserve">      que Panamá presente en su oportunidad a la Corte;</w:t>
        <w:br/>
        <w:br/>
        <w:br/>
        <w:t xml:space="preserve">      b)    “la Corte ya decidió de manera  clara  la  mayor  parte  de  los</w:t>
        <w:br/>
        <w:t xml:space="preserve">      alegatos del Estado en su Resolución del 6 de junio de 2003”,  por  lo</w:t>
        <w:br/>
        <w:t xml:space="preserve">      que no se justifica “un  pronunciamiento  adicional  de  la  Corte  en</w:t>
        <w:br/>
        <w:t xml:space="preserve">      relación con el carácter  definitivo  e  inapelable  de  sus  fallos”.</w:t>
        <w:br/>
        <w:t xml:space="preserve">      Solicita que, consecuentemente, el  Tribunal  “rechace  de  plano  los</w:t>
        <w:br/>
        <w:t xml:space="preserve">      argumentos  que  intentan  reabrir  una  discusión  sobre  asuntos  ya</w:t>
        <w:br/>
        <w:t xml:space="preserve">      decididos” por éste;</w:t>
        <w:br/>
        <w:br/>
        <w:br/>
        <w:t xml:space="preserve">      c)     las  observaciones  del  Estado   pretenden   controvertir   la</w:t>
        <w:br/>
        <w:t xml:space="preserve">      competencia de la Corte, impugnar el contenido de sus resoluciones,  y</w:t>
        <w:br/>
        <w:t xml:space="preserve">      provocar una revisión y reconsideración de  éstas.   Sin  embargo,  el</w:t>
        <w:br/>
        <w:t xml:space="preserve">      recurso de revisión no procede  y  las  sentencias  de  la  Corte  son</w:t>
        <w:br/>
        <w:t xml:space="preserve">      definitivas e inapelables;</w:t>
        <w:br/>
        <w:br/>
        <w:br/>
        <w:t xml:space="preserve">      d)    “[l]a presentación de alegatos  con  el  fin  de  cuestionar  la</w:t>
        <w:br/>
        <w:t xml:space="preserve">      competencia  de  la  Corte  para  emitir  resoluciones  relativas   al</w:t>
        <w:br/>
        <w:t xml:space="preserve">      cumplimiento de  sentencia  no  tiene  relevancia  práctica  alguna  y</w:t>
        <w:br/>
        <w:t xml:space="preserve">      pretende evadir  las  obligaciones  adquiridas  internacionalmente  de</w:t>
        <w:br/>
        <w:t xml:space="preserve">      buena fe”.  Pretender desviar la atención del Tribunal con asuntos que</w:t>
        <w:br/>
        <w:t xml:space="preserve">      “denotan falta de voluntad para cumplir” con  su  sentencia  viola  el</w:t>
        <w:br/>
        <w:t xml:space="preserve">      principio pacta sunt servanda;</w:t>
        <w:br/>
        <w:br/>
        <w:br/>
        <w:t xml:space="preserve">      e)    un tribunal internacional “tiene la  capacidad  de  pronunciarse</w:t>
        <w:br/>
        <w:t xml:space="preserve">      sobre sus poderes,  en  particular  sobre  su  competencia  de  emitir</w:t>
        <w:br/>
        <w:t xml:space="preserve">      órdenes o resoluciones”;</w:t>
        <w:br/>
        <w:br/>
        <w:br/>
        <w:t xml:space="preserve">      f)     el  tribunal  de   primera   instancia   del   Tribunal   Penal</w:t>
        <w:br/>
        <w:t xml:space="preserve">      Internacional para la ExYugoslavia “decidió que tenía  la  competencia</w:t>
        <w:br/>
        <w:t xml:space="preserve">      de emitir [una] orden o  resolución  [determinada],  considerando  que</w:t>
        <w:br/>
        <w:t xml:space="preserve">      ést[a] era necesaria para  cumplir  su  objetivo  fundamental  y  para</w:t>
        <w:br/>
        <w:t xml:space="preserve">      funcionar efectivamente”[19],  decisión  que  fue  confirmada  por  el</w:t>
        <w:br/>
        <w:t xml:space="preserve">      tribunal de segunda instancia;</w:t>
        <w:br/>
        <w:br/>
        <w:br/>
        <w:t xml:space="preserve">      g)     la  Corte  tiene  competencia  para  emitir  decisiones   sobre</w:t>
        <w:br/>
        <w:t xml:space="preserve">      cumplimiento de sentencia, poder que “es fundamental para el ejercicio</w:t>
        <w:br/>
        <w:t xml:space="preserve">      de  sus  funciones  judiciales”.  La  competencia  del   Tribunal   es</w:t>
        <w:br/>
        <w:t xml:space="preserve">      indiscutible y se refleja en su jurisprudencia constante;</w:t>
        <w:br/>
        <w:br/>
        <w:br/>
        <w:t xml:space="preserve">      h)      “[c]onvencionalmente   está   establecido   que    la    Corte</w:t>
        <w:br/>
        <w:t xml:space="preserve">      Interamericana, como tribunal internacional que  es,  garantice  a  la</w:t>
        <w:br/>
        <w:t xml:space="preserve">      parte lesionada el goce de sus derechos, lo que implica garantizar  la</w:t>
        <w:br/>
        <w:t xml:space="preserve">      reparación de las consecuencias de las violaciones y el  pago  de  una</w:t>
        <w:br/>
        <w:t xml:space="preserve">      justa indemnización”.  Es por ello que es “evidente que la Corte tiene</w:t>
        <w:br/>
        <w:t xml:space="preserve">      el poder de supervisar el cumplimiento de  lo  que  […]  ha  decidido,</w:t>
        <w:br/>
        <w:t xml:space="preserve">      puesto que sería inútil e ilusorio que,  teniendo  la  capacidad  para</w:t>
        <w:br/>
        <w:t xml:space="preserve">      determinar las reparaciones, no tenga competencia para supervisar”  lo</w:t>
        <w:br/>
        <w:t xml:space="preserve">      que  ordena.   En  caso  contrario,  “las  víctimas  quedarían  en  la</w:t>
        <w:br/>
        <w:t xml:space="preserve">      indefensión”;</w:t>
        <w:br/>
        <w:br/>
        <w:br/>
        <w:t xml:space="preserve">      i)    del artículo 65 de la Convención se deduce que  la  Corte  tiene</w:t>
        <w:br/>
        <w:t xml:space="preserve">      competencia para requerir a las partes en un caso información sobre el</w:t>
        <w:br/>
        <w:t xml:space="preserve">      cumplimiento de las sentencias, así  como  de  pronunciarse  sobre  el</w:t>
        <w:br/>
        <w:t xml:space="preserve">      referido cumplimiento;</w:t>
        <w:br/>
        <w:br/>
        <w:br/>
        <w:t xml:space="preserve">      j)    “no comparte la interpretación del  Estado  según  la  cual,  el</w:t>
        <w:br/>
        <w:t xml:space="preserve">      artículo 65  de  la  Convención  simplemente  otorga  obligaciones  de</w:t>
        <w:br/>
        <w:t xml:space="preserve">      naturaleza administrativa a la Corte”.  El sistema  interamericano  de</w:t>
        <w:br/>
        <w:t xml:space="preserve">      protección “no contempla, como en los casos del Sistema Europeo  y  de</w:t>
        <w:br/>
        <w:t xml:space="preserve">      la Corte Internacional de  Justicia  (CIJ),  que  un  órgano  político</w:t>
        <w:br/>
        <w:t xml:space="preserve">      supervise el cumplimiento de las sentencias de la Corte”.  Además,  la</w:t>
        <w:br/>
        <w:t xml:space="preserve">      Convención no indica que la Asamblea General de la OEA velará  por  la</w:t>
        <w:br/>
        <w:t xml:space="preserve">      ejecución de las sentencias de la Corte.  El  Tribunal  informa  a  la</w:t>
        <w:br/>
        <w:t xml:space="preserve">      referida Asamblea del incumplimiento, por parte de un Estado,  de  sus</w:t>
        <w:br/>
        <w:t xml:space="preserve">      decisiones, para que dicha Asamblea “tome medidas para insistir en  el</w:t>
        <w:br/>
        <w:t xml:space="preserve">      cumplimiento”;</w:t>
        <w:br/>
        <w:br/>
        <w:br/>
        <w:t xml:space="preserve">      k)    la Corte  tiene  competencia  para  supervisar  el  cumplimiento</w:t>
        <w:br/>
        <w:t xml:space="preserve">      “haciendo  determinaciones”  y  también  puede  “emitir   resoluciones</w:t>
        <w:br/>
        <w:t xml:space="preserve">      obligatorias al respecto, y después, en los casos en los  cuales  esas</w:t>
        <w:br/>
        <w:t xml:space="preserve">      resoluciones no son respetadas, informar  a  la  Asamblea  General  de</w:t>
        <w:br/>
        <w:t xml:space="preserve">      dicho incumplimiento y recomendar acciones”;</w:t>
        <w:br/>
        <w:br/>
        <w:br/>
        <w:t xml:space="preserve">      l)     el  tribunal  de   segunda   instancia   del   Tribunal   Penal</w:t>
        <w:br/>
        <w:t xml:space="preserve">      Internacional para la ExYugoslavia  señaló que tenía competencia  para</w:t>
        <w:br/>
        <w:t xml:space="preserve">      determinar si “un Estado cumplió o no con” su decisión, “para  después</w:t>
        <w:br/>
        <w:t xml:space="preserve">      informar al Consejo de Seguridad de la ONU de  dicho  incumplimiento”.</w:t>
        <w:br/>
        <w:t xml:space="preserve">      El “Tribunal indicó que esta determinación era una etapa esencial  del</w:t>
        <w:br/>
        <w:t xml:space="preserve">      proceso”[20];</w:t>
        <w:br/>
        <w:br/>
        <w:br/>
        <w:t xml:space="preserve">      m)    reitera que  el  artículo  65  de  la  Convención  “confirma  la</w:t>
        <w:br/>
        <w:t xml:space="preserve">      competencia de la Corte de emitir resoluciones  de  cumplimiento,  que</w:t>
        <w:br/>
        <w:t xml:space="preserve">      dicha competencia no sólo está consagrada en la Convención sino que ha</w:t>
        <w:br/>
        <w:t xml:space="preserve">      sido además una práctica amplia y constante de la propia Corte”;</w:t>
        <w:br/>
        <w:br/>
        <w:br/>
        <w:t xml:space="preserve">      n)     “[u]na  vez  que  la   Corte   determina   la   responsabilidad</w:t>
        <w:br/>
        <w:t xml:space="preserve">      internacional de un Estado por violaciones a la Convención, el  Estado</w:t>
        <w:br/>
        <w:t xml:space="preserve">      tiene que cumplir  con  la  sentencia  de  la  Corte  y  asegurar  las</w:t>
        <w:br/>
        <w:t xml:space="preserve">      reparaciones a las víctimas”; y</w:t>
        <w:br/>
        <w:br/>
        <w:br/>
        <w:t xml:space="preserve">      o)     la  “Corte  es  competente  para  emitir  las  Resoluciones  de</w:t>
        <w:br/>
        <w:t xml:space="preserve">      cumplimiento y […] lo ordenado  es  perfectamente  compatible  con  su</w:t>
        <w:br/>
        <w:t xml:space="preserve">      competencia para supervisar el cumplimiento de sus decisiones.  Por lo</w:t>
        <w:br/>
        <w:t xml:space="preserve">      tanto la doctrina de  excès  de  pouvoir  invocada  por  el  Estado[,]</w:t>
        <w:br/>
        <w:t xml:space="preserve">      aplicable cuando un tribunal actúa  sin  tener  competencia  para  tal</w:t>
        <w:br/>
        <w:t xml:space="preserve">      acción, es totalmente inaplicable”.</w:t>
        <w:br/>
        <w:br/>
        <w:t>56.   En sus observaciones (supra párrs. 29 y 50) a los escritos del  Estado</w:t>
        <w:br/>
        <w:t>de 27 de febrero y 30 de julio de  2003  (supra  párrs.  26  y  41),  CEJIL,</w:t>
        <w:br/>
        <w:t>representante legal de la mayoría de las víctimas, indicó, inter alia,  que:</w:t>
        <w:br/>
        <w:br/>
        <w:br/>
        <w:br/>
        <w:t xml:space="preserve">      a)    la posición del Estado demuestra un  desconocimiento  sustancial</w:t>
        <w:br/>
        <w:t xml:space="preserve">      del derecho interamericano;</w:t>
        <w:br/>
        <w:br/>
        <w:br/>
        <w:t xml:space="preserve">      b)    el hecho que el Estado pagara lo correspondiente al  daño  moral</w:t>
        <w:br/>
        <w:t xml:space="preserve">      en forma extemporánea;  fijara  las  indemnizaciones  pecuniarias  sin</w:t>
        <w:br/>
        <w:t xml:space="preserve">      justificación o respaldo normativo; ignorara  la  legislación  interna</w:t>
        <w:br/>
        <w:t xml:space="preserve">      aplicable  (que  sería  la  existente  al  momento   de   los   hechos</w:t>
        <w:br/>
        <w:t xml:space="preserve">      violatorios) al fijar las indemnizaciones bajo criterios  arbitrarios,</w:t>
        <w:br/>
        <w:t xml:space="preserve">      y que dedujera el impuesto sobre la renta a las indemnizaciones, llevó</w:t>
        <w:br/>
        <w:t xml:space="preserve">      a que la Corte, mediante  Resolución  de  22  de  noviembre  de  2002,</w:t>
        <w:br/>
        <w:t xml:space="preserve">      “recordara al Estado los términos de la reparación ordenada  por  ella</w:t>
        <w:br/>
        <w:t xml:space="preserve">      en su sentencia de febrero de 2001”;</w:t>
        <w:br/>
        <w:br/>
        <w:br/>
        <w:t xml:space="preserve">      c)    debido a que “Panamá puso en duda la potestad  de  la  Corte  de</w:t>
        <w:br/>
        <w:t xml:space="preserve">      supervisar el  cumplimiento  de  sus  sentencias”,  ésta  “procedió  a</w:t>
        <w:br/>
        <w:t xml:space="preserve">      ratificar sus requerimientos mediante la resolución de 6 de  junio  de</w:t>
        <w:br/>
        <w:t xml:space="preserve">      2003”;</w:t>
        <w:br/>
        <w:br/>
        <w:br/>
        <w:t xml:space="preserve">      d)    las Resoluciones de la Corte de 22 de noviembre de 2002 y  de  6</w:t>
        <w:br/>
        <w:t xml:space="preserve">      de junio de 2003 “no modifican la sentencia  de  la  Corte,  sino  que</w:t>
        <w:br/>
        <w:t xml:space="preserve">      aclaran su alcance a la luz de la conducta del Estado”.   El  Tribunal</w:t>
        <w:br/>
        <w:t xml:space="preserve">      aclara la forma en que deben ejecutarse  las  reparaciones  ordenadas,</w:t>
        <w:br/>
        <w:t xml:space="preserve">      “son resoluciones para asegurar el cumplimiento y  en  ningún  momento</w:t>
        <w:br/>
        <w:t xml:space="preserve">      pretenden interpretar la sentencia de febrero de 2001”;</w:t>
        <w:br/>
        <w:br/>
        <w:br/>
        <w:t xml:space="preserve">      e)    el  artículo  68.1  de  la  Convención  “hace  referencia  a  la</w:t>
        <w:br/>
        <w:t xml:space="preserve">      obligatoriedad de  las  decisiones  de  la  Corte  sin  distinguir  su</w:t>
        <w:br/>
        <w:t xml:space="preserve">      carácter  de  fallos,  medidas   provisionales,   u   otro   tipo   de</w:t>
        <w:br/>
        <w:t xml:space="preserve">      resoluciones, por lo cual es extensible a cualquier tipo de resolución</w:t>
        <w:br/>
        <w:t xml:space="preserve">      que emita la Corte que conlleve  en  forma  explícita  algún  tipo  de</w:t>
        <w:br/>
        <w:t xml:space="preserve">      obligación para el Estado”;</w:t>
        <w:br/>
        <w:br/>
        <w:br/>
        <w:t xml:space="preserve">      f)    la aceptación voluntaria del Estado  de  la  competencia  de  la</w:t>
        <w:br/>
        <w:t xml:space="preserve">      Corte  y  su  compromiso  de   respetar   la   Convención   Americana,</w:t>
        <w:br/>
        <w:t xml:space="preserve">      particularmente el artículo 68 de ésta,  significa  que  “los  Estados</w:t>
        <w:br/>
        <w:t xml:space="preserve">      deben adoptar en  el  plano  nacional  todos  aquellos  mecanismos  de</w:t>
        <w:br/>
        <w:t xml:space="preserve">      derecho interno que tiendan  a  asegurar  la  fiel  ejecución  de  las</w:t>
        <w:br/>
        <w:t xml:space="preserve">      sentencias de la Corte Interamericana para cumplir con el objeto y fin</w:t>
        <w:br/>
        <w:t xml:space="preserve">      de la Convención”.  Es  decir,  hay  un  compromiso  estatal  que  las</w:t>
        <w:br/>
        <w:t xml:space="preserve">      disposiciones convencionales surtan efectos  en  el  derecho  interno,</w:t>
        <w:br/>
        <w:t xml:space="preserve">      afirmación que es consecuente con el  principio  pacta  sunt  servanda</w:t>
        <w:br/>
        <w:t xml:space="preserve">      previsto en la Convención de Viena sobre el Derecho de los Tratados;</w:t>
        <w:br/>
        <w:br/>
        <w:br/>
        <w:t xml:space="preserve">      g)    Panamá no puede interpretar la Convención ni las resoluciones de</w:t>
        <w:br/>
        <w:t xml:space="preserve">      la Corte en detrimento de los derechos de las víctimas.  Si el  Estado</w:t>
        <w:br/>
        <w:t xml:space="preserve">      incumple con  lo  requerido  por  la  Corte  en  sus  resoluciones  de</w:t>
        <w:br/>
        <w:t xml:space="preserve">      noviembre de 2002 y junio de  2003  “no  sólo  está  desconociendo  su</w:t>
        <w:br/>
        <w:t xml:space="preserve">      manifestación expresa de reconocer la competencia de  la  Corte,  sino</w:t>
        <w:br/>
        <w:t xml:space="preserve">      que también está incurriendo en una nueva violación de  la  Convención</w:t>
        <w:br/>
        <w:t xml:space="preserve">      Americana, la contendida en el artículo 68.1”;</w:t>
        <w:br/>
        <w:br/>
        <w:br/>
        <w:t xml:space="preserve">      h)    la Corte “tiene la potestad de resolver todo punto relativo a su</w:t>
        <w:br/>
        <w:t xml:space="preserve">      propia competencia, y  éste  es  un  deber  que  le  impone  la  misma</w:t>
        <w:br/>
        <w:t xml:space="preserve">      Convención Americana para ejercer sus funciones como órgano supremo de</w:t>
        <w:br/>
        <w:t xml:space="preserve">      supervisión de los derechos humanos en la región”;</w:t>
        <w:br/>
        <w:br/>
        <w:br/>
        <w:t xml:space="preserve">      i)    “la Corte, como máximo y único Tribunal de Justicia  en  materia</w:t>
        <w:br/>
        <w:t xml:space="preserve">      de derechos humanos en la región, no puede renunciar a dicha  potestad</w:t>
        <w:br/>
        <w:t xml:space="preserve">      y como parte  de  la  misma  tiene  la  obligación  de  supervisar  el</w:t>
        <w:br/>
        <w:t xml:space="preserve">      cumplimiento de sus sentencias.  Es por ello que en sus sentencias, la</w:t>
        <w:br/>
        <w:t xml:space="preserve">      Corte siempre decide  supervisar  el  cumplimiento  de  éstas  y  solo</w:t>
        <w:br/>
        <w:t xml:space="preserve">      después dará por cumplido el caso”. Se citan al respecto los artículos</w:t>
        <w:br/>
        <w:t xml:space="preserve">      33 y 62.3 de la Convención;</w:t>
        <w:br/>
        <w:br/>
        <w:br/>
        <w:t xml:space="preserve">      j)    existe una gran diferencia entre el  sistema  de  la  Convención</w:t>
        <w:br/>
        <w:t xml:space="preserve">      Americana y el sistema del Convenio Europeo.  Este  último  “establece</w:t>
        <w:br/>
        <w:t xml:space="preserve">      la necesidad de  otorgarle  a  la  parte  lesionada  una  satisfacción</w:t>
        <w:br/>
        <w:t xml:space="preserve">      equitativa si el derecho interno de la  alta  parte  contratante  sólo</w:t>
        <w:br/>
        <w:t xml:space="preserve">      permite de manera imperfecta borrar las consecuencias de una  decisión</w:t>
        <w:br/>
        <w:t xml:space="preserve">      o medida tomada por ese Estado que sea contraria al Convenio Europeo”.</w:t>
        <w:br/>
        <w:t xml:space="preserve">       La normativa americana es “más amplia y proteccionista a favor de  la</w:t>
        <w:br/>
        <w:t xml:space="preserve">      víctima de la violación de derechos humanos” y “es más contundente  en</w:t>
        <w:br/>
        <w:t xml:space="preserve">      términos  de  reparación,  ya  que  otorga   facultad   a   la   Corte</w:t>
        <w:br/>
        <w:t xml:space="preserve">      Interamericana para que, en los casos que determine violaciones a  [la</w:t>
        <w:br/>
        <w:t xml:space="preserve">      C]onvención [Americana], pueda disponer que se garantice al  lesionado</w:t>
        <w:br/>
        <w:t xml:space="preserve">      en el goce de su derecho o libertad conculcados”;</w:t>
        <w:br/>
        <w:br/>
        <w:br/>
        <w:t xml:space="preserve">      k)    “[l]a materialización práctica de la Corte  de  su  potestad  de</w:t>
        <w:br/>
        <w:t xml:space="preserve">      supervisión no es única; otras instancias internacionales responsables</w:t>
        <w:br/>
        <w:t xml:space="preserve">      de supervisar el respeto de los derechos humanos han  establecido  sus</w:t>
        <w:br/>
        <w:t xml:space="preserve">      propios mecanismos”.  Por ejemplo, citó al Comité de Derechos  Humanos</w:t>
        <w:br/>
        <w:t xml:space="preserve">      de las Naciones Unidas;</w:t>
        <w:br/>
        <w:br/>
        <w:br/>
        <w:t xml:space="preserve">      l)    el control de seguimiento se considera indispensable “para hacer</w:t>
        <w:br/>
        <w:t xml:space="preserve">      justicia a las víctimas mediante la aplicación de medidas  correctivas</w:t>
        <w:br/>
        <w:t xml:space="preserve">      y mantener la autoridad de un órgano importante de derechos humanos”;</w:t>
        <w:br/>
        <w:br/>
        <w:br/>
        <w:t xml:space="preserve">      m)    además de la obligación  estatal  de  proteger  y  respetar  los</w:t>
        <w:br/>
        <w:t xml:space="preserve">      derechos consagrados en la Convención, “los Estados están obligados  a</w:t>
        <w:br/>
        <w:t xml:space="preserve">      asegurar la  integridad  y  efectividad  de  la  Convención”.   Existe</w:t>
        <w:br/>
        <w:t xml:space="preserve">      también la garantía colectiva de los Estados Partes en  la  Convención</w:t>
        <w:br/>
        <w:t xml:space="preserve">      Americana de supervisar el fiel cumplimiento de  las  resoluciones  de</w:t>
        <w:br/>
        <w:t xml:space="preserve">      los órganos del  sistema  interamericano.   Es  decir,  “[e]ste  deber</w:t>
        <w:br/>
        <w:t xml:space="preserve">      general de protección o garantía  colectiva  es  de  interés  de  cada</w:t>
        <w:br/>
        <w:t xml:space="preserve">      Estado y de todos ellos en su conjunto”;</w:t>
        <w:br/>
        <w:br/>
        <w:br/>
        <w:t xml:space="preserve">      n)    la garantía colectiva “podría  materializarse  a  través  de  la</w:t>
        <w:br/>
        <w:t xml:space="preserve">      intervención de los órganos políticos de la  Organización  de  Estados</w:t>
        <w:br/>
        <w:t xml:space="preserve">      Americanos en caso de incumplimiento”, de conformidad con el  artículo</w:t>
        <w:br/>
        <w:t xml:space="preserve">      65 de  la  Convención.   No  obstante,  “el  control  político  no  es</w:t>
        <w:br/>
        <w:t xml:space="preserve">      excluyente del jurídico”;</w:t>
        <w:br/>
        <w:br/>
        <w:br/>
        <w:t xml:space="preserve">      o)    la Convención Americana “prevé la facultad y  obligación  de  la</w:t>
        <w:br/>
        <w:t xml:space="preserve">      Corte de supervisar el cumplimiento de sus decisiones a fin de reparar</w:t>
        <w:br/>
        <w:t xml:space="preserve">      el daño causado y proteger a las víctimas, y parte de esta potestad es</w:t>
        <w:br/>
        <w:t xml:space="preserve">      informar a la Asamblea General de la OEA  sobre  el  proceder  de  los</w:t>
        <w:br/>
        <w:t xml:space="preserve">      Estado al respecto”; y</w:t>
        <w:br/>
        <w:br/>
        <w:br/>
        <w:t xml:space="preserve">      p)    “se espera que  el  Estado  de  Panamá  asuma  sus  obligaciones</w:t>
        <w:br/>
        <w:t xml:space="preserve">      internacionales  surgidas  de  la  Convención  Americana  y  de  haber</w:t>
        <w:br/>
        <w:t xml:space="preserve">      aceptado la  jurisdicción  contenciosa  de  la  Corte  Interamericana.</w:t>
        <w:br/>
        <w:t xml:space="preserve">      Negarse a cumplir con las resoluciones [….] de este Tribunal  y  poner</w:t>
        <w:br/>
        <w:t xml:space="preserve">      en duda su potestad de supervisar el cumplimiento de su  sentencia  de</w:t>
        <w:br/>
        <w:t xml:space="preserve">      febrero de 2001 pone en riesgo la  credibilidad  del  Estado  panameño</w:t>
        <w:br/>
        <w:t xml:space="preserve">      frente a la Comunidad Internacional”.</w:t>
        <w:br/>
        <w:br/>
        <w:br/>
        <w:t>57.   Las otras víctimas que presentaron  observaciones  (supra  párrs.  30,</w:t>
        <w:br/>
        <w:t>33, 44, 45 y 48) a los escritos del Estado de 27 de febrero y  30  de  julio</w:t>
        <w:br/>
        <w:t>de 2003 (supra párrs. 26 y 41), manifestaron en síntesis que:</w:t>
        <w:br/>
        <w:br/>
        <w:t xml:space="preserve">   a)  “[l]a  facultad  de  la  Corte  Interamericana   de   supervisar   el</w:t>
        <w:br/>
        <w:t xml:space="preserve">      cumplimiento de la Sentencia de 2 de febrero de 2001 se expresa en  el</w:t>
        <w:br/>
        <w:t xml:space="preserve">      Punto Resolutivo 10 de la misma y el Estado nunca la protestó”[21];</w:t>
        <w:br/>
        <w:br/>
        <w:br/>
        <w:t xml:space="preserve">   b) Panamá “se olvida que la Resolución de 22 de noviembre de  2002  tiene</w:t>
        <w:br/>
        <w:t xml:space="preserve">      su origen en el incumplimiento de la Sentencia de 2 de febrero de 2001</w:t>
        <w:br/>
        <w:t xml:space="preserve">      y las violaciones al debido proceso”[22];</w:t>
        <w:br/>
        <w:br/>
        <w:t xml:space="preserve">   c) el Estado pretende que la Corte Interamericana le  consulte  antes  de</w:t>
        <w:br/>
        <w:t xml:space="preserve">      emitir cualquier opinión[23];</w:t>
        <w:br/>
        <w:br/>
        <w:t xml:space="preserve">   d) el Estado “dice a la Corte Interamericana de Derechos  Humanos  cuáles</w:t>
        <w:br/>
        <w:t xml:space="preserve">      son sus funciones, sus deberes y en qué situaciones no puede opinar  o</w:t>
        <w:br/>
        <w:t xml:space="preserve">      sea que Panamá conoce más y mejor las funciones de  la  Corte  que  la</w:t>
        <w:br/>
        <w:t xml:space="preserve">      Corte misma.  De aceptarse como verdadero lo planteado por  el  Estado</w:t>
        <w:br/>
        <w:t xml:space="preserve">      de Panamá, entraría el Sistema Interamericano en un colapso jurídico y</w:t>
        <w:br/>
        <w:t xml:space="preserve">      los seres humanos en América estarían en indefensión  con  respecto  a</w:t>
        <w:br/>
        <w:t xml:space="preserve">      los Derechos Humanos”[24];</w:t>
        <w:br/>
        <w:br/>
        <w:t xml:space="preserve">   e) el Estado tiene la  intención  de  crear  una  extraña  atmósfera  de</w:t>
        <w:br/>
        <w:t xml:space="preserve">      debate, improcedente en esta etapa de cumplimiento de sentencia[25];</w:t>
        <w:br/>
        <w:br/>
        <w:t xml:space="preserve">   f) Panamá ha cuestionado la competencia de la Corte como  mecanismo  para</w:t>
        <w:br/>
        <w:t xml:space="preserve">      eludir el cumplimiento de la Sentencia de 2  de  febrero  de  2001,  y</w:t>
        <w:br/>
        <w:t xml:space="preserve">      “confundir a la opinión pública en  lo  referente  a  esta  obligación</w:t>
        <w:br/>
        <w:t xml:space="preserve">      estatal”[26];</w:t>
        <w:br/>
        <w:br/>
        <w:t xml:space="preserve">   g)  el  Estado  “hace  observaciones  que  plantean  acusaciones  graves,</w:t>
        <w:br/>
        <w:t xml:space="preserve">      temerarias e infundadas que demuestran ignorancia o desconocimiento de</w:t>
        <w:br/>
        <w:t xml:space="preserve">      los  procedimientos  de  la  Honorable  Corte   para   supervisar   el</w:t>
        <w:br/>
        <w:t xml:space="preserve">      cumplimiento integral de una Sentencia”[27];</w:t>
        <w:br/>
        <w:br/>
        <w:t xml:space="preserve">   h) al cuestionar la competencia de  la  Corte  el  Estado  “disminuye  su</w:t>
        <w:br/>
        <w:t xml:space="preserve">      prestigio internacional”, desatiende el principio pacta sunt  servanda</w:t>
        <w:br/>
        <w:t xml:space="preserve">      y no actúa de buena fe[28]; e</w:t>
        <w:br/>
        <w:br/>
        <w:t xml:space="preserve">   i)  Panamá  pretende  que  las  víctimas   queden   sin   protección,   y</w:t>
        <w:br/>
        <w:t xml:space="preserve">      desprestigiar a la Corte Interamericana y al Sistema Interamericano de</w:t>
        <w:br/>
        <w:t xml:space="preserve">      Protección de los Derechos Humanos[29].</w:t>
        <w:br/>
        <w:br/>
        <w:br/>
        <w:t xml:space="preserve">                                     III</w:t>
        <w:br/>
        <w:t xml:space="preserve">                 Competencia de la Corte para Supervisar el</w:t>
        <w:br/>
        <w:br/>
        <w:t xml:space="preserve">         Cumplimiento de sus Decisiones: Consideraciones de la Corte</w:t>
        <w:br/>
        <w:br/>
        <w:br/>
        <w:t>58.   Panamá es Estado Parte en la Convención desde el 22 de junio  de  1978</w:t>
        <w:br/>
        <w:t>y, de conformidad  con  el  artículo  62  de  dicho  tratado,  reconoció  la</w:t>
        <w:br/>
        <w:t>competencia contenciosa de la Corte el 9 de mayo de 1990.  El 2  de  febrero</w:t>
        <w:br/>
        <w:t>de 2001 la Corte emitió la Sentencia sobre el Fondo  y  las  Reparaciones  y</w:t>
        <w:br/>
        <w:t>Costas.</w:t>
        <w:br/>
        <w:br/>
        <w:t>59.   Dado que es ésta la primera vez que un Estado parte en  un  caso  ante</w:t>
        <w:br/>
        <w:t>la  Corte  Interamericana  cuestiona  la  competencia  del   Tribunal   para</w:t>
        <w:br/>
        <w:t>supervisar el cumplimiento de sus sentencias,  función  realizada  en  todos</w:t>
        <w:br/>
        <w:t>los casos sentenciados e invariablemente atendida por  los  Estados  Partes,</w:t>
        <w:br/>
        <w:t>este Tribunal considera necesario hacer referencia a la  obligación  de  los</w:t>
        <w:br/>
        <w:t>Estados de cumplir las decisiones emitidas por la Corte en todo caso en  que</w:t>
        <w:br/>
        <w:t>sean partes, y a la competencia de la Corte Interamericana  para  supervisar</w:t>
        <w:br/>
        <w:t>el cumplimiento de sus decisiones  y  emitir  instrucciones  y  resoluciones</w:t>
        <w:br/>
        <w:t>para el cumplimiento de las medidas de reparación por ella ordenadas.</w:t>
        <w:br/>
        <w:br/>
        <w:t>60.   Una vez  que  la  Corte  se  ha  pronunciado  sobre  el  fondo  y  las</w:t>
        <w:br/>
        <w:t>reparaciones y costas en  un  caso  que  fue  sometido  a  su  conocimiento,</w:t>
        <w:br/>
        <w:t>resulta necesario que el Estado observe las normas de la Convención  que  se</w:t>
        <w:br/>
        <w:t>refieren al cumplimiento de esa o esas sentencias.  De  conformidad  con  lo</w:t>
        <w:br/>
        <w:t>establecido en el artículo 67 de la Convención Americana, las sentencias  de</w:t>
        <w:br/>
        <w:t>la Corte deben ser prontamente cumplidas por el  Estado  en  forma  íntegra.</w:t>
        <w:br/>
        <w:t>Asimismo, el artículo 68.1 de la Convención Americana  estipula  que  “[l]os</w:t>
        <w:br/>
        <w:t>Estados Partes en la Convención se comprometen a cumplir la decisión  de  la</w:t>
        <w:br/>
        <w:t>Corte en todo caso en que sean partes”.  La obligación convencional  de  los</w:t>
        <w:br/>
        <w:t>Estados Partes de dar pronto cumplimiento  a  las  decisiones  de  la  Corte</w:t>
        <w:br/>
        <w:t>vincula a todos los poderes y órganos estatales.</w:t>
        <w:br/>
        <w:br/>
        <w:br/>
        <w:br/>
        <w:t xml:space="preserve">                          A) Obligaciones Estatales</w:t>
        <w:br/>
        <w:br/>
        <w:br/>
        <w:t>a)    Pacta sunt servanda</w:t>
        <w:br/>
        <w:t>61.   La obligación de cumplir  con  lo  dispuesto  en  las  decisiones  del</w:t>
        <w:br/>
        <w:t>Tribunal  corresponde  a   un   principio   básico   del   derecho   de   la</w:t>
        <w:br/>
        <w:t>responsabilidad internacional del Estado, respaldado por  la  jurisprudencia</w:t>
        <w:br/>
        <w:t>internacional, según el cual los  Estados  deben  cumplir  sus  obligaciones</w:t>
        <w:br/>
        <w:t>convencionales internacionales de buena fe (pacta sunt servanda) y, como  ya</w:t>
        <w:br/>
        <w:t>ha señalado esta Corte y como lo dispone el artículo 27 de la Convención  de</w:t>
        <w:br/>
        <w:t>Viena sobre el Derecho de los Tratados de 1969, no pueden,  por  razones  de</w:t>
        <w:br/>
        <w:t>orden  interno,  dejar  de  atender  la  responsabilidad  internacional   ya</w:t>
        <w:br/>
        <w:t>establecida[30].  En lo que atañe a la ejecución, en el ámbito  del  derecho</w:t>
        <w:br/>
        <w:t>interno,  de  las  reparaciones  ordenadas  por  la   Corte,   los   Estados</w:t>
        <w:br/>
        <w:t>responsables no pueden  modificarlas  o  incumplirlas  invocando  para  ello</w:t>
        <w:br/>
        <w:t>disposiciones de su ordenamiento jurídico interno.</w:t>
        <w:br/>
        <w:br/>
        <w:t>b)    Obligación de reparar</w:t>
        <w:br/>
        <w:t>62.   La obligación  de  reparar  que  se  regula,  en  todos  los  aspectos</w:t>
        <w:br/>
        <w:t>(alcance, naturaleza, modalidades y determinación de los beneficiarios)  por</w:t>
        <w:br/>
        <w:t>el derecho internacional, no  puede  ser  modificada  o  incumplida  por  el</w:t>
        <w:br/>
        <w:t>Estado obligado invocando para  ello  disposiciones  o  dificultades  de  su</w:t>
        <w:br/>
        <w:t>derecho interno[31].</w:t>
        <w:br/>
        <w:br/>
        <w:t>63.   En el Sistema Interamericano de Protección de  los  Derechos  Humanos,</w:t>
        <w:br/>
        <w:t>la disposición aplicable a las  reparaciones  es  el  artículo  63.1  de  la</w:t>
        <w:br/>
        <w:t>Convención Americana, el cual dispone que:</w:t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64.   Dicha norma otorga a la  Corte  Interamericana  un  amplio  margen  de</w:t>
        <w:br/>
        <w:t>discreción judicial para determinar las medidas  que  permitan  reparar  las</w:t>
        <w:br/>
        <w:t>consecuencias de la violación.</w:t>
        <w:br/>
        <w:br/>
        <w:t>65.   Tal como  la  Corte  lo  ha  indicado[32],  el  artículo  63.1  de  la</w:t>
        <w:br/>
        <w:t>Convención reproduce el texto de una norma  consuetudinaria  que  constituye</w:t>
        <w:br/>
        <w:t>uno de los  principios  fundamentales  del  derecho  de  la  responsabilidad</w:t>
        <w:br/>
        <w:t>internacional de los  Estados[33].   Así  lo  ha  aplicado  esta  Corte.  Al</w:t>
        <w:br/>
        <w:t>producirse un hecho ilícito imputable a un Estado, surge la  responsabilidad</w:t>
        <w:br/>
        <w:t>internacional de éste por violación de una norma internacional.  Con  motivo</w:t>
        <w:br/>
        <w:t>de esta responsabilidad nace para el Estado una relación jurídica nueva  que</w:t>
        <w:br/>
        <w:t>consiste en la obligación de reparar[34].</w:t>
        <w:br/>
        <w:br/>
        <w:t>c)    Alcance del Efecto Útil</w:t>
        <w:br/>
        <w:t>66.   Los Estados Partes en la Convención deben garantizar  el  cumplimiento</w:t>
        <w:br/>
        <w:t>de las disposiciones convencionales y sus efectos propios (effet  utile)  en</w:t>
        <w:br/>
        <w:t>el plano de  sus  respectivos  derechos  internos[35].   Este  principio  se</w:t>
        <w:br/>
        <w:t>aplica no sólo en relación con las normas sustantivas  de  los  tratados  de</w:t>
        <w:br/>
        <w:t>derechos humanos (es  decir,  las  que  contienen  disposiciones  sobre  los</w:t>
        <w:br/>
        <w:t>derechos  protegidos),   sino   también   en   relación   con   las   normas</w:t>
        <w:br/>
        <w:t>procesales[36], tales como las  que  se  refieren  al  cumplimiento  de  las</w:t>
        <w:br/>
        <w:t>decisiones de la  Corte  (artículos  67  y  68.1  de  la  Convención).   Las</w:t>
        <w:br/>
        <w:t>disposiciones  contenidas   en   los   mencionados   artículos   deben   ser</w:t>
        <w:br/>
        <w:t>interpretadas  y  aplicadas  de  manera  que  la  garantía   protegida   sea</w:t>
        <w:br/>
        <w:t>verdaderamente práctica y eficaz, teniendo presentes  el  carácter  especial</w:t>
        <w:br/>
        <w:t>de los tratados de derechos humanos y su implementación colectiva[37].</w:t>
        <w:br/>
        <w:br/>
        <w:t>67.   Respecto al mencionado principio del efecto útil,  en  el  caso  Corfu</w:t>
        <w:br/>
        <w:t>Channel,  la  Corte  Internacional  de  Justicia  reiteró  lo  señalado  con</w:t>
        <w:br/>
        <w:t>anterioridad por la  Corte  Permanente  de  Justicia  Internacional,  en  el</w:t>
        <w:br/>
        <w:t>sentido que,</w:t>
        <w:br/>
        <w:br/>
        <w:br/>
        <w:t xml:space="preserve">      […] en lo que concierne a la pregunta específica sobre la  competencia</w:t>
        <w:br/>
        <w:t xml:space="preserve">      pendiente de decisión, podría ser suficiente observar que la Corte, al</w:t>
        <w:br/>
        <w:t xml:space="preserve">      determinar la naturaleza y el alcance de una medida, debe observar  su</w:t>
        <w:br/>
        <w:t xml:space="preserve">      efecto práctico en lugar del motivo predominante que se  conjetura  la</w:t>
        <w:br/>
        <w:t xml:space="preserve">      inspiró[38].</w:t>
        <w:br/>
        <w:br/>
        <w:br/>
        <w:t xml:space="preserve">                  B) Alcance de la Competencia de la Corte</w:t>
        <w:br/>
        <w:t xml:space="preserve">                    para Determinar su Propia Competencia</w:t>
        <w:br/>
        <w:br/>
        <w:t>68.   La Corte, como todo órgano con funciones  jurisdiccionales,  tiene  el</w:t>
        <w:br/>
        <w:t>poder inherente a sus atribuciones de determinar el  alcance  de  su  propia</w:t>
        <w:br/>
        <w:t>competencia  (compétence  de  la  compétence/Kompetenz-Kompetenz)[39].   Los</w:t>
        <w:br/>
        <w:t>instrumentos de aceptación de la cláusula  facultativa  de  la  jurisdicción</w:t>
        <w:br/>
        <w:t>obligatoria (artículo 62.1 de la Convención)  presuponen  la  admisión,  por</w:t>
        <w:br/>
        <w:t>los Estados que la presentan, del derecho de la Corte a  resolver  cualquier</w:t>
        <w:br/>
        <w:t>controversia relativa a su jurisdicción[40], como lo  es  en  este  caso  la</w:t>
        <w:br/>
        <w:t>función de supervisión del cumplimiento de sus sentencias.  Una  objeción  o</w:t>
        <w:br/>
        <w:t>cualquier otra actuación del Estado realizada con el  propósito  de  afectar</w:t>
        <w:br/>
        <w:t>la competencia de la Corte es inocua, pues  en  cualesquiera  circunstancias</w:t>
        <w:br/>
        <w:t>la Corte retiene la compétence de la  compétence,  por  ser  maestra  de  su</w:t>
        <w:br/>
        <w:t>jurisdicción[41].</w:t>
        <w:br/>
        <w:br/>
        <w:t>69.   Al pronunciarse sobre su compétence  de  la  compétence,  el  Tribunal</w:t>
        <w:br/>
        <w:t>Penal Internacional para la ExYugoslavia ha indicado que:</w:t>
        <w:br/>
        <w:t xml:space="preserve">      […]</w:t>
        <w:br/>
        <w:t xml:space="preserve">      En vista que el  Tribunal  Internacional  tiene  la  competencia  para</w:t>
        <w:br/>
        <w:t xml:space="preserve">      determinar  su  propia  jurisdicción,  la  Cámara  de  Apelaciones  ha</w:t>
        <w:br/>
        <w:t xml:space="preserve">      adoptado  una  posición  similar.   El  Tribunal  reconoció  que   tal</w:t>
        <w:br/>
        <w:t xml:space="preserve">      competencia es parte de la jurisdicción  inherente  de  todo  tribunal</w:t>
        <w:br/>
        <w:t xml:space="preserve">      judicial y, en particular, ‘es un componente necesario  del  ejercicio</w:t>
        <w:br/>
        <w:t xml:space="preserve">      de la función judicial y no necesita estar expresamente establecida en</w:t>
        <w:br/>
        <w:t xml:space="preserve">      los documentos constitutivos … pese a que generalmente lo está’[42].</w:t>
        <w:br/>
        <w:br/>
        <w:t>70.   La Corte no puede abdicar de la prerrogativa de determinar el alcance</w:t>
        <w:br/>
        <w:t>de su propia competencia, que además es un deber que le impone la</w:t>
        <w:br/>
        <w:t>Convención Americana para ejercer sus funciones según el artículo 62.3 de</w:t>
        <w:br/>
        <w:t>la misma[43].  Dicha disposición establece que</w:t>
        <w:br/>
        <w:br/>
        <w:t xml:space="preserve">            [l]a Corte tiene competencia  para  conocer  de  cualquier  caso</w:t>
        <w:br/>
        <w:t xml:space="preserve">      relativo a la interpretación y aplicación de las disposiciones de [la]</w:t>
        <w:br/>
        <w:t xml:space="preserve">      Convención que le sea sometido, siempre que los Estados Partes  en  el</w:t>
        <w:br/>
        <w:t xml:space="preserve">      caso  hayan  reconocido  o  reconozcan  dicha  competencia,  ora   por</w:t>
        <w:br/>
        <w:t xml:space="preserve">      declaración especial, [...] ora por convención especial.</w:t>
        <w:br/>
        <w:br/>
        <w:t>71.   Tal como el Tribunal ha señalado en su  jurisprudencia  constante[44],</w:t>
        <w:br/>
        <w:t>el reconocimiento de la competencia contenciosa de la Corte  constituye  una</w:t>
        <w:br/>
        <w:t>cláusula pétrea  que  no  admite  limitaciones  que  no  estén  expresamente</w:t>
        <w:br/>
        <w:t>contenidas en el artículo 62.1 y 62.2 de la Convención Americana.   Dada  la</w:t>
        <w:br/>
        <w:t>fundamental importancia de dicha cláusula para la operación del  sistema  de</w:t>
        <w:br/>
        <w:t>protección de la Convención, no puede ella estar a  merced  de  limitaciones</w:t>
        <w:br/>
        <w:t>no previstas que sean invocadas por los Estados Partes por razones de  orden</w:t>
        <w:br/>
        <w:t>interno.</w:t>
        <w:br/>
        <w:br/>
        <w:br/>
        <w:t xml:space="preserve">             C) Efectividad de las Decisiones sobre Reparaciones</w:t>
        <w:br/>
        <w:br/>
        <w:t>72.   Una vez determinada la responsabilidad internacional  del  Estado  por</w:t>
        <w:br/>
        <w:t>la violación de la Convención Americana, la  Corte  procede  a  ordenar  las</w:t>
        <w:br/>
        <w:t>medidas destinadas a reparar dicha violación.  La jurisdicción comprende  la</w:t>
        <w:br/>
        <w:t>facultad de administrar justicia; no se limita a declarar el  derecho,  sino</w:t>
        <w:br/>
        <w:t>que también comprende la supervisión del cumplimiento  de  lo  juzgado.   Es</w:t>
        <w:br/>
        <w:t>por ello  necesario  establecer  y  poner  en  funcionamiento  mecanismos  o</w:t>
        <w:br/>
        <w:t>procedimientos para  la  supervisión  del  cumplimiento  de  las  decisiones</w:t>
        <w:br/>
        <w:t>judiciales, actividad que es inherente a la función jurisdiccional[45].   La</w:t>
        <w:br/>
        <w:t>supervisión del cumplimiento de las sentencias es uno de los  elementos  que</w:t>
        <w:br/>
        <w:t>componen la jurisdicción.  Sostener lo contrario  significaría  afirmar  que</w:t>
        <w:br/>
        <w:t>las sentencias emitidas  por  la  Corte  son  meramente  declarativas  y  no</w:t>
        <w:br/>
        <w:t>efectivas.  El cumplimiento de las reparaciones ordenadas  por  el  Tribunal</w:t>
        <w:br/>
        <w:t>en sus decisiones  es  la  materialización  de  la  justicia  para  el  caso</w:t>
        <w:br/>
        <w:t>concreto y, por ende, de la  jurisdicción;  en  caso  contrario  se  estaría</w:t>
        <w:br/>
        <w:t>atentando contra la raison d’être de la operación del Tribunal.</w:t>
        <w:br/>
        <w:br/>
        <w:t>73.   La efectividad de las sentencias depende de su ejecución.  El  proceso</w:t>
        <w:br/>
        <w:t>debe tender a la materialización de la protección del derecho reconocido  en</w:t>
        <w:br/>
        <w:t>el  pronunciamiento  judicial  mediante  la  aplicación  idónea   de   dicho</w:t>
        <w:br/>
        <w:t>pronunciamiento.</w:t>
        <w:br/>
        <w:br/>
        <w:t>74.   El cumplimiento de las sentencias está fuertemente ligado  al  derecho</w:t>
        <w:br/>
        <w:t>de acceso a la justicia, el cual se encuentra consagrado en los artículos  8</w:t>
        <w:br/>
        <w:t>(Garantías  Judiciales)  y  25  (Protección  Judicial)  de   la   Convención</w:t>
        <w:br/>
        <w:t>Americana[46].</w:t>
        <w:br/>
        <w:br/>
        <w:t>75.   El artículo 8.1 de la Convención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76.   El artículo 25 de la Convención dispone que:</w:t>
        <w:br/>
        <w:br/>
        <w:t xml:space="preserve">      1.    Toda persona tiene derecho a un recurso sencillo y rápido o a</w:t>
        <w:br/>
        <w:t xml:space="preserve">      cualquier otro recurso efectivo ante los jueces o tribunales</w:t>
        <w:br/>
        <w:t xml:space="preserve">      competentes, que la ampare contra actos que violen sus derechos</w:t>
        <w:br/>
        <w:t xml:space="preserve">      fundamentales reconocidos por la Constitución, la ley o la […]</w:t>
        <w:br/>
        <w:t xml:space="preserve">      Convención, aun cuando tal violación sea cometida por personas que</w:t>
        <w:br/>
        <w:t xml:space="preserve">      actúen en ejercicio de sus funciones oficiales.</w:t>
        <w:br/>
        <w:br/>
        <w:t xml:space="preserve">      2.    Los Estados Partes se comprometen:</w:t>
        <w:br/>
        <w:t xml:space="preserve">      […]</w:t>
        <w:br/>
        <w:t xml:space="preserve">      c)    a garantizar el cumplimiento, por las  autoridades  competentes,</w:t>
        <w:br/>
        <w:t xml:space="preserve">      de toda decisión en que se haya estimado procedente el recurso.</w:t>
        <w:br/>
        <w:br/>
        <w:br/>
        <w:t>77.   La Corte ha establecido que no basta con la existencia formal de los</w:t>
        <w:br/>
        <w:t>recursos sino que éstos deben tener efectividad, es decir, deben dar</w:t>
        <w:br/>
        <w:t>resultados o respuestas a las violaciones de derechos contemplados en la</w:t>
        <w:br/>
        <w:t>Convención[47].  Al respecto, este Tribunal ha señalado que</w:t>
        <w:br/>
        <w:br/>
        <w:t xml:space="preserve">      […] no pueden considerarse efectivos aquellos recursos que, por las</w:t>
        <w:br/>
        <w:t xml:space="preserve">      condiciones generales del país o incluso por las circunstancias</w:t>
        <w:br/>
        <w:t xml:space="preserve">      particulares de un caso dado, resulten ilusorios.  Ello puede ocurrir,</w:t>
        <w:br/>
        <w:t xml:space="preserve">      por ejemplo, cuando su inutilidad haya quedado demostrada por la</w:t>
        <w:br/>
        <w:t xml:space="preserve">      práctica, porque el órgano jurisdiccional carezca de la independencia</w:t>
        <w:br/>
        <w:t xml:space="preserve">      necesaria para decidir con imparcialidad o porque falten los medios</w:t>
        <w:br/>
        <w:t xml:space="preserve">      para ejecutar sus decisiones; por cualquier otra situación que</w:t>
        <w:br/>
        <w:t xml:space="preserve">      configure un cuadro de denegación de justicia, como sucede cuando se</w:t>
        <w:br/>
        <w:t xml:space="preserve">      incurre en retardo injustificado en la decisión[48].</w:t>
        <w:br/>
        <w:br/>
        <w:br/>
        <w:t>78.   “[L]a salvaguarda de la persona frente  al  ejercicio  arbitrario  del</w:t>
        <w:br/>
        <w:t>poder público es el objetivo primordial de la  protección  internacional  de</w:t>
        <w:br/>
        <w:t>los derechos humanos”[49], protección ésta que debe ser real y efectiva.</w:t>
        <w:br/>
        <w:br/>
        <w:t>79.   Los Estados tienen la responsabilidad de  consagrar  normativamente  y</w:t>
        <w:br/>
        <w:t>de asegurar la debida aplicación de los recursos efectivos y  las  garantías</w:t>
        <w:br/>
        <w:t>del debido proceso legal ante las autoridades  competentes,  que  amparen  a</w:t>
        <w:br/>
        <w:t>todas las  personas  bajo  su  jurisdicción  contra  actos  que  violen  sus</w:t>
        <w:br/>
        <w:t>derechos fundamentales o que conlleven a la determinación de los derechos  y</w:t>
        <w:br/>
        <w:t>obligaciones de éstas[50].   Sin  embargo,  la  responsabilidad  estatal  no</w:t>
        <w:br/>
        <w:t>termina cuando las autoridades competentes emiten la decisión  o  sentencia.</w:t>
        <w:br/>
        <w:t>Se requiere, además, que  el  Estado  garantice  los  medios  para  ejecutar</w:t>
        <w:br/>
        <w:t>dichas decisiones definitivas.</w:t>
        <w:br/>
        <w:br/>
        <w:t>80.   En este sentido, la Corte Interamericana  ha  declarado  la  violación</w:t>
        <w:br/>
        <w:t>del artículo 25 de la Convención en el caso “Cinco Pensionistas”  vs.  Perú,</w:t>
        <w:br/>
        <w:t>al señalar que el Estado demandado durante un largo  período  de  tiempo  no</w:t>
        <w:br/>
        <w:t>ejecutó las sentencias emitidas por los tribunales internos[51].</w:t>
        <w:br/>
        <w:br/>
        <w:t>81.   Asimismo la Corte Europea, al considerar la violación  al  artículo  6</w:t>
        <w:br/>
        <w:t>del Convenio Europeo para la Protección de los Derechos  Humanos  y  de  las</w:t>
        <w:br/>
        <w:t>Libertades Fundamentales (en adelante  “la  Convención  Europea”),  el  cual</w:t>
        <w:br/>
        <w:t>consagra el derecho a un juicio justo, ha establecido  en  el  caso  Hornsby</w:t>
        <w:br/>
        <w:t>vs. Grecia, que</w:t>
        <w:br/>
        <w:br/>
        <w:t xml:space="preserve">      […] este derecho sería ilusorio si el  ordenamiento  jurídico  interno</w:t>
        <w:br/>
        <w:t xml:space="preserve">      del Estado Parte permite que una decisión judicial final y obligatoria</w:t>
        <w:br/>
        <w:t xml:space="preserve">      permanezca inoperante en detrimento de una  de  las  partes.  […]   La</w:t>
        <w:br/>
        <w:t xml:space="preserve">      ejecución de las sentencias  emitidas  por  los  tribunales  debe  ser</w:t>
        <w:br/>
        <w:t xml:space="preserve">      considerada como  parte  integrante  del  ‘juicio’  […][52].  (Énfasis</w:t>
        <w:br/>
        <w:t xml:space="preserve">      agregado)</w:t>
        <w:br/>
        <w:br/>
        <w:t>82.   A la luz de lo anterior, este Tribunal estima que, para satisfacer  el</w:t>
        <w:br/>
        <w:t>derecho de acceso a la justicia, no es suficiente con que en  el  respectivo</w:t>
        <w:br/>
        <w:t>proceso o recurso se emita  una  decisión  definitiva[53],  en  la  cual  se</w:t>
        <w:br/>
        <w:t>declaren derechos y obligaciones  o  se  proporcione  la  protección  a  las</w:t>
        <w:br/>
        <w:t>personas.   Además,  es  preciso  que  existan  mecanismos  efectivos   para</w:t>
        <w:br/>
        <w:t>ejecutar  las  decisiones  o  sentencias,  de   manera   que   se   protejan</w:t>
        <w:br/>
        <w:t>efectivamente los derechos declarados.  La ejecución de tales  decisiones  y</w:t>
        <w:br/>
        <w:t>sentencias debe ser considerada como parte integrante del derecho de  acceso</w:t>
        <w:br/>
        <w:t>a la justicia, entendido éste en sentido  amplio,  que  abarque  también  el</w:t>
        <w:br/>
        <w:t>cumplimiento pleno de  la  decisión  respectiva.   Lo  contrario  supone  la</w:t>
        <w:br/>
        <w:t>negación misma de este derecho.</w:t>
        <w:br/>
        <w:br/>
        <w:t>83.     Las   anteriores   consideraciones   son   aplicables   al   proceso</w:t>
        <w:br/>
        <w:t>internacional ante el Sistema Interamericano de Protección de  los  Derechos</w:t>
        <w:br/>
        <w:t>Humanos.  En las sentencias sobre el fondo y las reparaciones y  costas,  la</w:t>
        <w:br/>
        <w:t>Corte Interamericana decide si el Estado es  responsable  internacionalmente</w:t>
        <w:br/>
        <w:t>y, cuando lo es, dispone la adopción de una serie de medidas  de  reparación</w:t>
        <w:br/>
        <w:t>para hacer cesar las consecuencias de la violación, garantizar los  derechos</w:t>
        <w:br/>
        <w:t>conculcados,  y  reparar  los  daños  materiales  e  inmateriales  que   las</w:t>
        <w:br/>
        <w:t>infracciones produjeron[54].  Como fue expuesto anteriormente (supra  párrs.</w:t>
        <w:br/>
        <w:t>61 y 62), los Estados responsables tienen la obligación de  cumplir  con  lo</w:t>
        <w:br/>
        <w:t>dispuesto en las decisiones del Tribunal y  no  pueden  invocar  razones  de</w:t>
        <w:br/>
        <w:t>orden interno para no ejecutarlas.  Si el Estado responsable no  ejecuta  en</w:t>
        <w:br/>
        <w:t>el ámbito interno las medidas de reparación dispuestas por la Corte  estaría</w:t>
        <w:br/>
        <w:t>negando el derecho de acceso a la justicia internacional.</w:t>
        <w:br/>
        <w:br/>
        <w:br/>
        <w:br/>
        <w:t xml:space="preserve">               D) Fundamento Jurídico para la Supervisión del</w:t>
        <w:br/>
        <w:t xml:space="preserve">                 Cumplimiento de las Decisiones del Tribunal</w:t>
        <w:br/>
        <w:br/>
        <w:t>84.   En lo que respecta al fundamento jurídico  de  la  competencia  de  la</w:t>
        <w:br/>
        <w:t>Corte Interamericana para supervisar el cumplimiento de sus  decisiones,  es</w:t>
        <w:br/>
        <w:t>preciso considerar lo establecido en los artículos 33, 62.1, 62.3  y  65  de</w:t>
        <w:br/>
        <w:t>la Convención Americana, así como lo señalado en su artículo  29.a;  lo  que</w:t>
        <w:br/>
        <w:t>estipula el Estatuto de la Corte en su artículo 30,  y  lo  que  dispone  el</w:t>
        <w:br/>
        <w:t>artículo 31.1 de la Convención de Viena sobre el Derecho de los Tratados  de</w:t>
        <w:br/>
        <w:t>1969.</w:t>
        <w:br/>
        <w:br/>
        <w:t>85.   El artículo 33 de la Convención prescribe que:</w:t>
        <w:br/>
        <w:br/>
        <w:t xml:space="preserve">            Son competentes para conocer los  asuntos  relacionados  con  el</w:t>
        <w:br/>
        <w:t xml:space="preserve">      cumplimiento de los compromisos contraídos por los Estados  Partes  en</w:t>
        <w:br/>
        <w:t xml:space="preserve">      esta Convención:</w:t>
        <w:br/>
        <w:t xml:space="preserve">      […]</w:t>
        <w:br/>
        <w:t xml:space="preserve">      b.    La  Corte  Interamericana  de  Derechos  Humanos  […].  (Énfasis</w:t>
        <w:br/>
        <w:t>agregado)</w:t>
        <w:br/>
        <w:br/>
        <w:br/>
        <w:t>Por su parte, el artículo 62.1 y 62.3 de la Convención estipula que:</w:t>
        <w:br/>
        <w:br/>
        <w:br/>
        <w:t xml:space="preserve">      1.    Todo Estado Parte puede,  en  el  momento  del  depósito  de  su</w:t>
        <w:br/>
        <w:t xml:space="preserve">      instrumento de ratificación  o  adhesión  de  [la]  Convención,  o  en</w:t>
        <w:br/>
        <w:t xml:space="preserve">      cualquier momento posterior, declarar que reconoce como obligatoria de</w:t>
        <w:br/>
        <w:t xml:space="preserve">      pleno derecho y sin convención especial, la competencia  de  la  Corte</w:t>
        <w:br/>
        <w:t xml:space="preserve">      sobre todos los casos relativos a la interpretación  o  aplicación  de</w:t>
        <w:br/>
        <w:t xml:space="preserve">      [la] Convención.</w:t>
        <w:br/>
        <w:t xml:space="preserve">      […]</w:t>
        <w:br/>
        <w:t xml:space="preserve">      3.    La Corte  tiene  competencia  para  conocer  de  cualquier  caso</w:t>
        <w:br/>
        <w:t xml:space="preserve">      relativo a la interpretación y aplicación de las disposiciones de [la]</w:t>
        <w:br/>
        <w:t xml:space="preserve">      Convención que le sea sometido, siempre que los Estados Partes  en  el</w:t>
        <w:br/>
        <w:t xml:space="preserve">      caso  hayan  reconocido  o  reconozcan  dicha  competencia,  ora   por</w:t>
        <w:br/>
        <w:t xml:space="preserve">      declaración especial, como se indica en los  incisos  anteriores,  ora</w:t>
        <w:br/>
        <w:t xml:space="preserve">      por convención especial.</w:t>
        <w:br/>
        <w:br/>
        <w:t>El artículo 65 de la Convención dispone que:</w:t>
        <w:br/>
        <w:br/>
        <w:t xml:space="preserve">           La Corte someterá a la consideración de la Asamblea  General  de</w:t>
        <w:br/>
        <w:t xml:space="preserve">      la Organización en cada período ordinario de sesiones un informe sobre</w:t>
        <w:br/>
        <w:t xml:space="preserve">      su  labor  en  el  año  anterior.   De  manera  especial  y  con   las</w:t>
        <w:br/>
        <w:t xml:space="preserve">      recomendaciones pertinentes, señalará los casos en que  un  Estado  no</w:t>
        <w:br/>
        <w:t xml:space="preserve">      haya dado cumplimiento a sus fallos.</w:t>
        <w:br/>
        <w:br/>
        <w:t>El artículo 30 del Estatuto de la Corte señala que:</w:t>
        <w:br/>
        <w:br/>
        <w:t xml:space="preserve">            La Corte someterá a la Asamblea  General  de  la  OEA,  en  cada</w:t>
        <w:br/>
        <w:t xml:space="preserve">      período ordinario de sesiones, un  informe  de  su  labor  en  el  año</w:t>
        <w:br/>
        <w:t xml:space="preserve">      anterior.  Señalará  los  casos  en  que  un  Estado  no   haya   dado</w:t>
        <w:br/>
        <w:t xml:space="preserve">      cumplimiento a sus  fallos.   Podrá  también  someter  a  la  Asamblea</w:t>
        <w:br/>
        <w:t xml:space="preserve">      General de la OEA proposiciones o recomendaciones para el mejoramiento</w:t>
        <w:br/>
        <w:t xml:space="preserve">      del sistema interamericano de derechos humanos, en lo relacionado  con</w:t>
        <w:br/>
        <w:t xml:space="preserve">      el trabajo de la Corte.</w:t>
        <w:br/>
        <w:br/>
        <w:t>86.    Una  redacción  diferente  se  encuentra  en  la  Convención  Europea</w:t>
        <w:br/>
        <w:t>respecto  de  la  competencia  para  supervisar  el  cumplimiento   de   las</w:t>
        <w:br/>
        <w:t>sentencias emitidas por  la  Corte  Europea  de  Derechos  Humanos.   En  el</w:t>
        <w:br/>
        <w:t>artículo 46.2 de dicho tratado se establece que:</w:t>
        <w:br/>
        <w:br/>
        <w:br/>
        <w:t xml:space="preserve">      La sentencia definitiva del Tribunal será  transmitida  al  Comité  de</w:t>
        <w:br/>
        <w:t xml:space="preserve">      Ministros, que velará por su ejecución[55].</w:t>
        <w:br/>
        <w:br/>
        <w:t>87.   A diferencia del Sistema Interamericano de Protección de los  Derechos</w:t>
        <w:br/>
        <w:t>Humanos, en el sistema europeo el Comité de Ministros del Consejo de  Europa</w:t>
        <w:br/>
        <w:t>ha adoptado las normas[56] que establecen claramente  el  procedimiento  que</w:t>
        <w:br/>
        <w:t>debe  desarrollar  este  órgano  para  supervisar  el  cumplimiento  de  las</w:t>
        <w:br/>
        <w:t>sentencias de la Corte Europea.  El Comité de Ministros, a diferencia de  lo</w:t>
        <w:br/>
        <w:t>que ocurre  en  el  sistema  interamericano  de  protección,  es  el  órgano</w:t>
        <w:br/>
        <w:t>político ante el cual los Estados responsables presentan los informes  sobre</w:t>
        <w:br/>
        <w:t>las medidas adoptadas para ejecutar las sentencias.</w:t>
        <w:br/>
        <w:br/>
        <w:t>88.   La  Convención  Americana  no  estableció  un  órgano  específicamente</w:t>
        <w:br/>
        <w:t>encargado de supervisar el cumplimiento de las sentencias  emitidas  por  la</w:t>
        <w:br/>
        <w:t>Corte, como sí lo dispuso la Convención Europea.  En la  preparación  de  la</w:t>
        <w:br/>
        <w:t>Convención Americana  se  siguió  el  esquema  adoptado  por  la  Convención</w:t>
        <w:br/>
        <w:t>Europea, en lo relativo  a  los  órganos  competentes  y  a  los  mecanismos</w:t>
        <w:br/>
        <w:t>institucionales; sin embargo, es claro que al  regular  la  supervisión  del</w:t>
        <w:br/>
        <w:t>cumplimiento de las sentencias de la Corte Interamericana  no  se  contempló</w:t>
        <w:br/>
        <w:t>que la Asamblea General de  la  OEA  o  el  Consejo  Permanente  de  la  OEA</w:t>
        <w:br/>
        <w:t>desempeñaran una función semejante a  la  del  Comité  de  Ministros  en  el</w:t>
        <w:br/>
        <w:t>sistema europeo.</w:t>
        <w:br/>
        <w:br/>
        <w:t>89.    Los  travaux  préparatoires  de  la  Convención  Americana   permiten</w:t>
        <w:br/>
        <w:t>consultar cuál era  la  voluntad  de  los  Estados  cuando  aprobaron  dicho</w:t>
        <w:br/>
        <w:t>tratado, en cuanto a la supervisión del cumplimiento de  las  sentencias  de</w:t>
        <w:br/>
        <w:t>la Corte.  El Proyecto  de  Convención[57]  no  establecía  una  disposición</w:t>
        <w:br/>
        <w:t>similar al actual artículo 65.  Sin embargo, la Comisión  II,  encargada  de</w:t>
        <w:br/>
        <w:t>estudiar y redactar los artículos correspondientes a la parte  procesal  del</w:t>
        <w:br/>
        <w:t>Proyecto de Convención[58], propuso el texto del actual artículo  65  de  la</w:t>
        <w:br/>
        <w:t>Convención Americana.  En el Informe  sobre  “Órganos  de  la  Protección  y</w:t>
        <w:br/>
        <w:t>Disposiciones Generales” de 21  de  noviembre  de  1969  en  la  Conferencia</w:t>
        <w:br/>
        <w:t>Especializada Interamericana sobre  Derechos  Humanos[59],  la  Comisión  II</w:t>
        <w:br/>
        <w:t>indicó en su quinta sesión, celebrada el 17 de noviembre de 1969, que</w:t>
        <w:br/>
        <w:br/>
        <w:br/>
        <w:t xml:space="preserve">      las delegaciones expresaron su opinión de que se dotara a la Corte  de</w:t>
        <w:br/>
        <w:t xml:space="preserve">      una competencia amplia que le permitiera  ser  el  instrumento  eficaz</w:t>
        <w:br/>
        <w:t xml:space="preserve">      para la protección jurisdiccional de los derechos humanos[60].</w:t>
        <w:br/>
        <w:br/>
        <w:t>En el mencionado informe, al explicar la redacción de las disposiciones  del</w:t>
        <w:br/>
        <w:t>proyecto del tratado correspondientes a la Corte, la Comisión II se  refirió</w:t>
        <w:br/>
        <w:t>al entonces proyecto del actual artículo 65 en los siguientes términos:</w:t>
        <w:br/>
        <w:br/>
        <w:t xml:space="preserve">            El artículo 65, que es una disposición nueva, establece  que  la</w:t>
        <w:br/>
        <w:t xml:space="preserve">      Corte someterá un informe a la Asamblea General de la Organización, lo</w:t>
        <w:br/>
        <w:t xml:space="preserve">      cual  está  contemplado  en  el  Artículo  52  de  la  Carta   de   la</w:t>
        <w:br/>
        <w:t xml:space="preserve">      Organización, reformada por el Protocolo de Buenos Aires.</w:t>
        <w:br/>
        <w:br/>
        <w:br/>
        <w:t xml:space="preserve">            Pero, además, el artículo dispone el importante concepto de  que</w:t>
        <w:br/>
        <w:t xml:space="preserve">      la Corte debe señalar  los  casos  en  que  un  Estado  no  haya  dado</w:t>
        <w:br/>
        <w:t xml:space="preserve">      cumplimiento a sus fallos, con las recomendaciones pertinentes  de  la</w:t>
        <w:br/>
        <w:t xml:space="preserve">      Corte […][61].</w:t>
        <w:br/>
        <w:br/>
        <w:t>90.   La Corte estima  que  la  voluntad  de  los  Estados,  al  aprobar  lo</w:t>
        <w:br/>
        <w:t>estipulado en el artículo 65 de la Convención, fue otorgar a la misma  Corte</w:t>
        <w:br/>
        <w:t>la facultad de supervisar el cumplimiento de sus decisiones, y que fuera  el</w:t>
        <w:br/>
        <w:t>Tribunal el encargado de poner en conocimiento de la Asamblea General de  la</w:t>
        <w:br/>
        <w:t>OEA, a través de su Informe Anual, los casos  en  los  cuales  se  diera  un</w:t>
        <w:br/>
        <w:t>incumplimiento de las decisiones de la  Corte,  porque  no  es  posible  dar</w:t>
        <w:br/>
        <w:t>aplicación al artículo 65 de la Convención sin que el Tribunal supervise  la</w:t>
        <w:br/>
        <w:t>observancia de sus decisiones.</w:t>
        <w:br/>
        <w:br/>
        <w:t>91.   Para determinar el alcance de lo dispuesto en los artículos 33,  62.1,</w:t>
        <w:br/>
        <w:t>62.3 y 65 de la Convención Americana, así como en el 30 del Estatuto  de  la</w:t>
        <w:br/>
        <w:t>Corte, y para cumplir adecuadamente  con  la  obligación  de  supervisar  el</w:t>
        <w:br/>
        <w:t>cumplimiento de sus decisiones, la Corte ha  observado  las  directrices  de</w:t>
        <w:br/>
        <w:t>interpretación establecidas en la Convención Americana y  en  la  Convención</w:t>
        <w:br/>
        <w:t>de Viena sobre el Derecho de los Tratados  de  1969,  así  como  también  ha</w:t>
        <w:br/>
        <w:t>tomado en consideración la naturaleza y los valores  comunes  superiores  en</w:t>
        <w:br/>
        <w:t>que se inspira la Convención.</w:t>
        <w:br/>
        <w:br/>
        <w:t>92.   De conformidad con lo dispuesto en el artículo 62.1 de la  Convención,</w:t>
        <w:br/>
        <w:t>la Corte tiene competencia sobre  todos  los  asuntos  relacionados  con  la</w:t>
        <w:br/>
        <w:t>interpretación  o  aplicación  de  la  Convención  Americana.   Para   mayor</w:t>
        <w:br/>
        <w:t>claridad sobre el sentido de esta disposición conviene acudir a  la  versión</w:t>
        <w:br/>
        <w:t>en inglés de dicha norma, en la cual se señala que</w:t>
        <w:br/>
        <w:br/>
        <w:t xml:space="preserve">           [a]  State  Party  may,  upon  depositing  its   instrument   of</w:t>
        <w:br/>
        <w:t xml:space="preserve">      ratification or adherence to this Convention,  or  at  any  subsequent</w:t>
        <w:br/>
        <w:t xml:space="preserve">      time, declare that it recognizes  as  binding,  ipso  facto,  and  not</w:t>
        <w:br/>
        <w:t xml:space="preserve">      requiring special agreement, the jurisdiction  of  the  Court  on  all</w:t>
        <w:br/>
        <w:t xml:space="preserve">      matters  relating  to  the  interpretation  or  application  of  [the]</w:t>
        <w:br/>
        <w:t xml:space="preserve">      Convention. (Énfasis agregado)</w:t>
        <w:br/>
        <w:br/>
        <w:t>93.   De una traducción literal de lo  anterior,  resultaría  que  la  Corte</w:t>
        <w:br/>
        <w:t>tiene competencia para ocuparse de “todos los asuntos  relacionados  con  la</w:t>
        <w:br/>
        <w:t>interpretación o aplicación de [la] Convención”.  Es obvio  que,  entre  los</w:t>
        <w:br/>
        <w:t>asuntos relacionados con la aplicación de la Convención, se  encuentra  todo</w:t>
        <w:br/>
        <w:t>lo referente a la supervisión del  cumplimiento  de  las  sentencias  de  la</w:t>
        <w:br/>
        <w:t>Corte.</w:t>
        <w:br/>
        <w:br/>
        <w:t>94.   El artículo 31.1 de la Convención de Viena sobre  el  Derecho  de  los</w:t>
        <w:br/>
        <w:t>Tratados de 1969 indica que</w:t>
        <w:br/>
        <w:br/>
        <w:t xml:space="preserve">    [… u]n tratado deberá interpretarse de buena  fe  conforme  al  sentido</w:t>
        <w:br/>
        <w:t xml:space="preserve">    corriente que haya de atribuirse a  los  términos  del  tratado  en  el</w:t>
        <w:br/>
        <w:t xml:space="preserve">    contexto de éstos y teniendo en cuenta su objeto y fin.</w:t>
        <w:br/>
        <w:br/>
        <w:t>95.   Además, el artículo 29.a) de la  Convención  Americana  establece  que</w:t>
        <w:br/>
        <w:t>ninguna disposición de la misma puede ser  interpretada  en  el  sentido  de</w:t>
        <w:br/>
        <w:t>permitir a alguno de los Estados Partes, grupo o persona, suprimir  el  goce</w:t>
        <w:br/>
        <w:t>y ejercicio de los derechos y libertades  reconocidos  en  la  Convención  o</w:t>
        <w:br/>
        <w:t>limitarlos en mayor medida que la prevista en ella.  Una  interpretación  de</w:t>
        <w:br/>
        <w:t>la Convención Americana,  en  el  sentido  de  permitir  que  ningún  órgano</w:t>
        <w:br/>
        <w:t>supervise el cumplimiento  de  las  sentencias  por  parte  de  los  Estados</w:t>
        <w:br/>
        <w:t>responsables, iría en contra del objeto y propósito de dicho  tratado,  cual</w:t>
        <w:br/>
        <w:t>es la eficaz protección de los derechos humanos[62], y privaría a todos  los</w:t>
        <w:br/>
        <w:t>beneficiarios de la  Convención  de  la  garantía  de  protección  de  tales</w:t>
        <w:br/>
        <w:t>derechos por medio  de  la  actuación  de  su  órgano  jurisdiccional  y  la</w:t>
        <w:br/>
        <w:t>consecuente ejecución de lo decidido por éste.  Permitir a los  Estados  que</w:t>
        <w:br/>
        <w:t>cumplan las reparaciones  ordenadas  en  las  sentencias  sin  una  adecuada</w:t>
        <w:br/>
        <w:t>supervisión equivaldría a dejar a su  libre  voluntad  la  ejecución  de  lo</w:t>
        <w:br/>
        <w:t>dispuesto por el Tribunal.</w:t>
        <w:br/>
        <w:br/>
        <w:t>96.    Tal  como  la  Corte  lo  ha  señalado  en  los  casos  del  Tribunal</w:t>
        <w:br/>
        <w:t>Constitucional e Ivcher Bronstein[63], la  Convención  Americana,  así  como</w:t>
        <w:br/>
        <w:t>los demás tratados de derechos  humanos,  se  inspiran  en  valores  comunes</w:t>
        <w:br/>
        <w:t>superiores (centrados en la protección del ser  humano),  están  dotados  de</w:t>
        <w:br/>
        <w:t>mecanismos específicos de supervisión, se  aplican  de  conformidad  con  la</w:t>
        <w:br/>
        <w:t>noción  de  garantía   colectiva,   consagran   obligaciones   de   carácter</w:t>
        <w:br/>
        <w:t>esencialmente  objetivo,  y  tienen  una  naturaleza   especial,   que   los</w:t>
        <w:br/>
        <w:t>diferencian  de  los  demás  tratados,  los  cuales  reglamentan   intereses</w:t>
        <w:br/>
        <w:t>recíprocos entre los Estados Partes.</w:t>
        <w:br/>
        <w:br/>
        <w:t>97.   Al respecto,  la  Corte  Internacional  de  Justicia,  en  su  Opinión</w:t>
        <w:br/>
        <w:t>Consultiva relativa a Reservas a la  Convención  para  la  Prevención  y  la</w:t>
        <w:br/>
        <w:t>Sanción del Delito  de  Genocidio  (1951),  afirmó  que  “en  este  tipo  de</w:t>
        <w:br/>
        <w:t>tratados, los Estados contratantes no tienen  intereses  propios;  solamente</w:t>
        <w:br/>
        <w:t>tienen, por encima  de  todo,  un  interés  común:  la  consecución  de  los</w:t>
        <w:br/>
        <w:t>propósitos que son la razón de ser de la Convención”[64].</w:t>
        <w:br/>
        <w:br/>
        <w:t>98.   La Corte Europea de Derechos Humanos y la  entonces  Comisión  Europea</w:t>
        <w:br/>
        <w:t>de Derechos Humanos, a su vez, se han pronunciado en forma similar.   En  el</w:t>
        <w:br/>
        <w:t>caso Austria  vs.  Italia  (1961),  la  Comisión  Europea  declaró  que  las</w:t>
        <w:br/>
        <w:t>obligaciones asumidas por los Estados Partes en  la  Convención  Europea  de</w:t>
        <w:br/>
        <w:t>Derechos Humanos “son esencialmente de  carácter  objetivo,  diseñadas  para</w:t>
        <w:br/>
        <w:t>proteger los derechos fundamentales de los seres humanos de  violaciones  de</w:t>
        <w:br/>
        <w:t>parte de las Altas Partes Contratantes en vez de crear  derechos  subjetivos</w:t>
        <w:br/>
        <w:t>y recíprocos entre las Altas Partes Contratantes”[65].   En  igual  sentido,</w:t>
        <w:br/>
        <w:t>la Corte Europea afirmó, en el caso Irlanda vs. Reino Unido (1978), que</w:t>
        <w:br/>
        <w:br/>
        <w:t xml:space="preserve">      [… a] diferencia de los tratados internacionales del tipo clásico,  la</w:t>
        <w:br/>
        <w:t xml:space="preserve">      Convención comprende más que simples compromisos recíprocos entre  los</w:t>
        <w:br/>
        <w:t xml:space="preserve">      Estados Partes.  Crea,  por  encima  de  un  conjunto  de  compromisos</w:t>
        <w:br/>
        <w:t xml:space="preserve">      bilaterales, mutuos, obligaciones objetivas que, en los  términos  del</w:t>
        <w:br/>
        <w:t xml:space="preserve">      Preámbulo, cuentan con una ‘garantía colectiva’[66].</w:t>
        <w:br/>
        <w:br/>
        <w:t>Igualmente, en el caso Soering vs. Reino  Unido  (1989),  la  Corte  Europea</w:t>
        <w:br/>
        <w:t>declaró que la Convención Europea debe ser interpretada “en  función  de  su</w:t>
        <w:br/>
        <w:t>carácter específico de tratado de garantía colectiva de derechos  humanos  y</w:t>
        <w:br/>
        <w:t>libertades fundamentales.  […]   De  este  modo,  el  objeto  y  fin  de  la</w:t>
        <w:br/>
        <w:t>Convención  como  instrumento  de  protección  de   seres   humanos   exigen</w:t>
        <w:br/>
        <w:t>interpretar y aplicar sus disposiciones de manera que dicha  protección  sea</w:t>
        <w:br/>
        <w:t>práctica y efectiva”[67].</w:t>
        <w:br/>
        <w:br/>
        <w:t>99.   Dicho criterio coincide con la jurisprudencia de  esta Corte, la  cual</w:t>
        <w:br/>
        <w:t>ha señalado, en su Opinión Consultiva OC-2/82 de 24 de septiembre  de  1982,</w:t>
        <w:br/>
        <w:t>denominada El Efecto de las Reservas sobre la  Entrada  en  Vigencia  de  la</w:t>
        <w:br/>
        <w:t>Convención Americana sobre Derechos Humanos, que</w:t>
        <w:br/>
        <w:br/>
        <w:t xml:space="preserve">      [...] los tratados modernos sobre derechos humanos, en general, y,  en</w:t>
        <w:br/>
        <w:t xml:space="preserve">      particular, la Convención Americana, no  son  tratados  multilaterales</w:t>
        <w:br/>
        <w:t xml:space="preserve">      del  tipo  tradicional,  concluidos  en  función  de  un   intercambio</w:t>
        <w:br/>
        <w:t xml:space="preserve">      recíproco  de  derechos,  para  el  beneficio  mutuo  de  los  Estados</w:t>
        <w:br/>
        <w:t xml:space="preserve">      contratantes.  Su objeto y fin  son  la  protección  de  los  derechos</w:t>
        <w:br/>
        <w:t xml:space="preserve">      fundamentales  de  los  seres  humanos,   independientemente   de   su</w:t>
        <w:br/>
        <w:t xml:space="preserve">      nacionalidad, tanto frente a su propio Estado como frente a los  otros</w:t>
        <w:br/>
        <w:t xml:space="preserve">      Estados  contratantes.   Al  aprobar  estos  tratados  sobre  derechos</w:t>
        <w:br/>
        <w:t xml:space="preserve">      humanos, los Estados se someten a  un  orden  legal  dentro  del  cual</w:t>
        <w:br/>
        <w:t xml:space="preserve">      ellos, por el bien común, asumen varias obligaciones, no  en  relación</w:t>
        <w:br/>
        <w:t xml:space="preserve">      con otros Estados, sino hacia los individuos bajo su jurisdicción[68].</w:t>
        <w:br/>
        <w:br/>
        <w:t>100.  El alcance de lo dispuesto en los artículos 33, 62.1, 62.3 y 65 de  la</w:t>
        <w:br/>
        <w:t>Convención Americana, así como en el artículo 30 del Estatuto de  la  Corte,</w:t>
        <w:br/>
        <w:t>ha sido interpretado por  la  Corte  conforme  al  objeto  y  fin  de  dicho</w:t>
        <w:br/>
        <w:t>tratado, cual es la protección de los derechos humanos[69], y de acuerdo  al</w:t>
        <w:br/>
        <w:t>principio de l’effet utile (supra párrs. 66 y 67).  La facultad de la  Corte</w:t>
        <w:br/>
        <w:t>Interamericana de supervisar el cumplimiento de sus decisiones encuentra  su</w:t>
        <w:br/>
        <w:t>fundamento  jurídico  en  los  artículos  arriba  mencionados.   Cuando   el</w:t>
        <w:br/>
        <w:t>Tribunal decide que hubo una violación de un derecho o  libertad  protegidos</w:t>
        <w:br/>
        <w:t>en la Convención, debe disponer, de conformidad con el artículo 63.1  de  la</w:t>
        <w:br/>
        <w:t>Convención, “que se garantice al lesionado  en  el  goce  de  su  derecho  o</w:t>
        <w:br/>
        <w:t>libertad conculcados.  Dispondrá asimismo, si ello fuera procedente,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  Para asegurar que el Estado efectivamente cumpla  con  el</w:t>
        <w:br/>
        <w:t>deber de garantizar consagrado en la referida disposición  convencional,  el</w:t>
        <w:br/>
        <w:t>Tribunal debe supervisar el cabal cumplimiento de  sus  decisiones.   De  lo</w:t>
        <w:br/>
        <w:t>contrario, éstas serían ilusorias.</w:t>
        <w:br/>
        <w:br/>
        <w:t>101.  En aras  de  cumplir  el  mandato  establecido  en  dichas  normas  de</w:t>
        <w:br/>
        <w:t>supervisar el cumplimiento del compromiso contraído por los  Estados  Partes</w:t>
        <w:br/>
        <w:t>de “cumplir la decisión de la  Corte  en  todo  caso  en  que  sean  partes”</w:t>
        <w:br/>
        <w:t>(artículo 68.1 de la Convención), y en particular de informar a la  Asamblea</w:t>
        <w:br/>
        <w:t>General de la OEA los casos en que “un Estado no haya  dado  cumplimiento  a</w:t>
        <w:br/>
        <w:t>sus fallos”, la Corte primero debe conocer el grado de cumplimiento  de  sus</w:t>
        <w:br/>
        <w:t>decisiones.   Para  ello  el  Tribunal  debe  supervisar  que  los   Estados</w:t>
        <w:br/>
        <w:t>responsables efectivamente cumplan con las  reparaciones  ordenadas  por  el</w:t>
        <w:br/>
        <w:t>Tribunal, antes de informar sobre el incumplimiento de  una  decisión  a  la</w:t>
        <w:br/>
        <w:t>Asamblea General de la OEA.</w:t>
        <w:br/>
        <w:br/>
        <w:t>102.   Por  otro  lado,  la  facultad  de  la  Corte  para   supervisar   el</w:t>
        <w:br/>
        <w:t>cumplimiento de  sus  sentencias  y  el  procedimiento  adoptado  para  ello</w:t>
        <w:br/>
        <w:t>también encuentra su fundamento en la práctica constante y  uniforme  de  la</w:t>
        <w:br/>
        <w:t>Corte y en la resultante opinio juris communis de los Estados Partes  en  la</w:t>
        <w:br/>
        <w:t>Convención,  respecto  de  los  cuales  la   Corte   ha   emitido   diversas</w:t>
        <w:br/>
        <w:t>resoluciones sobre cumplimiento de  sentencia.   La  opinio  juris  communis</w:t>
        <w:br/>
        <w:t>significa la manifestación de la conciencia jurídica universal[70] a  través</w:t>
        <w:br/>
        <w:t>de la observancia, por la  generalidad  de  los  miembros  de  la  comunidad</w:t>
        <w:br/>
        <w:t>internacional,  de  una  determinada  práctica  como  obligatoria[71].    La</w:t>
        <w:br/>
        <w:t>referida opinio juris communis se ha manifestado en que dichos  Estados  han</w:t>
        <w:br/>
        <w:t>mostrado una actitud generalizada y reiterada de aceptación  de  la  función</w:t>
        <w:br/>
        <w:t>supervisora de la Corte, lo cual se ha visto clara y ampliamente  demostrado</w:t>
        <w:br/>
        <w:t>con la presentación por parte de éstos de los informes que la Corte  les  ha</w:t>
        <w:br/>
        <w:t>solicitado, así como con la observancia de lo resuelto por  el  Tribunal  al</w:t>
        <w:br/>
        <w:t>impartirles instrucciones o dilucidar  aspectos  sobre  los  cuales  existía</w:t>
        <w:br/>
        <w:t>controversia  entre  las  partes,   relativos   al   cumplimiento   de   las</w:t>
        <w:br/>
        <w:t>reparaciones[72].</w:t>
        <w:br/>
        <w:br/>
        <w:t>103.   Asimismo,  en  todos  los  casos   ante   la   Corte,   la   Comisión</w:t>
        <w:br/>
        <w:t>Interamericana y las víctimas o sus representantes legales han  aceptado  la</w:t>
        <w:br/>
        <w:t>función supervisora de ésta, han remitido al Tribunal  sus  observaciones  a</w:t>
        <w:br/>
        <w:t>los informes presentados por los Estados y se han ceñido  a  lo  determinado</w:t>
        <w:br/>
        <w:t>por la Corte en sus decisiones sobre cumplimiento  de  sentencia.   De  esta</w:t>
        <w:br/>
        <w:t>manera, la actividad de la Corte y los comportamientos tanto de los  Estados</w:t>
        <w:br/>
        <w:t>como de la Comisión Interamericana  y  las  víctimas  o  sus  representantes</w:t>
        <w:br/>
        <w:t>legales  han  sido  complementarios  en  relación  con  la  supervisión  del</w:t>
        <w:br/>
        <w:t>cumplimiento de las sentencias, en virtud de que el Tribunal  ha  ejercitado</w:t>
        <w:br/>
        <w:t>la función de realizar tal supervisión y a su vez los Estados,  la  Comisión</w:t>
        <w:br/>
        <w:t>Interamericana y las víctimas o sus  representantes  legales  han  respetado</w:t>
        <w:br/>
        <w:t>las decisiones emitidas  por  la  Corte  en  el  ejercicio  de  tal  función</w:t>
        <w:br/>
        <w:t>supervisora.</w:t>
        <w:br/>
        <w:br/>
        <w:t>104.  Al contrario de lo afirmado por Panamá (supra párr. 54.e), en  lo  que</w:t>
        <w:br/>
        <w:t>atañe al período de tiempo para considerar que se  está  ante  una  práctica</w:t>
        <w:br/>
        <w:t>constante, este Tribunal considera que lo importante es que la práctica  sea</w:t>
        <w:br/>
        <w:t>observada de manera ininterrumpida y constante, y que no es esencial que  la</w:t>
        <w:br/>
        <w:t>conducta  sea  practicada  durante  un  determinado  período.   Así  lo  han</w:t>
        <w:br/>
        <w:t>entendido la jurisprudencia[73] y doctrina internacionales.   Inclusive,  la</w:t>
        <w:br/>
        <w:t>jurisprudencia  internacional  ha  reconocido  la   existencia   de   normas</w:t>
        <w:br/>
        <w:t>consuetudinarias que se formaron en períodos muy breves[74].</w:t>
        <w:br/>
        <w:br/>
        <w:br/>
        <w:br/>
        <w:t xml:space="preserve">               E) Procedimiento Aplicado a la Supervisión del</w:t>
        <w:br/>
        <w:br/>
        <w:br/>
        <w:t xml:space="preserve">                 Cumplimiento de las Decisiones de la Corte</w:t>
        <w:br/>
        <w:br/>
        <w:br/>
        <w:t>105.  Ni la Convención Americana, ni el Estatuto y Reglamento  de  la  Corte</w:t>
        <w:br/>
        <w:t>indican el  procedimiento  que  se  deba  observar  en  la  supervisión  del</w:t>
        <w:br/>
        <w:t>cumplimiento de las sentencias emitidas por la Corte, ni en lo que  atañe  a</w:t>
        <w:br/>
        <w:t>otras materias, como por  ejemplo  medidas  urgentes  y  provisionales.   El</w:t>
        <w:br/>
        <w:t>Tribunal  ha  realizado  tal  supervisión  por  medio  de  un  procedimiento</w:t>
        <w:br/>
        <w:t>escrito, el  cual  consiste  en  que  el  Estado  responsable  presenta  los</w:t>
        <w:br/>
        <w:t>informes  que  le  sean  requeridos  por  el   Tribunal,   y   la   Comisión</w:t>
        <w:br/>
        <w:t>Interamericana  y  las  víctimas  o  sus  representantes   legales   remiten</w:t>
        <w:br/>
        <w:t>observaciones a dichos informes.  Asimismo, en lo que se refiere a la  etapa</w:t>
        <w:br/>
        <w:t>de supervisión del cumplimiento de  sentencias,  la  Corte  ha  adoptado  la</w:t>
        <w:br/>
        <w:t>práctica constante de emitir resoluciones o enviar comunicaciones al  Estado</w:t>
        <w:br/>
        <w:t>responsable con el objeto de, inter alia, expresar su preocupación  por  los</w:t>
        <w:br/>
        <w:t>puntos pendientes de cumplimiento de la sentencia,  instar  al  Estado  para</w:t>
        <w:br/>
        <w:t>que cumpla con las decisiones del Tribunal[75], solicitarle  que  suministre</w:t>
        <w:br/>
        <w:t>información detallada en relación con las providencias tomadas para  cumplir</w:t>
        <w:br/>
        <w:t>con determinadas medidas de reparación[76], y  proporcionarle  instrucciones</w:t>
        <w:br/>
        <w:t>para los efectos del cumplimiento, así como también con el fin de  dilucidar</w:t>
        <w:br/>
        <w:t>aspectos sobre los cuales existe controversia entre las partes, relativos  a</w:t>
        <w:br/>
        <w:t>la ejecución e implementación de las reparaciones[77].</w:t>
        <w:br/>
        <w:br/>
        <w:t>106.  El referido procedimiento escrito permite a  la  Corte  supervisar  el</w:t>
        <w:br/>
        <w:t>cumplimiento de sus sentencias y  garantiza  el  respeto  al  principio  del</w:t>
        <w:br/>
        <w:t>contradictorio,  debido  a  que   tanto   el   Estado   como   la   Comisión</w:t>
        <w:br/>
        <w:t>Interamericana y  las  víctimas  o  sus  representantes  legales  tienen  la</w:t>
        <w:br/>
        <w:t>posibilidad de aportar  al  Tribunal  toda  la  información  que  consideren</w:t>
        <w:br/>
        <w:t>relevante respecto del cumplimiento de lo ordenado por éste. De  tal  forma,</w:t>
        <w:br/>
        <w:t>la Corte no emite una resolución o considera, mediante otro acto, el  estado</w:t>
        <w:br/>
        <w:t>de  cumplimiento  de  sus  sentencias  sin  antes  analizar   los   informes</w:t>
        <w:br/>
        <w:t>presentados por el Estado y las respectivas observaciones remitidas  por  la</w:t>
        <w:br/>
        <w:t>Comisión y las víctimas  o  sus  representantes  legales.   Ahora  bien,  es</w:t>
        <w:br/>
        <w:t>preciso aclarar que, a pesar de que la etapa de supervisión de  cumplimiento</w:t>
        <w:br/>
        <w:t>de sentencia ha sido desarrollada  a  través  del  mencionado  procedimiento</w:t>
        <w:br/>
        <w:t>escrito y en ningún caso se ha convocado a  una  audiencia  pública  en  esa</w:t>
        <w:br/>
        <w:t>etapa, si el Tribunal en el futuro  lo  considera  conveniente  y  necesario</w:t>
        <w:br/>
        <w:t>puede convocar a las partes  a  una  audiencia  pública  para  escuchar  sus</w:t>
        <w:br/>
        <w:t>alegatos sobre el cumplimiento de la sentencia[78].   Ninguna  norma  de  la</w:t>
        <w:br/>
        <w:t>Convención ni del Estatuto y el Reglamento de la Corte le exige a  ésta  que</w:t>
        <w:br/>
        <w:t>celebre audiencias públicas para resolver sobre el  fondo  de  los  casos  y</w:t>
        <w:br/>
        <w:t>disponer las reparaciones, por lo que se desprende que tampoco es  necesaria</w:t>
        <w:br/>
        <w:t>la  celebración  de  audiencias  para  considerar  el  cumplimiento  de  las</w:t>
        <w:br/>
        <w:t>sentencias, salvo si el Tribunal lo estima indispensable.</w:t>
        <w:br/>
        <w:br/>
        <w:t>107.  Desde que emitió sus primeras sentencias de reparaciones en  1989,  la</w:t>
        <w:br/>
        <w:t>Corte ha supervisado de forma ininterrumpida y constante el cumplimiento  de</w:t>
        <w:br/>
        <w:t>todas las sentencias  emitidas  en  los  casos  contenciosos  a  través  del</w:t>
        <w:br/>
        <w:t>mencionado procedimiento escrito -inclusive en los  casos  en  los  que  los</w:t>
        <w:br/>
        <w:t>Estados demandados reconocieron su responsabilidad internacional-,  para  lo</w:t>
        <w:br/>
        <w:t>cual ha emitido comunicaciones y resoluciones sobre el cumplimiento  de  sus</w:t>
        <w:br/>
        <w:t>sentencias en todos los casos[79], en  aras  de  garantizar  una  aplicación</w:t>
        <w:br/>
        <w:t>íntegra y efectiva de sus decisiones.</w:t>
        <w:br/>
        <w:t>108.  En la supervisión del cumplimiento en un caso[80] la Corte autorizó  a</w:t>
        <w:br/>
        <w:t>las partes a que los pagos de las  indemnizaciones  correspondientes  a  los</w:t>
        <w:br/>
        <w:t>beneficiarios menores de edad se realizaran a través  de  una  inversión  en</w:t>
        <w:br/>
        <w:t>certificados de depósito  a  término,  en  vez  de  la  constitución  de  un</w:t>
        <w:br/>
        <w:t>fideicomiso ordenado en la sentencia sobre reparaciones,  debido  a  que  la</w:t>
        <w:br/>
        <w:t>inversión en certificados de depósito a término era la  más  favorable  para</w:t>
        <w:br/>
        <w:t>los menores beneficiarios.  Incluso, la Corte requirió al Estado que  tomara</w:t>
        <w:br/>
        <w:t>“las medidas necesarias para que, en un futuro, los menores no v[ieran]  sus</w:t>
        <w:br/>
        <w:t>intereses afectados por  la  inflación”.   En  otro  caso[81],  en  aras  de</w:t>
        <w:br/>
        <w:t>cumplir con la sentencia de reparaciones emitida por el Tribunal, el  Estado</w:t>
        <w:br/>
        <w:t>le solicitó la opinión sobre si los  gastos  administrativos  y  financieros</w:t>
        <w:br/>
        <w:t>que generarían los fideicomisos ordenados en la  mencionada  sentencia  como</w:t>
        <w:br/>
        <w:t>forma de pago para los beneficiarios menores de edad, podían  deducirse,  en</w:t>
        <w:br/>
        <w:t>desmedro del capital depositado y en  perjuicio  de  los  intereses  de  los</w:t>
        <w:br/>
        <w:t>referidos beneficiarios.  Al respecto, la  Corte  le  respondió  que  dichos</w:t>
        <w:br/>
        <w:t>gastos debían ser sufragados por el Estado,  sin  que  este  último  pudiera</w:t>
        <w:br/>
        <w:t>deducir porcentaje alguno de  las  indemnizaciones  correspondientes  a  los</w:t>
        <w:br/>
        <w:t>menores, en detrimento del capital depositado en fideicomiso[82].</w:t>
        <w:br/>
        <w:br/>
        <w:t>109.  Finalmente, otro ejemplo que demuestra la aceptación por parte de  los</w:t>
        <w:br/>
        <w:t>Estados de la competencia del Tribunal para supervisar  el  cumplimiento  de</w:t>
        <w:br/>
        <w:t>sus decisiones se dio cuando un Estado consultó a la Corte si el archivo  en</w:t>
        <w:br/>
        <w:t>sede interna de la investigación de los hechos que  constituían  la  materia</w:t>
        <w:br/>
        <w:t>del caso lo relevaba de su responsabilidad establecida en la  sentencia  del</w:t>
        <w:br/>
        <w:t>Tribunal[83].  En respuesta a dicha comunicación estatal, la Corte  resolvió</w:t>
        <w:br/>
        <w:t>que el Estado debía “contin[uar]  con  la  investigación  de  los  hechos  y</w:t>
        <w:br/>
        <w:t>proces[ar] y sancion[ar] a los responsables, reabriendo,  por  consiguiente,</w:t>
        <w:br/>
        <w:t>el procedimiento judicial respectivo”[84].</w:t>
        <w:br/>
        <w:br/>
        <w:t xml:space="preserve">                F) Posición de la Asamblea General de la OEA</w:t>
        <w:br/>
        <w:t xml:space="preserve">                 Respecto de la Supervisión del Cumplimiento</w:t>
        <w:br/>
        <w:t xml:space="preserve">                        de las Decisiones de la Corte</w:t>
        <w:br/>
        <w:br/>
        <w:t>110.  Aunado a  todo  lo  anterior,  es  preciso  destacar  que,  desde  los</w:t>
        <w:br/>
        <w:t>primeros casos conocidos por la Corte, al presentar su  Informe  Anual  ésta</w:t>
        <w:br/>
        <w:t>ha informado a la Asamblea General de la OEA del  procedimiento  seguido  en</w:t>
        <w:br/>
        <w:t>la supervisión del  cumplimiento  de  las  sentencias  y  de  su  estado  de</w:t>
        <w:br/>
        <w:t>cumplimiento[85].  Si la supervisión del cumplimiento de las  sentencias  de</w:t>
        <w:br/>
        <w:t>la  Corte  fuera  competencia  “exclusiva  de  la  Asamblea  General  de  la</w:t>
        <w:br/>
        <w:t>Organización de los Estados Americanos”  (supra  párr.  54.a),  este  órgano</w:t>
        <w:br/>
        <w:t>político ya se habría pronunciado al respecto, lo cual no ha  ocurrido.   No</w:t>
        <w:br/>
        <w:t>es posible suponer que  desde  1989  la  Corte  ha  venido  ejercitando  una</w:t>
        <w:br/>
        <w:t>función propia del máximo órgano político de la OEA  y  que  éste,  teniendo</w:t>
        <w:br/>
        <w:t>conocimiento de ello, lo haya permitido.</w:t>
        <w:br/>
        <w:br/>
        <w:t>111.  Claro ejemplo de la posición de la Asamblea General de la OEA  fue  la</w:t>
        <w:br/>
        <w:t>reacción de ésta cuando, en el Informe Anual correspondiente a 1994[86],  la</w:t>
        <w:br/>
        <w:t>Corte le indicó que  no  había  recibido  comunicación  oficial  alguna  del</w:t>
        <w:br/>
        <w:t>Estado sobre el cumplimiento de las sentencias en  los  casos  Aloeboetoe  y</w:t>
        <w:br/>
        <w:t>otros y Gangaram Panday, y le solicitó que exhortara al  Estado  a  informar</w:t>
        <w:br/>
        <w:t>sobre el estado de cumplimiento de la sentencia  sobre  reparaciones  en  el</w:t>
        <w:br/>
        <w:t>caso Aloeboetoe y otros y a cumplir con la sentencia de 21 de enero de  1994</w:t>
        <w:br/>
        <w:t>en  el  caso  Gangaram  Panday.   Como  consecuencia   de   las   anteriores</w:t>
        <w:br/>
        <w:t>solicitudes,  la  Asamblea  General  de   la   OEA   aprobó   la   siguiente</w:t>
        <w:br/>
        <w:t>recomendación respecto del referido Informe Anual de la Corte:</w:t>
        <w:br/>
        <w:t xml:space="preserve">      […]</w:t>
        <w:br/>
        <w:t xml:space="preserve">       3.   Exhortar al Gobierno […] a que se  sirva  informar  a  la  Corte</w:t>
        <w:br/>
        <w:t xml:space="preserve">      Interamericana de  Derechos  Humanos  sobre  el  cumplimiento  de  las</w:t>
        <w:br/>
        <w:t xml:space="preserve">      sentencias sobre los casos Aloeboetoe y otros y Gangaram Panday.</w:t>
        <w:br/>
        <w:t xml:space="preserve">      […][87].</w:t>
        <w:br/>
        <w:br/>
        <w:t>112.   Anteriormente,  la  Corte  había  aplicado  el  artículo  65  de   la</w:t>
        <w:br/>
        <w:t>Convención  en  los  casos   Velásquez   Rodríguez   y   Godínez   Cruz[88].</w:t>
        <w:br/>
        <w:t>Posteriormente, aplicó dicha norma en los casos Neira Alegría  y  otros[89],</w:t>
        <w:br/>
        <w:t>Castillo Páez, Loayza Tamayo y Castillo Petruzzi y  otros[90].   En  lo  que</w:t>
        <w:br/>
        <w:t>respecta a medidas provisionales, el Tribunal también aplicó el artículo  65</w:t>
        <w:br/>
        <w:t>de la Convención en el caso James y otros[91].</w:t>
        <w:br/>
        <w:br/>
        <w:t>113.  Más recientemente, la Corte emitió dos sentencias  de  competencia  en</w:t>
        <w:br/>
        <w:t>los casos Ivcher  Bronstein  y  del  Tribunal  Constitucional[92],  ante  el</w:t>
        <w:br/>
        <w:t>pretendido  retiro,  con  efectos   inmediatos,   de   la   declaración   de</w:t>
        <w:br/>
        <w:t>reconocimiento de la competencia contenciosa de la Corte Interamericana  por</w:t>
        <w:br/>
        <w:t>parte del Estado del Perú.  Además de emitir las  dos  referidas  sentencias</w:t>
        <w:br/>
        <w:t>de  competencia,  la  Corte,  mediante  comunicación  dirigida  el   28   de</w:t>
        <w:br/>
        <w:t>septiembre de 1999 al Secretario General de  la  OEA,  señor  César  Gaviria</w:t>
        <w:br/>
        <w:t>Trujillo, le expresó que:</w:t>
        <w:br/>
        <w:t xml:space="preserve">      […]</w:t>
        <w:br/>
        <w:t xml:space="preserve">      Lo actuado por el Perú  constituye  un  precedente  grave  que  afecta</w:t>
        <w:br/>
        <w:t xml:space="preserve">      directamente al sistema de protección establecido  por  la  Convención</w:t>
        <w:br/>
        <w:t xml:space="preserve">      Americana sobre Derechos Humanos.  Por cuanto corresponde a esta Corte</w:t>
        <w:br/>
        <w:t xml:space="preserve">      la defensa de la integralidad de dicho sistema, solicitamos a  Vuestra</w:t>
        <w:br/>
        <w:t xml:space="preserve">      Excelencia que ante  lo  actuado  por  el  Estado  peruano,  tome  las</w:t>
        <w:br/>
        <w:t xml:space="preserve">      providencias  que  considere  oportunas   como   depositario   de   la</w:t>
        <w:br/>
        <w:t xml:space="preserve">      Convención[93].</w:t>
        <w:br/>
        <w:br/>
        <w:t>Es por ello que en su Informe  Anual  de  1999  la  Corte  hizo  uso  de  la</w:t>
        <w:br/>
        <w:t>facultad establecida en el artículo 65 de la Convención para informar  a  la</w:t>
        <w:br/>
        <w:t>Asamblea General de la OEA para que exhortara  al  Estado  del  Perú  a  que</w:t>
        <w:br/>
        <w:t>cumpliera con todas las sentencias emitidas por la Corte[94].</w:t>
        <w:br/>
        <w:br/>
        <w:t>Mediante Notas CDH-S/768 y CDH-S/788 de  12  y  24  de  noviembre  de  2000,</w:t>
        <w:br/>
        <w:t>respectivamente, dirigidas al Secretario General  de  la  OEA,  señor  César</w:t>
        <w:br/>
        <w:t>Gaviria Trujillo, la Corte se volvió a referir al incumplimiento  por  parte</w:t>
        <w:br/>
        <w:t>del Perú de sus decisiones[95].  La Asamblea General de la OEA se  pronunció</w:t>
        <w:br/>
        <w:t>al respecto al aprobar el Informe Anual de la Corte correspondiente  al  año</w:t>
        <w:br/>
        <w:t>2000, mediante Resolución AG/RES. 1827 (XXXI-O/01)[96].</w:t>
        <w:br/>
        <w:br/>
        <w:t>114.  Consecuentemente, la postura de la Asamblea  General  de  la  OEA  con</w:t>
        <w:br/>
        <w:t>respecto a la supervisión del cumplimiento de las sentencias de la Corte  ha</w:t>
        <w:br/>
        <w:t>sido la de considerar que dicha supervisión le compete al mismo Tribunal,  y</w:t>
        <w:br/>
        <w:t>que en el Informe Anual éste debe señalar los casos  en  que  un  Estado  no</w:t>
        <w:br/>
        <w:t>haya dado cumplimiento a sus fallos.</w:t>
        <w:br/>
        <w:br/>
        <w:t>115.  Así, en el sistema interamericano, a diferencia  del  sistema  europeo</w:t>
        <w:br/>
        <w:t>(supra párrs. 86 y 87), la propia Asamblea General de la OEA ha  considerado</w:t>
        <w:br/>
        <w:t>que los informes de los Estados sobre el cumplimiento de las  decisiones  de</w:t>
        <w:br/>
        <w:t>la Corte se deben presentar ante el mismo Tribunal (supra párr. 111).</w:t>
        <w:br/>
        <w:br/>
        <w:t>116.  Finalmente, este Tribunal considera de importancia hacer referencia  a</w:t>
        <w:br/>
        <w:t>las resoluciones emitidas por la Asamblea General de  la  OEA  en  los  años</w:t>
        <w:br/>
        <w:t>2000, 2001, 2002 y 2003, mediante las cuales este órgano ha  reiterado  “que</w:t>
        <w:br/>
        <w:t>los fallos de la Corte Interamericana de Derechos Humanos son definitivos  e</w:t>
        <w:br/>
        <w:t>inapelables y que los Estados  Parte  de  la  Convención  se  comprometen  a</w:t>
        <w:br/>
        <w:t>cumplir las  decisiones  de  la  Corte  en  todos  los  casos  en  que  sean</w:t>
        <w:br/>
        <w:t>parte”[97].</w:t>
        <w:br/>
        <w:br/>
        <w:br/>
        <w:t xml:space="preserve">            G) Reconocimiento por parte del Estado de la Facultad</w:t>
        <w:br/>
        <w:br/>
        <w:br/>
        <w:t xml:space="preserve">       del Tribunal para Supervisar el Cumplimiento de sus Decisiones</w:t>
        <w:br/>
        <w:br/>
        <w:br/>
        <w:t>117.  En el punto resolutivo décimo de su  Sentencia  de  2  de  febrero  de</w:t>
        <w:br/>
        <w:t>2001, la  Corte  “decid[ió]  que  supervisar[ía]  el  cumplimiento  de  [la]</w:t>
        <w:br/>
        <w:t>Sentencia”.  Los días 11 de mayo de 2001, 6 de junio de 2001,  27  de  junio</w:t>
        <w:br/>
        <w:t>de 2001, 3 de septiembre de 2001, 20 de febrero de 2002  y  10  de  mayo  de</w:t>
        <w:br/>
        <w:t>2002 el Estado presentó diversos escritos  (supra  párr.  4),  mediante  los</w:t>
        <w:br/>
        <w:t>cuales informaba y daba  cuenta  sobre  las  gestiones  realizadas  para  la</w:t>
        <w:br/>
        <w:t>ejecución de la sentencia dictada por la Corte.  En esos escritos el  Estado</w:t>
        <w:br/>
        <w:t>no realizó  ningún  cuestionamiento  a  la  competencia  de  la  Corte  para</w:t>
        <w:br/>
        <w:t>supervisar el cumplimiento de la Sentencia de 2 de febrero de 2001.</w:t>
        <w:br/>
        <w:br/>
        <w:t>118.  Posteriormente, el 21 de junio de 2002, el Tribunal emitió la  primera</w:t>
        <w:br/>
        <w:t>Resolución sobre  Cumplimiento  de  Sentencia  en  este  caso,  en  la  cual</w:t>
        <w:br/>
        <w:t>requirió al Estado que presentara a la Corte, a más tardar el 15  de  agosto</w:t>
        <w:br/>
        <w:t>de 2002, un informe detallado sobre  el  cumplimiento  de  las  reparaciones</w:t>
        <w:br/>
        <w:t>dispuestas  en  los  puntos  resolutivos  sexto,  séptimo  y  noveno  de  la</w:t>
        <w:br/>
        <w:t>Sentencia de 2 de febrero de 2001 (supra párr. 12).   El  16  de  agosto  de</w:t>
        <w:br/>
        <w:t>2002 el Estado presentó el informe sobre el  cumplimiento  de  la  sentencia</w:t>
        <w:br/>
        <w:t>requerido por la Corte mediante la Resolución de 21 de junio de 2002  (supra</w:t>
        <w:br/>
        <w:t>párr. 13).  En ese informe el Estado tampoco realizó ningún  cuestionamiento</w:t>
        <w:br/>
        <w:t>a la  competencia  de  la  Corte  para  supervisar  el  cumplimiento  de  la</w:t>
        <w:br/>
        <w:t>Sentencia.  Aunado a lo anterior, los días 28 de junio, 23 de  septiembre  y</w:t>
        <w:br/>
        <w:t>8 de noviembre de 2002 (supra párr. 14) Panamá  presentó  información  sobre</w:t>
        <w:br/>
        <w:t>el cumplimiento de los puntos resolutivos sexto y noveno de la Sentencia  de</w:t>
        <w:br/>
        <w:t>2 de febrero de 2001, y en estos escritos también  se  abstuvo  de  realizar</w:t>
        <w:br/>
        <w:t>cuestionamiento alguno a la competencia  de  la  Corte  para  supervisar  el</w:t>
        <w:br/>
        <w:t>cumplimiento de la Sentencia.</w:t>
        <w:br/>
        <w:br/>
        <w:t>119.  El 22 de noviembre de 2002 la Corte emitió una segunda Resolución</w:t>
        <w:br/>
        <w:t>sobre Cumplimiento de Sentencia (supra párr. 21), con base en el análisis</w:t>
        <w:br/>
        <w:t>de la información presentada por el Estado y las observaciones presentadas</w:t>
        <w:br/>
        <w:t>por las víctimas o sus representantes legales y por la Comisión</w:t>
        <w:br/>
        <w:t>Interamericana.  En esta resolución el Tribunal constató que el Estado</w:t>
        <w:br/>
        <w:t>había cumplido la obligación estipulada en el punto resolutivo noveno de</w:t>
        <w:br/>
        <w:t>dicha sentencia.  Asimismo, la Corte indicó ciertas pautas generales con el</w:t>
        <w:br/>
        <w:t>fin de resolver asuntos relativos a la ejecución de las medidas de</w:t>
        <w:br/>
        <w:t>reparación ordenadas en la sentencia respecto de las cuales existía</w:t>
        <w:br/>
        <w:t>controversia entre las partes, y solicitó al Estado que presentara un nuevo</w:t>
        <w:br/>
        <w:t>informe, a más tardar el 30 de junio de 2003, en el cual indicara los</w:t>
        <w:br/>
        <w:t>avances en el cumplimiento de las reparaciones, con el propósito de que la</w:t>
        <w:br/>
        <w:t>Corte contara con información para determinar el grado de cumplimiento de</w:t>
        <w:br/>
        <w:t>la Sentencia de 2 de febrero de 2001.  Dentro de las pautas generales sobre</w:t>
        <w:br/>
        <w:t>la ejecución de las medidas de reparación, la Corte se refirió a la</w:t>
        <w:br/>
        <w:t>determinación de los derechos laborales que debía realizar el Estado para</w:t>
        <w:br/>
        <w:t>dar cumplimiento al punto resolutivo sexto y al trámite para la ejecución</w:t>
        <w:br/>
        <w:t>de lo dispuesto en el punto resolutivo séptimo de la mencionada sentencia,</w:t>
        <w:br/>
        <w:t>lo cual se debía llevar a efecto “observando las garantías del debido</w:t>
        <w:br/>
        <w:t>proceso y según la legislación aplicable a cada víctima”, como lo había</w:t>
        <w:br/>
        <w:t>dispuesto en la Sentencia de 2 de febrero de 2001[98].</w:t>
        <w:br/>
        <w:br/>
        <w:t>120.  Fue después  de  esta  segunda  resolución  que  el  Estado,  mediante</w:t>
        <w:br/>
        <w:t>escrito de 27 de febrero de 2003 (supra párr.  26),  cuestionó  por  primera</w:t>
        <w:br/>
        <w:t>vez la competencia de la  Corte  para  supervisar  el  cumplimiento  de  sus</w:t>
        <w:br/>
        <w:t>sentencias.  En este escrito  Panamá  manifestó  su  disconformidad  con  lo</w:t>
        <w:br/>
        <w:t>decidido por la Corte en la Resolución de 22 de noviembre de 2002, e  indicó</w:t>
        <w:br/>
        <w:t>que la etapa de supervisión de cumplimiento de sentencia es una etapa “post-</w:t>
        <w:br/>
        <w:t>adjudicativa”,  que  “no  está  prevista  por  las  normas  que  regulan  la</w:t>
        <w:br/>
        <w:t>jurisdicción y el procedimiento de la Honorable Corte” y que, al emitir  esa</w:t>
        <w:br/>
        <w:t>resolución, ésta había interpretado la Sentencia de 2 de  febrero  de  2001.</w:t>
        <w:br/>
        <w:t>En el mismo sentido presentó un escrito  el  30  de  julio  de  2003  (supra</w:t>
        <w:br/>
        <w:t>párrs. 41 y 54), en el cual nuevamente cuestionó la competencia de la  Corte</w:t>
        <w:br/>
        <w:t>para supervisar el cumplimiento de sus sentencias.</w:t>
        <w:br/>
        <w:br/>
        <w:t>121.  La Corte observa que el Estado cuestionó por primera vez la</w:t>
        <w:br/>
        <w:t>competencia del Tribunal para supervisar el cumplimiento de sus sentencias</w:t>
        <w:br/>
        <w:t>más de dos años después de que la Corte emitió la Sentencia sobre el Fondo</w:t>
        <w:br/>
        <w:t>y las Reparaciones y Costas -en la cual indicó que supervisaría el</w:t>
        <w:br/>
        <w:t>cumplimiento de la propia Sentencia-. A partir de la emisión de dicho</w:t>
        <w:br/>
        <w:t>fallo, Panamá ha presentado 14 escritos al Tribunal relativos al</w:t>
        <w:br/>
        <w:t>cumplimiento de la referida decisión (supra párrs. 4, 13, 14, 26, 35, 39 y</w:t>
        <w:br/>
        <w:t>41), mediante los cuales ha mantenido a la Corte informada sobre las</w:t>
        <w:br/>
        <w:t>diversas gestiones efectuadas con el propósito de cumplir con la mencionada</w:t>
        <w:br/>
        <w:t>decisión del Tribunal.  Además, el Estado ha manifestado “su intención de</w:t>
        <w:br/>
        <w:t>cumplir con la Sentencia de 2 de febrero de 2001”.  Después de que el</w:t>
        <w:br/>
        <w:t>Tribunal emitiera una segunda resolución, en la cual se refirió a los</w:t>
        <w:br/>
        <w:t>parámetros generales que el Estado debía respetar al dar cumplimiento a las</w:t>
        <w:br/>
        <w:t>reparaciones dispuestas en el presente caso, Panamá cuestionó la</w:t>
        <w:br/>
        <w:t>competencia de la Corte para supervisar el cumplimiento de sus decisiones.</w:t>
        <w:br/>
        <w:t>Sin embargo, no hubo cuestionamiento alguno a la primera resolución emitida</w:t>
        <w:br/>
        <w:t>por el Tribunal.</w:t>
        <w:br/>
        <w:br/>
        <w:t>122.  Pese a que Panamá presentó 2 escritos (supra párrs. 26, 41, 53 y 54)</w:t>
        <w:br/>
        <w:t>en los cuales objetó la competencia de la Corte para supervisar el</w:t>
        <w:br/>
        <w:t>cumplimiento de sus decisiones, en esos mismos escritos el Estado informó</w:t>
        <w:br/>
        <w:t>al Tribunal sobre diversas gestiones efectuadas a efectos de cumplir lo</w:t>
        <w:br/>
        <w:t>dispuesto por la Corte.</w:t>
        <w:br/>
        <w:br/>
        <w:t>123.  Además de presentar diversos informes, en el marco del procedimiento</w:t>
        <w:br/>
        <w:t>no reglado de supervisión, el Estado solicitó tres reuniones entre sus</w:t>
        <w:br/>
        <w:t>representantes y miembros del Tribunal, a lo cual este último accedió y</w:t>
        <w:br/>
        <w:t>delegó en su Presidente y Vicepresidente o en la Secretaría.  Las referidas</w:t>
        <w:br/>
        <w:t>reuniones se celebraron en la sede de la Corte, así:</w:t>
        <w:br/>
        <w:br/>
        <w:t xml:space="preserve">      a)    el 25 de febrero de 2002, a las 8:30 a.m., se  entrevistaron  el</w:t>
        <w:br/>
        <w:t xml:space="preserve">      Presidente y el Vicepresidente de la Corte;  dos  funcionarios  de  la</w:t>
        <w:br/>
        <w:t xml:space="preserve">      Secretaría, y los siguientes  representantes  del  Estado:  Embajadora</w:t>
        <w:br/>
        <w:t xml:space="preserve">      Virginia Burgoa Solanas, Embajada de Panamá en Costa  Rica;  Embajador</w:t>
        <w:br/>
        <w:t xml:space="preserve">      Alfredo Castillero Hoyos, Director General de  Política  Exterior  del</w:t>
        <w:br/>
        <w:t xml:space="preserve">      Ministerio  de  Relaciones  Exteriores  de   Panamá;   Jaime   Moreno,</w:t>
        <w:br/>
        <w:t xml:space="preserve">      Viceministro de Trabajo de Panamá;  Eduardo  Quiroz,  Viceministro  de</w:t>
        <w:br/>
        <w:t xml:space="preserve">      Economía y Finanzas de Panamá; Luis Enrique  Martínez  Cruz,  Ministro</w:t>
        <w:br/>
        <w:t xml:space="preserve">      Consejero de la Embajada de Panamá en Costa  Rica,  y  Doris  Sosa  de</w:t>
        <w:br/>
        <w:t xml:space="preserve">      González, Agregada de la Embajada de Panamá en  Costa  Rica.   En  esa</w:t>
        <w:br/>
        <w:t xml:space="preserve">      ocasión los representantes del Estado,  inter  alia,  manifestaron  su</w:t>
        <w:br/>
        <w:t xml:space="preserve">      voluntad de cumplir con la sentencia emitida por la Corte e informaron</w:t>
        <w:br/>
        <w:t xml:space="preserve">      sobre las gestiones efectuadas para el cumplimiento del fallo.  Por su</w:t>
        <w:br/>
        <w:t xml:space="preserve">      parte, la Secretaría,  a  solicitud  del  Presidente,  explicó  a  los</w:t>
        <w:br/>
        <w:t xml:space="preserve">      funcionarios estatales, en forma detallada, el procedimiento  aplicado</w:t>
        <w:br/>
        <w:t xml:space="preserve">      en la supervisión del cumplimiento de las decisiones del Tribunal;</w:t>
        <w:br/>
        <w:br/>
        <w:br/>
        <w:t xml:space="preserve">      b)    el 24 de junio de 2002, a las  11:35  a.m.,  se  reunieron  tres</w:t>
        <w:br/>
        <w:t xml:space="preserve">      funcionarios de la Secretaría  y  los  siguientes  representantes  del</w:t>
        <w:br/>
        <w:t xml:space="preserve">      Estado: Embajadora Virginia Burgoa  Solanas,  Embajada  de  Panamá  en</w:t>
        <w:br/>
        <w:t xml:space="preserve">      Costa Rica, y Luis Enrique Martínez Cruz,  Ministro  Consejero  de  la</w:t>
        <w:br/>
        <w:t xml:space="preserve">      Embajada de Panamá en Costa Rica.  En esa oportunidad los funcionarios</w:t>
        <w:br/>
        <w:t xml:space="preserve">      del  Estado  consultaron  a  la  Secretaría  sobre  el  modo  de   dar</w:t>
        <w:br/>
        <w:t xml:space="preserve">      cumplimiento a la sentencia en el presente caso.  Los funcionarios  de</w:t>
        <w:br/>
        <w:t xml:space="preserve">      la Secretaría les manifestaron que no podían “emitir una opinión sobre</w:t>
        <w:br/>
        <w:t xml:space="preserve">      el cumplimiento, por parte del  Estado,  de  la  sentencia”  de  2  de</w:t>
        <w:br/>
        <w:t xml:space="preserve">      febrero de 2001; y</w:t>
        <w:br/>
        <w:br/>
        <w:br/>
        <w:t xml:space="preserve">      c)    el 27 de febrero de 2003 se presentó una delegación  del  Estado</w:t>
        <w:br/>
        <w:t xml:space="preserve">      con el propósito de entregar un escrito (supra párrs. 26 y  53)  sobre</w:t>
        <w:br/>
        <w:t xml:space="preserve">      el cumplimiento de la Sentencia de 2 de febrero de 2001.</w:t>
        <w:br/>
        <w:br/>
        <w:t>124.  Por otra parte, Panamá no solo cumplió su deber de presentar  informes</w:t>
        <w:br/>
        <w:t>al Tribunal, y realizó actos que demuestran su reconocimiento a  la  función</w:t>
        <w:br/>
        <w:t>de supervisión realizada por la Corte, sino que nunca  manifestó  desacuerdo</w:t>
        <w:br/>
        <w:t>sobre el sentido o alcance del fallo emitido en este caso, concretamente  en</w:t>
        <w:br/>
        <w:t>lo que atañe a la competencia de la Corte de supervisar el  cumplimiento  de</w:t>
        <w:br/>
        <w:t>dicho fallo y, en concordancia con ello, se abstuvo  de  interponer  demanda</w:t>
        <w:br/>
        <w:t>de interpretación de sentencia.</w:t>
        <w:br/>
        <w:br/>
        <w:t>125.  A tal efecto, merece  recordarse  que  según  el  artículo  67  de  la</w:t>
        <w:br/>
        <w:t>Convención,</w:t>
        <w:br/>
        <w:br/>
        <w:t xml:space="preserve">           [e]l fallo de la Corte será definitivo e inapelable. En caso de</w:t>
        <w:br/>
        <w:t xml:space="preserve">      desacuerdo sobre el sentido o alcance del fallo, la Corte lo</w:t>
        <w:br/>
        <w:t xml:space="preserve">      interpretará a solicitud de cualquiera de las partes, siempre que</w:t>
        <w:br/>
        <w:t xml:space="preserve">      dicha solicitud se presente dentro de los noventa días a partir de la</w:t>
        <w:br/>
        <w:t xml:space="preserve">      fecha de la notificación del fallo.</w:t>
        <w:br/>
        <w:br/>
        <w:t>Y que en el párrafo 213 de la Sentencia de 2 de febrero  de  2001  la  Corte</w:t>
        <w:br/>
        <w:t>“se reserv[ó] la facultad de supervisar el cumplimiento integral de  la  […]</w:t>
        <w:br/>
        <w:t>Sentencia”, y en el punto resolutivo décimo del mismo fallo  “decid[ió]  que</w:t>
        <w:br/>
        <w:t>supervisar[ía] el cumplimiento de [la] Sentencia”.</w:t>
        <w:br/>
        <w:br/>
        <w:t>126.  Después de analizar el actuar del Estado en sus diversos escritos,  la</w:t>
        <w:br/>
        <w:t>Corte concluye lo siguiente: a)  a  pesar  de  contar  con  la  facultad  de</w:t>
        <w:br/>
        <w:t>solicitar la interpretación de la sentencia,  por  el  desacuerdo  sobre  el</w:t>
        <w:br/>
        <w:t>sentido o alcance de las disposiciones relativas  a  la  competencia  de  la</w:t>
        <w:br/>
        <w:t>Corte para supervisar el cumplimiento de la sentencia, el Estado no  utilizó</w:t>
        <w:br/>
        <w:t>el medio procesal previsto en el artículo 67 de la Convención; b) el  Estado</w:t>
        <w:br/>
        <w:t>presentó numerosos informes sobre el cumplimiento de  la  sentencia;  c)  el</w:t>
        <w:br/>
        <w:t>Estado no objetó  la  primera  resolución  que  emitió  la  Corte  sobre  el</w:t>
        <w:br/>
        <w:t>cumplimiento de la sentencia el 21 de junio de 2002 (supra párr. 12); d)  la</w:t>
        <w:br/>
        <w:t>conducta constante del Estado implica un reconocimiento de la  facultad  que</w:t>
        <w:br/>
        <w:t>tiene la Corte de supervisar el cumplimiento de la sentencia sobre el  fondo</w:t>
        <w:br/>
        <w:t>y las reparaciones y costas  emitida  en  el  presente  caso;  e)  tan  sólo</w:t>
        <w:br/>
        <w:t>después que la Corte emitiera, el 22  de  noviembre  de  2002,  una  segunda</w:t>
        <w:br/>
        <w:t>resolución sobre el cumplimiento de sentencia, objetó Panamá la facultad  de</w:t>
        <w:br/>
        <w:t>la Corte para supervisar el cumplimiento de sus sentencias.   Vale  destacar</w:t>
        <w:br/>
        <w:t>que esto ocurrió dos años después de emitida la sentencia sobre el  fondo  y</w:t>
        <w:br/>
        <w:t>las reparaciones y costas del caso;  y  f)  pese  a  cuestionar  la  función</w:t>
        <w:br/>
        <w:t>supervisora del Tribunal, el Estado ha continuado informando  a  éste  sobre</w:t>
        <w:br/>
        <w:t>las gestiones efectuadas para cumplir su  decisión,  lo  cual  demuestra  su</w:t>
        <w:br/>
        <w:t>reconocimiento a la competencia de la Corte para supervisar el  cumplimiento</w:t>
        <w:br/>
        <w:t>de sus decisiones.</w:t>
        <w:br/>
        <w:br/>
        <w:t>127.  En conclusión, para la Corte está fuera de duda que  la  conducta  del</w:t>
        <w:br/>
        <w:t>Estado demuestra  que  éste  reconoció  la  competencia  del  Tribunal  para</w:t>
        <w:br/>
        <w:t>supervisar el cumplimiento  de  sus  decisiones,  y  que  el  Estado  se  ha</w:t>
        <w:br/>
        <w:t>comportado así, en consecuencia, a lo largo de casi  todo  el  procedimiento</w:t>
        <w:br/>
        <w:t>de supervisión.</w:t>
        <w:br/>
        <w:br/>
        <w:br/>
        <w:t xml:space="preserve">                                     IV</w:t>
        <w:br/>
        <w:t xml:space="preserve">          Conclusiones Respecto de la Supervisión del Cumplimiento</w:t>
        <w:br/>
        <w:t xml:space="preserve">                        de las Decisiones de la Corte</w:t>
        <w:br/>
        <w:br/>
        <w:t>128.  La Corte, como todo órgano con funciones  jurisdiccionales,  tiene  el</w:t>
        <w:br/>
        <w:t>poder, inherente a sus atribuciones, de determinar el alcance de  su  propia</w:t>
        <w:br/>
        <w:t>competencia, así como de sus resoluciones y fallos,  y  el  cumplimiento  de</w:t>
        <w:br/>
        <w:t>estos últimos no puede quedar al mero arbitrio de  las  partes,  pues  sería</w:t>
        <w:br/>
        <w:t>inadmisible subordinar el mecanismo previsto en la  Convención  Americana  a</w:t>
        <w:br/>
        <w:t>restricciones que hagan inoperante la función del Tribunal y, por lo  tanto,</w:t>
        <w:br/>
        <w:t>el sistema tutelar de los derechos humanos consagrado en la Convención[99].</w:t>
        <w:br/>
        <w:br/>
        <w:br/>
        <w:br/>
        <w:t>129.  La supervisión del cumplimiento  de  las  sentencias  es  uno  de  los</w:t>
        <w:br/>
        <w:t>elementos que componen la jurisdicción. La  efectividad  de  las  sentencias</w:t>
        <w:br/>
        <w:t>depende de su cumplimiento.</w:t>
        <w:br/>
        <w:br/>
        <w:br/>
        <w:br/>
        <w:t>130.  Además, el cumplimiento  de  las  decisiones  y  sentencias  debe  ser</w:t>
        <w:br/>
        <w:t>considerado parte integrante del derecho de acceso a la justicia,  entendido</w:t>
        <w:br/>
        <w:t>éste en sentido amplio.  Lo contrario  supone  la  negación  misma  de  este</w:t>
        <w:br/>
        <w:t>derecho.  Si el Estado responsable no  ejecuta  en  el  ámbito  interno  las</w:t>
        <w:br/>
        <w:t>medidas de reparación dispuestas por la Corte estaría negando el derecho  de</w:t>
        <w:br/>
        <w:t>acceso a la justicia internacional.</w:t>
        <w:br/>
        <w:br/>
        <w:br/>
        <w:br/>
        <w:t>131.  La Corte tiene la facultad, inherente a su función jurisdiccional,  de</w:t>
        <w:br/>
        <w:t>supervisar el cumplimiento de sus decisiones.   Los  Estados  deben  cumplir</w:t>
        <w:br/>
        <w:t>“la decisión de la Corte en todo caso en que sean  partes”,  de  conformidad</w:t>
        <w:br/>
        <w:t>con el artículo 68.1  de  la  Convención.   Para  ello,  los  Estados  deben</w:t>
        <w:br/>
        <w:t>asegurar la implementación a nivel interno de lo dispuesto por  el  Tribunal</w:t>
        <w:br/>
        <w:t>en sus decisiones.</w:t>
        <w:br/>
        <w:br/>
        <w:br/>
        <w:br/>
        <w:t>132.  La Corte tiene el poder inherente a  sus  atribuciones  de  emitir,  a</w:t>
        <w:br/>
        <w:t>petición de parte o motu  proprio,  instrucciones  para  el  cumplimiento  e</w:t>
        <w:br/>
        <w:t>implementación de las medidas de  reparación  por  ella  ordenadas,  con  el</w:t>
        <w:br/>
        <w:t>propósito de cumplir efectivamente con la  función  de  velar  por  el  fiel</w:t>
        <w:br/>
        <w:t>cumplimiento de sus decisiones.  Las decisiones emitidas por la Corte en  el</w:t>
        <w:br/>
        <w:t>procedimiento de supervisión  de  cumplimiento  atañen  directamente  a  las</w:t>
        <w:br/>
        <w:t>reparaciones ordenadas por el Tribunal,  de  manera  que  no  modifican  sus</w:t>
        <w:br/>
        <w:t>fallos, sino que aclaran su alcance a la luz de la  conducta  del  Estado  y</w:t>
        <w:br/>
        <w:t>tratan de que el cumplimiento e implementación de las reparaciones  se  haga</w:t>
        <w:br/>
        <w:t>de la forma indicada en la  referida  decisión  y  de  la  forma  que  mejor</w:t>
        <w:br/>
        <w:t>proteja los derechos humanos.</w:t>
        <w:br/>
        <w:br/>
        <w:br/>
        <w:br/>
        <w:t>133.   La  competencia  de  la  Corte  Interamericana  para  supervisar   el</w:t>
        <w:br/>
        <w:t>cumplimiento de sus decisiones  encuentra  su  fundamento  jurídico  en  los</w:t>
        <w:br/>
        <w:t>artículos 33, 62.1, 62.3 y 65 de la Convención, así como en el  artículo  30</w:t>
        <w:br/>
        <w:t>del Estatuto de la Corte.  El Tribunal debe ejercer la facultad inherente  y</w:t>
        <w:br/>
        <w:t>no discrecional a sus atribuciones de  supervisar  el  cumplimiento  de  sus</w:t>
        <w:br/>
        <w:t>decisiones, con el  fin  de  cumplir  con  el  mandato  establecido  en  las</w:t>
        <w:br/>
        <w:t>mencionadas normas  de  la  Convención  Americana,  específicamente  con  el</w:t>
        <w:br/>
        <w:t>propósito de cumplir con lo dispuesto en el artículo 65 de la Convención,  a</w:t>
        <w:br/>
        <w:t>los efectos de informar a la Asamblea General cuando un estado incumple  sus</w:t>
        <w:br/>
        <w:t>decisiones.</w:t>
        <w:br/>
        <w:br/>
        <w:br/>
        <w:br/>
        <w:t>134.  La supervisión sobre el cumplimiento de las resoluciones de  la  Corte</w:t>
        <w:br/>
        <w:t>implica, en primer término, que ésta solicite información  al  Estado  sobre</w:t>
        <w:br/>
        <w:t>las actividades desarrolladas para los efectos de  dicho  cumplimiento,  así</w:t>
        <w:br/>
        <w:t>como recabar las observaciones de la  Comisión  y  de  las  víctimas  o  sus</w:t>
        <w:br/>
        <w:t>representantes legales.  Una vez que el Tribunal cuenta con esa  información</w:t>
        <w:br/>
        <w:t>puede apreciar si hubo cumplimiento de lo resuelto,  orientar  las  acciones</w:t>
        <w:br/>
        <w:t>del Estado para este fin y cumplir la obligación de informar a  la  Asamblea</w:t>
        <w:br/>
        <w:t>General, en los términos del artículo 65 de la Convención.</w:t>
        <w:br/>
        <w:br/>
        <w:br/>
        <w:br/>
        <w:t>135.  La postura de la Asamblea General de la OEA respecto a la  supervisión</w:t>
        <w:br/>
        <w:t>del cumplimiento de las sentencias de la Corte ha sido la de considerar  que</w:t>
        <w:br/>
        <w:t>dicha supervisión compete al mismo Tribunal.</w:t>
        <w:br/>
        <w:br/>
        <w:br/>
        <w:br/>
        <w:t>136.  En lo que atañe al presente caso, esta Corte considera que las tres</w:t>
        <w:br/>
        <w:t>resoluciones sobre cumplimiento de sentencia que ha dictado (supra párrs.</w:t>
        <w:br/>
        <w:t>12, 21 y 37) fueron emitidas dentro del ámbito de su competencia de</w:t>
        <w:br/>
        <w:t>supervisar el cumplimiento de la Sentencia de 2 de febrero de 2001, con el</w:t>
        <w:br/>
        <w:t>propósito de obtener información que permita determinar el grado de</w:t>
        <w:br/>
        <w:t>cumplimiento de dicho fallo y de indicar ciertas pautas generales que</w:t>
        <w:br/>
        <w:t>permitan resolver asuntos relativos a la ejecución de las medidas de</w:t>
        <w:br/>
        <w:t>reparación ordenadas en dicha sentencia, respecto de los cuales existía</w:t>
        <w:br/>
        <w:t>controversia entre las partes.</w:t>
        <w:br/>
        <w:br/>
        <w:br/>
        <w:br/>
        <w:t>137.  La conducta del  Estado  panameño  implica  un  reconocimiento  de  la</w:t>
        <w:br/>
        <w:t>facultad  que  tiene  la  Corte  de  supervisar  el  cumplimiento   de   sus</w:t>
        <w:br/>
        <w:t>decisiones, y es improcedente la objeción que el Estado  ahora  interpone  a</w:t>
        <w:br/>
        <w:t>esa facultad, en detrimento del principio general de la seguridad  jurídica.</w:t>
        <w:br/>
        <w:t xml:space="preserve"> Aún más, los Estados Partes en la Convención  respecto  de  los  cuales  la</w:t>
        <w:br/>
        <w:t>Corte  ha  emitido  resoluciones  sobre  cumplimiento   de   sentencia   han</w:t>
        <w:br/>
        <w:t>conformado una opinio juris communis al mostrar una actitud  generalizada  y</w:t>
        <w:br/>
        <w:t>reiterada de aceptación de la función supervisora de la Corte  (supra  párr.</w:t>
        <w:br/>
        <w:t>102).</w:t>
        <w:br/>
        <w:br/>
        <w:br/>
        <w:br/>
        <w:t xml:space="preserve">   138. De conformidad con las razones expuestas, este  Tribunal  tiene  la</w:t>
        <w:br/>
        <w:t xml:space="preserve">        facultad de continuar supervisando el cumplimiento integral  de  la</w:t>
        <w:br/>
        <w:t xml:space="preserve">        Sentencia de 2 de febrero de 2001 en el caso Baena Ricardo y otros.</w:t>
        <w:br/>
        <w:br/>
        <w:br/>
        <w:br/>
        <w:br/>
        <w:t xml:space="preserve">                                      V</w:t>
        <w:br/>
        <w:t xml:space="preserve">                             Puntos Resolutivos</w:t>
        <w:br/>
        <w:br/>
        <w:br/>
        <w:t>139.  Por tanto,</w:t>
        <w:br/>
        <w:br/>
        <w:t>La Corte</w:t>
        <w:br/>
        <w:br/>
        <w:br/>
        <w:t>Declara</w:t>
        <w:br/>
        <w:br/>
        <w:t>por unanimidad,</w:t>
        <w:br/>
        <w:br/>
        <w:t>1.    Que la Corte Interamericana de Derechos  Humanos  es  competente  para</w:t>
        <w:br/>
        <w:t>supervisar el cumplimiento de sus decisiones.</w:t>
        <w:br/>
        <w:br/>
        <w:t>2.    Que en el ejercicio de su competencia para supervisar el  cumplimiento</w:t>
        <w:br/>
        <w:t>de sus decisiones la Corte  Interamericana  de  Derechos  Humanos  tiene  la</w:t>
        <w:br/>
        <w:t>facultad  de  solicitar  a  los  Estados  responsables  la  presentación  de</w:t>
        <w:br/>
        <w:t>informes sobre las gestiones realizadas para dar aplicación  a  las  medidas</w:t>
        <w:br/>
        <w:t>de reparación ordenadas por ella, de evaluar dichos informes,  y  de  emitir</w:t>
        <w:br/>
        <w:t>instrucciones y resoluciones sobre el cumplimiento de sus sentencias.</w:t>
        <w:br/>
        <w:br/>
        <w:br/>
        <w:t>Y Decide</w:t>
        <w:br/>
        <w:br/>
        <w:t>por unanimidad,</w:t>
        <w:br/>
        <w:br/>
        <w:t>3.    Desestimar por improcedente el cuestionamiento de  la  competencia  de</w:t>
        <w:br/>
        <w:t>la Corte para supervisar el cumplimiento de sus sentencias expuesto  por  el</w:t>
        <w:br/>
        <w:t>Estado.</w:t>
        <w:br/>
        <w:br/>
        <w:t>4.    Continuar supervisando el cumplimiento integral de la Sentencia  de  2</w:t>
        <w:br/>
        <w:t>de febrero de 2001 en el caso Baena Ricardo y otros.</w:t>
        <w:br/>
        <w:br/>
        <w:t>5.     Notificar  la  presente  Sentencia   al   Estado,   a   la   Comisión</w:t>
        <w:br/>
        <w:t>Interamericana de Derechos Humanos y a las  víctimas  o  sus  representantes</w:t>
        <w:br/>
        <w:t>legales.</w:t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Sergio García Ramírez      Hernán Salgado Pesantes</w:t>
        <w:br/>
        <w:br/>
        <w:t>Máximo Pacheco Gómez   Oliver Jackman</w:t>
        <w:br/>
        <w:br/>
        <w:br/>
        <w:t xml:space="preserve">    Alirio Abreu Burelli  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-----------------------</w:t>
        <w:br/>
        <w:t>[1]    Cfr.  Caso  Baena  Ricardo  y  otros.  Cumplimiento   de   sentencia.</w:t>
        <w:br/>
        <w:t>Resolución de la Corte Interamericana de Derechos Humanos de 21 de junio  de</w:t>
        <w:br/>
        <w:t>2002, vistos 2, 10, 14, 23 y 33.</w:t>
        <w:br/>
        <w:br/>
        <w:t>[2]    Cfr.  Caso  Baena  Ricardo  y  otros.  Cumplimiento   de   sentencia.</w:t>
        <w:br/>
        <w:t>Resolución de la Corte Interamericana de Derechos Humanos de 21 de junio  de</w:t>
        <w:br/>
        <w:t>2002, vistos 18 y 21.</w:t>
        <w:br/>
        <w:br/>
        <w:t>[3]    Cfr.  Caso  Baena  Ricardo  y  otros.  Cumplimiento   de   sentencia.</w:t>
        <w:br/>
        <w:t>Resolución de la Corte Interamericana de Derechos Humanos de 21 de junio  de</w:t>
        <w:br/>
        <w:t>2002, vistos 5-9, 12, 13, 19, 20, 22, 27-30, 32, y 34-36.</w:t>
        <w:br/>
        <w:br/>
        <w:t>[4]    Cfr.  Caso  Baena  Ricardo  y  otros.  Cumplimiento   de   sentencia.</w:t>
        <w:br/>
        <w:t>Resolución de la Corte Interamericana de Derechos Humanos de 21 de junio  de</w:t>
        <w:br/>
        <w:t>2002, vistos 3 y 31.</w:t>
        <w:br/>
        <w:br/>
        <w:t>[5]    Cfr.  Caso  Baena  Ricardo  y  otros.  Cumplimiento   de   sentencia.</w:t>
        <w:br/>
        <w:t>Resolución de la Corte Interamericana de Derechos Humanos de 21 de junio  de</w:t>
        <w:br/>
        <w:t>2002, visto 24.</w:t>
        <w:br/>
        <w:br/>
        <w:t>[6]    Cfr.  Caso  Baena  Ricardo  y  otros.  Cumplimiento   de   sentencia.</w:t>
        <w:br/>
        <w:t>Resolución de la Corte Interamericana de Derechos Humanos de 21 de junio  de</w:t>
        <w:br/>
        <w:t>2002, visto 25.</w:t>
        <w:br/>
        <w:br/>
        <w:t>[7]    Cfr.  Caso  Baena  Ricardo  y  otros.  Cumplimiento   de   sentencia.</w:t>
        <w:br/>
        <w:t>Resolución de la Corte Interamericana de Derechos Humanos de 21 de junio  de</w:t>
        <w:br/>
        <w:t>2002, visto 39.</w:t>
        <w:br/>
        <w:br/>
        <w:t>[8]    Cfr.  Caso  Baena  Ricardo  y  otros.  Cumplimiento   de   sentencia.</w:t>
        <w:br/>
        <w:t>Resolución de la Corte Interamericana de Derechos Humanos de 21 de junio  de</w:t>
        <w:br/>
        <w:t>2002, visto 40.</w:t>
        <w:br/>
        <w:br/>
        <w:t>[9]    Cfr.  Caso  Baena  Ricardo  y  otros.  Cumplimiento   de   sentencia.</w:t>
        <w:br/>
        <w:t>Resolución  de  la  Corte  Interamericana  de  Derechos  Humanos  de  22  de</w:t>
        <w:br/>
        <w:t>noviembre de 2002, visto 58.</w:t>
        <w:br/>
        <w:br/>
        <w:t>[10]   Cfr.  Caso  Baena  Ricardo  y  otros.  Cumplimiento   de   sentencia.</w:t>
        <w:br/>
        <w:t>Resolución  de  la  Corte  Interamericana  de  Derechos  Humanos  de  22  de</w:t>
        <w:br/>
        <w:t>noviembre de 2002, vistos 40, 69 y 83.</w:t>
        <w:br/>
        <w:br/>
        <w:t>[11]   Cfr.  Caso  Baena  Ricardo  y  otros.  Cumplimiento   de   sentencia.</w:t>
        <w:br/>
        <w:t>Resolución  de  la  Corte  Interamericana  de  Derechos  Humanos  de  22  de</w:t>
        <w:br/>
        <w:t>noviembre de 2002, visto 78.</w:t>
        <w:br/>
        <w:br/>
        <w:t>[12]   Cfr.  Caso  Baena  Ricardo  y  otros.  Cumplimiento   de   sentencia.</w:t>
        <w:br/>
        <w:t>Resolución  de  la  Corte  Interamericana  de  Derechos  Humanos  de  22  de</w:t>
        <w:br/>
        <w:t>noviembre de 2002, visto 81.</w:t>
        <w:br/>
        <w:br/>
        <w:t>[13]   Cfr.  Caso  Baena  Ricardo  y  otros.  Cumplimiento   de   sentencia.</w:t>
        <w:br/>
        <w:t>Resolución  de  la  Corte  Interamericana  de  Derechos  Humanos  de  22  de</w:t>
        <w:br/>
        <w:t>noviembre de 2002, vistos 73 y 75-77.</w:t>
        <w:br/>
        <w:br/>
        <w:t>[14]   Cfr.  Caso  Baena  Ricardo  y  otros.  Cumplimiento   de   sentencia.</w:t>
        <w:br/>
        <w:t>Resolución  de  la  Corte  Interamericana  de  Derechos  Humanos  de  22  de</w:t>
        <w:br/>
        <w:t>noviembre de 2002, vistos 41-43, 45, 47-57, 62, 64-66, 68, 70, 72,  79,  82,</w:t>
        <w:br/>
        <w:t>84 y 85.</w:t>
        <w:br/>
        <w:br/>
        <w:t>[15]   Cfr.  Caso  Baena  Ricardo  y  otros.  Cumplimiento   de   sentencia.</w:t>
        <w:br/>
        <w:t>Resolución  de  la  Corte  Interamericana  de  Derechos  Humanos  de  22  de</w:t>
        <w:br/>
        <w:t>noviembre de 2002, vistos 44, 46 y 67.</w:t>
        <w:br/>
        <w:br/>
        <w:t>[16]   Cfr.  Caso  Baena  Ricardo  y  otros.  Cumplimiento   de   sentencia.</w:t>
        <w:br/>
        <w:t>Resolución  de  la  Corte  Interamericana  de  Derechos  Humanos  de  22  de</w:t>
        <w:br/>
        <w:t>noviembre de 2002, visto 39.</w:t>
        <w:br/>
        <w:br/>
        <w:t>[17]   Cfr.  Caso  Baena  Ricardo  y  otros.  Cumplimiento   de   sentencia.</w:t>
        <w:br/>
        <w:t>Resolución  de  la  Corte  Interamericana  de  Derechos  Humanos  de  22  de</w:t>
        <w:br/>
        <w:t>noviembre de 2002, vistos 39 y 63.</w:t>
        <w:br/>
        <w:br/>
        <w:t>[18]   Cfr.  Caso  Baena  Ricardo  y  otros.  Cumplimiento   de   sentencia.</w:t>
        <w:br/>
        <w:t>Resolución  de  la  Corte  Interamericana  de  Derechos  Humanos  de  22  de</w:t>
        <w:br/>
        <w:t>noviembre de 2002, visto 71.</w:t>
        <w:br/>
        <w:br/>
        <w:t>[19]  ICTY, Trial Chamber, BLASKIC (IT-95-14), “Lasva  Valley”  Decision  on</w:t>
        <w:br/>
        <w:t>the Objection of the Republic of  Croatia  to  the  Issuance   of  Subpoenae</w:t>
        <w:br/>
        <w:t>Duces Tecum, 18 July 1997, paras. 29, 30 and 41.</w:t>
        <w:br/>
        <w:br/>
        <w:t>[20]  ICTY, Appeals Chamber, Judgment on the  Request  of  The  Republic  of</w:t>
        <w:br/>
        <w:t>Croatia for Review of the Decision of Trial Chamber II of 18 July  1997,  29</w:t>
        <w:br/>
        <w:t>October 1997, para. 33 et seq.</w:t>
        <w:br/>
        <w:br/>
        <w:t>[21]  Cfr. escrito de observaciones al informe del Estado de 30 de julio  de</w:t>
        <w:br/>
        <w:t>2003, presentado por los señores Domingo De Gracia Cedeño,  José  Santamaría</w:t>
        <w:br/>
        <w:t>Saucedo y Fernando Del Río Gaona el 28 de octubre de 2003 (supra párr.  44);</w:t>
        <w:br/>
        <w:t xml:space="preserve"> y escrito de observaciones al escrito del Estado de 27 de febrero de  2003,</w:t>
        <w:br/>
        <w:t>presentado por los señores José  Santamaría  Saucedo  y  Domingo  De  Gracia</w:t>
        <w:br/>
        <w:t>Cedeño el 7 de abril de 2003 (supra párr. 33).</w:t>
        <w:br/>
        <w:br/>
        <w:t>[22]  Escrito de observaciones al escrito del Estado de  27  de  febrero  de</w:t>
        <w:br/>
        <w:t>2003, presentado por los señores Fernando Del Río Gaona y Domingo De  Gracia</w:t>
        <w:br/>
        <w:t>Cedeño el 7 de abril de 2003 (supra párr. 33).</w:t>
        <w:br/>
        <w:br/>
        <w:t>[23]  Cfr. escrito de observaciones al escrito del Estado de  27 de  febrero</w:t>
        <w:br/>
        <w:t>de 2003, presentado por los señores Fernando Del  Río  Gaona  y  Domingo  De</w:t>
        <w:br/>
        <w:t>Gracia Cedeño el 7 de abril de 2003 (supra párr. 33).</w:t>
        <w:br/>
        <w:br/>
        <w:t>[24]  Escrito de observaciones adicionales al informe del Estado de 30 de</w:t>
        <w:br/>
        <w:t>julio de 2003, presentado por los señores Fernando Del Río Gaona y José</w:t>
        <w:br/>
        <w:t>Santamaría Saucedo el 30 de octubre de 2003 (supra párr. 45).</w:t>
        <w:br/>
        <w:br/>
        <w:t>[25]  Cfr. anexo del escrito de observaciones al escrito del  Estado  de  27</w:t>
        <w:br/>
        <w:t>de febrero de 2003,  presentado  por  los  señores  Manrique  Mejía,  Ivanor</w:t>
        <w:br/>
        <w:t>Alonso, Juan O. Sanjur,  Fernando  Dimas,  Miguel  Prado,  Andrés  Guerrero,</w:t>
        <w:br/>
        <w:t>Rafael Tait Yepes y las señoras Estebana Nash y Marina Villalobos  el  4  de</w:t>
        <w:br/>
        <w:t>abril de 2003 (supra párr. 30).</w:t>
        <w:br/>
        <w:br/>
        <w:t>[26]  Cfr. escrito de observaciones al escrito del Estado de 27  de  febrero</w:t>
        <w:br/>
        <w:t>de 2003, remitido por el señor Juan O. Sanjur  mediante  correo  electrónico</w:t>
        <w:br/>
        <w:t>de 12 de noviembre de  2003  (supra  párr.  48);  y  anexo  del  escrito  de</w:t>
        <w:br/>
        <w:t>observaciones al escrito del Estado de 27 de  febrero  de  2003,  presentado</w:t>
        <w:br/>
        <w:t>por los señores Manrique Mejía, Ivanor  Alonso,  Juan  O.  Sanjur,  Fernando</w:t>
        <w:br/>
        <w:t>Dimas, Miguel Prado, Andrés  Guerrero,  Rafael  Tait  Yepes  y  las  señoras</w:t>
        <w:br/>
        <w:t>Estebana Nash y Marina Villalobos el 4 de abril de 2003 (supra párr. 30).</w:t>
        <w:br/>
        <w:br/>
        <w:t>[27]  Escrito de observaciones al escrito del Estado de  27  de  febrero  de</w:t>
        <w:br/>
        <w:t>2003, presentado por los señores Fernando Del Río Gaona y Domingo De  Gracia</w:t>
        <w:br/>
        <w:t>Cedeño el 7 de abril de 2003 (supra párr. 33).</w:t>
        <w:br/>
        <w:br/>
        <w:t>[28]  Cfr. anexo del escrito de observaciones al escrito del  Estado  de  27</w:t>
        <w:br/>
        <w:t>de febrero de 2003,  presentado  por  los  señores  Manrique  Mejía,  Ivanor</w:t>
        <w:br/>
        <w:t>Alonso, Juan O. Sanjur,  Fernando  Dimas,  Miguel  Prado,  Andrés  Guerrero,</w:t>
        <w:br/>
        <w:t>Rafael Tait Yepes y las señoras Estebana Nash y Marina Villalobos  el  4  de</w:t>
        <w:br/>
        <w:t>abril de 2003 (supra párr. 30).</w:t>
        <w:br/>
        <w:br/>
        <w:t>[29]  Cfr. escrito de observaciones al escrito del Estado de 27  de  febrero</w:t>
        <w:br/>
        <w:t>de 2003, presentado por los señores Fernando Del  Río  Gaona  y  Domingo  De</w:t>
        <w:br/>
        <w:t>Gracia Cedeño el 7 de abril de 2003 (supra párr. 33).</w:t>
        <w:br/>
        <w:br/>
        <w:t>[30]  Cfr. Caso Bulacio. Sentencia de 18 de septiembre de 2003. Serie C  No.</w:t>
        <w:br/>
        <w:t>100, párr. 117;  Caso  Las  Palmeras.  Reparaciones  (art.  63.1  Convención</w:t>
        <w:br/>
        <w:t>Americana sobre Derechos Humanos). Sentencia de 26  de  noviembre  de  2002.</w:t>
        <w:br/>
        <w:t>Serie C No. 96, párrs. 68 y 69; Caso del Caracazo. Reparaciones  (art.  63.1</w:t>
        <w:br/>
        <w:t>Convención Americana sobre Derechos Humanos). Sentencia de 29 de  agosto  de</w:t>
        <w:br/>
        <w:t>2002. Serie C No. 95, párr. 119; Caso  Trujillo  Oroza.  Reparaciones  (art.</w:t>
        <w:br/>
        <w:t>63.1 Convención Americana  sobre  Derechos  Humanos).  Sentencia  de  27  de</w:t>
        <w:br/>
        <w:t>febrero  de  2002.  Serie  C  No.  92,  párr.  106;  Caso   Barrios   Altos.</w:t>
        <w:br/>
        <w:t>Interpretación de la Sentencia  de  Fondo.  (Art.  67  Convención  Americana</w:t>
        <w:br/>
        <w:t>sobre Derechos Humanos). Sentencia de 3 de septiembre de 2001. Serie  C  No.</w:t>
        <w:br/>
        <w:t>83, párr. 15; Caso Barrios Altos. Sentencia de 14 de marzo de 2001. Serie  C</w:t>
        <w:br/>
        <w:t>No. 75, párr. 41;  El Derecho a la Información sobre la Asistencia  Consular</w:t>
        <w:br/>
        <w:t>en el Marco de las Garantías del Debido Proceso Legal.   Opinión  Consultiva</w:t>
        <w:br/>
        <w:t>OC-16/99  de  1  de  octubre  de  1999.  Serie  A   No.   16,   párr.   128;</w:t>
        <w:br/>
        <w:t>Responsabilidad  Internacional  por  Expedición  y   Aplicación   de   Leyes</w:t>
        <w:br/>
        <w:t>Violatorias de la  Convención  (arts.  1  y  2  Convención  Americana  sobre</w:t>
        <w:br/>
        <w:t>Derechos Humanos). Opinión Consultiva OC-14/94 del 9 de diciembre  de  1994.</w:t>
        <w:br/>
        <w:t>Serie A No. 14, párr. 35; Caso Barrios  Altos.  Cumplimiento  de  sentencia.</w:t>
        <w:br/>
        <w:t>Resolución  de  la  Corte  Interamericana  de  Derechos  Humanos  de  28  de</w:t>
        <w:br/>
        <w:t>noviembre de 2003, considerando sexto; Caso Suárez Rosero.  Cumplimiento  de</w:t>
        <w:br/>
        <w:t>sentencia. Resolución de la Corte Interamericana de Derechos Humanos  de  27</w:t>
        <w:br/>
        <w:t>de  noviembre  de  2003,  considerando  cuarto;  Caso  Caballero  Delgado  y</w:t>
        <w:br/>
        <w:t>Santana. Cumplimiento de sentencia. Resolución de  la  Corte  Interamericana</w:t>
        <w:br/>
        <w:t>de Derechos Humanos de 27 de noviembre de 2003,  considerando  cuarto;  Caso</w:t>
        <w:br/>
        <w:t>Garrido y Baigorria. Cumplimiento  de  sentencia.  Resolución  de  la  Corte</w:t>
        <w:br/>
        <w:t>Interamericana de Derechos Humanos de 27 de noviembre de 2003,  considerando</w:t>
        <w:br/>
        <w:t>cuarto; Caso Blake.  Cumplimiento  de  sentencia.  Resolución  de  la  Corte</w:t>
        <w:br/>
        <w:t>Interamericana de Derechos Humanos de 27 de noviembre de 2003,  considerando</w:t>
        <w:br/>
        <w:t>quinto; Caso Benavides Cevallos. Cumplimiento de  sentencia.  Resolución  de</w:t>
        <w:br/>
        <w:t>la Corte Interamericana de Derechos Humanos de  27  de  noviembre  de  2003,</w:t>
        <w:br/>
        <w:t>considerando sexto; Caso de los “Niños de la  Calle”  (Villagrán  Morales  y</w:t>
        <w:br/>
        <w:t>otros). Cumplimiento de sentencia. Resolución de la Corte Interamericana  de</w:t>
        <w:br/>
        <w:t>Derechos Humanos de 27 de  noviembre  de  2003,  considerando  quinto;  Caso</w:t>
        <w:br/>
        <w:t>Loayza  Tamayo.  Cumplimiento  de  sentencia.   Resolución   de   la   Corte</w:t>
        <w:br/>
        <w:t>Interamericana de Derechos Humanos de 27 de noviembre de 2003,  considerando</w:t>
        <w:br/>
        <w:t>quinto; Caso Cantoral Benavides. Cumplimiento de  sentencia.  Resolución  de</w:t>
        <w:br/>
        <w:t>la Corte Interamericana de Derechos Humanos de  27  de  noviembre  de  2003,</w:t>
        <w:br/>
        <w:t>considerando quinto;  Caso  Bámaca  Velásquez.  Cumplimiento  de  sentencia.</w:t>
        <w:br/>
        <w:t>Resolución  de  la  Corte  Interamericana  de  Derechos  Humanos  de  27  de</w:t>
        <w:br/>
        <w:t>noviembre de 2003, considerando quinto; Caso de la “Panel Blanca”  (Paniagua</w:t>
        <w:br/>
        <w:t>Morales  y  otros).  Cumplimiento  de  sentencia.  Resolución  de  la  Corte</w:t>
        <w:br/>
        <w:t>Interamericana de Derechos Humanos de 27 de noviembre de 2003,  considerando</w:t>
        <w:br/>
        <w:t>quinto; Caso Castillo Páez. Cumplimiento  de  sentencia.  Resolución  de  la</w:t>
        <w:br/>
        <w:t>Corte Interamericana de  Derechos  Humanos  de  27  de  noviembre  de  2003,</w:t>
        <w:br/>
        <w:t>considerando quinto;  Caso  del  Tribunal  Constitucional.  Cumplimiento  de</w:t>
        <w:br/>
        <w:t>sentencia. Resolución de la Corte Interamericana de Derechos Humanos  de  27</w:t>
        <w:br/>
        <w:t>de noviembre de 2003,  considerando  quinto;  Caso  Hilaire,  Constantine  y</w:t>
        <w:br/>
        <w:t>Benjamin  y  otros.  Cumplimiento  de  sentencia.  Resolución  de  la  Corte</w:t>
        <w:br/>
        <w:t>Interamericana de Derechos Humanos de 27 de noviembre de 2003,  considerando</w:t>
        <w:br/>
        <w:t>sexto; Caso Benavides Cevallos. Cumplimiento de sentencia. Resolución de  la</w:t>
        <w:br/>
        <w:t>Corte Interamericana de  Derechos  Humanos  de  9  de  septiembre  de  2003,</w:t>
        <w:br/>
        <w:t>considerando  tercero;  Caso  Baena  Ricardo  y   otros.   Cumplimiento   de</w:t>
        <w:br/>
        <w:t>Sentencia. Resolución de la Corte Interamericana de Derechos  Humanos  de  6</w:t>
        <w:br/>
        <w:t>de  junio  de  2003,  considerando  cuarto;  Caso  Neira  Alegría  y  otros.</w:t>
        <w:br/>
        <w:t>Cumplimiento  de  sentencia.   Resolución  de  la  Corte  Interamericana  de</w:t>
        <w:br/>
        <w:t>Derechos Humanos de 28 de noviembre de 2002, considerando tercero; Caso  “La</w:t>
        <w:br/>
        <w:t>Última Tentación  de  Cristo”  (Olmedo  Bustos  y  otros).  Cumplimiento  de</w:t>
        <w:br/>
        <w:t>sentencia. Resolución de la Corte Interamericana de Derechos Humanos  de  28</w:t>
        <w:br/>
        <w:t>de noviembre de 2002, considerando tercero; Caso El Amparo. Cumplimiento  de</w:t>
        <w:br/>
        <w:t>sentencia. Resolución de la Corte Interamericana de Derechos Humanos  de  28</w:t>
        <w:br/>
        <w:t>de  noviembre  de  2002,  considerando  tercero;  Caso  Benavides  Cevallos.</w:t>
        <w:br/>
        <w:t>Cumplimiento  de  sentencia.  Resolución  de  la  Corte  Interamericana   de</w:t>
        <w:br/>
        <w:t>Derechos Humanos de  27  de  noviembre  de  2002,  considerandos  tercero  y</w:t>
        <w:br/>
        <w:t>cuarto; Caso Loayza Tamayo. Cumplimiento  de  sentencia.  Resolución  de  la</w:t>
        <w:br/>
        <w:t>Corte Interamericana de  Derechos  Humanos  de  27  de  noviembre  de  2002,</w:t>
        <w:br/>
        <w:t>considerandos  segundo  y  tercero;  Caso  Castillo  Páez.  Cumplimiento  de</w:t>
        <w:br/>
        <w:t>sentencia. Resolución de la Corte Interamericana de Derechos Humanos  de  27</w:t>
        <w:br/>
        <w:t>de noviembre de 2002, considerando  tercero;  Caso  Blake.  Cumplimiento  de</w:t>
        <w:br/>
        <w:t>sentencia. Resolución de la Corte Interamericana de Derechos Humanos  de  27</w:t>
        <w:br/>
        <w:t>de  noviembre  de  2002,  considerando  tercero;  Caso  Durand   y   Ugarte.</w:t>
        <w:br/>
        <w:t>Cumplimiento  de  sentencia.  Resolución  de  la  Corte  Interamericana   de</w:t>
        <w:br/>
        <w:t>Derechos Humanos de 27 de noviembre de  2002,  considerando  undécimo;  Caso</w:t>
        <w:br/>
        <w:t>Caballero Delgado y Santana. Cumplimiento de  sentencia.  Resolución  de  la</w:t>
        <w:br/>
        <w:t>Corte Interamericana de  Derechos  Humanos  de  27  de  noviembre  de  2002,</w:t>
        <w:br/>
        <w:t>considerando tercero; Caso Garrido y Baigorria. Cumplimiento  de  sentencia.</w:t>
        <w:br/>
        <w:t>Resolución  de  la  Corte  Interamericana  de  Derechos  Humanos  de  27  de</w:t>
        <w:br/>
        <w:t>noviembre de 2002, considerandos segundo y tercero;  Caso  Baena  Ricardo  y</w:t>
        <w:br/>
        <w:t>otros. Cumplimiento de sentencia. Resolución de la Corte  Interamericana  de</w:t>
        <w:br/>
        <w:t>Derechos Humanos de 22 de noviembre  de  2002,  considerando  tercero;  Caso</w:t>
        <w:br/>
        <w:t>Barrios  Altos.  Cumplimiento  de  sentencia.   Resolución   de   la   Corte</w:t>
        <w:br/>
        <w:t>Interamericana de Derechos Humanos de 22 de noviembre de 2002,  considerando</w:t>
        <w:br/>
        <w:t>tercero; Caso Durand y Ugarte. Cumplimiento de sentencia. Resolución  de  la</w:t>
        <w:br/>
        <w:t>Corte  Interamericana  de  Derechos  Humanos  de  13  de  junio   de   2002,</w:t>
        <w:br/>
        <w:t>considerandos  tercero  y  cuarto;  Casos  Castillo  Páez,  Loayza   Tamayo,</w:t>
        <w:br/>
        <w:t>Castillo Petruzzi y otros, Ivcher Bronstein y del  Tribunal  Constitucional.</w:t>
        <w:br/>
        <w:t>Cumplimiento  de  sentencia.  Resolución  de  la  Corte  Interamericana   de</w:t>
        <w:br/>
        <w:t>Derechos Humanos de 1 de junio de 2001,  considerandos  primero  y  segundo;</w:t>
        <w:br/>
        <w:t>Caso Loayza Tamayo.  Cumplimiento  de  sentencia.  Resolución  de  la  Corte</w:t>
        <w:br/>
        <w:t>Interamericana de Derechos Humanos de 17 de noviembre de 1999. Serie  C  No.</w:t>
        <w:br/>
        <w:t>60, considerandos séptimo y  octavo;  y  Caso  Castillo  Petruzzi  y  otros.</w:t>
        <w:br/>
        <w:t>Cumplimiento  de  sentencia.  Resolución  de  la  Corte  Interamericana   de</w:t>
        <w:br/>
        <w:t>Derechos Humanos de 17 de noviembre de 1999, Serie C No.  59,  considerandos</w:t>
        <w:br/>
        <w:t>cuarto  y  quinto.   Asimismo,  cfr.  Applicability  of  the  Obligation  to</w:t>
        <w:br/>
        <w:t>Arbitrate under Section 21 of the United Nations  Headquaters  Agreement  of</w:t>
        <w:br/>
        <w:t>26 June 1947, Advisory Opinion, I.C.J. Reports  1988,  para.  57;  P.C.I.J.,</w:t>
        <w:br/>
        <w:t>Case of the Free Zones of Upper Savoy and the District of Gex, Series  A./B-</w:t>
        <w:br/>
        <w:t>Fasc. No. 46,  June  7th,  1932,  p.  167;  P.C.I.J.,  Treatment  of  Polish</w:t>
        <w:br/>
        <w:t>Nationals and Other Persons  of  Polish  Origin  or  Speach  in  the  Danzig</w:t>
        <w:br/>
        <w:t>Territory, Series A./B.-Fasc.No. 44, February 4th, 1932, p. 24; y  P.C.I.J.,</w:t>
        <w:br/>
        <w:t>The Greco-Bulgarian “Communities”, Series B.-No. 17, July  31st,  1930,  pp.</w:t>
        <w:br/>
        <w:t>32-33.</w:t>
        <w:br/>
        <w:br/>
        <w:t>[31]  Cfr., inter alia, Caso Bulacio, supra nota 30,  párr.  72;  Caso  Juan</w:t>
        <w:br/>
        <w:t>Humberto Sánchez.  Sentencia de 7 de junio de 2003. Serie C  No.  99,  párr.</w:t>
        <w:br/>
        <w:t>149; y Caso Cantos.  Sentencia de 28 de noviembre de 2002. Serie C  No.  97,</w:t>
        <w:br/>
        <w:t>párr. 68.</w:t>
        <w:br/>
        <w:br/>
        <w:t>[32]  Cfr., inter alia, Caso Bulacio, supra nota 30,  párr.  71;  Caso  Juan</w:t>
        <w:br/>
        <w:t>Humberto Sánchez, supra nota 31, párr. 148;  y  Caso  “Cinco  Pensionistas”.</w:t>
        <w:br/>
        <w:t>Sentencia de 28 de febrero de 2003. Serie C No. 98, párr. 174.</w:t>
        <w:br/>
        <w:br/>
        <w:t>[33]  Cfr. Reparation for Injuries Suffered in the  Service  of  the  United</w:t>
        <w:br/>
        <w:t>Nations, Advisory Opinion: I.C.J. Reports 1949, p. 184; Affaire  relative  à</w:t>
        <w:br/>
        <w:t>l’Usine de Chorzów (Demande  en  Indemnité)  (Fond),  Arrêt  Nº  13,  le  13</w:t>
        <w:br/>
        <w:t>septembre 1928, C.P.J.I. Série A-Nº 17, p. 29; y Affaire relative à  l’Usine</w:t>
        <w:br/>
        <w:t>de Chorzów (Demande en Indemnité) (Compétence), Arrêt Nº 8,  le  26  juillet</w:t>
        <w:br/>
        <w:t>1927, C.P.J.I. Série A-Nº 9, p. 21.</w:t>
        <w:br/>
        <w:br/>
        <w:t>[34]   Caso  Garrido  y  Baigorria.  Reparaciones  (art.   63.1   Convención</w:t>
        <w:br/>
        <w:t>Americana sobre Derechos Humanos). Sentencia de 27 de agosto de 1998.  Serie</w:t>
        <w:br/>
        <w:t>C No. 39, párr. 40; y cfr., inter alia, Caso Bulacio, supra nota  30,  párr.</w:t>
        <w:br/>
        <w:t>71; Caso Juan Humberto Sánchez, supra nota 31,  párr.  147;  y  Caso  “Cinco</w:t>
        <w:br/>
        <w:t>Pensionistas”, supra nota 32, párr. 174.</w:t>
        <w:br/>
        <w:br/>
        <w:t>[35]  Caso del Tribunal Constitucional.  Competencia.  Sentencia  de  24  de</w:t>
        <w:br/>
        <w:t>septiembre de 1999. Serie C No. 55,  párr.  36;  y  Caso  Ivcher  Bronstein.</w:t>
        <w:br/>
        <w:t>Competencia. Sentencia de 24 de septiembre de 1999. Serie C  No.  54,  párr.</w:t>
        <w:br/>
        <w:t>37.  Asimismo, cfr., inter alia, Caso Bulacio, supra  nota  30,  párr.  142;</w:t>
        <w:br/>
        <w:t>Caso “Cinco Pensionistas”, supra nota 32, párr. 164; y  Caso  Cantos,  supra</w:t>
        <w:br/>
        <w:t>nota 31, párr. 59.</w:t>
        <w:br/>
        <w:br/>
        <w:t>[36]  Caso del Tribunal Constitucional. Competencia, supra  nota  35,  párr.</w:t>
        <w:br/>
        <w:t>36;  y  Caso  Ivcher  Bronstein.  Competencia,  supra  nota  35,  párr.  37.</w:t>
        <w:br/>
        <w:t>Asimismo,  cfr.  Klass  and  others  v.  Germany,  (Merits)  Judgment  of  6</w:t>
        <w:br/>
        <w:t>September 1978, ECHR, Series A no.  28,  para.  34;  y  Permanent  Court  of</w:t>
        <w:br/>
        <w:t>Arbitration, Dutch-Portuguese Boundaries on the Island  of  Timor,  Arbitral</w:t>
        <w:br/>
        <w:t>Award of June 25, 1914, The American Journal of  International  Law,  volume</w:t>
        <w:br/>
        <w:t>9, 1915, pp. 250 and 266.</w:t>
        <w:br/>
        <w:br/>
        <w:t>[37]  Cfr. Caso del Tribunal Constitucional.  Competencia,  supra  nota  35,</w:t>
        <w:br/>
        <w:t>párr. 36; y Caso Ivcher Bronstein. Competencia, supra nota 35, párr. 37.</w:t>
        <w:br/>
        <w:br/>
        <w:t>[38]  Cfr. Corfu Channel case, Judgment of April 9th, 1949:  I.C.J.  Reports</w:t>
        <w:br/>
        <w:t>1949, p. 24; y P.C.I.J, Advisory Opinion No. 13 of July 23rd,  1926,  Series</w:t>
        <w:br/>
        <w:t>B, No. 13, p. 19.</w:t>
        <w:br/>
        <w:br/>
        <w:t>[39]  Cfr. Caso del Tribunal Constitucional.  Competencia,  supra  nota  35,</w:t>
        <w:br/>
        <w:t>párr. 31; Caso Ivcher Bronstein. Competencia, supra nota 35, párr. 32;  Caso</w:t>
        <w:br/>
        <w:t>Hilaire, Constantine y Benjamin y otros. Sentencia de 21 de junio  de  2002.</w:t>
        <w:br/>
        <w:t>Serie  C  No.  94,  párr.  17;  Caso  Constantine   y   otros.   Excepciones</w:t>
        <w:br/>
        <w:t>Preliminares. Sentencia de 1 de septiembre de 2001. Serie C  No.  82,  párr.</w:t>
        <w:br/>
        <w:t>69; Caso Benjamin y otros.  Excepciones  Preliminares.  Sentencia  de  1  de</w:t>
        <w:br/>
        <w:t>septiembre de 2001. Serie C No. 81, párr. 69; y  Caso  Hilaire.  Excepciones</w:t>
        <w:br/>
        <w:t>Preliminares. Sentencia de 1 de septiembre de 2001. Serie C  No.  80,  párr.</w:t>
        <w:br/>
        <w:t>78.</w:t>
        <w:br/>
        <w:br/>
        <w:t>[40]  Cfr. Caso del Tribunal Constitucional.  Competencia,  supra  nota  35,</w:t>
        <w:br/>
        <w:t>párr. 33; Caso Ivcher Bronstein. Competencia, supra nota 35, párr. 34;  Caso</w:t>
        <w:br/>
        <w:t>Hilaire, Constantine y Benjamin y otros,  supra  nota  39,  párr.  18;  Caso</w:t>
        <w:br/>
        <w:t>Constantine y otros. Excepciones Preliminares,  supra  nota  39,  párr.  72;</w:t>
        <w:br/>
        <w:t>Caso Benjamin y otros. Excepciones Preliminares, supra nota 39, párr. 72;  y</w:t>
        <w:br/>
        <w:t>Caso Hilaire. Excepciones Preliminares, supra nota 39, párr. 81.</w:t>
        <w:br/>
        <w:br/>
        <w:t>[41]  Cfr. Caso del Tribunal Constitucional.  Competencia,  supra  nota  35,</w:t>
        <w:br/>
        <w:t>párr. 33; Caso Ivcher Bronstein. Competencia, supra nota 35, párr. 34;  Caso</w:t>
        <w:br/>
        <w:t>Hilaire, Constantine y Benjamin y otros,  supra  nota  39,  párr.  18;  Caso</w:t>
        <w:br/>
        <w:t>Constantine y otros. Excepciones Preliminares,  supra  nota  39,  párr.  72;</w:t>
        <w:br/>
        <w:t>Caso Benjamin y otros. Excepciones Preliminares, supra nota 39, párr. 72;  y</w:t>
        <w:br/>
        <w:t>Caso Hilaire. Excepciones Preliminares, supra nota 39, párr. 81.</w:t>
        <w:br/>
        <w:br/>
        <w:t>[42]  I.C.T.Y., Trail Chamber II, Decision on the Objection of the  Republic</w:t>
        <w:br/>
        <w:t>of Croatia to the Issuance of Subpoena Duces Tecum, 18 July 1997, para.  29.</w:t>
        <w:br/>
        <w:t xml:space="preserve"> [Versión Oficial: “In finding  that  the  International  Tribunal  has  the</w:t>
        <w:br/>
        <w:t>competence to determine  its  own  jurisdiction,  the  Appeals  Chamber  has</w:t>
        <w:br/>
        <w:t>adopted a similar approach.  It recognized that such competence is  part  of</w:t>
        <w:br/>
        <w:t>the incidental or inherent jurisdiction of any  judicial  tribunal  and,  in</w:t>
        <w:br/>
        <w:t>particular, ‘[i]t is a necessary component in the exercise of  the  judicial</w:t>
        <w:br/>
        <w:t>function and does not need to be expressly provided for in the  constitutive</w:t>
        <w:br/>
        <w:t>documents … although this is often done’”].</w:t>
        <w:br/>
        <w:br/>
        <w:t>[43]  Cfr. Caso del Tribunal Constitucional.  Competencia,  supra  nota  35,</w:t>
        <w:br/>
        <w:t>párr. 32; Caso Ivcher Bronstein. Competencia, supra nota 35, párr. 33;  Caso</w:t>
        <w:br/>
        <w:t>Constantine y otros. Excepciones Preliminares,  supra  nota  39,  párr.  71;</w:t>
        <w:br/>
        <w:t>Caso Benjamin y otros. Excepciones Preliminares, supra nota 39, párr. 71;  y</w:t>
        <w:br/>
        <w:t>Caso Hilaire. Excepciones Preliminares, supra nota 39, párr. 80.</w:t>
        <w:br/>
        <w:br/>
        <w:t>[44]  Cfr. Caso del Tribunal Constitucional.  Competencia,  supra  nota  35,</w:t>
        <w:br/>
        <w:t>párr. 35; Caso Ivcher Bronstein. Competencia, supra nota 35, párr. 36;  Caso</w:t>
        <w:br/>
        <w:t>Constantine y otros. Excepciones Preliminares, supra nota 39, párrs. 73, 77-</w:t>
        <w:br/>
        <w:t>79; Caso Benjamin y otros. Excepciones Preliminares, supra nota  39,  párrs.</w:t>
        <w:br/>
        <w:t>73 y 77-79; y Caso Hilaire. Excepciones Preliminares, supra nota 39,  párrs.</w:t>
        <w:br/>
        <w:t>82, 86-88.</w:t>
        <w:br/>
        <w:br/>
        <w:t>[45]  Cfr. Caso Barrios Altos. Cumplimiento de sentencia. Resolución  de  la</w:t>
        <w:br/>
        <w:t>Corte Interamericana de  Derechos  Humanos  de  28  de  noviembre  de  2003,</w:t>
        <w:br/>
        <w:t>considerando primero; Caso “La Última Tentación de Cristo” (Olmedo Bustos  y</w:t>
        <w:br/>
        <w:t>otros). Cumplimiento de sentencia. Resolución de la Corte Interamericana  de</w:t>
        <w:br/>
        <w:t>Derechos Humanos de 28 de noviembre  de  2003,  considerando  primero;  Caso</w:t>
        <w:br/>
        <w:t>Suárez  Rosero.  Cumplimiento  de  sentencia.   Resolución   de   la   Corte</w:t>
        <w:br/>
        <w:t>Interamericana de Derechos Humanos de 27 de noviembre de 2003,  considerando</w:t>
        <w:br/>
        <w:t>primero; Caso  Caballero  Delgado  y  Santana.  Cumplimiento  de  sentencia.</w:t>
        <w:br/>
        <w:t>Resolución  de  la  Corte  Interamericana  de  Derechos  Humanos  de  27  de</w:t>
        <w:br/>
        <w:t>noviembre  de  2003,  considerando  primero;  Caso  Garrido   y   Baigorria.</w:t>
        <w:br/>
        <w:t>Cumplimiento  de  sentencia.  Resolución  de  la  Corte  Interamericana   de</w:t>
        <w:br/>
        <w:t>Derechos Humanos de 27 de noviembre  de  2003,  considerando  primero;  Caso</w:t>
        <w:br/>
        <w:t>Blake. Cumplimiento de sentencia. Resolución de la Corte  Interamericana  de</w:t>
        <w:br/>
        <w:t>Derechos Humanos de 27 de noviembre  de  2003,  considerando  primero;  Caso</w:t>
        <w:br/>
        <w:t>Benavides Cevallos.  Cumplimiento  de  sentencia.  Resolución  de  la  Corte</w:t>
        <w:br/>
        <w:t>Interamericana de Derechos Humanos de 27 de noviembre de 2003,  considerando</w:t>
        <w:br/>
        <w:t>primero; Caso de los “Niños  de  la  Calle”  (Villagrán  Morales  y  otros).</w:t>
        <w:br/>
        <w:t>Cumplimiento  de  sentencia.  Resolución  de  la  Corte  Interamericana   de</w:t>
        <w:br/>
        <w:t>Derechos Humanos de 27 de noviembre  de  2003,  considerando  primero;  Caso</w:t>
        <w:br/>
        <w:t>Loayza  Tamayo.  Cumplimiento  de  sentencia.   Resolución   de   la   Corte</w:t>
        <w:br/>
        <w:t>Interamericana de Derechos Humanos de 27 de noviembre de 2003,  considerando</w:t>
        <w:br/>
        <w:t>primero; Caso Cantoral Benavides. Cumplimiento de sentencia.  Resolución  de</w:t>
        <w:br/>
        <w:t>la Corte Interamericana de Derechos Humanos de  27  de  noviembre  de  2003,</w:t>
        <w:br/>
        <w:t>considerando primero; Caso  Bámaca  Velásquez.  Cumplimiento  de  sentencia.</w:t>
        <w:br/>
        <w:t>Resolución  de  la  Corte  Interamericana  de  Derechos  Humanos  de  27  de</w:t>
        <w:br/>
        <w:t>noviembre  de  2003,  considerando  primero;  Caso  de  la  “Panel   Blanca”</w:t>
        <w:br/>
        <w:t>(Paniagua Morales y otros). Cumplimiento  de  sentencia.  Resolución  de  la</w:t>
        <w:br/>
        <w:t>Corte Interamericana de  Derechos  Humanos  de  27  de  noviembre  de  2003,</w:t>
        <w:br/>
        <w:t>considerando  primero;  Caso  Castillo  Páez.  Cumplimiento  de   sentencia.</w:t>
        <w:br/>
        <w:t>Resolución  de  la  Corte  Interamericana  de  Derechos  Humanos  de  27  de</w:t>
        <w:br/>
        <w:t>noviembre de 2003, considerando primero; Caso del  Tribunal  Constitucional.</w:t>
        <w:br/>
        <w:t>Cumplimiento  de  sentencia.  Resolución  de  la  Corte  Interamericana   de</w:t>
        <w:br/>
        <w:t>Derechos Humanos de 27 de noviembre de 2003, considerando  primero;  y  Caso</w:t>
        <w:br/>
        <w:t>Hilaire,  Constantine  y  Benajmin  y  otros.  Cumplimiento  de   sentencia.</w:t>
        <w:br/>
        <w:t>Resolución  de  la  Corte  Interamericana  de  Derechos  Humanos  de  27  de</w:t>
        <w:br/>
        <w:t>noviembre de 2003, considerando primero.</w:t>
        <w:br/>
        <w:br/>
        <w:t>[46]   Cfr.  Caso  Cantos,  supra  nota  31,  párrs.  50,  52  y  77  (punto</w:t>
        <w:br/>
        <w:t>declarativo); Caso del Caracazo. Reparaciones, supra nota 30, párr.  107;  y</w:t>
        <w:br/>
        <w:t>Caso Las Palmeras. Sentencia de 6 de diciembre de  2001.  Serie  C  No.  90,</w:t>
        <w:br/>
        <w:t>párr. 54.</w:t>
        <w:br/>
        <w:br/>
        <w:t>[47]  Cfr. Caso Juan Humberto  Sánchez,  supra  nota  31,  párr.  121;  Caso</w:t>
        <w:br/>
        <w:t>“Cinco Pensionistas”, supra nota 32, párr. 126; y Caso Hilaire,  Constantine</w:t>
        <w:br/>
        <w:t>y Benjamin y otros, supra nota 39, párr. 150.</w:t>
        <w:br/>
        <w:br/>
        <w:t>[48]  Cfr. Caso  “Cinco  Pensionistas”,  supra  nota  32,  párr.  126;  Caso</w:t>
        <w:br/>
        <w:t>Hilaire, Constantine y Benjamin y otros, supra nota 39, párr.  150;  y  Caso</w:t>
        <w:br/>
        <w:t>Las Palmeras, supra nota 46, párr. 58.</w:t>
        <w:br/>
        <w:br/>
        <w:t>[49]  Cfr. Caso “Cinco Pensionistas”, supra nota 32,  párr.  126;  Caso  del</w:t>
        <w:br/>
        <w:t>Tribunal Constitucional. Sentencia de 31 de enero de 2001. Serie C  No.  71,</w:t>
        <w:br/>
        <w:t>párr. 89; y Caso Godínez Cruz. Sentencia de 20 de enero  de  1989.  Serie  C</w:t>
        <w:br/>
        <w:t>No. 5, párr. 174.</w:t>
        <w:br/>
        <w:br/>
        <w:t>[50]  Cfr. Caso Cantos, supra nota 31, párrs. 59 y 60; Caso de la  Comunidad</w:t>
        <w:br/>
        <w:t>Mayagna (Sumo) Awas Tingni. Sentencia de 31 de agosto de 2001. Serie  C  No.</w:t>
        <w:br/>
        <w:t>79, párr. 135; y Caso Durand y Ugarte. Sentencia de 16 de  agosto  de  2000.</w:t>
        <w:br/>
        <w:t>Serie C No. 68, párr. 121.</w:t>
        <w:br/>
        <w:br/>
        <w:t>[51]  Cfr. Caso “Cinco Pensionistas”, supra nota 32, párrs. 138 y 141.</w:t>
        <w:br/>
        <w:br/>
        <w:t>[52]  Hornsby v.  Greece  judgment  of  19  March  1997,  ECHR,  Reports  of</w:t>
        <w:br/>
        <w:t>Judgments and Decisions 1997-II, para. 40; y cfr. Antonetto c.  Italie,  no.</w:t>
        <w:br/>
        <w:t>15918/89, para. 27, CEDH, 20 juillet 2000;  e  Immobiliare  Saffi  v.  Italy</w:t>
        <w:br/>
        <w:t>[GC], no. 22774/93, para. 63, ECHR, 1999-V.   [Versión  Oficial:  “[…]  that</w:t>
        <w:br/>
        <w:t>right would be illusory if  a  Contracting  State’s  domestic  legal  system</w:t>
        <w:br/>
        <w:t>allowed a final, binding judicial decision  to  remain  inoperative  to  the</w:t>
        <w:br/>
        <w:t>detriment of one party. […]  Execution of a  judgment  given  by  any  court</w:t>
        <w:br/>
        <w:t>must therefore be regarded as an integral part of the ‘trial’ […]”].</w:t>
        <w:br/>
        <w:br/>
        <w:t>[53]  Cfr. Caso “Cinco Pensionistas”, supra nota 32, párrs.  138  y  141;  y</w:t>
        <w:br/>
        <w:t>Caso Cantos, supra nota 31, párr. 55.</w:t>
        <w:br/>
        <w:br/>
        <w:t>[54]  Cfr. Caso Bulacio,  supra  nota  30,  párr.  72;  Caso  Juan  Humberto</w:t>
        <w:br/>
        <w:t>Sánchez,  supra  nota  31,  párrs.  149  y  150;  y   Caso   Las   Palmeras.</w:t>
        <w:br/>
        <w:t>Reparaciones, supra nota 30, párrs. 38 y 39.</w:t>
        <w:br/>
        <w:br/>
        <w:t>[55]  En  el  marco  de  la  Convención  Europea  de  Derechos  Humanos,  la</w:t>
        <w:br/>
        <w:t>disposición anteriormente transcrita, la cual otorga competencia  al  Comité</w:t>
        <w:br/>
        <w:t>de Ministros del Consejo de Europa para supervisar el  cumplimiento  de  las</w:t>
        <w:br/>
        <w:t>sentencias de la Corte Europea, es actualmente  objeto  de  reconsideración,</w:t>
        <w:br/>
        <w:t>en el sentido de la intervención de la referida Corte en esta materia, y  se</w:t>
        <w:br/>
        <w:t>está abriendo paso a la idea de que la Corte Europea también  tenga  un  rol</w:t>
        <w:br/>
        <w:t>activo  en  la  supervisión  del  cumplimiento  de  sus  sentencias.   (Cfr.</w:t>
        <w:br/>
        <w:t>Ministerial Conference and Commemorative Ceremony of  the  50th  anniversary</w:t>
        <w:br/>
        <w:t>of the Convention, Control of  the  Execution  of  Judgments  and  Decisions</w:t>
        <w:br/>
        <w:t>under the European Convention of  Human  Rights,  Rome  3-4  November  2000,</w:t>
        <w:br/>
        <w:t>Council of Europe, H/Conf (2000) 8;  y  European  Commission  for  Democracy</w:t>
        <w:br/>
        <w:t>through Law (Venice  Commission),  Opinion  on  the  Implementation  of  the</w:t>
        <w:br/>
        <w:t>Judgments of the European Court  of  Human  Rights,  Opinion  No.  209/2002,</w:t>
        <w:br/>
        <w:t>adopted by the Venice Commission at its 53rd Plenary Session, Venice,  13-14</w:t>
        <w:br/>
        <w:t>December 2002, Council of Europe, CDL-AD (2002) 34).</w:t>
        <w:br/>
        <w:br/>
        <w:t>[56]  Cfr. Council of Europe, Rules adopted by the  Committee  of  Ministers</w:t>
        <w:br/>
        <w:t>for the Application of Article 46, paragraph 2, of the  European  Convention</w:t>
        <w:br/>
        <w:t>on Human Rights, approved on 10 January 2001 at the  736th  meeting  of  the</w:t>
        <w:br/>
        <w:t>Ministers’ Deputies.</w:t>
        <w:br/>
        <w:br/>
        <w:t>[57]  Proyecto de Convención Interamericana  sobre  Protección  de  Derechos</w:t>
        <w:br/>
        <w:t>Humanos preparado por la  Comisión  Interamericana  de  Derechos  Humanos  y</w:t>
        <w:br/>
        <w:t>aprobado  con  carácter  de  “documento  de  trabajo”  para  la  Conferencia</w:t>
        <w:br/>
        <w:t>Especializada Interamericana sobre  Derechos  Humanos,  mediante  Resolución</w:t>
        <w:br/>
        <w:t>del Consejo de la Organización  de  los  Estados  Americanos  en  la  sesión</w:t>
        <w:br/>
        <w:t>celebrada el 2 de octubre de 1968.   Cfr.  OEA/Ser.  K/XVI/1.2,  Conferencia</w:t>
        <w:br/>
        <w:t>Especializada Interamericana sobre Derechos  Humanos,  Actas  y  Documentos,</w:t>
        <w:br/>
        <w:t>OEA Doc. 5, 22 de septiembre de 1969, págs. 12-35.</w:t>
        <w:br/>
        <w:br/>
        <w:t>[58]   En  la  primera  sesión  plenaria  de  la  Conferencia  Especializada</w:t>
        <w:br/>
        <w:t>Interamericana sobre Derechos Humanos, celebrada el 8 de noviembre de  1969,</w:t>
        <w:br/>
        <w:t>se resolvió crear la Comisión II.</w:t>
        <w:br/>
        <w:br/>
        <w:t>[59]   En  la  Conferencia  Especializada  Interamericana   sobre   Derechos</w:t>
        <w:br/>
        <w:t>Humanos, celebrada en San José, Costa Rica del  7  al  22  de  noviembre  de</w:t>
        <w:br/>
        <w:t>1969, se adoptó la Convención Americana sobre Derechos Humanos.</w:t>
        <w:br/>
        <w:br/>
        <w:t>[60]  OEA/Ser. K/XVI/1.1, Doc. 71, 21 de noviembre de 1969, pág. 5.</w:t>
        <w:br/>
        <w:br/>
        <w:t>[61]  OEA/Ser. K/XVI/1.1, Doc. 71, 21 de noviembre de 1969, pág. 8.</w:t>
        <w:br/>
        <w:br/>
        <w:t>[62]   Cfr.  Caso  Cantos.  Excepciones  Preliminares.  Sentencia  de  7  de</w:t>
        <w:br/>
        <w:t>septiembre de 2001. Serie C No. 85, párr.  37;  Caso  Constantine  y  otros.</w:t>
        <w:br/>
        <w:t>Excepciones Preliminares, supra nota 39, párrs. 75 y 86; y Caso  Benjamin  y</w:t>
        <w:br/>
        <w:t>otros. Excepciones Preliminares, supra nota 39, párr. 86.</w:t>
        <w:br/>
        <w:br/>
        <w:t>[63]  Cfr. Caso del Tribunal Constitucional.  Competencia,  supra  nota  35,</w:t>
        <w:br/>
        <w:t>párr. 41; y Caso Ivcher Bronstein. Competencia, supra nota 35, párr. 42.</w:t>
        <w:br/>
        <w:br/>
        <w:t>[64]  Cfr. Reservations to the Convention  on  Genocide,  Advisory  Opinion:</w:t>
        <w:br/>
        <w:t>I.C.J. Reports 1951, p. 23.</w:t>
        <w:br/>
        <w:br/>
        <w:t>[65]  European Commission of Human Rights, Austria vs.  Italy,  Decision  as</w:t>
        <w:br/>
        <w:t>to the Admissibility of Application No. 788/60, European Yearbook  of  Human</w:t>
        <w:br/>
        <w:t>Rights, vol. 4, 1961, p. 140.</w:t>
        <w:br/>
        <w:br/>
        <w:t>[66]   Ireland  v.  the  United  Kingdom  (Merits  and  just  satisfaction),</w:t>
        <w:br/>
        <w:t>judgment of 18 January 1978, ECHR, Series  A  no.  25,  p.  90,  para.  239.</w:t>
        <w:br/>
        <w:t>(Versión Oficial: “[… u]nlike international treaties of  the  classic  kind,</w:t>
        <w:br/>
        <w:t>the Convention comprises  more  than  mere  reciprocal  engagements  between</w:t>
        <w:br/>
        <w:t>contracting States.  It  creates,  over  and  above  a  network  of  mutual,</w:t>
        <w:br/>
        <w:t>bilateral undertakings, objective obligations which, in  the  words  of  the</w:t>
        <w:br/>
        <w:t>Preamble, benefit from a ‘colective enforcement’”).</w:t>
        <w:br/>
        <w:br/>
        <w:t>[67]   Soering  v.  the  United  Kingdom  (Merits  and  just  satisfaction),</w:t>
        <w:br/>
        <w:t>judgment of 7 July 1989,  ECHR,  Series  A  no.  161,  para.  87.   [Versión</w:t>
        <w:br/>
        <w:t>Oficial: “In interpreting the Convention regard must be had to  its  special</w:t>
        <w:br/>
        <w:t>character as a treaty for the collective enforcement  of  human  rights  and</w:t>
        <w:br/>
        <w:t>fundamental freedoms […].  Thus, the object and purpose  of  the  Convention</w:t>
        <w:br/>
        <w:t>as an instrument for the protection of individual human beings require  that</w:t>
        <w:br/>
        <w:t>its provisions be interpreted and applied  so  as  to  make  its  safeguards</w:t>
        <w:br/>
        <w:t>practical and effective […]”].</w:t>
        <w:br/>
        <w:br/>
        <w:t>[68]  El Efecto  de  las  Reservas  sobre  la  Entrada  en  Vigencia  de  la</w:t>
        <w:br/>
        <w:t>Convención Americana sobre Derechos Humanos. Opinión Consultiva OC-2/82  del</w:t>
        <w:br/>
        <w:t>24 de septiembre de 1982. Serie A No. 2, párr. 29.  En  igual  sentido  cfr.</w:t>
        <w:br/>
        <w:t>Caso del Tribunal Constitucional. Competencia,  supra  nota  35,  párr.  42;</w:t>
        <w:br/>
        <w:t>Caso  Ivcher  Bronstein.  Competencia,  supra  nota  35,  párr.   43;   Caso</w:t>
        <w:br/>
        <w:t>Constantine y otros. Excepciones Preliminares,  supra  nota  39,  párr.  86;</w:t>
        <w:br/>
        <w:t>Caso Benjamin y otros. Excepciones Preliminares, supra nota 39, párr. 86;  y</w:t>
        <w:br/>
        <w:t>Caso Hilaire. Excepciones Preliminares, supra nota 39, párr. 95.</w:t>
        <w:br/>
        <w:br/>
        <w:t>[69]  Supra nota 62.</w:t>
        <w:br/>
        <w:br/>
        <w:t>[70]  Cfr. Condición Jurídica y Derechos de  los  Migrantes  Indocumentados.</w:t>
        <w:br/>
        <w:t>Opinión Consultiva OC-18/03 de 17 de septiembre de 2003.  Serie  A  No.  18,</w:t>
        <w:br/>
        <w:t>Voto Concurrente del Juez A.A. Cançado Trindade, párr. 81.</w:t>
        <w:br/>
        <w:br/>
        <w:t>[71]  Cfr. Legality of the  Threat  or  Use  of  Nuclear  Weapons,  Advisory</w:t>
        <w:br/>
        <w:t>Opinion, I.C.J. Reports 1996,  paras.  71  and  73;  North  Sea  Continental</w:t>
        <w:br/>
        <w:t>Shelf, Judgment, I.C.J. Reports 1969, paras. 73, 74, 76, 77 and 78;  y  Haya</w:t>
        <w:br/>
        <w:t>de la Torre case, Order of January 3rd, 1951: I.C.J. Reports 1951, p. 131.</w:t>
        <w:br/>
        <w:br/>
        <w:t>[72]  Cfr. inter alia, Caso Velásquez Rodríguez. Cumplimiento de  sentencia.</w:t>
        <w:br/>
        <w:t>Resolución  de  la  Corte  Interamericana  de  Derechos  Humanos  de  10  de</w:t>
        <w:br/>
        <w:t>septiembre  de  1996;  Caso  Godínez  Cruz.   Cumplimiento   de   sentencia.</w:t>
        <w:br/>
        <w:t>Resolución  de  la  Corte  Interamericana  de  Derechos  Humanos  de  10  de</w:t>
        <w:br/>
        <w:t>septiembre  de  1996;  Caso  Gangaram  Panday.  Cumplimiento  de  sentencia.</w:t>
        <w:br/>
        <w:t>Resolución de la Corte Interamericana de Derechos Humanos de  4  de  febrero</w:t>
        <w:br/>
        <w:t>de 1997; Caso Aloeboetoe y otros. Cumplimiento de sentencia.  Resolución  de</w:t>
        <w:br/>
        <w:t>la Corte Interamericana de Derechos Humanos de 5 de febrero  de  1997;  Caso</w:t>
        <w:br/>
        <w:t>Genie  Lacayo.  Cumplimiento  de   sentencia.   Resolución   de   la   Corte</w:t>
        <w:br/>
        <w:t>Interamericana de Derechos Humanos de 29  de  agosto  de  1998;  Caso  Neira</w:t>
        <w:br/>
        <w:t>Alegría  y  otros.  Cumplimiento  de  sentencia.  Resolución  de  la   Corte</w:t>
        <w:br/>
        <w:t>Interamericana de Derechos Humanos de 29 de agosto de  1998;  Caso  Gangaram</w:t>
        <w:br/>
        <w:t>Panday. Cumplimiento de sentencia. Resolución de la Corte Interamericana  de</w:t>
        <w:br/>
        <w:t>Derechos  Humanos  de  27  de  noviembre  de  1998;  Caso   Loayza   Tamayo.</w:t>
        <w:br/>
        <w:t>Cumplimiento  de  sentencia.  Resolución  de  la  Corte  Interamericana   de</w:t>
        <w:br/>
        <w:t>Derechos Humanos de 17 de  noviembre  de  1999;  Caso  Castillo  Petruzzi  y</w:t>
        <w:br/>
        <w:t>otros. Cumplimiento de sentencia. Resolución de la Corte  Interamericana  de</w:t>
        <w:br/>
        <w:t>Derechos Humanos de 17 de noviembre de 1999; Caso  El  Amparo.  Cumplimiento</w:t>
        <w:br/>
        <w:t>de sentencia. Resolución de la Corte Interamericana de Derechos  Humanos  de</w:t>
        <w:br/>
        <w:t>20 de  noviembre  de  2000;  Caso  Garrrido  y  Baigorria.  Cumplimiento  de</w:t>
        <w:br/>
        <w:t>sentencia. Resolución de la Corte Interamericana de Derechos Humanos  de  20</w:t>
        <w:br/>
        <w:t>de noviembre de 2000; Casos Castillo Paéz, Loayza Tamayo, Castillo  Petruzzi</w:t>
        <w:br/>
        <w:t>y otros, Ivcher Bronstein y del  Tribunal  Constitucional.  Cumplimiento  de</w:t>
        <w:br/>
        <w:t>sentencia. Resolución de la Corte Interamericana de Derechos  Humanos  de  1</w:t>
        <w:br/>
        <w:t>de junio  de  2001;  Caso  Caballero  Delgado  y  Santana.  Cumplimiento  de</w:t>
        <w:br/>
        <w:t>sentencia. Resolución de la Corte Interamericana de Derechos  Humanos  de  4</w:t>
        <w:br/>
        <w:t>de diciembre  de  2001;  Caso  Suárez  Rosero.  Cumplimiento  de  sentencia.</w:t>
        <w:br/>
        <w:t>Resolución de la Corte Interamericana de Derechos Humanos de 4 de  diciembre</w:t>
        <w:br/>
        <w:t>de 2001; Caso Durand y Ugarte. Cumplimiento de sentencia. Resolución  de  la</w:t>
        <w:br/>
        <w:t>Corte Interamericana de Derechos Humanos de 13 de junio de 2002; Caso  Baena</w:t>
        <w:br/>
        <w:t>Ricardo  y  otros.  Cumplimiento  de  sentencia.  Resolución  de  la   Corte</w:t>
        <w:br/>
        <w:t>Interamericana de Derechos Humanos de  21  de  junio  de  2002;  Caso  Baena</w:t>
        <w:br/>
        <w:t>Ricardo  y  otros.  Cumplimiento  de  sentencia.  Resolución  de  la   Corte</w:t>
        <w:br/>
        <w:t>Interamericana de Derechos Humanos de 22 de noviembre de 2002; Caso  Barrios</w:t>
        <w:br/>
        <w:t>Altos. Cumplimiento de sentencia. Resolución de la Corte  Interamericana  de</w:t>
        <w:br/>
        <w:t>Derechos Humanos de 22  de  noviembre  de  2002;  Caso  Benavides  Cevallos.</w:t>
        <w:br/>
        <w:t>Cumplimiento  de  sentencia.  Resolución  de  la  Corte  Interamericana   de</w:t>
        <w:br/>
        <w:t>Derechos Humanos de 27 de noviembre de 2002;  Caso  Blake.  Cumplimiento  de</w:t>
        <w:br/>
        <w:t>sentencia. Resolución de la Corte Interamericana de Derechos Humanos  de  27</w:t>
        <w:br/>
        <w:t>de noviembre de 2002; Caso Caballero  Delgado  y  Santana.  Cumplimiento  de</w:t>
        <w:br/>
        <w:t>sentencia. Resolución de la Corte Interamericana de Derechos Humanos  de  27</w:t>
        <w:br/>
        <w:t>de noviembre de 2002; Caso  Durand  y  Ugarte.  Cumplimiento  de  sentencia.</w:t>
        <w:br/>
        <w:t>Resolución  de  la  Corte  Interamericana  de  Derechos  Humanos  de  27  de</w:t>
        <w:br/>
        <w:t>noviembre de 2002; Caso Garrido  y  Baigorria.  Cumplimiento  de  sentencia.</w:t>
        <w:br/>
        <w:t>Resolución  de  la  Corte  Interamericana  de  Derechos  Humanos  de  27  de</w:t>
        <w:br/>
        <w:t>noviembre  de  2002;  Caso  Loayza  Tamayo.   Cumplimiento   de   sentencia.</w:t>
        <w:br/>
        <w:t>Resolución  de  la  Corte  Interamericana  de  Derechos  Humanos  de  27  de</w:t>
        <w:br/>
        <w:t>noviembre  de  2002;  Caso  Castillo  Paéz.   Cumplimiento   de   sentencia.</w:t>
        <w:br/>
        <w:t>Resolución  de  la  Corte  Interamericana  de  Derechos  Humanos  de  27  de</w:t>
        <w:br/>
        <w:t>noviembre de 2002; Caso El Amparo. Cumplimiento de sentencia. Resolución  de</w:t>
        <w:br/>
        <w:t>la Corte Interamericana de Derechos Humanos de  28  de  noviembre  de  2002;</w:t>
        <w:br/>
        <w:t>Caso Neira Alegría y otros. Cumplimiento  de  sentencia.  Resolución  de  la</w:t>
        <w:br/>
        <w:t>Corte Interamericana de Derechos Humanos de 28 de noviembre  de  2002;  Caso</w:t>
        <w:br/>
        <w:t>“La Última Tentación de Cristo” (Olmedo Bustos  y  otros).  Cumplimiento  de</w:t>
        <w:br/>
        <w:t>sentencia. Resolución de la Corte Interamericana de Derechos Humanos  de  28</w:t>
        <w:br/>
        <w:t>de noviembre de 2002; Caso Benavides Cevallos.  Cumplimiento  de  sentencia.</w:t>
        <w:br/>
        <w:t>Resolución  de  la  Corte  Interamericana  de  Derechos  Humanos  de  9   de</w:t>
        <w:br/>
        <w:t>septiembre  de  2003;  Caso  Suárez  Rosero.  Cumplimiento   de   sentencia.</w:t>
        <w:br/>
        <w:t>Resolución  de  la  Corte  Interamericana  de  Derechos  Humanos  de  27  de</w:t>
        <w:br/>
        <w:t>noviembre de  2003;  Caso  Caballero  Delgado  y  Santana.  Cumplimiento  de</w:t>
        <w:br/>
        <w:t>sentencia. Resolución de la Corte Interamericana de Derechos Humanos  de  27</w:t>
        <w:br/>
        <w:t>de noviembre de 2003; Caso Garrido y Baigorria. Cumplimiento  de  sentencia.</w:t>
        <w:br/>
        <w:t>Resolución  de  la  Corte  Interamericana  de  Derechos  Humanos  de  27  de</w:t>
        <w:br/>
        <w:t>noviembre de 2003; Caso Blake. Cumplimiento de sentencia. Resolución  de  la</w:t>
        <w:br/>
        <w:t>Corte Interamericana de Derechos Humanos de 27 de noviembre  de  2003;  Caso</w:t>
        <w:br/>
        <w:t>Benavides Cevallos.  Cumplimiento  de  sentencia.  Resolución  de  la  Corte</w:t>
        <w:br/>
        <w:t>Interamericana de Derechos Humanos de 27 de noviembre de 2003; Caso  de  los</w:t>
        <w:br/>
        <w:t>“Niños de la Calle” (Villagrán Morales y otros). Cumplimiento de  sentencia.</w:t>
        <w:br/>
        <w:t>Resolución  de  la  Corte  Interamericana  de  Derechos  Humanos  de  27  de</w:t>
        <w:br/>
        <w:t>noviembre  de  2003;  Caso  Loayza  Tamayo.   Cumplimiento   de   sentencia.</w:t>
        <w:br/>
        <w:t>Resolución  de  la  Corte  Interamericana  de  Derechos  Humanos  de  27  de</w:t>
        <w:br/>
        <w:t>noviembre de 2003;  Caso  Cantoral  Benavides.  Cumplimiento  de  sentencia.</w:t>
        <w:br/>
        <w:t>Resolución  de  la  Corte  Interamericana  de  Derechos  Humanos  de  27  de</w:t>
        <w:br/>
        <w:t>noviembre  de  2003;  Caso  Bámaca  Velásquez.  Cumplimiento  de  sentencia.</w:t>
        <w:br/>
        <w:t>Resolución  de  la  Corte  Interamericana  de  Derechos  Humanos  de  27  de</w:t>
        <w:br/>
        <w:t>noviembre de 2003; Caso de la “Panel Blanca”  (Paniagua  Morales  y  otros).</w:t>
        <w:br/>
        <w:t>Cumplimiento  de  sentencia.  Resolución  de  la  Corte  Interamericana   de</w:t>
        <w:br/>
        <w:t>Derechos  Humanos  de  27  de  noviembre  de  2003;  Caso   Castillo   Páez.</w:t>
        <w:br/>
        <w:t>Cumplimiento  de  sentencia.  Resolución  de  la  Corte  Interamericana   de</w:t>
        <w:br/>
        <w:t>Derechos  Humanos  de  27  de  noviembre  de   2003;   Caso   del   Tribunal</w:t>
        <w:br/>
        <w:t>Constitucional.  Cumplimiento  de  sentencia.   Resolución   de   la   Corte</w:t>
        <w:br/>
        <w:t>Interamericana de  Derechos  Humanos  de  27  de  noviembre  de  2003;  Caso</w:t>
        <w:br/>
        <w:t>Hilaire,  Constantine  y  Benajmin  y  otros.  Cumplimiento  de   sentencia.</w:t>
        <w:br/>
        <w:t>Resolución  de  la  Corte  Interamericana  de  Derechos  Humanos  de  27  de</w:t>
        <w:br/>
        <w:t>noviembre  de  2003;  Caso  Barrios  Altos.   Cumplimiento   de   sentencia.</w:t>
        <w:br/>
        <w:t>Resolución  de  la  Corte  Interamericana  de  Derechos  Humanos  de  28  de</w:t>
        <w:br/>
        <w:t>noviembre de 2003; y Caso “La Última Tentación de Cristo” (Olmedo  Bustos  y</w:t>
        <w:br/>
        <w:t>otros). Cumplimiento de sentencia. Resolución de la Corte Interamericana  de</w:t>
        <w:br/>
        <w:t>Derechos Humanos de 28 de noviembre de 2003.</w:t>
        <w:br/>
        <w:br/>
        <w:br/>
        <w:t>[73]  Cfr. North Sea  Continental  Shelf,  Judgment,  I.C.J.  Reports  1969,</w:t>
        <w:br/>
        <w:t>paras.  73  and  74;  y  Free  City  of  Danzig  and  International   Labour</w:t>
        <w:br/>
        <w:t>Organization, Advisory  Opinion,  1930,  P.C.I.J.,  Collection  of  Advisory</w:t>
        <w:br/>
        <w:t>Opinions, Series B.-No. 18, pp. 12-13.</w:t>
        <w:br/>
        <w:br/>
        <w:t>[74]  Cfr. Free  City  of  Danzig  and  International  Labour  Organization,</w:t>
        <w:br/>
        <w:t>Advisory Opinion, 1930, P.C.I.J., Collection of  Advisory  Opinions,  Series</w:t>
        <w:br/>
        <w:t>B.-No. 18, pp. 12-13.</w:t>
        <w:br/>
        <w:br/>
        <w:t>[75]   Cfr.  inter  alia,  Caso  El  Amparo.  Cumplimiento   de   sentencia.</w:t>
        <w:br/>
        <w:t>Resolución  de  la  Corte  Interamericana  de  Derechos  Humanos  de  28  de</w:t>
        <w:br/>
        <w:t>noviembre de 2002, considerando  sexto  y  punto  resolutivo  segundo;  Caso</w:t>
        <w:br/>
        <w:t>Caballero Delgado y Santana. Cumplimiento de  sentencia.  Resolución  de  la</w:t>
        <w:br/>
        <w:t>Corte Interamericana de  Derechos  Humanos  de  27  de  noviembre  de  2002,</w:t>
        <w:br/>
        <w:t>considerando octavo y punto resolutivo segundo; y Caso  Benavides  Cevallos.</w:t>
        <w:br/>
        <w:t>Cumplimiento  de  sentencia.  Resolución  de  la  Corte  Interamericana   de</w:t>
        <w:br/>
        <w:t>Derechos Humanos de 27 de noviembre de 2002,  considerando  sexto  y  puntos</w:t>
        <w:br/>
        <w:t>resolutivos primero y segundo.</w:t>
        <w:br/>
        <w:br/>
        <w:t>[76]  Cfr. inter alia, Caso “La Última Tentación de Cristo”  (Olmedo  Bustos</w:t>
        <w:br/>
        <w:t>y otros). Cumplimiento de sentencia.  Resolución de la Corte  Interamericana</w:t>
        <w:br/>
        <w:t>de Derechos Humanos de 28 de noviembre de 2002, considerando décimo y  punto</w:t>
        <w:br/>
        <w:t>resolutivo  segundo;  Caso  Barrios  Altos.   Cumplimiento   de   sentencia.</w:t>
        <w:br/>
        <w:t>Resolución  de  la  Corte  Interamericana  de  Derechos  Humanos  de  22  de</w:t>
        <w:br/>
        <w:t>noviembre de 2002, considerando quinto  y  punto  resolutivo  primero;  Caso</w:t>
        <w:br/>
        <w:t>Neira Alegría y otros.  Cumplimiento de  sentencia.   Resolución  de  28  de</w:t>
        <w:br/>
        <w:t>noviembre de 2002, considerando noveno y punto resolutivo  segundo;  y  Caso</w:t>
        <w:br/>
        <w:t>Caballero Delgado y Santana. Cumplimiento de  sentencia.  Resolución  de  la</w:t>
        <w:br/>
        <w:t>Corte Interamericana de Derechos Humanos de 4 de diciembre de  2001,  vistos</w:t>
        <w:br/>
        <w:t>5 y 6 y puntos resolutivos.</w:t>
        <w:br/>
        <w:br/>
        <w:t>[77]  Cfr. Caso Benavides Cevallos. Cumplimiento de  sentencia.   Resolución</w:t>
        <w:br/>
        <w:t>de  9  de  septiembre  de  2003,  considerandos  sexto  y  séptimo  y  punto</w:t>
        <w:br/>
        <w:t>resolutivo  primero;  Caso  Suárez  Rosero.   Cumplimiento   de   sentencia.</w:t>
        <w:br/>
        <w:t>Resolución de la Corte Interamericana de Derechos Humanos de 4 de  diciembre</w:t>
        <w:br/>
        <w:t>de 2001, vistos 4, 5 y  7  y  puntos  resolutivos;  Caso  Durand  y  Ugarte.</w:t>
        <w:br/>
        <w:t>Cumplimiento  de  sentencia.  Resolución  de  la  Corte  Interamericana   de</w:t>
        <w:br/>
        <w:t>Derechos Humanos de 13 de junio de 2002, visto  4,  considerando  segundo  y</w:t>
        <w:br/>
        <w:t>punto resolutivo segundo; y Caso Caballero Delgado y  Santana.  Cumplimiento</w:t>
        <w:br/>
        <w:t>de sentencia. Resolución de la Corte Interamericana de Derechos  Humanos  de</w:t>
        <w:br/>
        <w:t>4 de diciembre de 2001, visto 3, considerando  segundo  y  punto  resolutivo</w:t>
        <w:br/>
        <w:t>primero.</w:t>
        <w:br/>
        <w:br/>
        <w:t>[78]  En el caso El Amparo la Corte, mediante Resolución 20 de noviembre  de</w:t>
        <w:br/>
        <w:t>2000,  indicó que, “de considerarlo necesario” convocaría  a  las  partes  a</w:t>
        <w:br/>
        <w:t>una audiencia pública sobre el cumplimiento de la sentencia.  Cfr.  Caso  El</w:t>
        <w:br/>
        <w:t>Amparo. Cumplimiento de sentencia. Resolución de la Corte Interamericana  de</w:t>
        <w:br/>
        <w:t>Derechos Humanos de 20 de noviembre de 2000, considerandos  segundo,  cuarto</w:t>
        <w:br/>
        <w:t>y quinto.</w:t>
        <w:br/>
        <w:br/>
        <w:t>[79]  Cfr. inter alia, Caso Velásquez Rodríguez. Cumplimiento de  sentencia.</w:t>
        <w:br/>
        <w:t>Resolución  de  la  Corte  Interamericana  de  Derechos  Humanos  de  10  de</w:t>
        <w:br/>
        <w:t>septiembre  de  1996;  Caso  Godínez  Cruz.   Cumplimiento   de   sentencia.</w:t>
        <w:br/>
        <w:t>Resolución  de  la  Corte  Interamericana  de  Derechos  Humanos  de  10  de</w:t>
        <w:br/>
        <w:t>septiembre  de  1996;  Caso  Gangaram  Panday.  Cumplimiento  de  sentencia.</w:t>
        <w:br/>
        <w:t>Resolución de la Corte Interamericana de Derechos Humanos de  4  de  febrero</w:t>
        <w:br/>
        <w:t>de 1997; Caso Aloeboetoe y otros. Cumplimiento de sentencia.  Resolución  de</w:t>
        <w:br/>
        <w:t>la Corte Interamericana de Derechos Humanos de 5 de febrero  de  1997;  Caso</w:t>
        <w:br/>
        <w:t>Genie  Lacayo.  Cumplimiento  de   sentencia.   Resolución   de   la   Corte</w:t>
        <w:br/>
        <w:t>Interamericana de Derechos Humanos de 29  de  agosto  de  1998;  Caso  Neira</w:t>
        <w:br/>
        <w:t>Alegría  y  otros.  Cumplimiento  de  sentencia.  Resolución  de  la   Corte</w:t>
        <w:br/>
        <w:t>Interamericana de Derechos Humanos de 29 de agosto de  1998;  Caso  Gangaram</w:t>
        <w:br/>
        <w:t>Panday. Cumplimiento de sentencia. Resolución de la Corte Interamericana  de</w:t>
        <w:br/>
        <w:t>Derechos  Humanos  de  27  de  noviembre  de  1998;  Caso   Loayza   Tamayo.</w:t>
        <w:br/>
        <w:t>Cumplimiento  de  Sentencia.  Resolución  de  la  Corte  Interamericana   de</w:t>
        <w:br/>
        <w:t>Derechos Humanos de 17 de  noviembre  de  1999;  Caso  Castillo  Petruzzi  y</w:t>
        <w:br/>
        <w:t>otros. Cumplimiento de Sentencia. Resolución de la Corte  Interamericana  de</w:t>
        <w:br/>
        <w:t>Derechos Humanos de 17 de noviembre de 1999; Caso  El  Amparo.  Cumplimiento</w:t>
        <w:br/>
        <w:t>de sentencia. Resolución de la Corte Interamericana de Derechos  Humanos  de</w:t>
        <w:br/>
        <w:t>20 de  noviembre  de  2000;  Caso  Garrrido  y  Baigorria.  Cumplimiento  de</w:t>
        <w:br/>
        <w:t>sentencia. Resolución de la Corte Interamericana de Derechos Humanos  de  20</w:t>
        <w:br/>
        <w:t>de noviembre de 2000; Casos Castillo Paéz, Loayza Tamayo, Castillo  Petruzzi</w:t>
        <w:br/>
        <w:t>y otros, Ivcher Bronstein y del  Tribunal  Constitucional.  Cumplimiento  de</w:t>
        <w:br/>
        <w:t>sentencia. Resolución de la Corte Interamericana de Derechos  Humanos  de  1</w:t>
        <w:br/>
        <w:t>de junio  de  2001;  Caso  Caballero  Delgado  y  Santana.  Cumplimiento  de</w:t>
        <w:br/>
        <w:t>sentencia. Resolución de la Corte Interamericana de Derechos  Humanos  de  4</w:t>
        <w:br/>
        <w:t>de diciembre  de  2001;  Caso  Suárez  Rosero.  Cumplimiento  de  sentencia.</w:t>
        <w:br/>
        <w:t>Resolución de la Corte Interamericana de Derechos Humanos de 4 de  diciembre</w:t>
        <w:br/>
        <w:t>de 2001; Caso Durand y Ugarte. Cumplimiento de sentencia. Resolución  de  la</w:t>
        <w:br/>
        <w:t>Corte Interamericana de Derechos Humanos de 13 de junio de 2002; Caso  Baena</w:t>
        <w:br/>
        <w:t>Ricardo  y  otros.  Cumplimiento  de  sentencia.  Resolución  de  la   Corte</w:t>
        <w:br/>
        <w:t>Interamericana de Derechos Humanos de  21  de  junio  de  2002;  Caso  Baena</w:t>
        <w:br/>
        <w:t>Ricardo  y  otros.  Cumplimiento  de  sentencia.  Resolución  de  la   Corte</w:t>
        <w:br/>
        <w:t>Interamericana de Derechos Humanos de 22 de noviembre de 2002; Caso  Barrios</w:t>
        <w:br/>
        <w:t>Altos. Cumplimiento de sentencia. Resolución de la Corte  Interamericana  de</w:t>
        <w:br/>
        <w:t>Derechos Humanos de 22  de  noviembre  de  2002;  Caso  Benavides  Cevallos.</w:t>
        <w:br/>
        <w:t>Cumplimiento  de  sentencia.  Resolución  de  la  Corte  Interamericana   de</w:t>
        <w:br/>
        <w:t>Derechos Humanos de 27 de noviembre de 2002;  Caso  Blake.  Cumplimiento  de</w:t>
        <w:br/>
        <w:t>sentencia. Resolución de la Corte Interamericana de Derechos Humanos  de  27</w:t>
        <w:br/>
        <w:t>de noviembre de 2002; Caso Caballero  Delgado  y  Santana.  Cumplimiento  de</w:t>
        <w:br/>
        <w:t>sentencia. Resolución de la Corte Interamericana de Derechos Humanos  de  27</w:t>
        <w:br/>
        <w:t>de noviembre de 2002; Caso  Durand  y  Ugarte.  Cumplimiento  de  sentencia.</w:t>
        <w:br/>
        <w:t>Resolución  de  la  Corte  Interamericana  de  Derechos  Humanos  de  27  de</w:t>
        <w:br/>
        <w:t>noviembre de 2002; Caso Garrido  y  Baigorria.  Cumplimiento  de  sentencia.</w:t>
        <w:br/>
        <w:t>Resolución  de  la  Corte  Interamericana  de  Derechos  Humanos  de  27  de</w:t>
        <w:br/>
        <w:t>noviembre  de  2002;  Caso  Loayza  Tamayo.   Cumplimiento   de   sentencia.</w:t>
        <w:br/>
        <w:t>Resolución  de  la  Corte  Interamericana  de  Derechos  Humanos  de  27  de</w:t>
        <w:br/>
        <w:t>noviembre  de  2002;  Caso  Castillo  Paéz.   Cumplimiento   de   sentencia.</w:t>
        <w:br/>
        <w:t>Resolución  de  la  Corte  Interamericana  de  Derechos  Humanos  de  27  de</w:t>
        <w:br/>
        <w:t>noviembre de 2002; Caso El Amparo. Cumplimiento de sentencia. Resolución  de</w:t>
        <w:br/>
        <w:t>la Corte Interamericana de Derechos Humanos de  28  de  noviembre  de  2002;</w:t>
        <w:br/>
        <w:t>Caso Neira Alegría y otros. Cumplimiento  de  sentencia.  Resolución  de  la</w:t>
        <w:br/>
        <w:t>Corte Interamericana de Derechos Humanos de 28 de noviembre  de  2002;  Caso</w:t>
        <w:br/>
        <w:t>“La Última Tentación de Cristo” (Olmedo Bustos  y  otros).  Cumplimiento  de</w:t>
        <w:br/>
        <w:t>sentencia. Resolución de la Corte Interamericana de Derechos Humanos  de  28</w:t>
        <w:br/>
        <w:t>de  noviembre  de  2002;  Caso  Baena  Ricardo  y  otros.  Cumplimiento   de</w:t>
        <w:br/>
        <w:t>Sentencia. Resolución de la Corte Interamericana de Derechos  Humanos  de  6</w:t>
        <w:br/>
        <w:t>de junio de  2003;  Caso  Benavides  Cevallos.  Cumplimiento  de  sentencia.</w:t>
        <w:br/>
        <w:t>Resolución  de  la  Corte  Interamericana  de  Derechos  Humanos  de  9   de</w:t>
        <w:br/>
        <w:t>septiembre  de  2003;  Caso  Suárez  Rosero.  Cumplimiento   de   sentencia.</w:t>
        <w:br/>
        <w:t>Resolución  de  la  Corte  Interamericana  de  Derechos  Humanos  de  27  de</w:t>
        <w:br/>
        <w:t>noviembre de  2003;  Caso  Caballero  Delgado  y  Santana.  Cumplimiento  de</w:t>
        <w:br/>
        <w:t>sentencia. Resolución de la Corte Interamericana de Derechos Humanos  de  27</w:t>
        <w:br/>
        <w:t>de noviembre de 2003; Caso Garrido y Baigorria. Cumplimiento  de  sentencia.</w:t>
        <w:br/>
        <w:t>Resolución  de  la  Corte  Interamericana  de  Derechos  Humanos  de  27  de</w:t>
        <w:br/>
        <w:t>noviembre de 2003; Caso Blake. Cumplimiento de sentencia. Resolución  de  la</w:t>
        <w:br/>
        <w:t>Corte Interamericana de Derechos Humanos de 27 de noviembre  de  2003;  Caso</w:t>
        <w:br/>
        <w:t>Benavides Cevallos.  Cumplimiento  de  sentencia.  Resolución  de  la  Corte</w:t>
        <w:br/>
        <w:t>Interamericana de Derechos Humanos de 27 de noviembre de 2003; Caso  de  los</w:t>
        <w:br/>
        <w:t>“Niños de la Calle” (Villagrán Morales y otros). Cumplimiento de  sentencia.</w:t>
        <w:br/>
        <w:t>Resolución  de  la  Corte  Interamericana  de  Derechos  Humanos  de  27  de</w:t>
        <w:br/>
        <w:t>noviembre  de  2003;  Caso  Loayza  Tamayo.   Cumplimiento   de   sentencia.</w:t>
        <w:br/>
        <w:t>Resolución  de  la  Corte  Interamericana  de  Derechos  Humanos  de  27  de</w:t>
        <w:br/>
        <w:t>noviembre de 2003;  Caso  Cantoral  Benavides.  Cumplimiento  de  sentencia.</w:t>
        <w:br/>
        <w:t>Resolución  de  la  Corte  Interamericana  de  Derechos  Humanos  de  27  de</w:t>
        <w:br/>
        <w:t>noviembre  de  2003;  Caso  Bámaca  Velásquez.  Cumplimiento  de  sentencia.</w:t>
        <w:br/>
        <w:t>Resolución  de  la  Corte  Interamericana  de  Derechos  Humanos  de  27  de</w:t>
        <w:br/>
        <w:t>noviembre de 2003; Caso de la “Panel Blanca”  (Paniagua  Morales  y  otros).</w:t>
        <w:br/>
        <w:t>Cumplimiento  de  sentencia.  Resolución  de  la  Corte  Interamericana   de</w:t>
        <w:br/>
        <w:t>Derechos  Humanos  de  27  de  noviembre  de  2003;  Caso   Castillo   Páez.</w:t>
        <w:br/>
        <w:t>Cumplimiento  de  sentencia.  Resolución  de  la  Corte  Interamericana   de</w:t>
        <w:br/>
        <w:t>Derechos  Humanos  de  27  de  noviembre  de   2003;   Caso   del   Tribunal</w:t>
        <w:br/>
        <w:t>Constitucional.  Cumplimiento  de  sentencia.   Resolución   de   la   Corte</w:t>
        <w:br/>
        <w:t>Interamericana de  Derechos  Humanos  de  27  de  noviembre  de  2003;  Caso</w:t>
        <w:br/>
        <w:t>Hilaire,  Constantine  y  Benajmin  y  otros.  Cumplimiento  de   sentencia.</w:t>
        <w:br/>
        <w:t>Resolución  de  la  Corte  Interamericana  de  Derechos  Humanos  de  27  de</w:t>
        <w:br/>
        <w:t>noviembre  de  2003;  Caso  Barrios  Altos.   Cumplimiento   de   sentencia.</w:t>
        <w:br/>
        <w:t>Resolución  de  la  Corte  Interamericana  de  Derechos  Humanos  de  28  de</w:t>
        <w:br/>
        <w:t>noviembre de 2003; y Caso “La Última Tentación de Cristo” (Olmedo  Bustos  y</w:t>
        <w:br/>
        <w:t>otros). Cumplimiento de sentencia. Resolución de la Corte Interamericana  de</w:t>
        <w:br/>
        <w:t>Derechos Humanos de 28 de noviembre de 2003.</w:t>
        <w:br/>
        <w:br/>
        <w:t>[80]  Cfr.  Caso  Caballero  Delgado  y  Santana.  Reparaciones  (art.  63.1</w:t>
        <w:br/>
        <w:t>Convención Americana sobre Derechos Humanos). Sentencia de 29  de  enero  de</w:t>
        <w:br/>
        <w:t>1997. Serie C No. 31, párr. 61 y punto resolutivo  primero;  Caso  Caballero</w:t>
        <w:br/>
        <w:t>Delgado y  Santana.  Cumplimiento  de  sentencia.  Resolución  de  la  Corte</w:t>
        <w:br/>
        <w:t>Interamericana de Derechos Humanos de 4 de diciembre de  2001,  visto  3;  y</w:t>
        <w:br/>
        <w:t>Nota CDH-10.319/643 de 20 de enero de 1999.</w:t>
        <w:br/>
        <w:br/>
        <w:t>[81]  Cfr. Caso Barrios Altos. Reparaciones (art. 63.1 Convención  Americana</w:t>
        <w:br/>
        <w:t>sobre Derechos Humanos). Sentencia de 30 de noviembre de 2001. Serie  C  No.</w:t>
        <w:br/>
        <w:t>87, párrafo 35 y punto resolutivo segundo in fine;  y  Caso  Barrios  Altos.</w:t>
        <w:br/>
        <w:t>Cumplimiento  de  sentencia.  Resolución  de  la  Corte  Interamericana   de</w:t>
        <w:br/>
        <w:t>Derechos Humanos de 28 de noviembre de 2003, visto 15.</w:t>
        <w:br/>
        <w:br/>
        <w:t>[82]  Caso Barrios Altos. Cumplimiento de sentencia. Resolución de la  Corte</w:t>
        <w:br/>
        <w:t>Interamericana  de  Derechos  Humanos  de   28   de   noviembre   de   2003,</w:t>
        <w:br/>
        <w:t>considerandos 7-13 y punto resolutivo segundo.</w:t>
        <w:br/>
        <w:br/>
        <w:t>[83]  Cfr. Caso Durand y Ugarte.  Cumplimiento de sentencia.  Resolución  de</w:t>
        <w:br/>
        <w:t>la Corte Interamericana de Derechos Humanos de 13 de junio  de  2002,  visto</w:t>
        <w:br/>
        <w:t>4.</w:t>
        <w:br/>
        <w:br/>
        <w:t>[84]  Cfr. Caso Durand y Ugarte.  Cumplimiento de sentencia.  Resolución  de</w:t>
        <w:br/>
        <w:t>la Corte Interamericana de Derechos Humanos de 13 de junio  de  2002,  punto</w:t>
        <w:br/>
        <w:t>resolutivo segundo.</w:t>
        <w:br/>
        <w:br/>
        <w:t>[85]  Cfr. Corte Interamericana de Derechos Humanos.  Informe  Anual  de  la</w:t>
        <w:br/>
        <w:t>Corte Interamericana de Derechos Humanos, 1990,  OEA/Ser.L/V/III.23  doc.12,</w:t>
        <w:br/>
        <w:t>págs. 15 y 16; Corte Interamericana de Derechos Humanos.  Informe  Anual  de</w:t>
        <w:br/>
        <w:t>la  Corte  Interamericana  de  Derechos  Humanos,  1991,  OEA/Ser.L/V/III.25</w:t>
        <w:br/>
        <w:t>doc.7, pág. 9; Corte Interamericana de Derechos Humanos.  Informe  Anual  de</w:t>
        <w:br/>
        <w:t>la  Corte  Interamericana  de  Derechos  Humanos,  1994,  OEA/Ser.L/V/III.31</w:t>
        <w:br/>
        <w:t>doc.9, págs. 18 y 19; Corte  Interamericana  de  Derechos  Humanos.  Informe</w:t>
        <w:br/>
        <w:t>Anual   de   la   Corte   Interamericana   de   Derechos   Humanos,    1996,</w:t>
        <w:br/>
        <w:t>OEA/Ser.L/V/III.35  doc.4,  pág.  27;  Corte  Interamericana   de   Derechos</w:t>
        <w:br/>
        <w:t>Humanos. Informe Anual de  la  Corte  Interamericana  de  Derechos  Humanos,</w:t>
        <w:br/>
        <w:t>1997, OEA/Ser.L/V/III.39 doc.5, págs.  29  y  30;  Corte  Interamericana  de</w:t>
        <w:br/>
        <w:t>Derechos Humanos. Informe Anual  de  la  Corte  Interamericana  de  Derechos</w:t>
        <w:br/>
        <w:t>Humanos, 1998, OEA/Ser.L/V/III.43 Doc.11, págs. 32-35; Corte  Interamericana</w:t>
        <w:br/>
        <w:t>de Derechos Humanos. Informe Anual de la Corte  Interamericana  de  Derechos</w:t>
        <w:br/>
        <w:t>Humanos, 1999, OEA/Ser.L/V/III.47 Doc.6, págs. 37-45;  Corte  Interamericana</w:t>
        <w:br/>
        <w:t>de Derechos Humanos. Informe Anual de la Corte  Interamericana  de  Derechos</w:t>
        <w:br/>
        <w:t>Humanos, 2000, OEA/Ser.L/V/III.50 Doc.4, págs. 39-44;  Corte  Interamericana</w:t>
        <w:br/>
        <w:t>de Derechos Humanos. Informe Anual de la Corte  Interamericana  de  Derechos</w:t>
        <w:br/>
        <w:t>Humanos,   2001,   OEA/Ser.L/V/III.54   Doc.4,   págs.   46-55;   y    Corte</w:t>
        <w:br/>
        <w:t>Interamericana  de   Derechos   Humanos.   Informe   Anual   de   la   Corte</w:t>
        <w:br/>
        <w:t>Interamericana de Derechos Humanos, 2002,  OEA/Ser.L/V/III.57  Doc.5,  págs.</w:t>
        <w:br/>
        <w:t>21, 25, 26, 32, 35, 45 y 46.</w:t>
        <w:br/>
        <w:br/>
        <w:t>[86]  Cfr. Corte Interamericana de Derechos Humanos.  Informe  Anual  de  la</w:t>
        <w:br/>
        <w:t>Corte Interamericana de Derechos Humanos,  1994,  OEA/Ser.L/V/III.31  doc.9,</w:t>
        <w:br/>
        <w:t>págs. 18 y 19.</w:t>
        <w:br/>
        <w:br/>
        <w:t>[87]   Cfr.  AG/RES.1330  (XXV-O/95)  de  9  de  junio  de  1995;  y   Corte</w:t>
        <w:br/>
        <w:t>Interamericana  de   Derechos   Humanos.   Informe   Anual   de   la   Corte</w:t>
        <w:br/>
        <w:t>Interamericana de Derechos Humanos,  1995,  OEA/Ser.L/V/III.33  doc.4,  pág.</w:t>
        <w:br/>
        <w:t>15.</w:t>
        <w:br/>
        <w:br/>
        <w:t>[88]  Cfr. Corte Interamericana de Derechos Humanos.  Informe  Anual  de  la</w:t>
        <w:br/>
        <w:t>Corte Interamericana de Derechos Humanos, 1990,  OEA/Ser.L/V/III.23  doc.12,</w:t>
        <w:br/>
        <w:t>págs. 15 y 16.</w:t>
        <w:br/>
        <w:br/>
        <w:t>[89]  Cfr. Corte Interamericana de Derechos Humanos.  Informe  Anual  de  la</w:t>
        <w:br/>
        <w:t>Corte Interamericana de Derechos Humanos,  1997,  OEA/Ser.L/V/III.39  doc.5,</w:t>
        <w:br/>
        <w:t>pág. 30.</w:t>
        <w:br/>
        <w:br/>
        <w:t>[90]  Cfr. Corte Interamericana de Derechos Humanos.  Informe  Anual  de  la</w:t>
        <w:br/>
        <w:t>Corte Interamericana de Derechos Humanos,  1999,  OEA/Ser.L/V/III.47  Doc.6,</w:t>
        <w:br/>
        <w:t>pág. 45; y Corte Interamericana de Derechos Humanos.  Informe  Anual  de  la</w:t>
        <w:br/>
        <w:t>Corte Interamericana de Derechos Humanos,  2000,  OEA/Ser.L/V/III.50  Doc.4,</w:t>
        <w:br/>
        <w:t>págs. 41, 42, 421, 422 y 423.</w:t>
        <w:br/>
        <w:br/>
        <w:t>[91]  Cfr. Corte Interamericana de Derechos Humanos.  Informe  Anual  de  la</w:t>
        <w:br/>
        <w:t>Corte Interamericana de Derechos Humanos, 1998,  OEA/Ser.L/V/III.43  Doc.11,</w:t>
        <w:br/>
        <w:t>págs. 35-37; y Corte Interamericana de Derechos Humanos.  Informe  Anual  de</w:t>
        <w:br/>
        <w:t>la  Corte  Interamericana  de  Derechos  Humanos,  1999,  OEA/Ser.L/V/III.47</w:t>
        <w:br/>
        <w:t>Doc.6, pág. 41.</w:t>
        <w:br/>
        <w:br/>
        <w:t>[92]  Caso  Ivcher  Bronstein.  Competencia,  supra  nota  35;  y  Caso  del</w:t>
        <w:br/>
        <w:t>Tribunal Constitucional. Competencia, supra nota 35.</w:t>
        <w:br/>
        <w:br/>
        <w:t>[93]  Cfr. Corte Interamericana de Derechos Humanos.  Informe  Anual  de  la</w:t>
        <w:br/>
        <w:t>Corte Interamericana de Derechos Humanos,  1999,  OEA/Ser.L/V/III.47  Doc.6,</w:t>
        <w:br/>
        <w:t>anexo XL, págs. 793 y 794.</w:t>
        <w:br/>
        <w:br/>
        <w:t>[94]  Cfr. Corte Interamericana de Derechos Humanos.  Informe  Anual  de  la</w:t>
        <w:br/>
        <w:t>Corte Interamericana de Derechos Humanos,  1999,  OEA/Ser.L/V/III.47  Doc.6,</w:t>
        <w:br/>
        <w:t>págs. 43-45.</w:t>
        <w:br/>
        <w:br/>
        <w:t>[95]  Cfr. Corte Interamericana de Derechos Humanos.  Informe  Anual  de  la</w:t>
        <w:br/>
        <w:t>Corte Interamericana de Derechos Humanos,  2000,  OEA/Ser.L/V/III.50  Doc.4,</w:t>
        <w:br/>
        <w:t>pág. 34 y anexo XXXIV (págs. 421-423).</w:t>
        <w:br/>
        <w:br/>
        <w:t>Mediante Resolución Legislativa No. 27401 de 18 de enero de 2001, el  Estado</w:t>
        <w:br/>
        <w:t>“restableci[ó]  a  plenitud”  la  competencia  contenciosa   de   la   Corte</w:t>
        <w:br/>
        <w:t>Interamericana y reconoció la validez y ejecutabilidad de las  sentencias  y</w:t>
        <w:br/>
        <w:t>resoluciones emitidas por la Corte.</w:t>
        <w:br/>
        <w:br/>
        <w:t>[96]   La  Resolución  AG/RES.  1827  (XXXI-O/01)  de  la  Asamblea  General</w:t>
        <w:br/>
        <w:t>decidió:</w:t>
        <w:br/>
        <w:t xml:space="preserve">      […]</w:t>
        <w:br/>
        <w:t xml:space="preserve">      2.    Tomar conocimiento con beneplácito que con fecha 31 de enero  de</w:t>
        <w:br/>
        <w:t xml:space="preserve">      2001, el Gobierno del Perú depositó en la Secretaría General de la OEA</w:t>
        <w:br/>
        <w:t xml:space="preserve">      un instrumento mediante el cual ratificó que “el reconocimiento de  la</w:t>
        <w:br/>
        <w:t xml:space="preserve">      competencia contenciosa de la Corte Interamericana de Derechos Humanos</w:t>
        <w:br/>
        <w:t xml:space="preserve">      efectuado por el Perú el 20 de octubre de 1980, posee plena vigencia y</w:t>
        <w:br/>
        <w:t xml:space="preserve">      compromete en todos sus efectos jurídicos al Estado peruano,  debiendo</w:t>
        <w:br/>
        <w:t xml:space="preserve">      entenderse la vigencia ininterrumpida de dicha  Declaración  desde  su</w:t>
        <w:br/>
        <w:t xml:space="preserve">      depósito ante la Secretaría General de la Organización de los  Estados</w:t>
        <w:br/>
        <w:t xml:space="preserve">      Americanos, el 21 de enero de 1981”.</w:t>
        <w:br/>
        <w:t xml:space="preserve">      […]</w:t>
        <w:br/>
        <w:br/>
        <w:t>[97]  AG/RES. 1918 (XXXIII-O/03) de 10 de junio  de  2003,  Observaciones  y</w:t>
        <w:br/>
        <w:t>Recomendaciones al Informe Anual de  la  Corte  Interamericana  de  Derechos</w:t>
        <w:br/>
        <w:t>Humanos, resolutivo tercero; y cfr. AG/RES. 1850 (XXXII-O/02) de 4 de  junio</w:t>
        <w:br/>
        <w:t>2002, Observaciones y Recomendaciones de los  Estados  Miembros  al  Informe</w:t>
        <w:br/>
        <w:t>Anual de la Corte Interamericana de Derechos  Humanos,  resolutivo  segundo;</w:t>
        <w:br/>
        <w:t>AG/RES.  1827  (XXXI-O/01)   de   5   de   junio   2001,   Observaciones   y</w:t>
        <w:br/>
        <w:t>Recomendaciones al Informe Anual de  la  Corte  Interamericana  de  Derechos</w:t>
        <w:br/>
        <w:t>Humanos, resolutivo cuarto; y AG/RES. 1716 (XXX-O/00) de 5  de  junio  2000,</w:t>
        <w:br/>
        <w:t>Observaciones y Recomendaciones de los Estados Miembros al Informe Anual  de</w:t>
        <w:br/>
        <w:t>la Corte Interamericana de Derechos Humanos, resolutivo segundo.</w:t>
        <w:br/>
        <w:br/>
        <w:t>[98]  Cfr. Caso Baena Ricardo y otros. Sentencia de 2 de  febrero  de  2001.</w:t>
        <w:br/>
        <w:t>Serie C No. 72, párrs. 125, 204, 205 y puntos resolutivos sexto  y  séptimo;</w:t>
        <w:br/>
        <w:t>y Caso Baena Ricardo y otros. Cumplimiento de sentencia.  Resolución  de  la</w:t>
        <w:br/>
        <w:t>Corte Interamericana de  Derechos  Humanos  de  22  de  noviembre  de  2002,</w:t>
        <w:br/>
        <w:t>considerandos sexto, séptimo  y  noveno,  y  puntos  resolutivos  primero  y</w:t>
        <w:br/>
        <w:t>segundo.</w:t>
        <w:br/>
        <w:t>[99]  Cfr. Caso Luis Uzcátegui.  Medidas  Provisionales.  Resolución  de  la</w:t>
        <w:br/>
        <w:t>Corte  Interamericana  de  Derechos  Humanos  de  20  de  febrero  de  2003,</w:t>
        <w:br/>
        <w:t>considerando decimotercero; Caso Hilaire, Constantine y  Benjamin  y  otros,</w:t>
        <w:br/>
        <w:t>supra  nota  39,  párr.  19;   Caso   Constantine   y   otros.   Excepciones</w:t>
        <w:br/>
        <w:t>Preliminares, supra nota 39, párr. 73; Caso Benjamin  y  otros.  Excepciones</w:t>
        <w:br/>
        <w:t>Preliminares,  supra  nota  39,  párr.  73;  y  Caso  Hilaire.   Excepciones</w:t>
        <w:br/>
        <w:t>Preliminares, supra nota 39, párr. 82.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