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Caso Masacre Plan de Sánchez Vs. Guatemala</w:t>
        <w:br/>
        <w:br/>
        <w:br/>
        <w:br/>
        <w:br/>
        <w:t xml:space="preserve">                      Sentencia de 29 de abril de 2004</w:t>
        <w:br/>
        <w:br/>
        <w:t xml:space="preserve">                                   (Fondo)</w:t>
        <w:br/>
        <w:br/>
        <w:br/>
        <w:t>En el caso Masacre Plan de Sánchez,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Juez;</w:t>
        <w:br/>
        <w:t xml:space="preserve">      Diego García-Sayán, Juez; y</w:t>
        <w:br/>
        <w:t xml:space="preserve">      Alejandro Sánchez Garrido, Juez ad hoc;</w:t>
        <w:br/>
        <w:br/>
        <w:br/>
        <w:t>presente, además,</w:t>
        <w:br/>
        <w:br/>
        <w:br/>
        <w:t xml:space="preserve">      Pablo Saavedra Alessandri, Secretario;</w:t>
        <w:br/>
        <w:br/>
        <w:br/>
        <w:t>de conformidad con los artículos 29, 53, 56, 57 y 58 del  Reglamento  de  la</w:t>
        <w:br/>
        <w:t>Corte (en adelante “el Reglamento”), dicta la presente Sentencia.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br/>
        <w:t>1.    El 31 de julio de 2002 la Comisión Interamericana de Derechos  Humanos</w:t>
        <w:br/>
        <w:t>(en adelante “la Comisión” o “la Comisión Interamericana”) sometió  ante  la</w:t>
        <w:br/>
        <w:t>Corte Interamericana de Derechos Humanos (en adelante “la Corte”, “la  Corte</w:t>
        <w:br/>
        <w:t>Interamericana” o “el Tribunal”) una demanda contra el Estado  de  Guatemala</w:t>
        <w:br/>
        <w:t>(en adelante “el Estado” o “Guatemala”), la cual se originó en  la  denuncia</w:t>
        <w:br/>
        <w:t>No. 11.763, recibida en la Secretaría de la Comisión el  25  de  octubre  de</w:t>
        <w:br/>
        <w:t>1996.</w:t>
        <w:br/>
        <w:br/>
        <w:t>2.    La Comisión presentó la demanda con base  en  el  artículo  51  de  la</w:t>
        <w:br/>
        <w:t>Convención Americana sobre Derechos  Humanos  (en  adelante  “la  Convención</w:t>
        <w:br/>
        <w:t>Americana” o “la Convención”), con el  fin  de  que  la  Corte  “declar[ara]</w:t>
        <w:br/>
        <w:t>internacionalmente responsable al Estado de Guatemala por las violaciones  a</w:t>
        <w:br/>
        <w:t>los derechos  a  la  integridad  personal,  protección  judicial,  garantías</w:t>
        <w:br/>
        <w:t>judiciales, a la igualdad ante  la  ley,  a  la  libertad  de  conciencia  y</w:t>
        <w:br/>
        <w:t>religión y a  la  propiedad  privada,  en  relación  con  la  obligación  de</w:t>
        <w:br/>
        <w:t>respetar los derechos, todos estos consagrados en los artículos  5,  8,  25,</w:t>
        <w:br/>
        <w:t>24, 12, 21 y 1[.]1 de la Convención Americana”.  En la demanda  la  Comisión</w:t>
        <w:br/>
        <w:t>alegó  la  “denegación  de  justicia  y  otros  actos  de   intimidación   y</w:t>
        <w:br/>
        <w:t>discriminación  […  realizadas  en  perjuicio]  de  los   sobrevivientes   y</w:t>
        <w:br/>
        <w:t>familiares de las víctimas de la masacre de 268 personas […], en su  mayoría</w:t>
        <w:br/>
        <w:t xml:space="preserve"> miembros del pueblo indígena maya en la aldea Plan  de  Sánchez,  Municipio</w:t>
        <w:br/>
        <w:t>de Rabinal,  Departamento  de  Baja  Verapaz,  ejecutada  por  miembros  del</w:t>
        <w:br/>
        <w:t>Ejército de Guatemala y colaboradores civiles, bajo tutela del ejército,  el</w:t>
        <w:br/>
        <w:t>día domingo 18 de julio de  1982”.   Asimismo,  la  Comisión  señaló  en  su</w:t>
        <w:br/>
        <w:t>demanda que la masacre se encuentra en la impunidad, y que supuestamente  el</w:t>
        <w:br/>
        <w:t>Estado no ha realizado una investigación seria y  efectiva  para  establecer</w:t>
        <w:br/>
        <w:t>los  hechos,  juzgar  y  sancionar   a   los   responsables   materiales   e</w:t>
        <w:br/>
        <w:t>intelectuales de los hechos denunciados, ni ha reparado  las  consecuencias.</w:t>
        <w:br/>
        <w:t>Según la Comisión, la masacre fue perpetrada “en el marco  de  una  política</w:t>
        <w:br/>
        <w:t>genocida del Estado  guatemalteco realizada con la  intención  de  destruir,</w:t>
        <w:br/>
        <w:t>total o parcialmente, al pueblo indígena maya”.</w:t>
        <w:br/>
        <w:br/>
        <w:t>3.    Asimismo, la Comisión solicitó a la Corte que ordenara al  Estado  que</w:t>
        <w:br/>
        <w:t>adoptara  determinadas  reparaciones  pecuniarias  y  no  pecuniarias.   Por</w:t>
        <w:br/>
        <w:t>último, la Comisión solicitó que la Corte Interamericana ordenara al  Estado</w:t>
        <w:br/>
        <w:t>el pago de las costas y gastos originados  en  la  tramitación  del  caso  a</w:t>
        <w:br/>
        <w:t>nivel nacional y  a  nivel  internacional,  ante  los  órganos  del  sistema</w:t>
        <w:br/>
        <w:t>interamericano de protección de derechos humanos.</w:t>
        <w:br/>
        <w:br/>
        <w:br/>
        <w:br/>
        <w:br/>
        <w:t xml:space="preserve">                                     II</w:t>
        <w:br/>
        <w:br/>
        <w:br/>
        <w:t xml:space="preserve">                                 Competencia</w:t>
        <w:br/>
        <w:br/>
        <w:br/>
        <w:br/>
        <w:br/>
        <w:t>4.    Guatemala es Estado Parte en la Convención Americana desde  el  25  de</w:t>
        <w:br/>
        <w:t>mayo de 1978 y reconoció la competencia contenciosa de  la  Corte  el  9  de</w:t>
        <w:br/>
        <w:t>marzo de 1987.  Por tanto, la Corte es competente para conocer del  presente</w:t>
        <w:br/>
        <w:t>caso, en los términos del artículo 62 de la Convención.</w:t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br/>
        <w:t>5.    El 25 de octubre de 1996 el Centro para la Acción  Legal  en  Derechos</w:t>
        <w:br/>
        <w:t>Humanos presentó una denuncia ante la  Comisión  Interamericana.   El  1  de</w:t>
        <w:br/>
        <w:t>julio de 1997 la Comisión abrió el caso No. 11.763 y transmitió  las  partes</w:t>
        <w:br/>
        <w:t>pertinentes de la denuncia al Estado.</w:t>
        <w:br/>
        <w:br/>
        <w:t>6.    El 11 de marzo de 1999 la Comisión  Interamericana,  durante  su  102º</w:t>
        <w:br/>
        <w:t>Período Ordinario  de  Sesiones,  aprobó  el  Informe  No.  31/99  sobre  la</w:t>
        <w:br/>
        <w:t>admisibilidad del caso.</w:t>
        <w:br/>
        <w:br/>
        <w:t>7.    El 19 de marzo de 1999 la Comisión transmitió el Informe No.  31/99  a</w:t>
        <w:br/>
        <w:t>las partes y las invitó a pronunciarse sobre su disposición  de  iniciar  el</w:t>
        <w:br/>
        <w:t>procedimiento de solución amistosa.</w:t>
        <w:br/>
        <w:br/>
        <w:t>8.    El 9 de agosto de 2000 el Presidente de  Guatemala,  en  ese  entonces</w:t>
        <w:br/>
        <w:t>señor Alfonso Portillo, en el marco del  proceso  de  solución  amistosa  de</w:t>
        <w:br/>
        <w:t>varios casos que se encontraban en trámite ante la  Comisión,  reconoció  la</w:t>
        <w:br/>
        <w:t>“responsabilidad institucional” del  Estado  en  el  caso  Masacre  Plan  de</w:t>
        <w:br/>
        <w:t>Sánchez.</w:t>
        <w:br/>
        <w:br/>
        <w:t>9.    El 28 de febrero  de  2002,  durante  su  114°  Período  Ordinario  de</w:t>
        <w:br/>
        <w:t>Sesiones, la Comisión, después de analizar las posiciones de  las  partes  y</w:t>
        <w:br/>
        <w:t>considerar concluida la etapa de solución amistosa, aprobó,  de  conformidad</w:t>
        <w:br/>
        <w:t>con lo dispuesto en el artículo 50 de la Convención,  el  Informe  de  fondo</w:t>
        <w:br/>
        <w:t>No. 25/02, en cuya parte dispositiva recomendó al Estado:</w:t>
        <w:br/>
        <w:br/>
        <w:br/>
        <w:t xml:space="preserve">      1.    Realizar  una  investigación  especial,  rigurosa,  imparcial  y</w:t>
        <w:br/>
        <w:t xml:space="preserve">      efectiva  con  el  fin  de  juzgar  y  sancionar  a  los  responsables</w:t>
        <w:br/>
        <w:t xml:space="preserve">      materiales e intelectuales de la masacre de Plan de Sánchez.</w:t>
        <w:br/>
        <w:br/>
        <w:br/>
        <w:t xml:space="preserve">      2.    Reparar tanto en  el  ámbito  individual  como  comunitario  las</w:t>
        <w:br/>
        <w:t xml:space="preserve">      consecuencias de la violación de los derechos enunciados. Como medidas</w:t>
        <w:br/>
        <w:t xml:space="preserve">      de  reparación  deberán  incluirse  la  identificación  de  todas  las</w:t>
        <w:br/>
        <w:t xml:space="preserve">      víctimas de la masacre de Plan de Sánchez, así como una  indemnización</w:t>
        <w:br/>
        <w:t xml:space="preserve">      adecuada a sus familiares y los sobrevivientes de la misma.</w:t>
        <w:br/>
        <w:br/>
        <w:br/>
        <w:t xml:space="preserve">      3.    Adoptar las medidas necesarias para evitar que en el  futuro  se</w:t>
        <w:br/>
        <w:t xml:space="preserve">      produzcan hechos similares, conforme al deber de prevención y garantía</w:t>
        <w:br/>
        <w:t xml:space="preserve">      de los derechos fundamentales reconocidos en la Convención Americana.</w:t>
        <w:br/>
        <w:br/>
        <w:t>10.   El 1 de mayo de 2002 la Comisión transmitió dicho informe al Estado  y</w:t>
        <w:br/>
        <w:t>le otorgó un plazo de dos meses, contados desde su envío, para  cumplir  las</w:t>
        <w:br/>
        <w:t>recomendaciones allí formuladas.  Ese mismo día la Comisión, de  conformidad</w:t>
        <w:br/>
        <w:t>con el artículo 43.3 de su  Reglamento,  informó  a  los  peticionarios  que</w:t>
        <w:br/>
        <w:t>había emitido el Informe No. 25/02 y que lo había transmitido al  Estado,  y</w:t>
        <w:br/>
        <w:t>les otorgó el plazo de un mes para que presentaran su posición respecto  del</w:t>
        <w:br/>
        <w:t>sometimiento del caso a la Corte. El 30 de mayo de  2002  los  peticionarios</w:t>
        <w:br/>
        <w:t>manifestaron su interés en que el caso fuera sometido ante la Corte.</w:t>
        <w:br/>
        <w:br/>
        <w:t>11.   El 1 de julio de  2002  el  Estado  manifestó  que  había  actuado  de</w:t>
        <w:br/>
        <w:t>conformidad con  las  recomendaciones  de  la  Comisión,  contenidas  en  su</w:t>
        <w:br/>
        <w:t>Informe de fondo.</w:t>
        <w:br/>
        <w:br/>
        <w:t>12.   La Comisión Interamericana decidió someter el presente  caso  ante  la</w:t>
        <w:br/>
        <w:t>Corte Interamericana.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br/>
        <w:br/>
        <w:t>13.   El 31 de julio de 2002 la Comisión Interamericana presentó la  demanda</w:t>
        <w:br/>
        <w:t>ante la Corte.</w:t>
        <w:br/>
        <w:br/>
        <w:t>14.   De conformidad con el artículo 22 del Reglamento, la Comisión  designó</w:t>
        <w:br/>
        <w:t>como Delegados a la señora Susana Villarán y al  señor  Santiago  Canton,  y</w:t>
        <w:br/>
        <w:t>como asesores a las señoras María Claudia Pulido e  Isabel  Madariaga  y  al</w:t>
        <w:br/>
        <w:t>señor Ariel Dulitzky.  Asimismo, de  conformidad  con  el  artículo  33  del</w:t>
        <w:br/>
        <w:t>Reglamento, la Comisión informó que las víctimas y sus  familiares  estarían</w:t>
        <w:br/>
        <w:t>representados por el Centro para la Acción Legal  en  Derechos  Humanos  (en</w:t>
        <w:br/>
        <w:t>adelante “CALDH”, “los representantes de las víctimas y  sus  familiares”  o</w:t>
        <w:br/>
        <w:t>“los representantes”).</w:t>
        <w:br/>
        <w:br/>
        <w:t>15.   El 22 de agosto de 2002 la Secretaría de la  Corte  (en  adelante  “la</w:t>
        <w:br/>
        <w:t>Secretaría”), una vez realizado el examen preliminar de la  demanda  por  el</w:t>
        <w:br/>
        <w:t>Presidente de la Corte (en adelante “el Presidente”),  notificó  ésta  junto</w:t>
        <w:br/>
        <w:t>con sus anexos al Estado, y le informó sobre los plazos para  contestarla  y</w:t>
        <w:br/>
        <w:t>designar su representación en el proceso.   Ese  mismo  día  la  Secretaría,</w:t>
        <w:br/>
        <w:t>siguiendo instrucciones del Presidente, informó al Estado de  su  derecho  a</w:t>
        <w:br/>
        <w:t>designar un juez ad hoc para que participara en la consideración  del  caso.</w:t>
        <w:br/>
        <w:t>Igualmente, el 22 de agosto de 2002 la Secretaría notificó la demanda a  los</w:t>
        <w:br/>
        <w:t>representantes de las víctimas y sus familiares, y les informó que  contaban</w:t>
        <w:br/>
        <w:t>con  un  plazo  de  30  días  para  presentar  su  escrito  de  solicitudes,</w:t>
        <w:br/>
        <w:t>argumentos y pruebas.</w:t>
        <w:br/>
        <w:br/>
        <w:t>16.   El 27 de septiembre y el 1 de octubre de 2002  los  representantes  de</w:t>
        <w:br/>
        <w:t>las  víctimas  y  sus  familiares  remitieron  el  escrito  de  solicitudes,</w:t>
        <w:br/>
        <w:t>argumentos y pruebas y sus anexos, respectivamente.   El  3  de  octubre  de</w:t>
        <w:br/>
        <w:t>2002 la Secretaría remitió el escrito al Estado  y  a  la  Comisión,  y  les</w:t>
        <w:br/>
        <w:t>informó que contaban con un plazo de 30 días para  la  presentación  de  las</w:t>
        <w:br/>
        <w:t>observaciones que estimaran pertinentes.</w:t>
        <w:br/>
        <w:br/>
        <w:br/>
        <w:t>17.   El 1 de noviembre de 2002 la Comisión presentó  sus  observaciones  al</w:t>
        <w:br/>
        <w:t>escrito  de  solicitudes,  argumentos   y   pruebas   presentado   por   los</w:t>
        <w:br/>
        <w:t>representantes.</w:t>
        <w:br/>
        <w:br/>
        <w:t>18.   El 1 de  noviembre  de  2002  el  Estado  interpuso  tres  excepciones</w:t>
        <w:br/>
        <w:t>preliminares[1] y contestó la demanda.  En dicho escrito solicitó  que,  con</w:t>
        <w:br/>
        <w:t>base en  las  excepciones  preliminares  interpuestas,  la  Corte  declarara</w:t>
        <w:br/>
        <w:t>inadmisible la demanda presentada por la Comisión.</w:t>
        <w:br/>
        <w:br/>
        <w:t>19.   El 5 de noviembre de 2002 la Secretaría, siguiendo  instrucciones  del</w:t>
        <w:br/>
        <w:t>Presidente, concedió a la Comisión y a los representantes de las víctimas  y</w:t>
        <w:br/>
        <w:t>sus familiares un plazo  de  30  días  para  que  presentaran  sus  alegatos</w:t>
        <w:br/>
        <w:t>escritos sobre las excepciones preliminares interpuestas por el Estado.</w:t>
        <w:br/>
        <w:t>20.   El 11 de noviembre de 2002 los representantes de las  víctimas  y  sus</w:t>
        <w:br/>
        <w:t>familiares  presentaron  sus  alegatos  escritos   sobre   las   excepciones</w:t>
        <w:br/>
        <w:t>preliminares interpuestas por el Estado, y solicitaron a la  Corte  que  las</w:t>
        <w:br/>
        <w:t>declarara improcedentes.</w:t>
        <w:br/>
        <w:br/>
        <w:t>21.   El 27 de noviembre de 2002 la Comisión presentó sus alegatos  escritos</w:t>
        <w:br/>
        <w:t>sobre excepciones preliminares, en los cuales solicitó el rechazo de  dichas</w:t>
        <w:br/>
        <w:t>excepciones.</w:t>
        <w:br/>
        <w:br/>
        <w:t>22.   El 22 de enero de 2004 el señor Arturo  Martínez  Gálvez  presentó  su</w:t>
        <w:br/>
        <w:t>renuncia irrevocable del cargo de juez ad hoc, quien  había  sido  designado</w:t>
        <w:br/>
        <w:t>por el Estado el 20 de septiembre de 2002.   El  23  de  enero  de  2004  la</w:t>
        <w:br/>
        <w:t>Secretaría, siguiendo instrucciones del  Presidente,  otorgó  al  Estado  un</w:t>
        <w:br/>
        <w:t>plazo de 30 días para que designara un nuevo juez ad hoc.</w:t>
        <w:br/>
        <w:br/>
        <w:t>23.   El 3 de febrero de  2004  CALDH  designó  como  representante  de  las</w:t>
        <w:br/>
        <w:t>víctimas y sus familiares a la señora Lucy Turner  y  al  señor  Juan  Pablo</w:t>
        <w:br/>
        <w:t>Pons, en sustitución de los señores Carlos Loarca y Frank La Rue[2].</w:t>
        <w:br/>
        <w:br/>
        <w:t>24.   El 19 de febrero de 2004 el Presidente dictó una  Resolución  mediante</w:t>
        <w:br/>
        <w:t>la cual requirió a la Comisión, de conformidad  con  el  artículo  47.3  del</w:t>
        <w:br/>
        <w:t>Reglamento, que  los  señores  Benjamín  Manuel  Jerónimo  y  Eulalio  Grave</w:t>
        <w:br/>
        <w:t>Ramírez prestaran sus testimonios a través de  declaraciones  rendidas  ante</w:t>
        <w:br/>
        <w:t>fedatario público y que los señores  Luis  Rodolfo  Ramírez  García  y  José</w:t>
        <w:br/>
        <w:t>Fernando  Moscoso  Möller  también  prestaran  sus  peritajes  a  través  de</w:t>
        <w:br/>
        <w:t>declaraciones  rendidas  ante  fedatario  público,  las  cuales  debían  ser</w:t>
        <w:br/>
        <w:t>presentadas a más tardar el 11 de marzo de 2004 y serían transmitidas a  los</w:t>
        <w:br/>
        <w:t>representantes y al  Estado  para  que  presentaran  las  observaciones  que</w:t>
        <w:br/>
        <w:t>estimaren pertinentes.  Asimismo,  en  dicha  Resolución  se  convocó  a  la</w:t>
        <w:br/>
        <w:t>Comisión  Interamericana,  a  los  representantes  de  las  víctimas  y  sus</w:t>
        <w:br/>
        <w:t>familiares y al Estado a una audiencia pública que se celebraría en la  sede</w:t>
        <w:br/>
        <w:t>de la Corte a partir del 23 de abril de 2004,  para  escuchar  sus  alegatos</w:t>
        <w:br/>
        <w:t>finales  orales  sobre  excepciones  preliminares,   y   eventuales   fondo,</w:t>
        <w:br/>
        <w:t>reparaciones y costas, así como las declaraciones  de  los  testigos  y  los</w:t>
        <w:br/>
        <w:t>dictámenes de los peritos propuestos por la Comisión.</w:t>
        <w:br/>
        <w:br/>
        <w:t>25.   El 1 de marzo de 2004 el Estado designó  al  señor  Alejandro  Sánchez</w:t>
        <w:br/>
        <w:t>Garrido como Juez ad hoc para el conocimiento del presente caso.</w:t>
        <w:br/>
        <w:br/>
        <w:t>26.   El 11 de marzo de 2004 la  Comisión  presentó  el  testimonio  de  los</w:t>
        <w:br/>
        <w:t>señores Benjamín Manuel Jerónimo y Eulalio Grave Ramírez y  el  peritaje  de</w:t>
        <w:br/>
        <w:t>los señores Luis Rodolfo Ramírez García  y  José  Fernando  Moscoso  Möller,</w:t>
        <w:br/>
        <w:t>todos rendidos ante fedatario público.  El 12 y  15  de  marzo  de  2004  la</w:t>
        <w:br/>
        <w:t>Secretaría transmitió a los representantes  y  al  Estado,  respectivamente,</w:t>
        <w:br/>
        <w:t>los mencionados affidávits remitidos por la Comisión,  con  el  fin  de  que</w:t>
        <w:br/>
        <w:t>presentaran  las   observaciones   que   estimaren   pertinentes.    Ninguna</w:t>
        <w:br/>
        <w:t>observación fue presentada.</w:t>
        <w:br/>
        <w:br/>
        <w:t>27.   El 6 de abril de 2004 el  Estado  informó  que  había  designado  como</w:t>
        <w:br/>
        <w:t>agente al señor Herbert Estuardo Meneses  Coronado,  en  sustitución  de  la</w:t>
        <w:br/>
        <w:t>señora Rosa del Carmen Bejarano Girón, y como Agente Alterno al  señor  Luis</w:t>
        <w:br/>
        <w:t>Ernesto Cáceres Rodríguez[3].</w:t>
        <w:br/>
        <w:br/>
        <w:t>28.   El 21 de abril de 2004 el Instituto Comparado de Ciencias  Penales  en</w:t>
        <w:br/>
        <w:t>Guatemala (ICCPG), el Centro de  Estudios  sobre  Justicia  y  Participación</w:t>
        <w:br/>
        <w:t>(CEJIP) y  el  Instituto  de  Estudios  comparados  en  Ciencias  Penales  y</w:t>
        <w:br/>
        <w:t>Sociales (INECIP) presentaron un escrito en calidad de amici curiae.</w:t>
        <w:br/>
        <w:br/>
        <w:t>29.   El 23 de abril de 2004 la Corte celebró dos  audiencias  públicas,  en</w:t>
        <w:br/>
        <w:t>las cuales comparecieron:</w:t>
        <w:br/>
        <w:br/>
        <w:t>por la Comisión Interamericana de Derechos Humanos:</w:t>
        <w:br/>
        <w:br/>
        <w:t xml:space="preserve">            Susana Villarán, Delegada;</w:t>
        <w:br/>
        <w:t xml:space="preserve">            María Claudia Pulido, asesora; e</w:t>
        <w:br/>
        <w:t xml:space="preserve">            Isabel Madariaga, asesora;</w:t>
        <w:br/>
        <w:br/>
        <w:t>por los representantes de las víctimas y sus familiares:</w:t>
        <w:br/>
        <w:br/>
        <w:t xml:space="preserve">            Fernando Arturo López Antillón, representante;</w:t>
        <w:br/>
        <w:t xml:space="preserve">           Lucy Turner, representante; y</w:t>
        <w:br/>
        <w:t xml:space="preserve">           Juan Pablo Pons, representante;</w:t>
        <w:br/>
        <w:br/>
        <w:t>por el Estado de Guatemala:</w:t>
        <w:br/>
        <w:br/>
        <w:t xml:space="preserve">            Herbert Estuardo Meneses Coronado, Agente;</w:t>
        <w:br/>
        <w:t xml:space="preserve">            Luis Ernesto Cáceres Rodríguez, Agente Alterno; y</w:t>
        <w:br/>
        <w:t xml:space="preserve">            Mayra Alarcón Alba, Directora Ejecutiva de COPREDEH;</w:t>
        <w:br/>
        <w:br/>
        <w:t>testigos propuestos por la Comisión Interamericana de Derechos Humanos:</w:t>
        <w:br/>
        <w:br/>
        <w:br/>
        <w:t xml:space="preserve">           Juan Manuel Jerónimo;</w:t>
        <w:br/>
        <w:t xml:space="preserve">           Narcisa Corazón Jerónimo; y</w:t>
        <w:br/>
        <w:t xml:space="preserve">           Buenaventura Manuel Jerónimo;</w:t>
        <w:br/>
        <w:br/>
        <w:t>peritos propuestos por la Comisión Interamericana de Derechos Humanos:</w:t>
        <w:br/>
        <w:br/>
        <w:br/>
        <w:t xml:space="preserve">           Augusto Willemsen-Díaz; y</w:t>
        <w:br/>
        <w:t xml:space="preserve">           Nieves Gómez Dupuis.</w:t>
        <w:br/>
        <w:br/>
        <w:t>30.   En el curso de la  primera  audiencia  pública,  el  Estado  manifestó</w:t>
        <w:br/>
        <w:t>oralmente  y  por  escrito,  que  retiraba  las   excepciones   preliminares</w:t>
        <w:br/>
        <w:t>interpuestas y reconocía su responsabilidad  internacional  en  el  presente</w:t>
        <w:br/>
        <w:t>caso (infra párrs. 35 a 38).</w:t>
        <w:br/>
        <w:br/>
        <w:t>31.   El mismo 23  de  abril  de  2004  la  Comisión  Interamericana  y  los</w:t>
        <w:br/>
        <w:t>representantes  de  las  víctimas   y   sus   familiares,   respectivamente,</w:t>
        <w:br/>
        <w:t>manifestaron durante la audiencia pública, al igual que  de  forma  escrita,</w:t>
        <w:br/>
        <w:t>que aceptaban el reconocimiento de responsabilidad efectuado por el Estado.</w:t>
        <w:br/>
        <w:br/>
        <w:t>32.   El 23 de abril de 2004 Guatemala presentó un  segundo  escrito  en  el</w:t>
        <w:br/>
        <w:t>cual se refirió a la posición de la Comisión  y  de  los  representantes  en</w:t>
        <w:br/>
        <w:t>relación con el reconocimiento de responsabilidad internacional efectuado.</w:t>
        <w:br/>
        <w:br/>
        <w:t>33.   El 23 de abril de 2004,  con  posterioridad  a  la  conclusión  de  la</w:t>
        <w:br/>
        <w:t>primera audiencia pública y a la presentación de los referidos escritos,  la</w:t>
        <w:br/>
        <w:t>Corte emitió una Resolución en la cual decidió  tener  por  retiradas  todas</w:t>
        <w:br/>
        <w:t>las  excepciones  preliminares  interpuestas  por  el  Estado;  admitir   el</w:t>
        <w:br/>
        <w:t>reconocimiento de responsabilidad internacional efectuado por el  Estado,  y</w:t>
        <w:br/>
        <w:t>continuar  la  celebración  de  la  audiencia  pública  convocada   mediante</w:t>
        <w:br/>
        <w:t>Resolución del Presidente de 19 de febrero de 2004, y delimitar su objeto  a</w:t>
        <w:br/>
        <w:t>las reparaciones y costas.  En dicha  audiencia  pública  fueron  escuchadas</w:t>
        <w:br/>
        <w:t>las declaraciones de los testigos y  peritos  convocados  para  ésta  y  los</w:t>
        <w:br/>
        <w:t>alegatos de  la  Comisión  Interamericana,  de  los  representantes  de  las</w:t>
        <w:br/>
        <w:t>víctimas y sus familiares y del Estado.</w:t>
        <w:br/>
        <w:br/>
        <w:br/>
        <w:br/>
        <w:t xml:space="preserve">                                      V</w:t>
        <w:br/>
        <w:t xml:space="preserve">               Reconocimiento de Responsabilidad Internacional</w:t>
        <w:br/>
        <w:br/>
        <w:br/>
        <w:br/>
        <w:t>Alegatos del Estado</w:t>
        <w:br/>
        <w:br/>
        <w:t>34.   En la contestación de la demanda  el  Estado  señaló  que  durante  el</w:t>
        <w:br/>
        <w:t>trámite del presente caso ante la Comisión, el  9  de  agosto  de  2000,  el</w:t>
        <w:br/>
        <w:t>Presidente de la República de Guatemala, en ese  entonces  Alfonso  Portillo</w:t>
        <w:br/>
        <w:t>Cabrera, “reconoc[ió] la responsabilidad institucional sic  del  Estado  que</w:t>
        <w:br/>
        <w:t>deviene por el incumplimiento [de lo] impuesto por el artículo  1(1)  de  la</w:t>
        <w:br/>
        <w:t>Convención Americana de respetar y garantizar los  derechos  consagrados  en</w:t>
        <w:br/>
        <w:t>la Convención y de los artículos 1, 2 y 3 de  la  Constitución  Política  de</w:t>
        <w:br/>
        <w:t>Guatemala”, y además manifestó que “[…] con estos antecedentes  el  Gobierno</w:t>
        <w:br/>
        <w:t>guatemalteco acept[ó]  el  acaecimiento  de  los  hechos  constitutivos  que</w:t>
        <w:br/>
        <w:t>dieron  lugar  a  la  presentación  de  las  denuncias  ante   la   Comisión</w:t>
        <w:br/>
        <w:t>Interamericana de Derechos Humanos […]”.</w:t>
        <w:br/>
        <w:br/>
        <w:br/>
        <w:br/>
        <w:t>35.   El 23 de abril  de  2004  el  Estado,  tanto  en  sus  manifestaciones</w:t>
        <w:br/>
        <w:t>durante la primera  audiencia  pública  celebrada  ese  mismo  día  como  el</w:t>
        <w:br/>
        <w:t>escrito   que   presentó   al   respecto,   reconoció   su   responsabilidad</w:t>
        <w:br/>
        <w:t>internacional en el presente caso.</w:t>
        <w:br/>
        <w:br/>
        <w:t>36.  En el curso de la audiencia pública, el Estado, “con fundamento en  los</w:t>
        <w:br/>
        <w:t>hechos expuestos en el escrito de demanda de la […] Comisión  Interamericana</w:t>
        <w:br/>
        <w:t>de Derechos Humanos y [en el escrito de solicitudes, argumentos  y  pruebas]</w:t>
        <w:br/>
        <w:t>de [los representantes] ”:</w:t>
        <w:br/>
        <w:br/>
        <w:t xml:space="preserve">        1. Reiter[ó] el reconocimiento de  responsabilidad  del  Estado  de</w:t>
        <w:br/>
        <w:t xml:space="preserve">           Guatemala en el presente caso, hecho por el anterior  Presidente</w:t>
        <w:br/>
        <w:t xml:space="preserve">           de la República, Licenciado Alfonso Portillo  Cabrera  el  9  de</w:t>
        <w:br/>
        <w:t xml:space="preserve">           agosto de 2000.</w:t>
        <w:br/>
        <w:br/>
        <w:br/>
        <w:t xml:space="preserve">        2. Retir[ó] las excepciones preliminares presentadas por el  Estado</w:t>
        <w:br/>
        <w:t xml:space="preserve">           en el trámite del caso.</w:t>
        <w:br/>
        <w:br/>
        <w:br/>
        <w:t xml:space="preserve">        3. Reconoc[ió] su responsabilidad internacional por la violación de</w:t>
        <w:br/>
        <w:t xml:space="preserve">           los artículos 1.1, 5.1, 5.2, 8.1, 11, 16.1, 21.1, 21.2, 24 y  25</w:t>
        <w:br/>
        <w:t xml:space="preserve">           de la Convención Americana [sobre] Derechos Humanos; sin  entrar</w:t>
        <w:br/>
        <w:t xml:space="preserve">           a determinar la responsabilidad particular o individual  de  los</w:t>
        <w:br/>
        <w:t xml:space="preserve">           presuntos victimarios.</w:t>
        <w:br/>
        <w:br/>
        <w:br/>
        <w:t xml:space="preserve">        4. Reconoc[ió] su responsabilidad internacional  por  la  violación</w:t>
        <w:br/>
        <w:t xml:space="preserve">           del artículo  12.2,  12.3,  13.2  literal  (a)  y  13.5  por  no</w:t>
        <w:br/>
        <w:t xml:space="preserve">           garantizar la libertad de manifestar las  creencias  religiosas,</w:t>
        <w:br/>
        <w:t xml:space="preserve">           espirituales y culturales de los familiares de las […]  víctimas</w:t>
        <w:br/>
        <w:t xml:space="preserve">           y miembros de la comunidad.</w:t>
        <w:br/>
        <w:br/>
        <w:br/>
        <w:t xml:space="preserve">        5. […] no  entr[ó]  a  ponderar  lo  relacionado  con  el  tema  de</w:t>
        <w:br/>
        <w:t xml:space="preserve">           genocidio planteado en su escrito de demanda por la […] Comisión</w:t>
        <w:br/>
        <w:t xml:space="preserve">           y los  peticionarios,  por  no  ser  materia  de  la  Convención</w:t>
        <w:br/>
        <w:t xml:space="preserve">           Americana [sobre] Derechos Humanos.</w:t>
        <w:br/>
        <w:br/>
        <w:br/>
        <w:t xml:space="preserve">        6. Con base en el artículo 54  del  Reglamento  de  la  Corte,  […]</w:t>
        <w:br/>
        <w:t xml:space="preserve">           expres[ó] su voluntad  de  reparar  las  consecuencias  de  esas</w:t>
        <w:br/>
        <w:t xml:space="preserve">           violaciones, por lo que solicit[ó] a la […] Corte Interamericana</w:t>
        <w:br/>
        <w:t xml:space="preserve">           se  inicie  un  proceso   de   solución   amistosa   sobre   las</w:t>
        <w:br/>
        <w:t xml:space="preserve">           reparaciones,   con   la   Comisión   Interamericana    y    los</w:t>
        <w:br/>
        <w:t xml:space="preserve">           representantes de las […] víctimas, para que en el plazo  de  un</w:t>
        <w:br/>
        <w:t xml:space="preserve">           año se puedan discutir  y  acordar  las  medidas  de  reparación</w:t>
        <w:br/>
        <w:t xml:space="preserve">           correspondientes.</w:t>
        <w:br/>
        <w:br/>
        <w:br/>
        <w:t xml:space="preserve">        7. En caso […] de no  ser  aceptada  la  solicitud  del  Estado  de</w:t>
        <w:br/>
        <w:t xml:space="preserve">           arribar a una solución amistosa, […] solicit[ó] a la […]  Corte,</w:t>
        <w:br/>
        <w:t xml:space="preserve">           que en  el  marco  del  proceso  contencioso  se  super[ara]  la</w:t>
        <w:br/>
        <w:t xml:space="preserve">           audiencia de fondo, y  que  las  declaraciones  testimoniales  y</w:t>
        <w:br/>
        <w:t xml:space="preserve">           peritajes convocados, pas[aran] a ilustrar a la […] Corte  sobre</w:t>
        <w:br/>
        <w:t xml:space="preserve">           las medidas de reparación correspondientes.</w:t>
        <w:br/>
        <w:br/>
        <w:br/>
        <w:t xml:space="preserve">        8. Que en  cualquier  caso  en  se  obligue  al  Estado  a  reparar</w:t>
        <w:br/>
        <w:t xml:space="preserve">           económicamente  a  las  […]  víctimas  y  sus  familiares,   […]</w:t>
        <w:br/>
        <w:t xml:space="preserve">           solicit[ó] a la […] Corte que en razón del déficit fiscal por el</w:t>
        <w:br/>
        <w:t xml:space="preserve">           que atraviesa el país, se inicie el proceso de indemnización por</w:t>
        <w:br/>
        <w:t xml:space="preserve">           el Estado a  partir  del  año  2005,  una  vez  que  hayan  sido</w:t>
        <w:br/>
        <w:t xml:space="preserve">           depuradas las listas  de  las  […]  víctimas  y  familiares,  de</w:t>
        <w:br/>
        <w:t xml:space="preserve">           conformidad con las normas de derecho interno del Estado.</w:t>
        <w:br/>
        <w:br/>
        <w:br/>
        <w:t>37.   Asimismo, durante la primera audiencia pública, Guatemala indicó que:</w:t>
        <w:br/>
        <w:br/>
        <w:t xml:space="preserve">      conforme el Reglamento y las demandas que obran en el expediente, [ha]</w:t>
        <w:br/>
        <w:t xml:space="preserve">      manifestado […] no sólo verbalmente[,] sino por escrito, […]  que  […]</w:t>
        <w:br/>
        <w:t xml:space="preserve">      reconoce[…] la responsabilidad hecha por el [anterior]  Presidente  de</w:t>
        <w:br/>
        <w:t xml:space="preserve">      la República […], en función de la demanda de la […] Comisión  y  de[l</w:t>
        <w:br/>
        <w:t xml:space="preserve">      escrito de solicitudes, argumentos y pruebas] de los representantes de</w:t>
        <w:br/>
        <w:t xml:space="preserve">      las […] víctimas.  [El Estado] precis[ó] en qu[é] aspectos  reconoce[…</w:t>
        <w:br/>
        <w:t xml:space="preserve">      su]  responsabilidad  internacional  […]  y  [expresó  que  ha]   sido</w:t>
        <w:br/>
        <w:t xml:space="preserve">      explícito[…]  en  manifestar  [los]  artículos   que   se   consideran</w:t>
        <w:br/>
        <w:t xml:space="preserve">      violentados por el  Estado  y  que  también  están  incluidos  en  las</w:t>
        <w:br/>
        <w:t xml:space="preserve">      demandas de las partes.</w:t>
        <w:br/>
        <w:br/>
        <w:t>38.   En el segundo escrito presentado por el  Estado  el  23  de  abril  de</w:t>
        <w:br/>
        <w:t>2004, una vez conocida la posición de la Comisión y  de  los  representantes</w:t>
        <w:br/>
        <w:t>sobre su reconocimiento de responsabilidad internacional (supra  párr.  31),</w:t>
        <w:br/>
        <w:t>señaló, en cuanto a la manifestación  de  “los  representantes  de  las  […]</w:t>
        <w:br/>
        <w:t>víctimas, […] que  los  conceptos  vertidos  en  torno  a  que  existió  una</w:t>
        <w:br/>
        <w:t>política genocida,  es  una  apreciación  o  interpretación  propia  de  los</w:t>
        <w:br/>
        <w:t>señores representantes, por lo que […] reiter[ó] lo expuesto en  el  numeral</w:t>
        <w:br/>
        <w:t>5 de la declaratoria vertida al inicio de la audiencia”.</w:t>
        <w:br/>
        <w:br/>
        <w:t>Por  último,  en  la  audiencia  pública  Guatemala  expresó  “su   profundo</w:t>
        <w:br/>
        <w:t>sentimiento de pesar por los hechos vividos y sufridos por la  comunidad  de</w:t>
        <w:br/>
        <w:t>Plan de Sánchez, el 18 de julio de 1982, por lo que  en  nombre  del  Estado</w:t>
        <w:br/>
        <w:t>pid[ió] perdón a las víctimas, a los sobrevivientes y familiares;  como  una</w:t>
        <w:br/>
        <w:t>primera muestra de respeto, reparación y garantía de no repetición”.</w:t>
        <w:br/>
        <w:br/>
        <w:t>Alegatos de la Comisión</w:t>
        <w:br/>
        <w:br/>
        <w:t>39.   En la primera audiencia pública y en su escrito presentado  el  23  de</w:t>
        <w:br/>
        <w:t>abril  de  2004,  la  Comisión   Interamericana   manifestó   que   valoraba</w:t>
        <w:br/>
        <w:t>positivamente la declaración del Estado en el presente caso y  que  aceptaba</w:t>
        <w:br/>
        <w:t>el retiro de las excepciones preliminares interpuestas por éste.   Asimismo,</w:t>
        <w:br/>
        <w:t>la Comisión indicó que constataba que en la declaratoria del Estado, éste</w:t>
        <w:br/>
        <w:br/>
        <w:t xml:space="preserve">      reconoce su responsabilidad internacional  por  la  violación  de  los</w:t>
        <w:br/>
        <w:t xml:space="preserve">      derechos invocados en el petitorio de la demanda de la [Comisión y] en</w:t>
        <w:br/>
        <w:t xml:space="preserve">      el escrito de alegatos de los peticionarios, es decir, las violaciones</w:t>
        <w:br/>
        <w:t xml:space="preserve">      a los derechos a la integridad personal, a la protección  judicial,  a</w:t>
        <w:br/>
        <w:t xml:space="preserve">      las garantías judiciales, al derecho a la igualdad ante la ley,  a  la</w:t>
        <w:br/>
        <w:t xml:space="preserve">      libertad de conciencia y de religión, todos ellos en relación  con  la</w:t>
        <w:br/>
        <w:t xml:space="preserve">      obligación de respetar los derechos.   Asimismo,  los  derechos  a  la</w:t>
        <w:br/>
        <w:t xml:space="preserve">      honra y a [la] libertad de expresión y de asociación.  En ese sentido,</w:t>
        <w:br/>
        <w:t xml:space="preserve">      […]  la  [Comisión]  observ[ó]  que  fue  precisado  el  concepto   de</w:t>
        <w:br/>
        <w:t xml:space="preserve">      responsabilidad internacional del Estado por las violaciones cometidas</w:t>
        <w:br/>
        <w:t xml:space="preserve">      por sus agentes, respecto de la declaración del Estado de 9 de  agosto</w:t>
        <w:br/>
        <w:t xml:space="preserve">      de 2000.</w:t>
        <w:br/>
        <w:br/>
        <w:t>A su vez, la Comisión constató que el Estado  reconoció  en  su  declaración</w:t>
        <w:br/>
        <w:t>los hechos objeto de la demanda y del escrito de solicitudes,  argumentos  y</w:t>
        <w:br/>
        <w:t>pruebas de  los  representantes  de  las  víctimas  y  sus  familiares.   La</w:t>
        <w:br/>
        <w:t>Comisión concluyó que, “como  lo  hiciera  la  Comisión  de  Esclarecimiento</w:t>
        <w:br/>
        <w:t>Histórico, los  hechos  fueron  realizados  en  el  marco  de  una  política</w:t>
        <w:br/>
        <w:t>genocida dirigida contra el pueblo maya”.  En consecuencia,  solicitó  a  la</w:t>
        <w:br/>
        <w:t>Corte que diera por establecidos los hechos y los incluyera en la  sentencia</w:t>
        <w:br/>
        <w:t>que emita en el presente caso.</w:t>
        <w:br/>
        <w:br/>
        <w:br/>
        <w:br/>
        <w:t>40.   Asimismo, la Comisión  aceptó  el  reconocimiento  de  responsabilidad</w:t>
        <w:br/>
        <w:t>internacional efectuado por el Estado y solicitó a la Corte que  determinara</w:t>
        <w:br/>
        <w:t>sus efectos jurídicos, de conformidad con el artículo 53.2  del  Reglamento.</w:t>
        <w:br/>
        <w:t>Por último, la Comisión declinó la propuesta de solución amistosa  formulada</w:t>
        <w:br/>
        <w:t>por el Estado y solicitó a la Corte que pasara a la etapa de reparaciones.</w:t>
        <w:br/>
        <w:br/>
        <w:t>Alegatos de los representantes de las víctimas y sus familiares</w:t>
        <w:br/>
        <w:br/>
        <w:t>41.   Durante la primera audiencia pública y en su escrito de  23  de  abril</w:t>
        <w:br/>
        <w:t>de 2004 los representantes de las  víctimas  y  sus  familiares  también  se</w:t>
        <w:br/>
        <w:t>refirieron al reconocimiento de responsabilidad internacional efectuado  por</w:t>
        <w:br/>
        <w:t>el Estado.  En este sentido, manifestaron que “valora[ban] la aceptación  de</w:t>
        <w:br/>
        <w:t>la responsabilidad internacional” hecha por Guatemala.   Los  representantes</w:t>
        <w:br/>
        <w:t>señalaron que el reconocimiento realizado implica la  aceptación  del  fondo</w:t>
        <w:br/>
        <w:t>de los hechos alegados por la Comisión en su demanda  y  de  los  argumentos</w:t>
        <w:br/>
        <w:t>vertidos en el escrito de solicitudes, argumentos y  pruebas  presentado  el</w:t>
        <w:br/>
        <w:t>27  de  septiembre  de  2002.   Asimismo,  indicaron  que,   mediante   este</w:t>
        <w:br/>
        <w:t>reconocimiento, “el Estado acept[a] la  impunidad  en  la  que  continúa  la</w:t>
        <w:br/>
        <w:t>[M]asacre […] Plan de Sánchez, la cual se dio en el marco  de  una  política</w:t>
        <w:br/>
        <w:t>genocida” y no aceptaron la propuesta de solución amistosa del  Estado  para</w:t>
        <w:br/>
        <w:t>la determinación de las reparaciones.   Además,  solicitaron  que  la  Corte</w:t>
        <w:br/>
        <w:t>escuchara a los testigos y peritos convocados, porque  ello  constituía  una</w:t>
        <w:br/>
        <w:t>forma de reparación y restitución  integral  para  toda  la  comunidad.   En</w:t>
        <w:br/>
        <w:t>consecuencia, los representantes solicitaron a  la  Corte  que  iniciara  la</w:t>
        <w:br/>
        <w:t>etapa de reparaciones.</w:t>
        <w:br/>
        <w:br/>
        <w:t xml:space="preserve">                                      *</w:t>
        <w:br/>
        <w:t xml:space="preserve">                                   *     *</w:t>
        <w:br/>
        <w:br/>
        <w:t xml:space="preserve">                             Hechos Establecidos</w:t>
        <w:br/>
        <w:br/>
        <w:br/>
        <w:t>42.   La Corte considera que los  siguientes  hechos  forman  parte  de  los</w:t>
        <w:br/>
        <w:t>antecedentes y del  contexto  que  ésta  abordará  en  el  ejercicio  de  su</w:t>
        <w:br/>
        <w:t>competencia.</w:t>
        <w:br/>
        <w:br/>
        <w:t>En relación con el contexto histórico</w:t>
        <w:br/>
        <w:br/>
        <w:br/>
        <w:t>42.1. entre los años 1962 y 1996  en  Guatemala  hubo  un  conflicto  armado</w:t>
        <w:br/>
        <w:t>interno que significó grandes costos humanos, materiales, institucionales  y</w:t>
        <w:br/>
        <w:t>morales;</w:t>
        <w:br/>
        <w:br/>
        <w:br/>
        <w:t>42.2. durante el conflicto armado interno el  Estado  aplicó  la  denominada</w:t>
        <w:br/>
        <w:t>“Doctrina de Seguridad Nacional” como respuesta a la acción o  doctrina  del</w:t>
        <w:br/>
        <w:t>movimiento insurgente.  En el marco de esa doctrina se fue  acrecentando  la</w:t>
        <w:br/>
        <w:t>intervención del poder militar para enfrentar a la subversión, concepto  que</w:t>
        <w:br/>
        <w:t>incluía a toda persona u organización que representara  cualquier  forma  de</w:t>
        <w:br/>
        <w:t>oposición del Estado, con lo  cual  dicha  noción  se  equiparaba  a  la  de</w:t>
        <w:br/>
        <w:t>“enemigo interno”;</w:t>
        <w:br/>
        <w:br/>
        <w:t>42.3. el 23 de marzo de 1982, como resultado  de  un  golpe  de  Estado,  en</w:t>
        <w:br/>
        <w:t>Guatemala se instaló una  Junta  Militar  de  Gobierno  presidida  por  José</w:t>
        <w:br/>
        <w:t>Efraín Ríos Montt e integrada,  además,  por  los  vocales  Horacio  Egberto</w:t>
        <w:br/>
        <w:t>Maldonado Schaad y Francisco Luis Gordillo Martínez[4];</w:t>
        <w:br/>
        <w:br/>
        <w:t>42.4. en abril de 1982 la Junta Militar de Gobierno de  la  época  dictó  el</w:t>
        <w:br/>
        <w:t>“Plan Nacional de Seguridad  y  Desarrollo”,  el  que  establecía  objetivos</w:t>
        <w:br/>
        <w:t>nacionales  en  términos  militares,  administrativos,  legales,   sociales,</w:t>
        <w:br/>
        <w:t>económicos y políticos. Dicho  Plan  identificó  las  principales  áreas  de</w:t>
        <w:br/>
        <w:t>conflicto.  La Junta Militar y  el  Alto  Mando  diseñaron  y  ordenaron  la</w:t>
        <w:br/>
        <w:t>implementación de un plan de campaña militar llamado “Victoria 82”, para  lo</w:t>
        <w:br/>
        <w:t>cual utilizó  nuevas  definiciones  estratégicas  dentro  del  marco  de  la</w:t>
        <w:br/>
        <w:t>contrainsurgencia  y  los  objetivos  del  “Plan  Nacional  de  Seguridad  y</w:t>
        <w:br/>
        <w:t>Desarrollo”;</w:t>
        <w:br/>
        <w:br/>
        <w:t>42.5. la época más violenta de este conflicto correspondió a los años  1978-</w:t>
        <w:br/>
        <w:t>1983, cuando los operativos militares se concentraron en  las  regiones  del</w:t>
        <w:br/>
        <w:t>Quiché, Huehuetenango, Chimaltenango, Alta y Baja Verapaz, la  costa  sur  y</w:t>
        <w:br/>
        <w:t>Ciudad de Guatemala.  Durante estos años, la  política  contrainsurgente  en</w:t>
        <w:br/>
        <w:t>Guatemala  se  caracterizó  por  “acciones   militares   destinadas   a   la</w:t>
        <w:br/>
        <w:t>destrucción de grupos y comunidades como tales así  como  al  desplazamiento</w:t>
        <w:br/>
        <w:t>geográfico forzado  de  comunidades  indígenas  cuando  se  las  consideraba</w:t>
        <w:br/>
        <w:t>posibles auxiliares de la guerrilla”[5];</w:t>
        <w:br/>
        <w:br/>
        <w:t>42.6. estas acciones militares, ejecutadas con conocimiento o por  orden  de</w:t>
        <w:br/>
        <w:t>las  más  altas  autoridades  del  Estado,  consistieron  principalmente  en</w:t>
        <w:br/>
        <w:t>matanzas de población indefensa, conocidas como masacres y  “operaciones  de</w:t>
        <w:br/>
        <w:t>tierra arrasada”.  De  acuerdo  con  el  Informe  de  la  Comisión  para  el</w:t>
        <w:br/>
        <w:t>Esclarecimiento Histórico,  alrededor  de  626  masacres  fueron  ejecutadas</w:t>
        <w:br/>
        <w:t>mediante actos de crueldad dirigidos a la  eliminación  de  las  personas  o</w:t>
        <w:br/>
        <w:t>grupos  de  personas  previamente  identificadas  como   objetivo   de   los</w:t>
        <w:br/>
        <w:t>operativos militares  y  dirigidos  a  provocar  terror  como  mecanismo  de</w:t>
        <w:br/>
        <w:t>control social;</w:t>
        <w:br/>
        <w:br/>
        <w:br/>
        <w:t>42.7. el Ejército de Guatemala, con fundamento en la “Doctrina de  Seguridad</w:t>
        <w:br/>
        <w:t>Nacional”,  identificó  a  los  miembros  del  pueblo  indígena  maya   como</w:t>
        <w:br/>
        <w:t>“enemigos internos”, por considerar que constituían o podían  constituir  la</w:t>
        <w:br/>
        <w:t>base social de la guerrilla.  Estos pueblos fueron víctimas  de  masacres  y</w:t>
        <w:br/>
        <w:t>“operaciones de tierra arrasada” que significaron  la  destrucción  completa</w:t>
        <w:br/>
        <w:t>de sus  comunidades,  viviendas,  ganado,  cosechas  y  otros  elementos  de</w:t>
        <w:br/>
        <w:t>supervivencia, su cultura, el uso de sus propios  símbolos  culturales,  sus</w:t>
        <w:br/>
        <w:t>instituciones sociales, económicas y  políticas,  sus  valores  y  prácticas</w:t>
        <w:br/>
        <w:t>culturales y religiosas;</w:t>
        <w:br/>
        <w:br/>
        <w:t>42.8. en el año 1990 se  inició  el  proceso  de  negociaciones  de  paz  en</w:t>
        <w:br/>
        <w:t>Guatemala, el  que  culminó  en  1996.   El  Gobierno  de  la  República  de</w:t>
        <w:br/>
        <w:t>Guatemala y la Unidad Revolucionaria Nacional de Guatemala  (URNG),  con  la</w:t>
        <w:br/>
        <w:t>participación de la Sociedad Civil,  suscribieron  doce  acuerdos.   Uno  de</w:t>
        <w:br/>
        <w:t>esos, firmado el 23 de junio de 1994, versó sobre “el establecimiento de  la</w:t>
        <w:br/>
        <w:t>Comisión  para  el  Esclarecimiento  Histórico  de  las  violaciones  a  los</w:t>
        <w:br/>
        <w:t>derechos humanos y los hechos de violencia que han  causado  sufrimientos  a</w:t>
        <w:br/>
        <w:t>la población guatemalteca”.  La Comisión para el  Esclarecimiento  Histórico</w:t>
        <w:br/>
        <w:t>inició sus trabajos el 31 de julio de 1997 y entregó su  informe  el  25  de</w:t>
        <w:br/>
        <w:t>febrero de 1999.  Dicha Comisión conoció de  numerosas  masacres,  incluidas</w:t>
        <w:br/>
        <w:t>las del Municipio de Rabinal, Departamento de Baja Verapaz de Guatemala;</w:t>
        <w:br/>
        <w:br/>
        <w:t>En relación con la aldea Plan de Sánchez</w:t>
        <w:br/>
        <w:br/>
        <w:t>42.9.  el  Municipio  de  Rabinal  es  uno  de  los  ocho   municipios   del</w:t>
        <w:br/>
        <w:t>Departamento de Baja Verapaz que  está  situado  en  la  región  central  de</w:t>
        <w:br/>
        <w:t>Guatemala.  Este Municipio está formado por la cabecera  municipal  o  casco</w:t>
        <w:br/>
        <w:t>urbano, catorce aldeas y sesenta caseríos.  Una de las aldeas del  municipio</w:t>
        <w:br/>
        <w:t>es Plan de Sánchez, ubicada a nueve kilómetros de la cabecera municipal,  en</w:t>
        <w:br/>
        <w:t>el área sur de la sierra de Chuacús y en el  camino  que  conduce  hacia  la</w:t>
        <w:br/>
        <w:t>aldea de Concul;</w:t>
        <w:br/>
        <w:br/>
        <w:br/>
        <w:t>42.10.      la zona está habitada predominantemente por miembros del  pueblo</w:t>
        <w:br/>
        <w:t>indígena maya perteneciente a la comunidad lingüística achí;</w:t>
        <w:br/>
        <w:br/>
        <w:br/>
        <w:t>42.11.      desde inicios del año 1982 el Ejército de Guatemala mantuvo  una</w:t>
        <w:br/>
        <w:t>fuerte presencia en la zona de Rabinal, incluyendo la aldea Plan de  Sánchez</w:t>
        <w:br/>
        <w:t>y sus comunidades vecinas.  Los comisionados  militares[6]  y  los  miembros</w:t>
        <w:br/>
        <w:t>del ejército preguntaban periódicamente en las comunidades de la zona  sobre</w:t>
        <w:br/>
        <w:t>los desplazamientos de los hombres, intimidando y amenazando con  sus  armas</w:t>
        <w:br/>
        <w:t>a la población local;</w:t>
        <w:br/>
        <w:br/>
        <w:br/>
        <w:t>42.12.      los  habitantes  de  Plan  de  Sánchez  eran  acusados  por  los</w:t>
        <w:br/>
        <w:t>militares de pertenecer a la guerrilla, ya que se negaban  a  participar  en</w:t>
        <w:br/>
        <w:t>las  Patrullas  de  Autodefensa  Civil[7]  (en  adelante  las  “PAC”).    En</w:t>
        <w:br/>
        <w:t>consecuencia, en Plan de Sánchez existía un clima de temor considerable  que</w:t>
        <w:br/>
        <w:t>ocasionó que los  hombres  abandonaran  la  comunidad  para  esconderse  del</w:t>
        <w:br/>
        <w:t>ejército;</w:t>
        <w:br/>
        <w:br/>
        <w:br/>
        <w:t>42.13.      a pesar del temor imperante en la zona,  algunos  habitantes  de</w:t>
        <w:br/>
        <w:t>Plan de Sánchez realizaron denuncias ante el Juez de Paz de Rabinal por  las</w:t>
        <w:br/>
        <w:t>amenazas permanentes de que eran objeto por parte de miembros del  ejército,</w:t>
        <w:br/>
        <w:t>comisionados militares y miembros de  las  PAC[8].   Estas  denuncias  nunca</w:t>
        <w:br/>
        <w:t>fueron consideradas por las autoridades judiciales.  Por lo  contrario,  sus</w:t>
        <w:br/>
        <w:t>denunciantes fueron multados;</w:t>
        <w:br/>
        <w:br/>
        <w:br/>
        <w:t>42.14.      a comienzos del mes de julio  de  1982  un  avión  sobrevoló  la</w:t>
        <w:br/>
        <w:t>aldea Plan de Sánchez y bombardeó sectores cercanos a  zonas  pobladas.   El</w:t>
        <w:br/>
        <w:t>15 de julio de 1982 una unidad  del  ejército  instaló  en  dicha  aldea  un</w:t>
        <w:br/>
        <w:t>campamento temporal, con el objeto de inspeccionar las casas, preguntar  por</w:t>
        <w:br/>
        <w:t>el paradero de los hombres de la comunidad y amenazar a sus habitantes;</w:t>
        <w:br/>
        <w:br/>
        <w:br/>
        <w:t>En relación con la Masacre Plan de Sánchez</w:t>
        <w:br/>
        <w:br/>
        <w:br/>
        <w:t>42.15.      el domingo 18 de julio de 1982 era día de  mercado  en  Rabinal.</w:t>
        <w:br/>
        <w:t>Éste era uno de los días más  activos  en  la  cabecera  municipal  por  sus</w:t>
        <w:br/>
        <w:t>actividades religiosas y comerciales.  Los pobladores de las aldeas  vecinas</w:t>
        <w:br/>
        <w:t>pasaban por Plan de Sánchez hacia sus comunidades;</w:t>
        <w:br/>
        <w:br/>
        <w:t>42.16.      aproximadamente a las 8:00 de la mañana del 18 de julio de  1982</w:t>
        <w:br/>
        <w:t>fueron lanzadas dos granadas de mortero calibre 105  m.m.  en  la  comunidad</w:t>
        <w:br/>
        <w:t>Plan de Sánchez, las que cayeron al este y al oeste de la aldea;</w:t>
        <w:br/>
        <w:br/>
        <w:t>42.17.      entre las 2:00 y las 3:00 de la tarde llegó a  Plan  de  Sánchez</w:t>
        <w:br/>
        <w:t>un comando  de  aproximadamente  60  personas  compuesto  por  miembros  del</w:t>
        <w:br/>
        <w:t>ejército, comisionados  militares,  judiciales[9],  denunciantes  civiles  y</w:t>
        <w:br/>
        <w:t>patrulleros, quienes estaban vestidos con uniforme militar y con  rifles  de</w:t>
        <w:br/>
        <w:t>asalto.  Algunos miembros del comando vigilaban  los  puntos  de  entrada  y</w:t>
        <w:br/>
        <w:t>salida a la comunidad, interceptando a  los  habitantes  que  regresaban  de</w:t>
        <w:br/>
        <w:t>Rabinal hacia sus comunidades y otros iban de puerta en puerta  reuniendo  a</w:t>
        <w:br/>
        <w:t>los pobladores.   En  ese  momento,  varias  personas  lograron  esconderse,</w:t>
        <w:br/>
        <w:t>especialmente los hombres, ya que consideraban que a las  mujeres  y  a  los</w:t>
        <w:br/>
        <w:t>niños y niñas no los perseguirían.  Algunos  testigos  identificaron  a  los</w:t>
        <w:br/>
        <w:t>judiciales Francisco Orrego, Carlos Orrego y Santos Rosales y a dos  de  los</w:t>
        <w:br/>
        <w:t>oficiales militares a cargo  de  la  patrulla,  el  Capitán   Solares  y  el</w:t>
        <w:br/>
        <w:t>Teniente Díaz.  Los oficiales pertenecían  a  la  base  de  Cobán.   Algunos</w:t>
        <w:br/>
        <w:t>miembros del ejército procedían de Concul, Plan de  Sánchez  y  Xococ.   Los</w:t>
        <w:br/>
        <w:t>judiciales eran de Pachalum, Pichec y de Rabinal;</w:t>
        <w:br/>
        <w:br/>
        <w:t>42.18.      las niñas y las mujeres jóvenes  fueron  llevadas  a  un  lugar,</w:t>
        <w:br/>
        <w:t>mientras que las mujeres mayores, los hombres y los  niños  fueron  reunidos</w:t>
        <w:br/>
        <w:t>en otro. Aproximadamente veinte niñas de entre 12 y 20 años de  edad  fueron</w:t>
        <w:br/>
        <w:t>llevadas a una casa donde fueron maltratadas, violadas  y  asesinadas.   Los</w:t>
        <w:br/>
        <w:t>demás niños y niñas fueron apartados y asesinados a golpes;</w:t>
        <w:br/>
        <w:br/>
        <w:br/>
        <w:t>42.19.       otras personas retenidas fueron  obligadas  a  concentrarse  en</w:t>
        <w:br/>
        <w:t>otra casa y en su patio.  Alrededor de las 5:00 de  la  tarde  miembros  del</w:t>
        <w:br/>
        <w:t>comando arrojaron dos granadas de mano  al  interior  de  la  casa  y  luego</w:t>
        <w:br/>
        <w:t>dispararon sus armas de fuego indiscriminadamente contra  las  personas  que</w:t>
        <w:br/>
        <w:t>allí se encontraban;</w:t>
        <w:br/>
        <w:br/>
        <w:br/>
        <w:t>42.20.      pobladores de la aldea Plan de  Sánchez  y  comunidades  vecinas</w:t>
        <w:br/>
        <w:t>oyeron disparos de arma de fuego por más de dos horas, hasta las 8:00 de  la</w:t>
        <w:br/>
        <w:t>noche.  Después miembros del comando incendiaron la casa y  los  cuerpos  de</w:t>
        <w:br/>
        <w:t>las personas asesinadas en el patio.   El  comando  permaneció  en  Plan  de</w:t>
        <w:br/>
        <w:t>Sánchez hasta cerca de las 11:00 de la noche y retornó a Rabinal;</w:t>
        <w:br/>
        <w:br/>
        <w:t>42.21.      alrededor de 268  personas  fueron  ejecutadas  en  la  masacre,</w:t>
        <w:br/>
        <w:t>quienes eran en su mayoría miembros  del  pueblo  maya  achí  y  algunas  no</w:t>
        <w:br/>
        <w:t>indígenas residentes en otras comunidades aledañas como Chipuerta,  Joya  de</w:t>
        <w:br/>
        <w:t>Ramos, Raxjut, Volcanillo, Coxojabaj, Las Tunas, Las  Minas,  Las  Ventanas,</w:t>
        <w:br/>
        <w:t>Ixchel, Chiac, Concul y Chichupac[10];</w:t>
        <w:br/>
        <w:br/>
        <w:t>En relación con hechos posteriores a la Masacre Plan de Sánchez</w:t>
        <w:br/>
        <w:br/>
        <w:t>42.22.      el 19 de julio de 1982 por la  mañana,  los  residentes  que  no</w:t>
        <w:br/>
        <w:t>habían estado presentes o que habían escapado regresaron a la aldea Plan  de</w:t>
        <w:br/>
        <w:t>Sánchez y encontraron que la casa incendiada aún  humeaba  y  que  la  mayor</w:t>
        <w:br/>
        <w:t>parte de los cadáveres estaban  irreconocibles.   Ninguna  de  las  víctimas</w:t>
        <w:br/>
        <w:t>encontradas dentro de la casa  pudo  ser  reconocida,  debido  a  las  altas</w:t>
        <w:br/>
        <w:t>temperaturas a las que sus cuerpos habían sido  sometidos.   Los  restos  de</w:t>
        <w:br/>
        <w:t>las víctimas ubicados en el patio  estaban  parcialmente  cubiertos  por  el</w:t>
        <w:br/>
        <w:t>techo de la casa que había caído  sobre  ellos,  y  presentaban  heridas  de</w:t>
        <w:br/>
        <w:t>armas de fuego principalmente en la cabeza, el pecho y la espalda.   Por  la</w:t>
        <w:br/>
        <w:t>tarde, algunos animales domésticos empezaron a comerse  los  restos  de  las</w:t>
        <w:br/>
        <w:t>víctimas quemadas;</w:t>
        <w:br/>
        <w:br/>
        <w:br/>
        <w:t>42.23.      los comisionados militares de Chipuerta y  Concul  que  llegaron</w:t>
        <w:br/>
        <w:t>al lugar, fueron a consultar a la base militar de Rabinal  sobre  qué  hacer</w:t>
        <w:br/>
        <w:t>con los cuerpos de las víctimas.  Regresaron a la aldea  entre  las  3:00  y</w:t>
        <w:br/>
        <w:t>las 4:00 de la  tarde  acompañados  por  miembros  de  las  PAC  locales,  y</w:t>
        <w:br/>
        <w:t>ordenaron  a  los  sobrevivientes  que  enterraran  rápidamente  todos   los</w:t>
        <w:br/>
        <w:t>cadáveres en el lugar de la masacre, bajo amenaza de que si no lo hacían  en</w:t>
        <w:br/>
        <w:t>una hora la comunidad  sería  bombardeada.   La  mayoría  de  los  cadáveres</w:t>
        <w:br/>
        <w:t>fueron enterrados en el mismo lugar de la  masacre.   Varios  familiares  de</w:t>
        <w:br/>
        <w:t>las víctimas de la aldea de Concul se llevaron los cuerpos para  enterrarlos</w:t>
        <w:br/>
        <w:t>en su cementerio;</w:t>
        <w:br/>
        <w:br/>
        <w:br/>
        <w:t>42.24.      miembros del comando  saquearon  y  destruyeron  las  viviendas,</w:t>
        <w:br/>
        <w:t>robaron sus pertenencias, su comida, sus animales y sus efectos  personales,</w:t>
        <w:br/>
        <w:t>tales como: certificados  de  matrimonio,  documentos  de  identificación  y</w:t>
        <w:br/>
        <w:t>títulos de tierra; regresaron varias veces a la aldea Plan  de  Sánchez  con</w:t>
        <w:br/>
        <w:t>ese propósito y amenazaban a  los  pobladores  que  habían  regresado.   Los</w:t>
        <w:br/>
        <w:t>sobrevivientes, por temor a ser asesinados, se  turnaban  para  vigilar  las</w:t>
        <w:br/>
        <w:t>entradas a la aldea, y así poder seguir con sus tareas y trabajo de campo;</w:t>
        <w:br/>
        <w:br/>
        <w:t>42.25.      los sobrevivientes de la masacre, por el temor de  lo  ocurrido,</w:t>
        <w:br/>
        <w:t>las amenazas  y  hostigamientos  por  parte  de  los  comisionados,  de  los</w:t>
        <w:br/>
        <w:t>miembros de las PAC y del ejército, decidieron abandonar progresivamente  la</w:t>
        <w:br/>
        <w:t>aldea durante las semanas y meses siguientes a la masacre.  Algunos  de  los</w:t>
        <w:br/>
        <w:t>sobrevivientes se refugiaron en las montañas y otros en lugares  como  Chol,</w:t>
        <w:br/>
        <w:t>San Gabriel y la capital.  Los que se refugiaron en la montaña  no  llevaban</w:t>
        <w:br/>
        <w:t>consigo alimentos y tenían poca ropa.  Dadas las  condiciones  precarias  en</w:t>
        <w:br/>
        <w:t>que se encontraban se enfermaban, en particular  los  niños  y  ancianos,  y</w:t>
        <w:br/>
        <w:t>algunos incluso murieron.  Los desplazados eran perseguidos por  las  PAC  y</w:t>
        <w:br/>
        <w:t>por el ejército.  Los sobrevivientes desplazados  permanecieron  por  varios</w:t>
        <w:br/>
        <w:t>años fuera de la comunidad;</w:t>
        <w:br/>
        <w:br/>
        <w:br/>
        <w:t>42.26.      dos años y medio después de ocurrida la  masacre,  los  hermanos</w:t>
        <w:br/>
        <w:t>Buenaventura  Manuel  Jerónimo,  Benjamín  Manuel  Jerónimo,   Juan   Manuel</w:t>
        <w:br/>
        <w:t>Jerónimo y Salvador Jerónimo Sánchez regresaron a la cabecera  municipal  de</w:t>
        <w:br/>
        <w:t>Rabinal y se presentaron ante el comisionado militar Lucas Tecú,  quien  los</w:t>
        <w:br/>
        <w:t>dejó permanecer en la zona, bajo la amenaza que tenían que  ingresar  a  las</w:t>
        <w:br/>
        <w:t>PAC y a patrullar aldeas aledañas a la cabecera municipal.   Por  orden  del</w:t>
        <w:br/>
        <w:t>comisionado militar no se les permitió cultivar su tierra,  reconstruir  sus</w:t>
        <w:br/>
        <w:t>viviendas ni vivir en la  aldea  Plan  de  Sánchez.   Tuvieron  que  residir</w:t>
        <w:br/>
        <w:t>durante un año en la aldea Coxojabaj, a dos kilómetros de la aldea  Plan  de</w:t>
        <w:br/>
        <w:t>Sánchez.   Otras  familias  de  sobrevivientes  desplazados  que  regresaron</w:t>
        <w:br/>
        <w:t>fueron obligadas a vivir en la cabecera municipal de Rabinal;</w:t>
        <w:br/>
        <w:br/>
        <w:t>42.27.      posteriormente a los sobrevivientes  se  les  permitió  trabajar</w:t>
        <w:br/>
        <w:t>sus tierras.  En el año 1985 se les autorizó a vivir en  la  aldea  Plan  de</w:t>
        <w:br/>
        <w:t>Sánchez,  siempre  bajo  la  supervisión  y  amenaza  del  ejército  y   del</w:t>
        <w:br/>
        <w:t>comisionado  militar.   Muchos  sobrevivientes,  al  no  tener  los   medios</w:t>
        <w:br/>
        <w:t>económicos suficientes para vivir, se vieron obligados a  integrarse  en  el</w:t>
        <w:br/>
        <w:t>ejército como único medio para ganar  lo  necesario  para  comprar  semilla,</w:t>
        <w:br/>
        <w:t>madera, láminas y tejas para poder  reasentarse  en  la  comunidad  Plan  de</w:t>
        <w:br/>
        <w:t>Sánchez.</w:t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>42.28.      En 1987, aproximadamente veinte familias habían regresado  a  la</w:t>
        <w:br/>
        <w:t>aldea.  Sin embargo, estas familias siguieron siendo objeto de amenazas  por</w:t>
        <w:br/>
        <w:t>parte del comisionado militar, quien en reiteradas  ocasiones  les  advirtió</w:t>
        <w:br/>
        <w:t>que debían permanecer en silencio respecto de los  hechos  relacionados  con</w:t>
        <w:br/>
        <w:t>la masacre, si no querían tener problemas que podrían causarles  la  muerte;</w:t>
        <w:br/>
        <w:t>además, el comisionado obligó a los hombres de las familias  a  asociarse  a</w:t>
        <w:br/>
        <w:t>las PAC.  Esta obligación continuó hasta 1996, año en  que  las  PAC  fueron</w:t>
        <w:br/>
        <w:t>disueltas legalmente;</w:t>
        <w:br/>
        <w:br/>
        <w:t>42.29.      durante los años sucesivos a la  masacre  el  temor  fundado  de</w:t>
        <w:br/>
        <w:t>persecución,  la  amenaza  y  el  control  permanentes  por  parte  de   las</w:t>
        <w:br/>
        <w:t>autoridades  militares  en  la  zona,  inhibieron  a  los  sobrevivientes  y</w:t>
        <w:br/>
        <w:t>familiares a  buscar  justicia  y  denunciar  los  cementerios  clandestinos</w:t>
        <w:br/>
        <w:t>ubicados en la aldea.  En 1992 los sobrevivientes y los  familiares  de  las</w:t>
        <w:br/>
        <w:t>personas ejecutadas en la masacre informaron a  las  autoridades  judiciales</w:t>
        <w:br/>
        <w:t>los datos necesarios para la  ubicación  de  los  cementerios  clandestinos.</w:t>
        <w:br/>
        <w:t>Después de haber dado esa información, fueron hostigados  y  amenazados  por</w:t>
        <w:br/>
        <w:t>agentes del Estado;</w:t>
        <w:br/>
        <w:br/>
        <w:t>42.30.      la comunidad Plan de Sánchez sólo pudo realizar el  entierro  de</w:t>
        <w:br/>
        <w:t>algunos de sus familiares conforme a las ceremonias mayas, a  sus  creencias</w:t>
        <w:br/>
        <w:t>y religiosidad a partir del año 1994;</w:t>
        <w:br/>
        <w:br/>
        <w:br/>
        <w:t>En relación con las diligencias judiciales</w:t>
        <w:br/>
        <w:t>42.31.      el 10 de diciembre de 1992  se  denunció  la  existencia  de  un</w:t>
        <w:br/>
        <w:t>cementerio clandestino en la aldea Plan de Sánchez.  El 7 de  mayo  de  1993</w:t>
        <w:br/>
        <w:t>la  Procuraduría  de  los  Derechos  Humanos  presentó,  en  nombre  de   la</w:t>
        <w:br/>
        <w:t>comunidad, una denuncia al Ministerio Público por la masacre ocurrida en  la</w:t>
        <w:br/>
        <w:t>aldea Plan de Sánchez.  El 12 de agosto de 1993 la  pastoral  social  de  la</w:t>
        <w:br/>
        <w:t>Diócesis de Verapaz informó a la Procuraduría de  los  Derechos  Humanos  en</w:t>
        <w:br/>
        <w:t>Baja Verapaz sobre la ubicación del cementerio clandestino, lo cual se  puso</w:t>
        <w:br/>
        <w:t>en conocimiento de las autoridades judiciales;</w:t>
        <w:br/>
        <w:t>42.32.      las autoridades judiciales iniciaron la causa No. 391/93  en  el</w:t>
        <w:br/>
        <w:t>Juzgado de Primera Instancia de Salamá, Baja Verapaz,  y  en  el  Ministerio</w:t>
        <w:br/>
        <w:t>Público, donde le fue asignado el mismo número de  expediente,  conforme  al</w:t>
        <w:br/>
        <w:t>sistema procesal penal vigente en esa época;</w:t>
        <w:br/>
        <w:br/>
        <w:t>42.33.      el 6 de junio de 1994 se  autorizó  al  Equipo  de  Antropología</w:t>
        <w:br/>
        <w:t>Forense  de  Guatemala  (en  adelante  “EAFG”)  realizar  la  diligencia  de</w:t>
        <w:br/>
        <w:t>exhumación, la cual se inició el día 8 de  ese  mismo  mes  y  año,  con  la</w:t>
        <w:br/>
        <w:t>presencia  del  Procurador  de   los   Derechos   Humanos.    Los   trabajos</w:t>
        <w:br/>
        <w:t>antropológicos terminaron a  finales  del  mes  de  agosto  de  1994.   Como</w:t>
        <w:br/>
        <w:t>resultado de esa diligencia se exhumaron los restos óseos  de  84  personas,</w:t>
        <w:br/>
        <w:t>de 21 fosas comunes ubicadas en el centro de la aldea Plan de  Sánchez.   El</w:t>
        <w:br/>
        <w:t>7 de abril de 1995 el EAFG entregó a la  Fiscalía  Distrital  de  Salamá  el</w:t>
        <w:br/>
        <w:t>informe  de  investigaciones  antropológicos  forenses  y  adjuntó  a  dicho</w:t>
        <w:br/>
        <w:t>informe el material balístico recuperado en las exhumaciones;</w:t>
        <w:br/>
        <w:br/>
        <w:br/>
        <w:t>42.34.      cuando el EAFG realizaba las exhumaciones en la  comunidad  Plan</w:t>
        <w:br/>
        <w:t>de Sánchez, advirtió la existencia de otra fosa  clandestina  que  no  había</w:t>
        <w:br/>
        <w:t>sido denunciada originalmente, situada un kilómetro al sureste de las  fosas</w:t>
        <w:br/>
        <w:t>comunes ubicadas en el centro de la aldea, conocida como la fosa No. 22;</w:t>
        <w:br/>
        <w:br/>
        <w:t>42.35.      el 10 de agosto de 1994 la Procuraduría de los Derechos  Humanos</w:t>
        <w:br/>
        <w:t>solicitó al Ministerio Público la ampliación de la diligencia de  exhumación</w:t>
        <w:br/>
        <w:t>a la fosa No. 22.  El 12 de agosto de 1994 el  Ministerio  Público  solicitó</w:t>
        <w:br/>
        <w:t>al Juez de  Primera  Instancia  de  Baja  Verapaz  la  ampliación  de  dicha</w:t>
        <w:br/>
        <w:t>diligencia.  El Juez resolvió  que  por  tratarse  de  un  hecho  nuevo,  la</w:t>
        <w:br/>
        <w:t>diligencia debía realizarse por el  Ministerio  Público,  en  virtud  de  la</w:t>
        <w:br/>
        <w:t>entrada en vigencia de un nuevo código de procedimiento  penal.   El  25  de</w:t>
        <w:br/>
        <w:t>agosto y el 30 de septiembre  de  1994,  la  Procuraduría  de  los  Derechos</w:t>
        <w:br/>
        <w:t>Humanos solicitó al Ministerio  Público  que  autorizara  la  diligencia  de</w:t>
        <w:br/>
        <w:t>exhumación de los cadáveres ubicados en la fosa No.  22.   Los  días  28  de</w:t>
        <w:br/>
        <w:t>julio de 1995 y 27 de febrero  de  1996  la  Procuraduría  de  los  Derechos</w:t>
        <w:br/>
        <w:t>Humanos solicitó nuevamente la referida ampliación.   Finalmente,  el  3  de</w:t>
        <w:br/>
        <w:t>mayo de 1996, el Ministerio Público solicitó al Juez  de  Primera  Instancia</w:t>
        <w:br/>
        <w:t>ordenar  la  exhumación  de  la  fosa  No.  22  y  nombrar  los  peritos  de</w:t>
        <w:br/>
        <w:t>antropología forense.  El 6 de mayo de 1996 dicho  Juez  decretó  el  inicio</w:t>
        <w:br/>
        <w:t>del nuevo procedimiento bajo el No. 344/95;</w:t>
        <w:br/>
        <w:br/>
        <w:t>42.36.      el 14 de agosto de 1996 el EAFG inició la  investigación  de  la</w:t>
        <w:br/>
        <w:t>fosa No. 22 del cementerio clandestino de la  aldea  Plan  de  Sánchez.   La</w:t>
        <w:br/>
        <w:t>fase de arqueología concluyó el día 16 de agosto de 1996 con  la  exhumación</w:t>
        <w:br/>
        <w:t>de 4 osamentas.  El 22 de diciembre de 1997  el  EAFG  presentó  el  informe</w:t>
        <w:br/>
        <w:t>antropológico forense al Fiscal Distrital del Ministerio Público de  Salamá,</w:t>
        <w:br/>
        <w:t>Baja Verapaz;</w:t>
        <w:br/>
        <w:br/>
        <w:t>42.37.      el 2 de septiembre de  1996  la  Procuraduría  de  los  Derechos</w:t>
        <w:br/>
        <w:t>Humanos emitió una Resolución sobre las masacres Plan de Sánchez,  Chichupac</w:t>
        <w:br/>
        <w:t>y Río Negro, todas ocurridas en Rabinal, Baja Verapaz.  En dicha  Resolución</w:t>
        <w:br/>
        <w:t>se estableció la responsabilidad de los  agentes  estatales,  incluidas  las</w:t>
        <w:br/>
        <w:t>PAC, los comisionados militares, los miembros del ejército  y  oficiales  de</w:t>
        <w:br/>
        <w:t>alto nivel, por no haber protegido a  la  población  local  y  por  intentar</w:t>
        <w:br/>
        <w:t>encubrir los delitos para asegurar la impunidad de los autores materiales  e</w:t>
        <w:br/>
        <w:t>intelectuales.  La Resolución de la Procuraduría  de  los  Derechos  Humanos</w:t>
        <w:br/>
        <w:t>concluyó que esas  masacres  fueron  llevadas  a  cabo  como  parte  de  una</w:t>
        <w:br/>
        <w:t>política estatal premeditada;</w:t>
        <w:br/>
        <w:br/>
        <w:t>42.38.      el 13 de febrero de 1997 los señores Salvador Jerónimo  Sánchez,</w:t>
        <w:br/>
        <w:t>Buenaventura  Manuel  Jerónimo,  Adrián  Cajbon  Jerónimo,  Benjamín  Manuel</w:t>
        <w:br/>
        <w:t>Jerónimo, Pedro Grave Cajbon y Juan Manuel Jerónimo, solicitaron al Juez  de</w:t>
        <w:br/>
        <w:t>Primera Instancia Penal  de  Baja  Verapaz  su  admisión  como  querellantes</w:t>
        <w:br/>
        <w:t>adhesivos en los procesos No. 391/93 y  344/95.   Asimismo,  solicitaron  al</w:t>
        <w:br/>
        <w:t>Ministerio Público que estableciera,  por  conducto  del  Ministerio  de  la</w:t>
        <w:br/>
        <w:t>Defensa Nacional, los nombres de las personas  que  integraban  la  patrulla</w:t>
        <w:br/>
        <w:t>militar que efectuó la masacre en la aldea Plan de  Sánchez,  la  estructura</w:t>
        <w:br/>
        <w:t>jerárquica del ejército de esa época, la  identificación  de  los  oficiales</w:t>
        <w:br/>
        <w:t>que la encabezaban y la determinación de sus  responsabilidades.   Por  otra</w:t>
        <w:br/>
        <w:t>parte, solicitaron que se practicara  el  peritaje  balístico  del  material</w:t>
        <w:br/>
        <w:t>encontrado en el cementerio clandestino, se recibieran las declaraciones  de</w:t>
        <w:br/>
        <w:t>los testigos y se valoraran los informes de antropología forense  referentes</w:t>
        <w:br/>
        <w:t>a las 22 fosas exhumadas en Plan de Sánchez.  El 25 de febrero  de  1997  el</w:t>
        <w:br/>
        <w:t>Juez de Primera Instancia Penal de Baja Verapaz admitió a  los  solicitantes</w:t>
        <w:br/>
        <w:t>como querellantes adhesivos;</w:t>
        <w:br/>
        <w:br/>
        <w:t>42.39.      los días 4 de junio y 24 de julio de 1997 y 29 de enero de  1998</w:t>
        <w:br/>
        <w:t>los querellantes  solicitaron  al  Ministerio  Público  la  realización  del</w:t>
        <w:br/>
        <w:t>dictamen pericial sobre el material balístico.  El 28 de agosto de  1997  el</w:t>
        <w:br/>
        <w:t>Juez de Primera Instancia de Cobán, donde había sido cambiada la  radicación</w:t>
        <w:br/>
        <w:t>de la  investigación  penal  con  el  No.  1618/97,  ordenó  a  la  Fiscalía</w:t>
        <w:br/>
        <w:t>practicar el peritaje balístico.  Ante  el  posible  extravío  del  material</w:t>
        <w:br/>
        <w:t>balístico, el 24 de noviembre de 1997 los querellantes solicitaron  al  Juez</w:t>
        <w:br/>
        <w:t>de Primera Instancia  Penal  de  Cobán  información  sobre  el  lugar  y  el</w:t>
        <w:br/>
        <w:t>funcionario responsable de la custodia del  referido  material.   El  25  de</w:t>
        <w:br/>
        <w:t>noviembre de 1997  dicho  Juez  solicitó  información  al  Juez  de  Primera</w:t>
        <w:br/>
        <w:t>Instancia de Salamá sobre la ubicación del material  balístico.   El  26  de</w:t>
        <w:br/>
        <w:t>enero de 1998 los querellantes denunciaron públicamente el extravío  de  ese</w:t>
        <w:br/>
        <w:t>material y en escritos del 29 de mayo de 1998, 5 de junio  de  1998,  27  de</w:t>
        <w:br/>
        <w:t>agosto de 1998 y 21 de enero de  2000  solicitaron  que  se  investigara  su</w:t>
        <w:br/>
        <w:t>paradero y se realizara el análisis correspondiente;</w:t>
        <w:br/>
        <w:br/>
        <w:t>42.40.      el material balístico correspondiente a las fosas  No.  1  a  la</w:t>
        <w:br/>
        <w:t>No. 21 permaneció extraviado desde enero de 1998  hasta  comienzos  del  año</w:t>
        <w:br/>
        <w:t>2000, cuando apareció en la sede  de  la  Fiscalía  de  Salamá.   El  10  de</w:t>
        <w:br/>
        <w:t>febrero de 2000 la Fiscalía Distrital de  Salamá  solicitó  el  análisis  de</w:t>
        <w:br/>
        <w:t>laboratorio  del  material  balístico  de  la  Sección  de   Balística   del</w:t>
        <w:br/>
        <w:t>Departamento Técnico Científico del Ministerio Público, el  cual  rindió  su</w:t>
        <w:br/>
        <w:t>informe el 7 de marzo del año 2000;</w:t>
        <w:br/>
        <w:br/>
        <w:t>42.41.      el 27 de mayo de 1997 los querellantes prestaron su  declaración</w:t>
        <w:br/>
        <w:t>ante el Ministerio  Público  e  identificaron  como  los  supuestos  autores</w:t>
        <w:br/>
        <w:t>materiales de la  masacre  a  los  soldados  Eusebio  Galeano,  Julián  Acoj</w:t>
        <w:br/>
        <w:t>Morales, Mario Acoj Morales, Andrés Galeano, al Comisionado  Militar  Moisés</w:t>
        <w:br/>
        <w:t>Manuel, a los miembros de la G-2 uniformados Carlos Orrego Oliva,  Francisco</w:t>
        <w:br/>
        <w:t>Orrega  García,  Rosalio  Tecú,  Santos  Rosales,  Pedro  Melchor,  Everardo</w:t>
        <w:br/>
        <w:t>García, Jesús Torres, Roberto Galeano Manuel y Roel Augusto Juárez, y a  los</w:t>
        <w:br/>
        <w:t>militares que dirigían la patrulla Teniente Díaz y  Capitán  Solares.   Como</w:t>
        <w:br/>
        <w:t>supuestos autores intelectuales denunciaron al alto mando  del  ejército  de</w:t>
        <w:br/>
        <w:t>esa  época.   A  su  vez,  solicitaron  que  se  realice  la   investigación</w:t>
        <w:br/>
        <w:t>pertinente para que se haga justicia;</w:t>
        <w:br/>
        <w:br/>
        <w:t>42.42.      los días 27 de mayo y  4  de  junio  de  1997  los  querellantes</w:t>
        <w:br/>
        <w:t>reiteraron al Ministerio Público su solicitud  de  requerir  información  al</w:t>
        <w:br/>
        <w:t>Ministerio de la Defensa Nacional sobre los  miembros  de  la  patrulla  que</w:t>
        <w:br/>
        <w:t>cometieron la masacre.  El 18 de junio de 1997 los querellantes  solicitaron</w:t>
        <w:br/>
        <w:t>al fiscal que tramitara ante el Juez  de  la  causa  “la  orden  de  captura</w:t>
        <w:br/>
        <w:t>contra los imputados y se ejecutara de forma inmediata por  los  delitos  de</w:t>
        <w:br/>
        <w:t>asesinato,  violación  calificada,  robo  agravado,  genocidio  y  abuso  de</w:t>
        <w:br/>
        <w:t>autoridad”.  Asimismo, el 27 de agosto de 1997 los querellantes  solicitaron</w:t>
        <w:br/>
        <w:t>al Juzgado de Primera Instancia de Cobán que pidiera  al  Ministerio  de  la</w:t>
        <w:br/>
        <w:t>Defensa Nacional la información requerida;</w:t>
        <w:br/>
        <w:br/>
        <w:br/>
        <w:t>42.43.      el 28 de agosto de 1997 el Juez de Primera  Instancia  de  Cobán</w:t>
        <w:br/>
        <w:t>requirió a la Fiscalía que solicitara al Ministerio de la  Defensa  Nacional</w:t>
        <w:br/>
        <w:t>los nombres completos del Capitán Solares y del Teniente  Díaz.   El  12  de</w:t>
        <w:br/>
        <w:t>noviembre de 1997  el  Ministerio  Público  solicitó  al  Ministerio  de  la</w:t>
        <w:br/>
        <w:t>Defensa Nacional que informara a la Fiscalía si el día 18 de julio  de  1982</w:t>
        <w:br/>
        <w:t>estaban de  alta  en  el  destacamento  militar  de  Rabinal  los  oficiales</w:t>
        <w:br/>
        <w:t>Teniente Díaz y Capitán Solares, que indicara  el  nombre  completo  de  los</w:t>
        <w:br/>
        <w:t>mismos, el rango que tenían, si se encontraban de alta en la  institución  a</w:t>
        <w:br/>
        <w:t>su cargo, así como su ubicación, y de los soldados Julián Acoj, Mario  Acoj,</w:t>
        <w:br/>
        <w:t>Eusebio Galeano, Roberto Galeano y Moisés Manuel;</w:t>
        <w:br/>
        <w:br/>
        <w:br/>
        <w:br/>
        <w:br/>
        <w:t>42.44.      el 24 de noviembre  de  1997  los  querellantes  solicitaron  al</w:t>
        <w:br/>
        <w:t>Juzgado de Primera Instancia Penal que  ampliara  la  Resolución  de  28  de</w:t>
        <w:br/>
        <w:t>agosto de 1997 y  solicitara  al  Ministerio  de  la  Defensa  Nacional  los</w:t>
        <w:br/>
        <w:t>nombres de los miembros del ejército  y  de  las  patrullas  de  autodefensa</w:t>
        <w:br/>
        <w:t>civil comandadas por el Teniente Díaz y el Capitán Solares y el  detalle  de</w:t>
        <w:br/>
        <w:t>la  estructura  jerárquica  del  Ejército  de  Guatemala  en  la  época  que</w:t>
        <w:br/>
        <w:t>ocurrieron los hechos.  El 25 de noviembre el Juzgado accedió a la  petición</w:t>
        <w:br/>
        <w:t>y ordenó al Ministerio  de  la  Defensa  Nacional  que  proporcionara  dicha</w:t>
        <w:br/>
        <w:t>información;</w:t>
        <w:br/>
        <w:br/>
        <w:br/>
        <w:br/>
        <w:t>42.45.       el  21  de  enero  de  2000  los  querellantes  solicitaron  al</w:t>
        <w:br/>
        <w:t>Ministerio Público que requiriera al Ministerio de la Defensa  Nacional  que</w:t>
        <w:br/>
        <w:t>informara el nombre del Ministro de la Defensa de la época  de  la  masacre,</w:t>
        <w:br/>
        <w:t>del Jefe del Estado Mayor General, de los Comandantes  de  la  zona  militar</w:t>
        <w:br/>
        <w:t>No. 5 con sede en Salamá, de los Comandantes del destacamento  con  sede  en</w:t>
        <w:br/>
        <w:t>Rabinal, y de los oficiales que comandaban al Ejército de Guatemala  el  día</w:t>
        <w:br/>
        <w:t>de los hechos.  El 12  de  mayo  de  2000  los  querellantes  reiteraron  la</w:t>
        <w:br/>
        <w:t>petición;</w:t>
        <w:br/>
        <w:br/>
        <w:br/>
        <w:br/>
        <w:t>42.46.      en el expediente  No.  1618/97  adelantado  por  el  Juzgado  de</w:t>
        <w:br/>
        <w:t>Primera Instancia Penal de Cobán no consta respuesta  alguna  de  parte  del</w:t>
        <w:br/>
        <w:t>Ministerio de la  Defensa  Nacional  a  los  requerimientos  de  información</w:t>
        <w:br/>
        <w:t>elevados por las autoridades judiciales guatemaltecas.   Ningún  agente  del</w:t>
        <w:br/>
        <w:t>Estado, inclusive aquellos imputados por los querellados, fueron llamados  a</w:t>
        <w:br/>
        <w:t>declarar, por lo que  ninguna  persona  fue  jurídicamente  vinculada  a  la</w:t>
        <w:br/>
        <w:t>investigación.  A la fecha se desconoce el estado proceso penal;</w:t>
        <w:br/>
        <w:br/>
        <w:br/>
        <w:t>En relación con las personas ejecutadas en la Masacre Plan de Sánchez</w:t>
        <w:br/>
        <w:br/>
        <w:t>42.47.      hasta la fecha las siguientes personas que fueron ejecutadas  en</w:t>
        <w:br/>
        <w:t>la masacre han sido identificadas[11]:</w:t>
        <w:br/>
        <w:br/>
        <w:t>Alvarado  Corazón,  María  Dolores;  Alvarado  Ixtecóc,  Agustina;  Alvarado</w:t>
        <w:br/>
        <w:t>Manuel,  Héctor  Rolando;  Alvarado  Padilla,  Felipa  de  Jesús;   Alvarado</w:t>
        <w:br/>
        <w:t>Raxcacó,  Antonia;  Alvarado  Raxcacó,  Jaime;  Alvarado   Raxcacó,   Mario;</w:t>
        <w:br/>
        <w:t>Alvarado Raxcacó, Nolverto; Álvarez Pérez, Victoria; Álvarez  Pérez,  Elisa;</w:t>
        <w:br/>
        <w:t>Ampérez Tecú, Evaristo; Ampérez, Juana; Buenaventura  López,  Juan;  Cahuec,</w:t>
        <w:br/>
        <w:t>Jerónima;  Cajbón  Cornelio;  Cajbón  Galeano,  Dionisio;  Cajbón   Galeano,</w:t>
        <w:br/>
        <w:t>Francisca; Cajbón Grave,  Carmela;  Cajbón  Grave,  Ismelda;  Cajbón  Grave,</w:t>
        <w:br/>
        <w:t>Juana; Cajbón  Grave,  Rodrigo;  Cajbón  Manuel,  Balvina;  Cajbón  Morales,</w:t>
        <w:br/>
        <w:t>Juana;  Cajbón,  Francisca;  Cajbón,  Pedrina;  Corazón  Jerónimo,  Dominga;</w:t>
        <w:br/>
        <w:t>Corazón Tecú, María; Corazón, Andrés; Corazón, Fabiana; Corazón,  Francisca;</w:t>
        <w:br/>
        <w:t>Corazón, Juan; Cortéz Tecú, Victoria; Cujá Matías, Alejandra;  Cujá  Matías,</w:t>
        <w:br/>
        <w:t>Cleotilde; Cujá  Matías,  Margarita;  Cujá  Matías,  Rufino;  Cujá  Sánchez,</w:t>
        <w:br/>
        <w:t>Anastacio; Chajáj Luis, Mariana;  Chajáj,  Fabiana;  Chajáj,  Matilda;  Chen</w:t>
        <w:br/>
        <w:t>Depaz, Juan; Chinchilla Guzmán, Magdaleno; Galeano  Rojas,  Genaro;  Galeano</w:t>
        <w:br/>
        <w:t>Galeano,  Fabiana;  Galeano  Galeano,  Francisca;  Galeano  Galeano,  María;</w:t>
        <w:br/>
        <w:t>Galeano  González,  Juliana;  Galeano  González,  Rosario;  Galeano   López,</w:t>
        <w:br/>
        <w:t>Narcisa;  García  Caballeros,  Gumercinda;  García  García,  Daniel;  García</w:t>
        <w:br/>
        <w:t>López, Santos; García López,  Timoteo;  González,  Mercedes;  Grave  Cajbón,</w:t>
        <w:br/>
        <w:t>Angelina; Grave  Cajbón,  Esmelda;  Grave  Cajbón,  Esteban;  Grave  Cajbón,</w:t>
        <w:br/>
        <w:t>Francisco; Grave Cajbón, Hilda;  Grave  Cajbón,  José  Cruz;  Grave  Cajbón,</w:t>
        <w:br/>
        <w:t>Juana; Grave  Cajbón,  Maria  Dominga;  Grave  Cajbón,  María  Elena;  Grave</w:t>
        <w:br/>
        <w:t>Juárez,  Felisa;  Grave  Manuel,  Guillerma;  Grave  Ramírez,  Lucía;  Grave</w:t>
        <w:br/>
        <w:t>Ramírez,  María;  Guzmán  Alvarado,  Benjamín  Orlando;  Hernández  Galeano,</w:t>
        <w:br/>
        <w:t>Pilar; Hernández Galeano, Roberto; Hernández,  Pablo;  Ivoy  Acoj,  Demesia;</w:t>
        <w:br/>
        <w:t>Iboy Morales, Faustina; Iboy Morales,  Raquel;  Iboy,  Demesio;  Ic  Manuel,</w:t>
        <w:br/>
        <w:t>Florencia; Ic Rojas, María Dolores; Ic,  Lorenza;  Ixpatá,  Josefa;  Ixpatá,</w:t>
        <w:br/>
        <w:t>Martina; Jerónimo Corazón, Cecilio; Jerónimo  Corazón,  Francisca;  Jerónimo</w:t>
        <w:br/>
        <w:t>Corazón, Jacinto; Jerónimo  Corazón,  Julia;  Jerónimo  Corazón,  Margarita;</w:t>
        <w:br/>
        <w:t>Jerónimo Corazón,  Silvia;  Jerónimo  Corazón,  Virgilio;  Jerónimo  Chajaj,</w:t>
        <w:br/>
        <w:t>Esteban; Jerónimo Grave, Julia; Jerónimo  Grave,  Narciso;  Jerónimo  Grave,</w:t>
        <w:br/>
        <w:t>Vicenta; Jerónimo Grave, Victoria; Jerónimo Ixpatá, Félix; Jerónimo  Ixpatá,</w:t>
        <w:br/>
        <w:t>Maximiliana; Jerónimo Raxcacó,  Hilda;  Jerónimo  Raxcacó,  Laura;  Jerónimo</w:t>
        <w:br/>
        <w:t>Raxcacó,  Lidia;  Jerónimo  Raxcacó,  María;  Jerónimo   Sánchez,   Paulina;</w:t>
        <w:br/>
        <w:t>Jerónimo  Sánchez,  Elvira;  Jerónimo   Sánchez,   Pedro;   Jerónimo   Tecú,</w:t>
        <w:br/>
        <w:t>Bernardina; Jerónimo Tecú,  Candelaria;  Jerónimo  Tecú,  Delfina;  Jerónimo</w:t>
        <w:br/>
        <w:t>Tecú, Filadelfo; Jerónimo Tecú, Francisca; Jerónimo Tecú,  Gabina;  Jerónimo</w:t>
        <w:br/>
        <w:t>Tecú, Rosalía; Jerónimo, Rufina;  Juárez  Ampérez,  Lucas;  Juárez  Ampérez,</w:t>
        <w:br/>
        <w:t>Prudencio; Juárez Ampérez, Salvador; Juárez Ampérez, Teresa; Juárez  Coloch,</w:t>
        <w:br/>
        <w:t>Agustina; Juárez  Chen,  Higinio;  Juárez  Grave,  Ciriaco;  Juárez  Manuel,</w:t>
        <w:br/>
        <w:t>Felisa; Morales, Santiago; Juárez, Susana; Juárez, Felícita; Juárez,  María;</w:t>
        <w:br/>
        <w:t>Juárez, Martín; López Cahuec, Felipa; López, Fidelina; López,  Juan;  Manuel</w:t>
        <w:br/>
        <w:t>Jerónimo,  Elda;  Manuel  Jerónimo,  Angelina;  Manuel  Jerónimo,  Graciela;</w:t>
        <w:br/>
        <w:t>Manuel Jerónimo, Rosa; Manuel Xitumul,  Baudilio  Enrique;  Manuel  Xitumul,</w:t>
        <w:br/>
        <w:t>María Hilda; Manuel Xitumul, María Zoila;  Matías  Pérez,  Pedrina;  Morales</w:t>
        <w:br/>
        <w:t>Corazón, Bonifacio; Morales Fernández, Venancia;  Morales  Ivoy,  Bernabela;</w:t>
        <w:br/>
        <w:t>Morales Iboy,  Martina;  Morales  Pérez,  Ricarda;  Morales  Pocop,  Martín;</w:t>
        <w:br/>
        <w:t>Morales Xitumul, Fidel; Morales Xolop, María Senaida; Pérez García,  Raquel;</w:t>
        <w:br/>
        <w:t>Raxcacó Juárez, Marcela; Raxcacó  Tecú,  Francisco;  Raxcacó  Tum,  Marcela;</w:t>
        <w:br/>
        <w:t>Reyes Guzmán, Eduardo; Reyes Mejicanos, Arnulfo; Rojas  Galeano,  Francisco;</w:t>
        <w:br/>
        <w:t>Sánchez Oxlaj, María Dolores; Sesam Tecú,  Jesús;  Soto  Tejeda,  Eustaquio;</w:t>
        <w:br/>
        <w:t>Tecú Chajáj, Benedicto; Tecú  Chajáj,  Daniel;  Tecú  Chajáj,  Gabina;  Tecú</w:t>
        <w:br/>
        <w:t>López, Francisco; Tecú Manuel, Francisco; Tecú Manuel, Maria Eduviges;  Tecú</w:t>
        <w:br/>
        <w:t>Manuel,  Sara  Leonora;  Tecú  Morales,  Apolonio;  Tejeda,  Minor;  Tejeda,</w:t>
        <w:br/>
        <w:t>Virgilio; Tejeda Orellana, Víctor; Toj Manuel, Francisco; Toj Manuel,  María</w:t>
        <w:br/>
        <w:t>Clara; Toj Manuel, Rosendo; Xitumul  Martínez,  María;  Xitumul,  Petronila;</w:t>
        <w:br/>
        <w:t>Xitumul Iboy, Rufina; Xolop Hernández, Agustina; y Xolop, Martina; y</w:t>
        <w:br/>
        <w:br/>
        <w:t>En relación con los sobrevivientes y familiares de las  personas  ejecutadas</w:t>
        <w:br/>
        <w:t>en la Masacre Plan de Sánchez</w:t>
        <w:br/>
        <w:br/>
        <w:t>42.48.        las  siguientes   personas   han   sido   identificadas   como</w:t>
        <w:br/>
        <w:t>sobrevivientes y familiares de las personas ejecutadas en  la  Masacre  Plan</w:t>
        <w:br/>
        <w:t>de Sánchez [12]:</w:t>
        <w:br/>
        <w:br/>
        <w:t>Salvador Manuel Jerónimo, Juan  Manuel  Jerónimo,  Adrián  Cajbón  Jerónimo,</w:t>
        <w:br/>
        <w:t>Pablo Grave Jerónimo, Benjamín Manuel Jerónimo, Florencia  Cajbon  Jerónimo,</w:t>
        <w:br/>
        <w:t>Carmen Corazón  Jerónimo,  José  León  Alvarado,  Nicolasa  Ixtecoc,  Víctor</w:t>
        <w:br/>
        <w:t>Morales Alvarado,  Dolores  Morales  Alvarado,  Jerónimo  Morales  Alvarado,</w:t>
        <w:br/>
        <w:t>María Concepción Morales Alvarado,  Lázaro  Alvarado  Raxcacó,  Buenaventura</w:t>
        <w:br/>
        <w:t>Manuel Jerónimo, Esteban  Manuel  Jerónimo,  Felisa  Padilla,  Juan  Álvarez</w:t>
        <w:br/>
        <w:t>Pérez, Felipe Antonio Álvarez Alvarado, Patricia Álvarez  Alvarado,  Leticia</w:t>
        <w:br/>
        <w:t>Álvarez  Alvarado,  Silvia  Álvarez  Alvarado,  Lucrecia  Álvarez  Alvarado,</w:t>
        <w:br/>
        <w:t>Víctor Manuel Reyes García, María  Cristina  Reyes  Álvarez,  César  Augusto</w:t>
        <w:br/>
        <w:t>Reyes Álvarez, Jorge Luis Reyes Álvarez, Juana Álvarez Pérez, Jorge  Álvarez</w:t>
        <w:br/>
        <w:t>Pérez, Juan Álvarez  Pérez,  Julia  Raxcacó  Manuel,  Hermenegildo  Alvarado</w:t>
        <w:br/>
        <w:t>Raxcacó, Simeona  Corazón  Galeano,  Lucas  Juárez  Ampérez,  Eulalio  Grave</w:t>
        <w:br/>
        <w:t>Ramírez, Margarita Grave Cajbón, Tomás Grave Cajbón, Valeria  Grave  Cajbón,</w:t>
        <w:br/>
        <w:t>Albino Cajbón, José María  Cajbón  Grave,  Lorenza  Cajbón  Grave,  Emiliano</w:t>
        <w:br/>
        <w:t>Cajbón Grave, Luis  Cajbón  Oxlaj,  Balbino  Cajbón  Cortéz,  Paulina  Grave</w:t>
        <w:br/>
        <w:t>Oxlaj, Jesús Cajbón Grave, Margarita  Osorio  Manuel,  Pablo  Grave  Cajbón,</w:t>
        <w:br/>
        <w:t>Pedro Grave Cajbón,  Domingo  Cajbón  Manuel,  Santa  Cajbón  Manuel,  Tomás</w:t>
        <w:br/>
        <w:t>Cajbón Manuel, Bartolomé Cajbón Manuel, Basilio Tecú Chajáj,  Gregoria  Tecú</w:t>
        <w:br/>
        <w:t>Chajáj, Juana  Tecú  Chajáj,  Julio  Tecú  Chajáj,  Petronila  Tecú  Chajáj,</w:t>
        <w:br/>
        <w:t>Toribio Tecú Chajáj, Paulina Guzmán, Celestino  Chinchilla  Guzmán,  Narcisa</w:t>
        <w:br/>
        <w:t>Corazón Jerónimo, Rogelia Jerónimo Corazón, Tomasa Jerónimo  Corazón,  María</w:t>
        <w:br/>
        <w:t>Aurelia Jerónimo Corazón, Juan Cajbón,  Francisco  Cortéz  Xitumul,  Juliana</w:t>
        <w:br/>
        <w:t>Tecú Grave, Alejandro Cortéz Tecú, Florencia Cortéz  Tecú,  Cristina  Cortéz</w:t>
        <w:br/>
        <w:t>Tecú, Fidel Cortéz Tecú, Efraín Cortéz Tecú, Juana  Cortéz  Tecú,  Natividad</w:t>
        <w:br/>
        <w:t>Cortéz Tecú, Justina Sánchez, Demetrio Cajbón Galeano, Francisco  Rojas  Ic,</w:t>
        <w:br/>
        <w:t>Francisca Galeano Galeano, Marta Galeano, Ramón Rojas  Ic,  Humberto  Rojas,</w:t>
        <w:br/>
        <w:t>Domingo Ic Rojas, Leocadia Ic Rojas, Salomé Ic  Rojas,  Virgilio  Ic  Rojas,</w:t>
        <w:br/>
        <w:t>Francisca Caballeros, Celestino Morales García,  Benedicto  Morales  García,</w:t>
        <w:br/>
        <w:t>Florentino  Morales  García,  Hermelinda  Morales  García,  Pedrina  Morales</w:t>
        <w:br/>
        <w:t>García, Rufino Morales García, Carlos  Enrique  Caballeros,  Froilán  García</w:t>
        <w:br/>
        <w:t>Caballeros,  Domingo  García  Caballeros,  María  García  Caballeros,  Pablo</w:t>
        <w:br/>
        <w:t>García Pérez, María García Pérez,  Josefina  García  Pérez,  Maribel  García</w:t>
        <w:br/>
        <w:t>Pérez, Mario García Pérez, Cornelio García Pérez,  Francisco  García  López,</w:t>
        <w:br/>
        <w:t>Inocenta  Morales  López,  Santos  García  Morales,  Lauro  García  Morales,</w:t>
        <w:br/>
        <w:t>Hilario Galeano, Silvestre Galeano, Bernardo Tecú  González,  Victoria  Tecú</w:t>
        <w:br/>
        <w:t>González,  Paulina  Tecú  González,  Valerio  Grave  Cajbón,  Eulalio  Grave</w:t>
        <w:br/>
        <w:t>Ramírez, Alejandro Grave Oxlaj, Francisca Juárez Manuel, Jesús  Grave  Tecú,</w:t>
        <w:br/>
        <w:t>Valentina Grave Tecú, Plácido Jerónimo Grave,  Andrea  Ramírez,  Juan  Grave</w:t>
        <w:br/>
        <w:t>Ramírez,  Tomás  Jerónimo  Sánchez,  Pablo  Guzmán  Reyes,   Héctor   Guzmán</w:t>
        <w:br/>
        <w:t>Alvarado,  Paulina  Guzmán  Alvarado,  Jesús  Hernández  González,   Modesta</w:t>
        <w:br/>
        <w:t>Hernández,  Felipe  Hernández  Galeano,  Juana  Hernández   Galeano,   María</w:t>
        <w:br/>
        <w:t>Hernández Galeano,  Ventura  Hernández  Galeano,  Elías  Hernández  Galeano,</w:t>
        <w:br/>
        <w:t>Jacinto Ic Sesám, Antonia Manuel  Sis,  María  Modesta  Ic,  Juliana  Rojas,</w:t>
        <w:br/>
        <w:t>Domingo Ic Rojas,  Humberto  Rojas,  Leocadia  Rojas,  Ramón  Rojas,  Salomé</w:t>
        <w:br/>
        <w:t>Rojas, Virgilio Rojas, Alberto Morales Iboy, Eugenia Morales Iboy,  Ceferino</w:t>
        <w:br/>
        <w:t>Jerónimo  Ixpatá,  Rosa  Jerónimo  Ixpatá,  Juana  Jerónimo  Ixpatá,   Pablo</w:t>
        <w:br/>
        <w:t>Jerónimo  Ixpatá,  Jerónimo  Jerónimo  Ixpatá,  Gregoria  Jerónimo   Ixpatá,</w:t>
        <w:br/>
        <w:t>Roberto Jerónimo Ixpatá,  Carlos  Jerónimo  Sánchez,  Hermenegildo  Jerónimo</w:t>
        <w:br/>
        <w:t>Sánchez,  Salvador  Jerónimo  Sánchez,  Plácido  Jerónimo  Grave,  Natividad</w:t>
        <w:br/>
        <w:t>Raxcacó  Juárez,  Cecilio  Raxcacó  Juárez,  David  Raxcacó  Juárez,  Jesusa</w:t>
        <w:br/>
        <w:t>Raxcacó Juárez, Pedro Raxcacó Juárez, Rosa Raxcacó Juárez,  Alberto  Morales</w:t>
        <w:br/>
        <w:t>Juárez,  Francisco  Morales  Juárez,  José  Morales  Juárez,  María  Morales</w:t>
        <w:br/>
        <w:t>Juárez, María Juárez Manuel, Darío López Juárez, Julia López Juárez,  Regina</w:t>
        <w:br/>
        <w:t>López Juárez, Roberta López Juárez, Emiliana López  Juárez,  Emiliana  Grave</w:t>
        <w:br/>
        <w:t>López, Corazón Manuel Ampérez, Angela Juárez  Chen,  Abelino  Juárez  Grave,</w:t>
        <w:br/>
        <w:t>Faustina Juárez Grave, Juana  Juárez  Grave,  Leoncio  Juárez  Grave,  María</w:t>
        <w:br/>
        <w:t>Juárez Grave, Paula Juárez Grave, Juana</w:t>
        <w:br/>
        <w:t>Juárez  Grave,  Francisco  García  López,  Guillermo  Toj  Manuel,   Justina</w:t>
        <w:br/>
        <w:t>Sánchez, Eustaquio Morales Jerónimo,  Bernardino  Morales  Jerónimo,  Julián</w:t>
        <w:br/>
        <w:t>Morales  Jerónimo,  Toribio  Morales  Jerónimo,  Vicente  Orellana  Morales,</w:t>
        <w:br/>
        <w:t>Miguel Orellana Morales, Gumercindo  Morales  Orellana,  Eduviges  Orellana,</w:t>
        <w:br/>
        <w:t>Pedro Morales Corazón, Eugenia Ivoy,  Chabelo  Morales  Ivoy,  Miguel  Ángel</w:t>
        <w:br/>
        <w:t>Morales Ivoy, Viviana Morales Ivoy, Andrés Morales  Ivoy,  Bernardo  Morales</w:t>
        <w:br/>
        <w:t>Ivoy, Herlinda Morales Ivoy, Emiliana Morales Ivoy, Natividad Morales  Ivoy,</w:t>
        <w:br/>
        <w:t>Santos Morales Ivoy, Margarita Morales Pérez,  Juan  Morales  Pérez,  Julián</w:t>
        <w:br/>
        <w:t>Morales Pérez, César Augusto Morales Pérez, María del Carmen Morales  Pérez,</w:t>
        <w:br/>
        <w:t>Pedrina Morales Xitumul, José Bolaj Jerónimo, Alberto Morales Iboy,  Eugenia</w:t>
        <w:br/>
        <w:t>Morales Iboy, Emiliana Grave,  Celestino  Morales  Pérez,  Sarbelio  Morales</w:t>
        <w:br/>
        <w:t>Pérez, Bernarda Morales Pérez,  Aura  Marina  Morales  Pérez,  Raúl  Morales</w:t>
        <w:br/>
        <w:t>Pérez, Angélica Morales Pérez, Carlos Morales Pérez, Antonio  Pérez  García,</w:t>
        <w:br/>
        <w:t>Miguel Pérez García, Julia Juárez,  Rosa  Raxcacó  Juárez,  Domingo  Raxcacó</w:t>
        <w:br/>
        <w:t>Sesam, María Griselda Reyes Mejicanos, Pedrina Reyes  Mejicanos,  Hermelinda</w:t>
        <w:br/>
        <w:t>Reyes Mejicanos, Rogelia Reyes  Mejicanos,  Jesús  Reyes  Mejicanos,  Álvaro</w:t>
        <w:br/>
        <w:t>Rocael Reyes Mejicanos, Teresa Tecú, Pedro  Raxcacó  Sesam,  Rufino  Raxcacó</w:t>
        <w:br/>
        <w:t>Sesam, Catalina Raxcacó Sesam, Lucía  Raxcacó  Sesam,  Enrique  Sesam  Tecú,</w:t>
        <w:br/>
        <w:t>Pedro  Sesam Tecú, Serapio Sesam Tecú, Dionisio Sesam Tecú, Eustaquia  Sesam</w:t>
        <w:br/>
        <w:t>Tecú, Albertina Sesam Tecú, Silveria Sesam Tecú, Zuleta Soto Tejeda,  Maruca</w:t>
        <w:br/>
        <w:t>Martínez García, Pedrina Soto Martínez, Demetrio Soto Martínez,  Pedro  Soto</w:t>
        <w:br/>
        <w:t>Martínez, Isabel  Soto  Martínez,  Martina  Soto  Martínez,  Carmelina  Soto</w:t>
        <w:br/>
        <w:t>Martínez,  Zoila  Soto  Martínez,  Serbelia  Soto  Martínez,  Rodolfo   Soto</w:t>
        <w:br/>
        <w:t>Martínez, Demetria Soto Tejeda, Cipriano Soto  Tejeda,  Irene  Soto  Tejeda,</w:t>
        <w:br/>
        <w:t>Hilario Soto Tejeda, Macario Soto Tejeda,  Cecilio  Soto  Tejeda,  Margarito</w:t>
        <w:br/>
        <w:t>Soto Tejeda, Sabino Soto Tejeda, Julián Tecú Chajáj,  Cecilio  Tecú  Chajáj,</w:t>
        <w:br/>
        <w:t>Francisco Tecú Manuel, Leandra Chajáj,  Lorenza  Tecú  Chajáj,  Felisa  Tecú</w:t>
        <w:br/>
        <w:t>Chajáj, Pedro Tecú Manuel,  Bartolomé  Tecú  Manuel,  Ricardo  Tecú  Manuel,</w:t>
        <w:br/>
        <w:t>Carlota Tecú Manuel, Victoria Tecú Manuel, María Marta  Manuel  Tecú,  María</w:t>
        <w:br/>
        <w:t>Antonia Tecú Morales, Ana María Tecú Morales, Paulina Tecú Morales,  Fermina</w:t>
        <w:br/>
        <w:t>Reyes Reyes, Bairon Estuardo Tejeda  Reyes,  Delvin  Donaldo  Tejeda  Reyes,</w:t>
        <w:br/>
        <w:t>Víctor  Aníbal  Tejeda  Reyes,  María  Elena  Tejeda  Reyes,  Carmen  Tejeda</w:t>
        <w:br/>
        <w:t>Orellana, Gregorio Tejeda Orellana, Bartolo Tejeda Orellana,  Isabel  Tejeda</w:t>
        <w:br/>
        <w:t>Orellana, Hilaria Tejeda Orellana, Sabina Tejeda, Mercedes Orellana  García,</w:t>
        <w:br/>
        <w:t>Irena Tejeda  Orellana,  Odilia  Tejeda  Orellana,  Telma  Tejeda  Orellana,</w:t>
        <w:br/>
        <w:t>Daniel Tejeda Orellana, Eulalio Tejeda,  Everildo  Tejeda,  Antonio  Tejeda,</w:t>
        <w:br/>
        <w:t>Guillermo Toj Manuel y Margarita Iboy.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43.   El artículo 53.2 del Reglamento de la Corte establece que:</w:t>
        <w:br/>
        <w:br/>
        <w:t xml:space="preserve">        2. Si el demandado comunicare a la  Corte  su  allanamiento  a  las</w:t>
        <w:br/>
        <w:t xml:space="preserve">           pretensiones  de  la  parte  demandante   y   a   las   de   los</w:t>
        <w:br/>
        <w:t xml:space="preserve">           representantes de  las  presuntas  víctimas,  sus  familiares  o</w:t>
        <w:br/>
        <w:t xml:space="preserve">           representantes, la Corte, oído el parecer de las  partes  en  el</w:t>
        <w:br/>
        <w:t xml:space="preserve">           caso, resolverá sobre la  procedencia  del  allanamiento  y  sus</w:t>
        <w:br/>
        <w:t xml:space="preserve">           efectos jurídicos.  En  este  supuesto,  la  Corte  procederá  a</w:t>
        <w:br/>
        <w:t xml:space="preserve">           determinar, cuando fuere el  caso,  las  reparaciones  y  costas</w:t>
        <w:br/>
        <w:t xml:space="preserve">           correspondientes.</w:t>
        <w:br/>
        <w:br/>
        <w:t>44.   La Resolución de la Corte  de  23  de  abril  de  2004,  en  su  parte</w:t>
        <w:br/>
        <w:t>considerativa, señaló que:</w:t>
        <w:br/>
        <w:br/>
        <w:br/>
        <w:br/>
        <w:br/>
        <w:t xml:space="preserve">      1.    […] el Estado ha desistido de la totalidad  de  las  excepciones</w:t>
        <w:br/>
        <w:t xml:space="preserve">      preliminares interpuestas en la contestación de la demanda de fecha  1</w:t>
        <w:br/>
        <w:t xml:space="preserve">      de noviembre de 2002.</w:t>
        <w:br/>
        <w:br/>
        <w:br/>
        <w:t xml:space="preserve">      2.    […] el Estado ha reconocido  los  hechos  y  su  responsabilidad</w:t>
        <w:br/>
        <w:t xml:space="preserve">      internacional por la violación de los artículos 1.1,  5.1,  5.2,  8.1,</w:t>
        <w:br/>
        <w:t xml:space="preserve">      11, 12.2, 12.3, 13.2 literal (a), 13.5, 16.1, 21.1, 21.2, 24 y  25  de</w:t>
        <w:br/>
        <w:t xml:space="preserve">      la Convención Americana sobre Derechos Humanos en el presente caso.</w:t>
        <w:br/>
        <w:br/>
        <w:br/>
        <w:t xml:space="preserve">      3.    […] dicho  reconocimiento  manifestado  por  el  Estado  […]  no</w:t>
        <w:br/>
        <w:t xml:space="preserve">      interrumpe el trámite  de  la  recepción  de  la  prueba  ordenada  en</w:t>
        <w:br/>
        <w:t xml:space="preserve">      relación con las reparaciones y costas.</w:t>
        <w:br/>
        <w:br/>
        <w:t>Y resolvió:</w:t>
        <w:br/>
        <w:br/>
        <w:t xml:space="preserve">      1.     Tener  por  retiradas  todas   las   excepciones   preliminares</w:t>
        <w:br/>
        <w:t xml:space="preserve">      interpuestas por el Estado.</w:t>
        <w:br/>
        <w:br/>
        <w:br/>
        <w:t xml:space="preserve">      2.     Admitir  el  reconocimiento  de  responsabilidad  internacional</w:t>
        <w:br/>
        <w:t xml:space="preserve">      efectuado por el Estado, en los términos del considerando  segundo  de</w:t>
        <w:br/>
        <w:t xml:space="preserve">      la […] Resolución.</w:t>
        <w:br/>
        <w:br/>
        <w:br/>
        <w:t xml:space="preserve">      3.    Continuar la  celebración  de  la  audiencia  pública  convocada</w:t>
        <w:br/>
        <w:t xml:space="preserve">      mediante Resolución del  Presidente  de  la  Corte  Interamericana  de</w:t>
        <w:br/>
        <w:t xml:space="preserve">      Derechos Humanos de 19 de febrero de 2004, y delimitar su objeto a las</w:t>
        <w:br/>
        <w:t xml:space="preserve">      reparaciones y costas en el presente caso.</w:t>
        <w:br/>
        <w:br/>
        <w:br/>
        <w:t xml:space="preserve">      […]</w:t>
        <w:br/>
        <w:br/>
        <w:br/>
        <w:t>45.    De  igual  modo,  la  Corte  llama  la  atención  que   la   Comisión</w:t>
        <w:br/>
        <w:t>Interamericana indicó que  “la […] demanda tiene por  objeto  someter  a  la</w:t>
        <w:br/>
        <w:t>jurisdicción de la […] Corte  las  violaciones  cometidas  por  agentes  del</w:t>
        <w:br/>
        <w:t>Estado guatemalteco mediante la denegación de  justicia  y  otros  actos  de</w:t>
        <w:br/>
        <w:t>intimidación  y  discriminación  en  perjuicio  de  los   sobrevivientes   y</w:t>
        <w:br/>
        <w:t>familiares de las víctimas de la masacre […] Plan de Sánchez que tuvo  lugar</w:t>
        <w:br/>
        <w:t>el 18 de julio de 1982”.  A su vez, los representantes  de  las  víctimas  y</w:t>
        <w:br/>
        <w:t>sus familiares señalaron que “la cuestión  pendiente  de  consideración  por</w:t>
        <w:br/>
        <w:t>parte de la […] Corte debería limitarse  a  la  identificación  de  aquellas</w:t>
        <w:br/>
        <w:t>violaciones  de  la  Convención  cometidas  por  el  Estado  después  de  su</w:t>
        <w:br/>
        <w:t>aceptación de la competencia de la Corte del 9 de marzo de 1987”.</w:t>
        <w:br/>
        <w:br/>
        <w:t>46.   Asimismo, con base en las manifestaciones del Estado, de  la  Comisión</w:t>
        <w:br/>
        <w:t>Interamericana y de los representantes de  las  víctimas  y  sus  familiares</w:t>
        <w:br/>
        <w:t>durante la primera audiencia pública, y en los escritos de 23  de  abril  de</w:t>
        <w:br/>
        <w:t>2004,  y  ante  la  aceptación  de  los  hechos  y  el   reconocimiento   de</w:t>
        <w:br/>
        <w:t>responsabilidad internacional efectuado por el Estado,  la  Corte  considera</w:t>
        <w:br/>
        <w:t>que ha cesado la controversia en cuanto a los hechos que  dieron  origen  al</w:t>
        <w:br/>
        <w:t>presente caso[13].</w:t>
        <w:br/>
        <w:br/>
        <w:br/>
        <w:t>47.   Con base en lo señalado  anteriormente,  la  Corte  considera  que  el</w:t>
        <w:br/>
        <w:t>Estado  efectivamente  incurrió  en  responsabilidad  internacional  por  la</w:t>
        <w:br/>
        <w:t>violación de los derechos consagrados en los artículos 5.1 y 5.2 (Derecho  a</w:t>
        <w:br/>
        <w:t>la Integridad Personal); 8.1 (Garantías Judiciales); 11  (Protección  de  la</w:t>
        <w:br/>
        <w:t>Honra y  de  la  Dignidad);  12.2  y  12.3  (Libertad  de  Conciencia  y  de</w:t>
        <w:br/>
        <w:t>Religión); 13.2 literal a y 13.5 (Libertad de Pensamiento y  de  Expresión),</w:t>
        <w:br/>
        <w:t>16.1  (Libertad  de  Asociación),  21.1  y  21.2  (Derecho  a  la  Propiedad</w:t>
        <w:br/>
        <w:t>Privada), 24 (Igualdad ante  la  Ley)  y  25  (Protección  Judicial)  de  la</w:t>
        <w:br/>
        <w:t>Convención Americana sobre Derechos Humanos e  incumplió  la  obligación  de</w:t>
        <w:br/>
        <w:t>respetar los derechos consagrada en el artículo 1.1 (Obligación de  Respetar</w:t>
        <w:br/>
        <w:t>los Derechos) de la misma;</w:t>
        <w:br/>
        <w:br/>
        <w:t>48.   Las víctimas de las violaciones a que se refiere el  párrafo  anterior</w:t>
        <w:br/>
        <w:t>son las personas identificadas por la Comisión en su  demanda  (supra  párr.</w:t>
        <w:br/>
        <w:t>42.48), y las que puedan ser identificadas con posterioridad, debido  a  que</w:t>
        <w:br/>
        <w:t>las complejidades y dificultades presentadas al  individualizarlas  permiten</w:t>
        <w:br/>
        <w:t>presumir que hay aún víctimas pendientes de determinación.</w:t>
        <w:br/>
        <w:br/>
        <w:t>49.   La Corte, de acuerdo con su Resolución de 23 de abril de  2004  (supra</w:t>
        <w:br/>
        <w:t>párr. 44), determinará oportunamente en sentencia el alcance y el  monto  de</w:t>
        <w:br/>
        <w:t>las reparaciones y costas.</w:t>
        <w:br/>
        <w:br/>
        <w:t>50.    La  Corte  considera  que  el   reconocimiento   de   responsabilidad</w:t>
        <w:br/>
        <w:t>internacional efectuado por el Estado constituye una  contribución  positiva</w:t>
        <w:br/>
        <w:t>al desarrollo de este  proceso  y  a  la  vigencia  de  los  principios  que</w:t>
        <w:br/>
        <w:t>inspiran la Convención Americana sobre Derechos Humanos.</w:t>
        <w:br/>
        <w:br/>
        <w:t>51.   En relación con el  tema  de  genocidio  al  que  aludieron  tanto  la</w:t>
        <w:br/>
        <w:t>Comisión como los representantes de las víctimas y sus familiares, la  Corte</w:t>
        <w:br/>
        <w:t>hace notar que en materia contenciosa sólo tiene competencia  para  declarar</w:t>
        <w:br/>
        <w:t>violaciones de la Convención Americana sobre Derechos  Humanos  y  de  otros</w:t>
        <w:br/>
        <w:t>instrumentos del sistema interamericano de protección  de  derechos  humanos</w:t>
        <w:br/>
        <w:t>que así se la confieren.   No  obstante,  hechos  como  los  señalados,  que</w:t>
        <w:br/>
        <w:t>afectaron gravemente a los miembros del pueblo maya achí en su  identidad  y</w:t>
        <w:br/>
        <w:t>valores y que se desarrollaron dentro de un patrón de  masacres,  causan  un</w:t>
        <w:br/>
        <w:t>impacto agravado que compromete la responsabilidad internacional del  Estado</w:t>
        <w:br/>
        <w:t>que esta Corte tomará en cuenta al momento de resolver sobre reparaciones.</w:t>
        <w:br/>
        <w:br/>
        <w:br/>
        <w:br/>
        <w:br/>
        <w:br/>
        <w:br/>
        <w:t xml:space="preserve">                                     VI</w:t>
        <w:br/>
        <w:t xml:space="preserve">                             Puntos Resolutivos</w:t>
        <w:br/>
        <w:br/>
        <w:br/>
        <w:br/>
        <w:t>52.   Por tanto,</w:t>
        <w:br/>
        <w:br/>
        <w:br/>
        <w:t xml:space="preserve">      LA CORTE,</w:t>
        <w:br/>
        <w:br/>
        <w:br/>
        <w:t>DECIDE:</w:t>
        <w:br/>
        <w:br/>
        <w:br/>
        <w:t>por unanimidad,</w:t>
        <w:br/>
        <w:br/>
        <w:br/>
        <w:t>1.    Reafirmar su Resolución de 23 de abril de 2004, en la  cual  tuvo  por</w:t>
        <w:br/>
        <w:t>retiradas todas las excepciones preliminares interpuestas por  el  Estado  y</w:t>
        <w:br/>
        <w:t>admitió el reconocimiento de  responsabilidad  internacional  efectuado  por</w:t>
        <w:br/>
        <w:t>éste.</w:t>
        <w:br/>
        <w:br/>
        <w:br/>
        <w:t>2.    Declarar que ha cesado la controversia en  cuanto  a  los  hechos  que</w:t>
        <w:br/>
        <w:t>dieron origen al presente caso.</w:t>
        <w:br/>
        <w:br/>
        <w:br/>
        <w:t>3.     Declarar,   conforme   a   los   términos   del   reconocimiento   de</w:t>
        <w:br/>
        <w:t>responsabilidad internacional efectuado por el Estado, que  éste  violó  los</w:t>
        <w:br/>
        <w:t>derechos consagrados en los artículos 5.1 y 5.2  (Derecho  a  la  Integridad</w:t>
        <w:br/>
        <w:t>Personal); 8.1 (Garantías Judiciales); 11 (Protección de la Honra  y  de  la</w:t>
        <w:br/>
        <w:t>Dignidad); 12.2 y 12.3 (Libertad de Conciencia y de Religión); 13.2  literal</w:t>
        <w:br/>
        <w:t>a y 13.5 (Libertad  de  Pensamiento  y  de  Expresión),  16.1  (Libertad  de</w:t>
        <w:br/>
        <w:t>Asociación), 21.1 y 21.2 (Derecho a  la  Propiedad  Privada),  24  (Igualdad</w:t>
        <w:br/>
        <w:t>ante la Ley) y 25 (Protección Judicial) de  la  Convención  Americana  sobre</w:t>
        <w:br/>
        <w:t>Derechos Humanos; y que incumplió la obligación  de  respetar  los  derechos</w:t>
        <w:br/>
        <w:t>consagrada en el artículo 1.1 de la misma, en los términos de  los  párrafos</w:t>
        <w:br/>
        <w:t>47 y 48 de la presente Sentencia.</w:t>
        <w:br/>
        <w:br/>
        <w:br/>
        <w:t>4.     Continuar  el  conocimiento  del  presente  caso  en  la   etapa   de</w:t>
        <w:br/>
        <w:t>reparaciones y costas.</w:t>
        <w:br/>
        <w:br/>
        <w:br/>
        <w:t>Los Jueces García Ramírez y Cançado Trindade hicieron  conocer  a  la  Corte</w:t>
        <w:br/>
        <w:t>sus Votos Razonados, los cuales acompañan esta Sentencia.</w:t>
        <w:br/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|Manuel E. Ventura Robles         |Diego García-Sayán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|Alejandro Sánchez Garrido                                           |</w:t>
        <w:br/>
        <w:t>|Juez ad hoc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t xml:space="preserve">                        VOTO CONCURRENTE RAZONADO DEL</w:t>
        <w:br/>
        <w:t xml:space="preserve">                  JUEZ SERGIO GARCIA RAMIREZ A LA SENTENCIA</w:t>
        <w:br/>
        <w:t xml:space="preserve">          DICTADA EN EL CASO MASACRE PLAN DE SANCHEZ VS. GUATEMALA,</w:t>
        <w:br/>
        <w:t xml:space="preserve">                           EL 29 DE ABRIL DEL 2004</w:t>
        <w:br/>
        <w:br/>
        <w:br/>
        <w:br/>
        <w:br/>
        <w:t>1. Concurro con los jueces integrantes de  la  Corte  Interamericana  en  la</w:t>
        <w:br/>
        <w:t>emisión de la resolución de fondo correspondiente al caso  Masacre  Plan  de</w:t>
        <w:br/>
        <w:t>Sánchez vs. Guatemala, dictada el 29 de abril  de  2004.  Agrego  este  voto</w:t>
        <w:br/>
        <w:t>razonado, en el que examino algunos puntos de  dicha  resolución,  así  como</w:t>
        <w:br/>
        <w:t>sus posibles implicaciones.</w:t>
        <w:br/>
        <w:br/>
        <w:t>2.  La  solución  del   litigio   puede   expresarse   en   diversos   actos</w:t>
        <w:br/>
        <w:t>jurisdiccionales  y  extrajurisdiccionales,  que  pueden  repercutir   sobre</w:t>
        <w:br/>
        <w:t>aquéllos.  Los  actos  extrajurisdiccionales,   de   carácter   compositivo,</w:t>
        <w:br/>
        <w:t>aparecen en cualquier momento  previo  al  inicio   del   procedimiento,   e</w:t>
        <w:br/>
        <w:t>incluso en el curso de éste, sobre  todo   --por  lo  que  toca  al  sistema</w:t>
        <w:br/>
        <w:t>interamericano protector de derechos humanos--  durante la etapa de  trámite</w:t>
        <w:br/>
        <w:t>ante la Comisión. En lo que corresponde al período de  proceso,  en  sentido</w:t>
        <w:br/>
        <w:t>estricto, la solución se produce a través de  una  sentencia   --o  varias--</w:t>
        <w:br/>
        <w:t>que  resuelve  el  fondo   (declarativa)   y   dispone   las   consecuencias</w:t>
        <w:br/>
        <w:t>correspondientes (de condena), o por medio de un acto que  determina  cierta</w:t>
        <w:br/>
        <w:t>resolución judicial que  pone  término  a  la  controversia,  en  todas  sus</w:t>
        <w:br/>
        <w:t>expresiones, o a una parte de ella, dejando pendiente  la  solución  de  las</w:t>
        <w:br/>
        <w:t>restantes, que se remiten a otra resolución de la Corte, preparada o no  por</w:t>
        <w:br/>
        <w:t>nuevos actos compositivos de las partes.</w:t>
        <w:br/>
        <w:br/>
        <w:t>3. La normativa del proceso interamericano recoge  esta  última  posibilidad</w:t>
        <w:br/>
        <w:t>bajo el rubro de  “Terminación  anticipada  del  proceso”  (Capítulo  V  del</w:t>
        <w:br/>
        <w:t>Reglamento), en el que figuran, como causales de  sobreseimiento,  tanto  el</w:t>
        <w:br/>
        <w:t>desistimiento que formula el demandante, como el allanamiento  que  presenta</w:t>
        <w:br/>
        <w:t>el demandado (artículo  54).  En  otras  oportunidades  me  he  referido  al</w:t>
        <w:br/>
        <w:t>allanamiento  dentro  del  enjuiciamiento  interamericano  (cfr.  mis  Votos</w:t>
        <w:br/>
        <w:t>concurrentes  razonados  en  los  casos  Myrna  Mack  Chang  vs.  Guatemala,</w:t>
        <w:br/>
        <w:t>Sentencia del 25 de noviembre de 2003, párrs. 10, 11, 13, 17, 18, 21,  24  y</w:t>
        <w:br/>
        <w:t>30;  y Bulacio vs. Argentina, Sentencia del 18 de septiembre de 2003,  párr.</w:t>
        <w:br/>
        <w:t>7). Las reformas incorporadas al Reglamento  el  25  de  noviembre  de  2003</w:t>
        <w:br/>
        <w:t>reconocieron que aquel acto procesal atañe a las “pretensiones”  del  actor,</w:t>
        <w:br/>
        <w:t>no a los “hechos” aducidos por éste, cuya admisión  reviste,  en  rigor,  el</w:t>
        <w:br/>
        <w:t>carácter de una confesión.</w:t>
        <w:br/>
        <w:br/>
        <w:br/>
        <w:t>4. Desde luego, ni el allanamiento a las pretensiones ni  la  confesión  son</w:t>
        <w:br/>
        <w:t>vinculantes para la Corte Interamericana: no lo es la confesión,  porque  el</w:t>
        <w:br/>
        <w:t>tribunal tiene atribuciones  para  determinar  el  valor  y  el  alcance  de</w:t>
        <w:br/>
        <w:t>cualquier prueba. Tampoco lo es el allanamiento  --ni el  desistimiento,  en</w:t>
        <w:br/>
        <w:t>su caso--,  porque el propio tribunal puede ordenar que  prosiga  el  examen</w:t>
        <w:br/>
        <w:t>del caso en función de la mejor tutela de los derechos  humanos,  aunque  se</w:t>
        <w:br/>
        <w:t>hayan producido aquellos actos. En tal virtud, por encima del interés  o  la</w:t>
        <w:br/>
        <w:t>disposición de la parte se hallan el interés y la exigencia de la  justicia,</w:t>
        <w:br/>
        <w:t>orientada hacia la tutela de los derechos humanos en el caso concreto,  pero</w:t>
        <w:br/>
        <w:t>hacia la solución potencial de otros casos, tanto  por  lo  que  toca  a  la</w:t>
        <w:br/>
        <w:t>jurisdicción internacional misma, como en lo que atañe a las  jurisdicciones</w:t>
        <w:br/>
        <w:t>nacionales, a través de la expresión de un criterio conducente  a  ese  fin.</w:t>
        <w:br/>
        <w:t>Esta es una de las aspiraciones y uno de los  datos  característicos  de  la</w:t>
        <w:br/>
        <w:t>justicia internacional en materia de derechos humanos. En  consecuencia,  el</w:t>
        <w:br/>
        <w:t>fondo prevalece sobre la forma.</w:t>
        <w:br/>
        <w:br/>
        <w:t>5. Contrariamente a lo que sucede en otros órdenes del  enjuiciamiento,  las</w:t>
        <w:br/>
        <w:t>partes no pueden  retirar  por  sí  mismas  el  caso  del  conocimiento  del</w:t>
        <w:br/>
        <w:t>tribunal y sustraerlo, por lo tanto, a la sentencia que éste puede dictar  y</w:t>
        <w:br/>
        <w:t>que sirve tanto a la solución  del  problema  planteado  como  a  la  tutela</w:t>
        <w:br/>
        <w:t>general de los derechos  humanos,  a  través  de  la  tutela  particular  de</w:t>
        <w:br/>
        <w:t>ciertos derechos correspondientes a determinados  sujetos.  Este  predominio</w:t>
        <w:br/>
        <w:t>del interés público o social sobre el interés particular o institucional  es</w:t>
        <w:br/>
        <w:t>bien conocida en algunas hipótesis del enjuiciamiento nacional,  en  el  que</w:t>
        <w:br/>
        <w:t>también sustenta el impulso oficioso del proceso y  la  indagación  autónoma</w:t>
        <w:br/>
        <w:t>de la verdad.</w:t>
        <w:br/>
        <w:br/>
        <w:t>6. Desde luego, la emisión de un allanamiento o de una confesión suponen  el</w:t>
        <w:br/>
        <w:t>retiro de las excepciones preliminares que se hubiesen interpuesto, como  en</w:t>
        <w:br/>
        <w:t>efecto se ha hecho, toda vez aquéllos constituyen el presupuesto   para   un</w:t>
        <w:br/>
        <w:t>acto  jurisdiccional posterior de la Corte, que no  podría  producirse   --o</w:t>
        <w:br/>
        <w:t>cuya emisión sería, pro  lo  menos,  muy  discutible--   si  el  Estado  que</w:t>
        <w:br/>
        <w:t>confiesa o se allana sostiene, al mismo tiempo,  que  el  tribunal  no  debe</w:t>
        <w:br/>
        <w:t>conocer del asunto propuesto en la demanda, por motivos  de  inadmisibilidad</w:t>
        <w:br/>
        <w:t>o incompetencia.  El  allanamiento  invita  a  conocer  puntos  de  fondo  y</w:t>
        <w:br/>
        <w:t>pronunciarse sobre ellos.</w:t>
        <w:br/>
        <w:br/>
        <w:t>7. En varios casos más o menos recientes  --y desde luego en  el  que  ahora</w:t>
        <w:br/>
        <w:t>me ocupa--  el Estado ha formulado  un  “reconocimiento  institucional”  que</w:t>
        <w:br/>
        <w:t>actualiza la posibilidad de resolver inmediatamente todos  los  extremos  de</w:t>
        <w:br/>
        <w:t>la controversia  o  algunos  de  ellos.  Por  supuesto,  ese  reconocimiento</w:t>
        <w:br/>
        <w:t>constituye un derecho del Estado llamado a  juicio,  pero  al  mismo  tiempo</w:t>
        <w:br/>
        <w:t>suele traducir el cumplimiento implícito de una obligación  adquirida  a  la</w:t>
        <w:br/>
        <w:t>luz de la Convención Americana, en cuanto los  Estados  que  son  partes  en</w:t>
        <w:br/>
        <w:t>ésta han asumido el deber de respetar  los  derechos  consagrados  en  dicho</w:t>
        <w:br/>
        <w:t>instrumento y adoptar las medidas necesarias para que así sea. Se  trata  de</w:t>
        <w:br/>
        <w:t>una  manifestación  del  principio  pacta  sunt  servanda  que  corrige   la</w:t>
        <w:br/>
        <w:t>transgresión cometida con vulneración de ese principio. De esta  suerte,  el</w:t>
        <w:br/>
        <w:t>cumplimiento  de  la  obligación  proviene  de  un  acto  del   Estado   (el</w:t>
        <w:br/>
        <w:t>reconocimiento) y se anticipa a otro de la Corte (la sentencia).</w:t>
        <w:br/>
        <w:br/>
        <w:br/>
        <w:t>8. Es preciso manifestar, como lo  ha  hecho  nuestro  tribunal  en  algunas</w:t>
        <w:br/>
        <w:t>ocasiones, entre ellas la actual, aprecio hacia esta  conducta  del  Estado,</w:t>
        <w:br/>
        <w:t>con  repercusiones  sustantivas  y  procesales,  que  permite  resolver   el</w:t>
        <w:br/>
        <w:t>conflicto con la aportación de las partes y no sólo con  la  ordenación  del</w:t>
        <w:br/>
        <w:t>tribunal,  conforme  a  la  motivación  y  al  carácter  generales  de   las</w:t>
        <w:br/>
        <w:t>soluciones autocompositivas. Las voluntades de aquéllas,  en  la  medida  en</w:t>
        <w:br/>
        <w:t>que concurran al  fin  último  querido  por  quien  se  allana  o  confiesa,</w:t>
        <w:br/>
        <w:t>contribuyen al acto de justicia que se concreta en  la  resolución  final  a</w:t>
        <w:br/>
        <w:t>cargo del tribunal.</w:t>
        <w:br/>
        <w:br/>
        <w:t>9. En la resolución del 29 de abril del  2004,  la  Corte  expresó  que  “el</w:t>
        <w:br/>
        <w:t>reconocimiento de responsabilidad  internacional  efectuado  por  el  Estado</w:t>
        <w:br/>
        <w:t>constituye una contribución positiva al desarrollo de este proceso  y  a  la</w:t>
        <w:br/>
        <w:t>vigencia de los  principios  que  inspiran  la  Convención  Americana  sobre</w:t>
        <w:br/>
        <w:t>Derechos Humanos” (párr. 50). En este caso al igual que en  el  Caso  Molina</w:t>
        <w:br/>
        <w:t>Theissen  vs.  Guatemala   (que   menciono   aquí   porque   la   resolución</w:t>
        <w:br/>
        <w:t>correspondiente se adoptó en el mismo período de sesiones de la Corte en  el</w:t>
        <w:br/>
        <w:t>que se produjo la resolución del presente  caso),  el  Estado  añadió  a  su</w:t>
        <w:br/>
        <w:t>reconocimiento de hechos y pretensiones, una insólita “petición  de  perdón”</w:t>
        <w:br/>
        <w:t>dirigida a las víctimas, a los sobrevivientes  y  familiares,  que  no  debe</w:t>
        <w:br/>
        <w:t>pasar inadvertida. Es esta la primera vez, según  mi  conocimiento,  que  un</w:t>
        <w:br/>
        <w:t>Estado presenta una declaración pública  semejante  en  un  juicio  ante  la</w:t>
        <w:br/>
        <w:t>Corte Interamericana.</w:t>
        <w:br/>
        <w:br/>
        <w:t>10. La expresión “reconocimiento de responsabilidad internacional”  contiene</w:t>
        <w:br/>
        <w:t>varios elementos: anuncia la admisión de una responsabilidad derivada de  un</w:t>
        <w:br/>
        <w:t>compromiso internacional y añade una calificación   --“institucional”--  que</w:t>
        <w:br/>
        <w:t>no se  halla  recogida  expresamente  en  la  normativa  del  enjuiciamiento</w:t>
        <w:br/>
        <w:t>interamericano. Por ello, la Corte  debe  precisar  el  significado  de  esa</w:t>
        <w:br/>
        <w:t>manifestación para los fines del caso sub judice, acudiendo,  cada  vez  que</w:t>
        <w:br/>
        <w:t>sea necesario, a las expresiones de las  partes  y  a  otros  elementos  que</w:t>
        <w:br/>
        <w:t>constan en el juicio y que permiten decidir que ha habido una  confesión  de</w:t>
        <w:br/>
        <w:t>hechos, un allanamiento a pretensiones o ambas cosas, de manera  integral  o</w:t>
        <w:br/>
        <w:t>parcial. Es deseable, aunque no indispensable  --en  la  medida  en  que  la</w:t>
        <w:br/>
        <w:t>Corte  puede  ejercer  su  propio  examen  de  las  cosas  y   resolver   en</w:t>
        <w:br/>
        <w:t>consecuencia--,  que quien se allana manifieste  con  precisión  cuáles  son</w:t>
        <w:br/>
        <w:t>los hechos que confiesa y cuáles las pretensiones que  acepta,  tanto  a  la</w:t>
        <w:br/>
        <w:t>luz de la demanda formulada por  la  Comisión  Interamericana,  como  de  la</w:t>
        <w:br/>
        <w:t>expresión de pretensiones mencionadas por las víctimas y sus  familiares  en</w:t>
        <w:br/>
        <w:t>los términos de los artículos 36.1 y 53.2 del Reglamento de la Corte.</w:t>
        <w:br/>
        <w:br/>
        <w:t>11. En el presente caso, el  Estado  de  Guatemala  retiró  las  excepciones</w:t>
        <w:br/>
        <w:t>preliminares  inicialmente  planteadas  y   reconoció   su   responsabilidad</w:t>
        <w:br/>
        <w:t>internacional.  Al explicar este acto, el agente del Estado  señaló  que  el</w:t>
        <w:br/>
        <w:t>reconocimiento no abarcaba juicio  alguno  sobre  responsabilidades  penales</w:t>
        <w:br/>
        <w:t>individuales, sujetas a su propio ámbito de conocimiento. Esto se refiere  a</w:t>
        <w:br/>
        <w:t>lo que he designado, en diversas ocasiones (cfr., por ejemplo,  mi  artículo</w:t>
        <w:br/>
        <w:t>“Las  reparaciones  en  el  sistema  interamericano  de  protección  de  los</w:t>
        <w:br/>
        <w:t>derechos humanos”,  en  El  sistema  interamericano  de  protección  de  los</w:t>
        <w:br/>
        <w:t>derechos  humanas  en  el  umbral  del  siglo  XXI.  Memoria  del  Seminario</w:t>
        <w:br/>
        <w:t>(noviembre de 1999), Corte Interamericana de Derechos Humanos, San  José  de</w:t>
        <w:br/>
        <w:t>Costa Rica, 2001, t. I, pp. 154-156)  “deber  de  justicia  penal”,  que  el</w:t>
        <w:br/>
        <w:t>tribunal  interamericano  examina  a  la  hora  de  pronunciarse  sobre  las</w:t>
        <w:br/>
        <w:t>reparaciones, que no han sido materia de la sentencia del 29 de abril.  Esto</w:t>
        <w:br/>
        <w:t>permite observar, nuevamente, la naturaleza de las sentencias que  dicta  la</w:t>
        <w:br/>
        <w:t>Corte, tradicionalmente distintas y últimamente unificadas: en  un  extremo,</w:t>
        <w:br/>
        <w:t>declarativas de  la  violación  cometida,  de  ser  el  caso;  en  el  otro,</w:t>
        <w:br/>
        <w:t>condenatorias a ciertas acciones, omisiones o prestaciones, si corresponde.</w:t>
        <w:br/>
        <w:br/>
        <w:t>12. Tomando en cuenta las expresiones escritas y  verbales  del  Estado,  la</w:t>
        <w:br/>
        <w:t>Corte ha estimado  pertinente  expedir  resoluciones  que  conciernen  a  la</w:t>
        <w:br/>
        <w:t>materia y al desarrollo del proceso. A ello se dirigieron la resolución  del</w:t>
        <w:br/>
        <w:t>23 de abril del 2004 y la propia sentencia del 29  de  abril.  Aquélla  tuvo</w:t>
        <w:br/>
        <w:t>por retiradas las excepciones preliminares y admitió  el  reconocimiento  de</w:t>
        <w:br/>
        <w:t>la responsabilidad internacional; la  otra,  a  la  que  agrego  este  Voto,</w:t>
        <w:br/>
        <w:t>declaró que había “cesado la controversia en cuanto a los hechos que  dieron</w:t>
        <w:br/>
        <w:t>origen al presente caso” (resolutivo 1, que se  funda  en  la  parte  de  la</w:t>
        <w:br/>
        <w:t>declaración del Estado, constitutiva, por su naturaleza, de  una  confesión)</w:t>
        <w:br/>
        <w:t>y que el Estado “violó los derechos consagrados” en  diversos  artículos  de</w:t>
        <w:br/>
        <w:t>la Convención Americana (resolutivo 2, que se sustenta en  la  parte  de  la</w:t>
        <w:br/>
        <w:t>declaración  constitutiva,  también  conforme  a  su   naturaleza,   de   un</w:t>
        <w:br/>
        <w:t>allanamiento).</w:t>
        <w:br/>
        <w:br/>
        <w:t>13.  Como  he  dicho  (supra  sub  4),  la  Corte  pudo  haber  ordenado  la</w:t>
        <w:br/>
        <w:t>continuación del  proceso  en  lo  que  concierne  a  los  hechos  y  a  las</w:t>
        <w:br/>
        <w:t>violaciones que éstos entrañan, ejerciendo la autoridad que le  confiere  el</w:t>
        <w:br/>
        <w:t>citado artículo 55 del Reglamento, pero consideró,  una  vez  practicado  el</w:t>
        <w:br/>
        <w:t>examen de las pruebas  sobre  ambos  extremos  (facultad  que,  insisto,  no</w:t>
        <w:br/>
        <w:t>declina inmediatamente por obra de un acto de  parte),  que  en  la  especie</w:t>
        <w:br/>
        <w:t>existían los elementos conducentes a la decisión judicial adoptada.</w:t>
        <w:br/>
        <w:br/>
        <w:t>14. Se podría decir que una vez realizados la confesión  y  el  allanamiento</w:t>
        <w:br/>
        <w:t>--ambos bajo el título de reconocimiento de responsabilidad  internacional--</w:t>
        <w:br/>
        <w:t xml:space="preserve">  había  cesado  el  litigio  en  cuanto  a  los  puntos  de  fondo  (hechos</w:t>
        <w:br/>
        <w:t>violatorios de derechos convencionales) y que  por  lo  tanto  no  resultaba</w:t>
        <w:br/>
        <w:t>necesario ni  desahogar  y  valorar  pruebas  (por  ejemplo,  testimonios  y</w:t>
        <w:br/>
        <w:t>dictámenes),  ni  mencionar  aquéllos  en  la  sentencia.  No  comparto  esa</w:t>
        <w:br/>
        <w:t>posición. Era pertinente conocer los testimonios  y  dictámenes  previamente</w:t>
        <w:br/>
        <w:t>ofrecidos y admitidos por la Corte, que abarcarían las  reparaciones  a  las</w:t>
        <w:br/>
        <w:t>que se refería el nuevo objeto  de  la  audiencia,  originalmente  convocada</w:t>
        <w:br/>
        <w:t>para comprender excepciones preliminares, fondo y reparaciones.  Aun  cuando</w:t>
        <w:br/>
        <w:t>el objeto de la audiencia sería la materia de reparaciones, difícilmente  se</w:t>
        <w:br/>
        <w:t>podría examinar  éstas  con  abstracción  de  toda  referencia   --imposible</w:t>
        <w:br/>
        <w:t>fáctica y  jurídicamente--   a  los  hechos  que  son  su  fuente  y  a  las</w:t>
        <w:br/>
        <w:t>violaciones que las explican y justifican.</w:t>
        <w:br/>
        <w:br/>
        <w:t>15. Por otra parte, la relación de los hechos en la sentencia,  no  obstante</w:t>
        <w:br/>
        <w:t>haber cesado la controversia  sobre  ellos,  sirve  a  diversas  finalidades</w:t>
        <w:br/>
        <w:t>pertinentes. En primer término, a la motivación de  la  resolución  judicial</w:t>
        <w:br/>
        <w:t>misma,  que  no  podría  dictarse  en  el  “vacío”   ni   partir   única   y</w:t>
        <w:br/>
        <w:t>exclusivamente  --por las razones que ya enuncié supra sub  4,  10  y  13)--</w:t>
        <w:br/>
        <w:t>de las  expresiones  dispositivas  de  las  partes.  Además,  atiende  a  la</w:t>
        <w:br/>
        <w:t>finalidad “aleccionadora”, si se me permite la expresión, que debe tener  la</w:t>
        <w:br/>
        <w:t>sentencia de un tribunal internacional sobre derechos humanos,  que  pudiera</w:t>
        <w:br/>
        <w:t>no existir en el supuesto de una corte penal nacional, salvo por la  función</w:t>
        <w:br/>
        <w:t>de  “prevención  general”  que  los  actos  de  justicia  penal  ejercen.  Y</w:t>
        <w:br/>
        <w:t>finalmente,  contribuye  a  establecer  la  conexión  entre  la  etapa   del</w:t>
        <w:br/>
        <w:t>enjuiciamiento que se cierra a través de esa resolución y  la  que  se  abre</w:t>
        <w:br/>
        <w:t>por ella misma, a saber:  las  reparaciones,  que  implican  “garantí(a)  al</w:t>
        <w:br/>
        <w:t>lesionado en el goce de su derecho o libertad conculcados” y  reparación  de</w:t>
        <w:br/>
        <w:t>“las  consecuencias  de  la  medida  o  situación  que  ha  configurado   la</w:t>
        <w:br/>
        <w:t>vulneración de esos derechos y el pago  de  una  justa  indemnización  a  la</w:t>
        <w:br/>
        <w:t>parte lesionada” (artículo 63.1 de la Convención Americana), en su caso.  En</w:t>
        <w:br/>
        <w:t>este último orden, es preciso considerar igualmente  --aunque la  afirmación</w:t>
        <w:br/>
        <w:t>formal respectiva corresponde a la  resolución  de  reparaciones--   que  la</w:t>
        <w:br/>
        <w:t>narración  de  los  hechos,  añadida  a  la  admisión  de  éstos  y  de  las</w:t>
        <w:br/>
        <w:t>consecuentes  violaciones  por  parte  del  Estado,  tiene  de  suyo  cierta</w:t>
        <w:br/>
        <w:t>eficacia reparadora, como la Corte ha señalado reiteradamente.</w:t>
        <w:br/>
        <w:br/>
        <w:t>16. La decisión sobre reparaciones se instala sobre los hechos  establecidos</w:t>
        <w:br/>
        <w:t>en las etapas previas del enjuiciamiento y las  violaciones  acreditadas  en</w:t>
        <w:br/>
        <w:t>ellas. Así, la sentencia  de  fondo   constituye   el   presupuesto   y   la</w:t>
        <w:br/>
        <w:t>condición para la sentencia de reparaciones, salvo   --claro  está--  cuando</w:t>
        <w:br/>
        <w:t>ambos temas se examinan en una sola resolución, como lo procura  actualmente</w:t>
        <w:br/>
        <w:t>la Corte, para imprimir al enjuiciamiento  un  carácter  más  concentrado  y</w:t>
        <w:br/>
        <w:t>servir mejor a los principios  de  economía  y  celeridad  procesales,  cuyo</w:t>
        <w:br/>
        <w:t>observancia  contribuye   significativamente   a   la   buena   marcha   del</w:t>
        <w:br/>
        <w:t>enjuiciamiento interamericano y que  se  traduce,  en  último  análisis,  en</w:t>
        <w:br/>
        <w:t>beneficio para la víctima. La vinculación entre los hechos recogidos  en  la</w:t>
        <w:br/>
        <w:t>sentencia del 29 de abril y las reparaciones cuya precisión está  pendiente,</w:t>
        <w:br/>
        <w:t>se observa con mayor claridad aún si se considera la  remisión  expresa  que</w:t>
        <w:br/>
        <w:t>hace la sentencia a  aspectos  específicos  de  esos  hechos  para  disponer</w:t>
        <w:br/>
        <w:t>aspectos igualmente específicos de las reparaciones (párr.  51),  punto  que</w:t>
        <w:br/>
        <w:t>abordo infra, en el párrafo 17 de este Voto.</w:t>
        <w:br/>
        <w:br/>
        <w:t>17. En el curso del enjuiciamiento y en la propia sentencia a la que  agrego</w:t>
        <w:br/>
        <w:t>este Voto, se ha aludido a  lo  que  la  Comisión  denominó  en  su  demanda</w:t>
        <w:br/>
        <w:t>“política genocida del Estado realizada con la intención de destruir,  total</w:t>
        <w:br/>
        <w:t>o  parcialmente,  al  pueblo  indígena  maya”,   posición   que   igualmente</w:t>
        <w:br/>
        <w:t>manifestaron los representantes de las víctimas. Estas referencias  sugieren</w:t>
        <w:br/>
        <w:t>la  consideración  de  las  implicaciones  que  pudiera  tener  la  conducta</w:t>
        <w:br/>
        <w:t>violatoria  realizada   desde   la   perspectiva   de   otros   instrumentos</w:t>
        <w:br/>
        <w:t>internacionales, especialmente la Convención para la  prevención  y  sanción</w:t>
        <w:br/>
        <w:t>del crimen de genocidio, de 1948. Al respecto, la  resolución  de  la  Corte</w:t>
        <w:br/>
        <w:t>contiene algunas expresiones (párr. 51) que  comparto  y  estimo  pertinente</w:t>
        <w:br/>
        <w:t>comentar.</w:t>
        <w:br/>
        <w:br/>
        <w:t>18. La Corte Interamericana de Derechos Humanos, instituida por  las  normas</w:t>
        <w:br/>
        <w:t>convencionales de 1969, que fijaron el ámbito de  su  competencia  material,</w:t>
        <w:br/>
        <w:t>ejerce sus atribuciones conforme a lo  establecido  en  esas  disposiciones,</w:t>
        <w:br/>
        <w:t>acordadas por los  Estados  partes  de  la  Convención  Americana,  y  a  lo</w:t>
        <w:br/>
        <w:t>estatuido, además, por otros  instrumentos  que  expresamente  le  confieren</w:t>
        <w:br/>
        <w:t>nuevos espacios de competencia material, asimismo acordados por los  Estados</w:t>
        <w:br/>
        <w:t>partes en los respectivos actos internacionales, como son  el  Protocolo  de</w:t>
        <w:br/>
        <w:t>San Salvador  --que acota dicha competencia en  los  términos  del  artículo</w:t>
        <w:br/>
        <w:t>19.6--, la Convención Interamericana para prevenir y sancionar la tortura  y</w:t>
        <w:br/>
        <w:t>la Convención Interamericana sobre desaparición  forzada  de  personas.  Los</w:t>
        <w:br/>
        <w:t>Estados han  reconocido  la  competencia  contenciosa  de  la  Corte  en  la</w:t>
        <w:br/>
        <w:t>inteligencia del alcance que tienen estos señalamientos.</w:t>
        <w:br/>
        <w:br/>
        <w:t>19. Ahora bien,  lo  anterior  no  impide  que  el  tribunal  interamericano</w:t>
        <w:br/>
        <w:t>invoque elementos o referencias contenidos en el  Derecho  internacional  en</w:t>
        <w:br/>
        <w:t>su conjunto, cuando resulte procedente hacerlo para interpretar  o  integrar</w:t>
        <w:br/>
        <w:t>las normas de las  convenciones  y  el  protocolo  mencionados,  tomando  en</w:t>
        <w:br/>
        <w:t>cuenta las características de los hechos alegados y el texto  y  sentido  de</w:t>
        <w:br/>
        <w:t>las normas inmediatamente aplicables. En  este  supuesto,  no  se  hace  una</w:t>
        <w:br/>
        <w:t>aplicación  directa  de  otros  instrumentos,  para   resolver   acerca   de</w:t>
        <w:br/>
        <w:t>violaciones a los derechos o a los deberes establecidos en  ellos,  sino  se</w:t>
        <w:br/>
        <w:t>recurre a éstos como elementos de interpretación, apreciación o juicio  para</w:t>
        <w:br/>
        <w:t>la mejor inteligencia y la inmediata  aplicación  de  los  instrumentos  que</w:t>
        <w:br/>
        <w:t>explícitamente  le  confieren  competencia;  en  otros  términos,  para   la</w:t>
        <w:br/>
        <w:t>aplicación directa de las disposiciones contenidas en  éstos.  Al  respecto,</w:t>
        <w:br/>
        <w:t>es pertinente tomar en cuenta lo expresado en  diversas  resoluciones  (así,</w:t>
        <w:br/>
        <w:t>las sentencias correspondientes a los Casos “Niños de la  Calle”  (Villagrán</w:t>
        <w:br/>
        <w:t>Morales y otros), Sentencia del 19 de noviembre de 1999,  Serie  C  No.  63,</w:t>
        <w:br/>
        <w:t>párrs. 192-195; y Bámaca Velásquez, Sentencia del 25 de noviembre  de  2000,</w:t>
        <w:br/>
        <w:t>Serie C No. 70, párrs. 208-210,  así  como  en  la  Opinión  Consultiva  OC-</w:t>
        <w:br/>
        <w:t>17/2002 del 28 de agosto de  2002,  sobre  “Condición  jurídica  y  derechos</w:t>
        <w:br/>
        <w:t>humanos del niño”, párrs. 24 y 28-30).</w:t>
        <w:br/>
        <w:br/>
        <w:t>20. La violación a un derecho consagrado en una  norma  convencional   --sin</w:t>
        <w:br/>
        <w:t>perjuicio de que lo esté  también  en  otros  planos  de  la  cultura  y  la</w:t>
        <w:br/>
        <w:t>normativa jurídica nacional e internacional, que puede ser  el  sustento  de</w:t>
        <w:br/>
        <w:t>aquella norma--  implica el quebranto de un bien de alto  rango  que  merece</w:t>
        <w:br/>
        <w:t>protección. La gravedad del quebranto se relaciona con la jerarquía  de  ese</w:t>
        <w:br/>
        <w:t>bien, con la forma en que se le afecta y con el hecho, presente en  diversas</w:t>
        <w:br/>
        <w:t>hipótesis, de que la  vulneración  se  dirija  a  un  tiempo  contra  bienes</w:t>
        <w:br/>
        <w:t>diversos.  A  este  respecto,  puede  traerse  a  colación,  como  punto  de</w:t>
        <w:br/>
        <w:t>referencia o analogía aprovechable, el  criterio  que  ya  expuso  la  Corte</w:t>
        <w:br/>
        <w:t>Interamericana al examinar el artículo 4.1 de  la  Convención  Americana  en</w:t>
        <w:br/>
        <w:t>las sentencias  de  los  Casos  Hilaire,  Constantine  y  Benjamín  y  otros</w:t>
        <w:br/>
        <w:t>(Sentencias del 21 de junio de 2002), a las que  también  acompañé  un  Voto</w:t>
        <w:br/>
        <w:t>concurrente  razonado.  En  este   supuesto   se   analizó,   conceptual   y</w:t>
        <w:br/>
        <w:t>jurídicamente, el tema de la “mayor gravedad” de una violación.  Algunas  de</w:t>
        <w:br/>
        <w:t>las consideraciones esgrimidas entonces  --con las  variaciones  que  impone</w:t>
        <w:br/>
        <w:t>el  traslado  del  orden  penal  al  internacional  y  sin  olvido  de   las</w:t>
        <w:br/>
        <w:t>particularidades que imprime la alusión al artículo 4.1--    son  igualmente</w:t>
        <w:br/>
        <w:t>aplicables al tema que ahora nos  interesa  y  concurren  a  establecer  esa</w:t>
        <w:br/>
        <w:t>“mayor  gravedad”  que  puede  proyectarse,  además,  en  las  consecuencias</w:t>
        <w:br/>
        <w:t>asociadas a la responsabilidad del Estado.</w:t>
        <w:br/>
        <w:br/>
        <w:t>21. En el presente caso, los hechos “afectaron  gravemente  a  los  miembros</w:t>
        <w:br/>
        <w:t>del pueblo maya achí en su  identidad  y  valores  y  (…)  se  desarrollaron</w:t>
        <w:br/>
        <w:t>dentro de un patrón  de  masacres”  (párr.  51).  El  tribunal  ha  resuelto</w:t>
        <w:br/>
        <w:t>examinar las características de  esos  hechos,  muchas  de  las  cuales  son</w:t>
        <w:br/>
        <w:t>notorias, “al momento de resolver sobre reparaciones”  (id.).  Esto  implica</w:t>
        <w:br/>
        <w:t>que tales características pueden proyectarse sobre las reparaciones  mismas,</w:t>
        <w:br/>
        <w:t>tomando en cuenta dos datos que naturalmente  concurren:  la  naturaleza  de</w:t>
        <w:br/>
        <w:t>los hechos y  la  forma  en  la  que  éstos  sucedieron  (contexto,  medios,</w:t>
        <w:br/>
        <w:t>realización, consecuencias que permitirían  considerar  la  magnitud  y  las</w:t>
        <w:br/>
        <w:t>condiciones de la violación). De ahí  se  desprenderá  la  gravedad  de  los</w:t>
        <w:br/>
        <w:t>hechos y la forma en la que debieran  ser  apreciados  en  la  sentencia  de</w:t>
        <w:br/>
        <w:t>reparaciones. Esto no modifica la imputación misma de los hechos al  Estado,</w:t>
        <w:br/>
        <w:t>por la acción u omisión de sus agentes,  pero  contribuye  a  establecer  su</w:t>
        <w:br/>
        <w:t>mayor o menor gravedad y, por lo tanto, el carácter de las reparaciones  que</w:t>
        <w:br/>
        <w:t>la Corte pudiera acordar, de ser el caso.</w:t>
        <w:br/>
        <w:br/>
        <w:br/>
        <w:br/>
        <w:br/>
        <w:br/>
        <w:t xml:space="preserve">                                             Sergio García Ramírez</w:t>
        <w:br/>
        <w:t xml:space="preserve">                                                    Juez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  VOTO RAZONADO DEL JUEZ A.A. CANÇADO TRINDADE</w:t>
        <w:br/>
        <w:br/>
        <w:br/>
        <w:br/>
        <w:br/>
        <w:t>1.    He concurrido con mi voto para la adopción de  la  presente  Sentencia</w:t>
        <w:br/>
        <w:t>de la Corte Interamericana de Derechos Humanos en el caso de la  Masacre  de</w:t>
        <w:br/>
        <w:t>Plan de Sánchez, referente al Estado de Guatemala. Me  veo,  además,  en  la</w:t>
        <w:br/>
        <w:t>obligación de dejar constancia, en este Voto Razonado,  de  las  reflexiones</w:t>
        <w:br/>
        <w:t>personales que me  han  suscitado  los  hechos  del  cas  d'espèce,  por  su</w:t>
        <w:br/>
        <w:t>particular gravedad. En efecto, es la primera vez en toda la historia de  la</w:t>
        <w:br/>
        <w:t>Corte Interamericana que una masacre de la presente dimensión es sometida  a</w:t>
        <w:br/>
        <w:t>su conocimiento. En  este  Voto  Razonado,  al  distinguir,  de  inicio,  la</w:t>
        <w:br/>
        <w:t>cuestión jurisdiccional  de  la  sustantiva  de  responsabilidad,  pasaré  a</w:t>
        <w:br/>
        <w:t>concentrarme en el contenido y alcance  del  principio  de  humanidad,  para</w:t>
        <w:br/>
        <w:t>abordar, a continuación, la responsabilidad internacional agravada,  el  jus</w:t>
        <w:br/>
        <w:t>cogens en su amplia dimensión, la existencia del  crimen  de  Estado,  y  la</w:t>
        <w:br/>
        <w:t>coexistencia  de  la  responsabilidad  internacional  del   Estado   y   del</w:t>
        <w:br/>
        <w:t>individuo. Presentaré, enseguida, mis reflexiones finales.</w:t>
        <w:br/>
        <w:br/>
        <w:br/>
        <w:t xml:space="preserve">      I. La Gravedad de los Hechos.</w:t>
        <w:br/>
        <w:br/>
        <w:br/>
        <w:t>2.    En la demanda en el presente caso de la Masacre de  Plan  de  Sánchez,</w:t>
        <w:br/>
        <w:t>sometida a la Corte el 31 de julio de 2002 por  la  Comisión  Interamericana</w:t>
        <w:br/>
        <w:t>de Derechos Humanos, señaló ésta inter alia que</w:t>
        <w:br/>
        <w:br/>
        <w:t xml:space="preserve">            "La masacre [de Plan de Sánchez] fue perpetrada en el  marco  de</w:t>
        <w:br/>
        <w:t xml:space="preserve">      una política  genocida  del  Estado  de  Guatemala  realizada  con  la</w:t>
        <w:br/>
        <w:t xml:space="preserve">      intención de destruir, total o parcialmente, al pueblo indígena  maya.</w:t>
        <w:br/>
        <w:t xml:space="preserve">      Las violaciones fueron  en  tal  escala  que  representan  violaciones</w:t>
        <w:br/>
        <w:t xml:space="preserve">      masivas y múltiples de la Convención Americana sobre Derechos Humanos.</w:t>
        <w:br/>
        <w:t xml:space="preserve">      (...)</w:t>
        <w:br/>
        <w:t xml:space="preserve">            La [Comisión para el Esclarecimiento  Histórico]  CEH   registró</w:t>
        <w:br/>
        <w:t xml:space="preserve">      626 masacres cometidas por las fuerzas del Estado durante el conflicto</w:t>
        <w:br/>
        <w:t xml:space="preserve">      armado,  principalmente   el   Ejército,   apoyado   por   estructuras</w:t>
        <w:br/>
        <w:t xml:space="preserve">      paramilitares (...). El 95% fueron perpetradas entre 1978 y 1984 y  en</w:t>
        <w:br/>
        <w:t xml:space="preserve">      este  período  el   90%   fueron   ejecutadas   en   áreas   habitadas</w:t>
        <w:br/>
        <w:t xml:space="preserve">      predominantemente por el pueblo maya. (...)</w:t>
        <w:br/>
        <w:t xml:space="preserve">            Entre las características de las masacres durante  el  conflicto</w:t>
        <w:br/>
        <w:t xml:space="preserve">      armado en Guatemala se destaca que fueron ejecutadas mediante actos de</w:t>
        <w:br/>
        <w:t xml:space="preserve">      crueldad excesiva dirigidos a la eliminación de las personas  o  grupo</w:t>
        <w:br/>
        <w:t xml:space="preserve">      de personas previamente identificadas como objetivo de los  operativos</w:t>
        <w:br/>
        <w:t xml:space="preserve">      militares y a provocar terror como mecanismo de control social. (...)</w:t>
        <w:br/>
        <w:t xml:space="preserve">            Las masacres y operaciones de tierra  arrasada  significaron  el</w:t>
        <w:br/>
        <w:t xml:space="preserve">      exterminio de comunidades mayas completas, así como la destrucción  de</w:t>
        <w:br/>
        <w:t xml:space="preserve">      sus viviendas, ganado, cosechas y otros  elementos  de  sobrevivencia,</w:t>
        <w:br/>
        <w:t xml:space="preserve">      con lo que transgredió el derecho a la vida, a la identidad  étnica  o</w:t>
        <w:br/>
        <w:t xml:space="preserve">      cultural del pueblo maya  y  el  derecho  a  expresar  y  divulgar  la</w:t>
        <w:br/>
        <w:t xml:space="preserve">      cultura, entre otros. (...)</w:t>
        <w:br/>
        <w:t xml:space="preserve">            (...) La masacre de Plan de Sánchez estuvo enmarcada  dentro  de</w:t>
        <w:br/>
        <w:t xml:space="preserve">      una estrategia estatal destinada a destruir a un grupo étnico a través</w:t>
        <w:br/>
        <w:t xml:space="preserve">      de operativos militares, que  significaron  la  masacre  de  miles  de</w:t>
        <w:br/>
        <w:t xml:space="preserve">      miembros del pueblo indígena maya, la huída de los sobrevivientes,  la</w:t>
        <w:br/>
        <w:t xml:space="preserve">      destrucción  de  sus  economías  de  subsistencia  y   finalmente   el</w:t>
        <w:br/>
        <w:t xml:space="preserve">      sometimiento intencional de miles de indígenas mayas a condiciones  de</w:t>
        <w:br/>
        <w:t xml:space="preserve">      existencia de dependencia de la estructura militar." (...)[14].</w:t>
        <w:br/>
        <w:br/>
        <w:t>3.    A su vez, en su escrito  de  observaciones  sobre  la  demanda  de  la</w:t>
        <w:br/>
        <w:t>Comisión,  sometido  a  la  Corte  el  27  de  septiembre   de   2002,   los</w:t>
        <w:br/>
        <w:t>peticionarios alegaron inter alia que</w:t>
        <w:br/>
        <w:br/>
        <w:t xml:space="preserve">            "Los crímenes cometidos en ejecución de la  política  de  tierra</w:t>
        <w:br/>
        <w:t xml:space="preserve">      arrasada, incluyendo  la  masacre  de  Plan  de  Sánchez,  constituyen</w:t>
        <w:br/>
        <w:t xml:space="preserve">      genocidio contra el pueblo indígena-maya de Guatemala. (...)</w:t>
        <w:br/>
        <w:t xml:space="preserve">            Dichos actos fueron dirigidos con la intención de destruir total</w:t>
        <w:br/>
        <w:t xml:space="preserve">      o parcialmente al grupo étnico maya, dentro de los que  se  encuentran</w:t>
        <w:br/>
        <w:t xml:space="preserve">      como en este caso, los maya-achí de Rabinal. (...)</w:t>
        <w:br/>
        <w:t xml:space="preserve">            (...) El resultado de la política de Estado ha sido  la  matanza</w:t>
        <w:br/>
        <w:t xml:space="preserve">      de miles de indígenas-mayas guatemaltecos y la  completa  erradicación</w:t>
        <w:br/>
        <w:t xml:space="preserve">      de casi 440 aldeas. (...) La CEH registró 626 masacres  atribuibles  a</w:t>
        <w:br/>
        <w:t xml:space="preserve">      estas  fuerzas  [del  Estado].  Víctimas  y  supervivientes  de  tales</w:t>
        <w:br/>
        <w:t xml:space="preserve">      crímenes han sido forzadas a vivir en un régimen de terror y represión</w:t>
        <w:br/>
        <w:t xml:space="preserve">      bajo la autoridad de  aquellos  que  habían  ejecutado  las  masacres,</w:t>
        <w:br/>
        <w:t xml:space="preserve">      incapaces de hablar o pedir justicia para ellos o sus  muertos.  (...)</w:t>
        <w:br/>
        <w:t xml:space="preserve">      Después de las masacres los sobrevivientes fueron forzados a vivir  en</w:t>
        <w:br/>
        <w:t xml:space="preserve">      un ambiente construido y controlado por los militares." (...)[15].</w:t>
        <w:br/>
        <w:br/>
        <w:t>4.     En  el  curso   del   procedimiento   contencioso   ante   la   Corte</w:t>
        <w:br/>
        <w:t>Interamericana,  el   Estado   demandado   reconoció,   con   dignidad,   su</w:t>
        <w:br/>
        <w:t>responsabilidad internacional por la masacre de  Plan  de  Sánchez,  en  los</w:t>
        <w:br/>
        <w:t>términos transcritos en los párrafos 34-38  de  la  presente  Sentencia.  La</w:t>
        <w:br/>
        <w:t>Corte  valoró  dicho  reconocimiento  como  "una  contribución  positiva  al</w:t>
        <w:br/>
        <w:t>desarrollo de este proceso y a la vigencia de los  principios  que  inspiran</w:t>
        <w:br/>
        <w:t>la  Convención  Americana"  (párr.   50).   Pese   a   haber   aceptado   su</w:t>
        <w:br/>
        <w:t>responsabilidad por violaciones de distintas disposiciones de la  Convención</w:t>
        <w:br/>
        <w:t>Americana (cf. párr. 36, ns. 3 y 4), el  Estado  no  entró  a  ponderar  "lo</w:t>
        <w:br/>
        <w:t>relacionado con el tema de genocidio", planteado  en  sus  escritos  por  la</w:t>
        <w:br/>
        <w:t>Comisión  y  los  peticionarios,  "por  no  ser  materia  de  la  Convención</w:t>
        <w:br/>
        <w:t>Americana" (párr. 36, n. 5).</w:t>
        <w:br/>
        <w:br/>
        <w:t>5.    En su Informe Guatemala - Memoria del Silencio, la  Comisión  para  el</w:t>
        <w:br/>
        <w:t>Esclarecimiento Histórico (CEH) estableció la ocurrencia, sobre todo  en  el</w:t>
        <w:br/>
        <w:t>período 1981-1983, de mayor índice de violencia en el  conflicto  armado  en</w:t>
        <w:br/>
        <w:t>Guatemala (en el cual ocurrió el 81% de las graves violaciones  de  derechos</w:t>
        <w:br/>
        <w:t>humanos, de "actos de genocidio"[16]. En  su  determinación  de  los  hechos</w:t>
        <w:br/>
        <w:t>ocurridos  en  cuatro  regiones  de  Guatemala,  la  CEH  concluyó  que   se</w:t>
        <w:br/>
        <w:t>cometieron "actos de genocidio" contra miembros de  los  pueblos  maya-ixil,</w:t>
        <w:br/>
        <w:t>maya-achi,   maya-k'iche',   maya-chuj   y   maya-q'anjob'al[17].   En   sus</w:t>
        <w:br/>
        <w:t>"conclusiones finales" al respecto, la CEH volvió a utilizar  reiteradamente</w:t>
        <w:br/>
        <w:t>el concepto de actos de genocidio[18]. A juicio de la  CEH,  los  victimados</w:t>
        <w:br/>
        <w:t>fueron sobre todo los miembros "más vulnerables" de  las  comunidades  mayas</w:t>
        <w:br/>
        <w:t>(especialmente niños y niñas y ancianos)[19], y estas graves violaciones  de</w:t>
        <w:br/>
        <w:t>derechos humanos comprometían tanto la  responsabilidad  individual  de  los</w:t>
        <w:br/>
        <w:t>"autores intelectuales o materiales" de los "actos  de  genocidio"  como  la</w:t>
        <w:br/>
        <w:t>"responsabilidad  del  Estado",  por  cuanto  dichos  actos  fueron,  en  su</w:t>
        <w:br/>
        <w:t>mayoría, "producto de una política preestablecida por un comando superior  a</w:t>
        <w:br/>
        <w:t>sus autores materiales"[20].</w:t>
        <w:br/>
        <w:br/>
        <w:br/>
        <w:t xml:space="preserve">      II. Jurisdicción y Responsabilidad.</w:t>
        <w:br/>
        <w:br/>
        <w:br/>
        <w:t>6.    Sobre el particular, es cierto que la Corte Interamericana  carece  de</w:t>
        <w:br/>
        <w:t>jurisdicción  para  determinar  violaciones  de  la   Convención   para   la</w:t>
        <w:br/>
        <w:t>Prevención y la Sanción del Delito de Genocidio (1948). Pero caben aquí  dos</w:t>
        <w:br/>
        <w:t>precisiones. En primer lugar, el momento a  partir  del  cual  Guatemala  se</w:t>
        <w:br/>
        <w:t>comprometió a proteger la  totalidad  de  los  derechos  consagrados  en  la</w:t>
        <w:br/>
        <w:t>Convención Americana fue el de su ratificación de la Convención,  el  25  de</w:t>
        <w:br/>
        <w:t>mayo de 1978, - el cual es anterior a la masacre de  Plan  de  Sánchez.  Tal</w:t>
        <w:br/>
        <w:t>como lo precisé en mi Voto  Razonado  en  el  caso  Blake  versus  Guatemala</w:t>
        <w:br/>
        <w:t>(Fondo, Sentencia del 24.01.1998),</w:t>
        <w:br/>
        <w:br/>
        <w:t xml:space="preserve">            "No hay que  confundir  la  cuestión  de  la  invocación  de  la</w:t>
        <w:br/>
        <w:t xml:space="preserve">      responsabilidad por el cumplimiento de las obligaciones convencionales</w:t>
        <w:br/>
        <w:t xml:space="preserve">      contraídas por el Estado Parte con la cuestión de la sumisión de  éste</w:t>
        <w:br/>
        <w:t xml:space="preserve">      a la jurisdicción de la Corte" (párr. 34).</w:t>
        <w:br/>
        <w:br/>
        <w:t>7.    La cuestión jurisdiccional es distinta de la  cuestión  sustantiva  de</w:t>
        <w:br/>
        <w:t>la responsabilidad internacional. Aunque la Corte Interamericana carezca  de</w:t>
        <w:br/>
        <w:t>jurisdicción para pronunciarse sobre los alegados actos  de  genocidio  (por</w:t>
        <w:br/>
        <w:t>estar más allá de su competencia ratione materiae), ésto no exime el  Estado</w:t>
        <w:br/>
        <w:t>demandado de su responsabilidad internacional - por éste  reconocida  en  el</w:t>
        <w:br/>
        <w:t>presente  caso  -  por  violaciones  de  los  derechos  protegidos  por   la</w:t>
        <w:br/>
        <w:t>Convención Americana y demás  tratados  humanitarios  en  que  Guatemala  es</w:t>
        <w:br/>
        <w:t>Parte.</w:t>
        <w:br/>
        <w:br/>
        <w:t>8.    El Estado de Guatemala ratificó la Convención para la Prevención y  la</w:t>
        <w:br/>
        <w:t>Sanción del Delito de Genocidio el 13 de enero  de  1950.  Además,  ratificó</w:t>
        <w:br/>
        <w:t>las cuatro Convenciones de  Ginebra  de  1949  sobre  Derecho  Internacional</w:t>
        <w:br/>
        <w:t>Humanitario el 14 de mayo de 1952, así como los dos  Protocolos  Adicionales</w:t>
        <w:br/>
        <w:t>de 1977 a  dichas  Convenciones  el  19  de  octubre  de  1987.  Las  cuatro</w:t>
        <w:br/>
        <w:t>Convenciones de Ginebra de 1949 singularizan las "infracciones  graves"[21],</w:t>
        <w:br/>
        <w:t>y determinan, inter alia, el trato humano de todos  los  afectados[22],  así</w:t>
        <w:br/>
        <w:t>como el respeto a los muertos[23]. Los dos Protocolos  Adicionales  de  1977</w:t>
        <w:br/>
        <w:t>consagran  "garantías  fundamentales"[24].  Estas  últimas   comprenden   el</w:t>
        <w:br/>
        <w:t>respeto de la persona humana, inclusive de sus "prácticas religiosas" y  sus</w:t>
        <w:br/>
        <w:t>"convicciones" (filosóficas o de  otra  naturaleza)[25].  La  protección  es</w:t>
        <w:br/>
        <w:t>extendida a los lugares de culto que "constituyen el patrimonio  cultural  o</w:t>
        <w:br/>
        <w:t>espiritual de los pueblos"[26].</w:t>
        <w:br/>
        <w:br/>
        <w:br/>
        <w:t xml:space="preserve">      III. El Principio de Humanidad.</w:t>
        <w:br/>
        <w:br/>
        <w:br/>
        <w:t>9.    El trato humano, en toda y cualquier circunstancia, abarca  todas  las</w:t>
        <w:br/>
        <w:t>formas de comportamiento humano  y  la  totalidad  de  la  condición  de  la</w:t>
        <w:br/>
        <w:t>vulnerable  existencia  humana.  Más  que  una   disposición   de   aquellas</w:t>
        <w:br/>
        <w:t>garantías, el trato  humano  corresponde  al  principio  de  humanidad,  que</w:t>
        <w:br/>
        <w:t>traspasa  todo  el  corpus  juris  del  Derecho  Internacional  Humanitario,</w:t>
        <w:br/>
        <w:t>convencional así como consuetudinario. Esta consideración me  conduce  a  mi</w:t>
        <w:br/>
        <w:t>segunda precisión: es necesario tomar en cuenta, a un tiempo, a la  par  del</w:t>
        <w:br/>
        <w:t>derecho  internacional  convencional,  también  el   derecho   internacional</w:t>
        <w:br/>
        <w:t>general.</w:t>
        <w:br/>
        <w:br/>
        <w:t>10.   Hay aquí un elemento que me parece de fundamental  importancia:  actos</w:t>
        <w:br/>
        <w:t>que, bajo distintos tratados  y  convenciones  internacionales,  -  para  no</w:t>
        <w:br/>
        <w:t>hablar de la Convención Americana, - son considerados como de  genocidio,  o</w:t>
        <w:br/>
        <w:t>como violaciones graves  del  Derecho  Internacional  Humanitario,  ya  eran</w:t>
        <w:br/>
        <w:t>prohibidos  aún  antes  de  la  entrada  en  vigor  de  dichos  tratados   o</w:t>
        <w:br/>
        <w:t>convenciones, por el derecho internacional general. Se puede  aquí  invocar,</w:t>
        <w:br/>
        <w:t>en  el  marco  de  este  último,  v.g.,  el  reconocimiento  universal   del</w:t>
        <w:br/>
        <w:t>supracitado principio de humanidad[27].</w:t>
        <w:br/>
        <w:br/>
        <w:t>11.   En la lección imperecedera de un gran jusfilósofo, "si  no  las  leyes</w:t>
        <w:br/>
        <w:t>mismas, por lo  menos  su  contenido  se  hallaba  ya  en  vigor"  antes  de</w:t>
        <w:br/>
        <w:t>cometerse las atrocidades del siglo XX, en distintas  latitudes;  "dicho  en</w:t>
        <w:br/>
        <w:t>otros términos", prosiguió G. Radbruch,</w:t>
        <w:br/>
        <w:br/>
        <w:t xml:space="preserve">            "estas leyes responden, por su contenido, a un Derecho  superior</w:t>
        <w:br/>
        <w:t xml:space="preserve">      a la ley (...).</w:t>
        <w:br/>
        <w:t xml:space="preserve">            Por donde vemos cómo, a la vuelta de  un  siglo  de  positivismo</w:t>
        <w:br/>
        <w:t xml:space="preserve">      jurídico, resucita aquella idea de un Derecho superior a la ley (...).</w:t>
        <w:br/>
        <w:t xml:space="preserve">      El camino para llegar a la solución de estos problemas va ya implícito</w:t>
        <w:br/>
        <w:t xml:space="preserve">      en el nombre que la filosofía del Derecho ostentaba  en  las  antiguas</w:t>
        <w:br/>
        <w:t xml:space="preserve">      Universidades y que, tras muchos años de  desuso,  vuelve  a  resurgir</w:t>
        <w:br/>
        <w:t xml:space="preserve">      hoy: en el nombre y en el concepto de derecho natural"[28].</w:t>
        <w:br/>
        <w:br/>
        <w:t>12.   No hay que pasar desapercibido que el Tribunal Penal Internacional  ad</w:t>
        <w:br/>
        <w:t>hoc para Ruanda ponderó, con acierto, en el caso  J.-P.  Akayesu  (Sentencia</w:t>
        <w:br/>
        <w:t>del 02.09.1998), que el concepto de crímenes contra la humanidad  ya  "había</w:t>
        <w:br/>
        <w:t>sido reconocido mucho antes" del propio Tribunal  de  Nuremberg  (1945-1946)</w:t>
        <w:br/>
        <w:t>(párr. 565). Para ésto  contribuyó  la  cláusula  Martens  (cf.  infra);  en</w:t>
        <w:br/>
        <w:t>realidad,  expresiones  similares  a  la  de  aquel  crimen,  invocando   la</w:t>
        <w:br/>
        <w:t>humanidad victimada, "aparecen mucho antes en  la  historia  humana"  (párr.</w:t>
        <w:br/>
        <w:t>566). El mismo Tribunal Penal Internacional para Ruanda señaló, en  el  caso</w:t>
        <w:br/>
        <w:t>J. Kambanda (Sentencia del 04.09.1998), que "en todos  los  períodos  de  la</w:t>
        <w:br/>
        <w:t>historia el genocidio ha infligido grandes pérdidas  a  la  humanidad",  las</w:t>
        <w:br/>
        <w:t>víctimas siendo tanto las  personas  masacradas  como  la  propia  humanidad</w:t>
        <w:br/>
        <w:t>(tanto en los actos de genocidio como en los crímenes contra  la  humanidad)</w:t>
        <w:br/>
        <w:t>(párrs. 15-16)[29].</w:t>
        <w:br/>
        <w:br/>
        <w:t>13.   Lo cierto es que el contenido de la condenación de violaciones  graves</w:t>
        <w:br/>
        <w:t>de los derechos humanos, de  actos  de  genocidio,  de  crímenes  contra  la</w:t>
        <w:br/>
        <w:t>humanidad,  y  de  otras  atrocidades,  ya  se  encontraba  grabado  en   la</w:t>
        <w:br/>
        <w:t>conciencia humana, mucho antes de  su  tipificación  o  codificación  en  el</w:t>
        <w:br/>
        <w:t>plano internacional, sea en la Convención contra el Genocidio de  1948,  sea</w:t>
        <w:br/>
        <w:t>en  otros  tratados  de  derechos  humanos  o   de   Derecho   Internacional</w:t>
        <w:br/>
        <w:t>Humanitario. En la actualidad, los crímenes internacionales  son  condenados</w:t>
        <w:br/>
        <w:t>por  el  derecho  internacional  tanto  general  como   convencional.   Este</w:t>
        <w:br/>
        <w:t>desarrollo ha sido impulsado por la conciencia jurídica universal, la  cual,</w:t>
        <w:br/>
        <w:t>en mi entender, es la fuente material última de todo Derecho.</w:t>
        <w:br/>
        <w:br/>
        <w:t>14.   El derecho internacional contemporáneo (convencional y general) se  ha</w:t>
        <w:br/>
        <w:t>caracterizado en gran parte por la emergencia  y  evolución  de  sus  normas</w:t>
        <w:br/>
        <w:t>imperativas (el jus cogens), y una mayor conciencia, en escala  virtualmente</w:t>
        <w:br/>
        <w:t>universal,  del  principio  de  humanidad[30].  Violaciones  graves  de  los</w:t>
        <w:br/>
        <w:t>derechos humanos, actos de genocidio, crímenes contra  la  humanidad,  entre</w:t>
        <w:br/>
        <w:t>otras atrocidades,  son  violadores  de  prohibiciones  absolutas,  del  jus</w:t>
        <w:br/>
        <w:t>cogens[31]. El sentimiento de humanidad (humaneness) - propio  de  un  nuevo</w:t>
        <w:br/>
        <w:t>jus gentium, del siglo XXI - traspasa  todo  el  corpus  juris  del  derecho</w:t>
        <w:br/>
        <w:t>internacional contemporáneo. A este desarrollo me  he  permitido  denominar,</w:t>
        <w:br/>
        <w:t>en mis Votos en esta Corte, - entre los cuales mi  Voto  Concurrente  en  la</w:t>
        <w:br/>
        <w:t>Opinión Consultiva n. 16,  sobre  El  Derecho  a  la  Información  sobre  la</w:t>
        <w:br/>
        <w:t>Asistencia Consular en el Marco de las Garantías del  Debido  Proceso  Legal</w:t>
        <w:br/>
        <w:t>(del 01.10.1999) - de un proceso histórico  de  verdadera  humanización  del</w:t>
        <w:br/>
        <w:t>derecho internacional (párr. 35).</w:t>
        <w:br/>
        <w:br/>
        <w:t>15.   Ya expuse detallada y extensivamente  mi  propia  concepción  del  rol</w:t>
        <w:br/>
        <w:t>fundamental y posición central de los principios generales  del  derecho  en</w:t>
        <w:br/>
        <w:t>todo sistema jurídico (nacional o internacional),  en  mi  Voto  Concurrente</w:t>
        <w:br/>
        <w:t>(párrs. 1-89) en la Opinión  Consultiva  n.  18  de  esta  Corte,  sobre  la</w:t>
        <w:br/>
        <w:t>Condición Jurídica y Derechos de los Migrantes Indocumentados (2003). Ya  en</w:t>
        <w:br/>
        <w:t>1951, en su Opinión Consultiva sobre las Reservas a la Convención contra  el</w:t>
        <w:br/>
        <w:t>Genocidio, la Corte Internacional de Justicia (CIJ), a su  vez,  sostuvo  el</w:t>
        <w:br/>
        <w:t>reconocimiento de los  principios  subyacentes  a  aquella  Convención  como</w:t>
        <w:br/>
        <w:t>principios</w:t>
        <w:br/>
        <w:br/>
        <w:t xml:space="preserve">           "obligatorios para los Estados, aún en la ausencia de  cualquier</w:t>
        <w:br/>
        <w:t xml:space="preserve">      obligación convencional"[32].</w:t>
        <w:br/>
        <w:br/>
        <w:t>16.    En  su  jurisprudence  constante,   la   Corte   Interamericana,   al</w:t>
        <w:br/>
        <w:t>interpretar y aplicar la Convención Americana, ha consistentemente  invocado</w:t>
        <w:br/>
        <w:t>los principios generales del derecho[33]. Entre estos últimos,  los  dotados</w:t>
        <w:br/>
        <w:t>de un carácter verdaderamente fundamental forman el  substratum  del  propio</w:t>
        <w:br/>
        <w:t>ordenamiento  jurídico,  revelando  el  derecho  al  Derecho  del  cual  son</w:t>
        <w:br/>
        <w:t>titulares  todos  los  seres  humanos[34].  En  el   dominio   del   Derecho</w:t>
        <w:br/>
        <w:t>Internacional  de  los  Derechos  Humanos,  recaen  en  esta  categoría   de</w:t>
        <w:br/>
        <w:t>principios fundamentales el principio de la dignidad de la persona humana  y</w:t>
        <w:br/>
        <w:t>el de la inalienabilidad de los  derechos  que  le  son  inherentes.  En  su</w:t>
        <w:br/>
        <w:t>Opinión Consultiva n. 18, sobre la Condición  Jurídica  y  Derechos  de  los</w:t>
        <w:br/>
        <w:t>Migrantes  Indocumentados  (2003),  la  Corte  Interamericana   se   refirió</w:t>
        <w:br/>
        <w:t>expresamente a ambos principios[35].</w:t>
        <w:br/>
        <w:br/>
        <w:t>17.   La prevalencia del principio del respeto de la dignidad de la  persona</w:t>
        <w:br/>
        <w:t>humana se identifica  con  el  propio  fin  del  Derecho,  del  ordenamiento</w:t>
        <w:br/>
        <w:t>jurídico, tanto nacional como internacional.  En  virtud  de  ese  principio</w:t>
        <w:br/>
        <w:t>fundamental, toda  persona  debe  ser  respetada  (en  su  honor  y  en  sus</w:t>
        <w:br/>
        <w:t>creencias)  por  el  simple  hecho   de   pertenecer   al   género   humano,</w:t>
        <w:br/>
        <w:t>independientemente  de  cualquier  circunstancia[36].  El  principio  de  la</w:t>
        <w:br/>
        <w:t>inalienabilidad de los derechos inherentes al  ser  humano,  a  su  vez,  se</w:t>
        <w:br/>
        <w:t>identifica con una premisa básica de  la  construcción  de  todo  el  corpus</w:t>
        <w:br/>
        <w:t>juris del Derecho Internacional de los Derechos Humanos.</w:t>
        <w:br/>
        <w:br/>
        <w:t>18.   En cuanto a los principios de Derecho  Internacional  Humanitario,  se</w:t>
        <w:br/>
        <w:t>ha  argumentado  con  persuasión  que,  en  lugar  de  intentar  identificar</w:t>
        <w:br/>
        <w:t>disposiciones de las Convenciones de Ginebra de 1949, o  de  los  Protocolos</w:t>
        <w:br/>
        <w:t>Adicionales  de  1977,  que  pudieran  ser  considerados   como   expresando</w:t>
        <w:br/>
        <w:t>principios generales, se debería más bien considerar  aquellas  Convenciones</w:t>
        <w:br/>
        <w:t>y otros tratados de Derecho Humanitario como un todo como  constituyendo  la</w:t>
        <w:br/>
        <w:t>expresión - y el desarrollo - de tales principios generales,  aplicables  en</w:t>
        <w:br/>
        <w:t>cualesquiera circunstancias, de modo a asegurar mejor la protección  de  los</w:t>
        <w:br/>
        <w:t>victimados[37].</w:t>
        <w:br/>
        <w:br/>
        <w:t>19.   En el caso Mucic et allii  (Sentencia  del  20.02.2001),  el  Tribunal</w:t>
        <w:br/>
        <w:t>Penal Internacional ad hoc  para  la  Ex-Yugoslavia  (Sala  de  Apelaciones)</w:t>
        <w:br/>
        <w:t>ponderó que tanto el  Derecho  Internacional  Humanitario  como  el  Derecho</w:t>
        <w:br/>
        <w:t>Internacional de los Derechos Humanos  toman  como  "punto  de  partida"  su</w:t>
        <w:br/>
        <w:t>preocupación común de salvaguardar la dignidad humana, que forma la base  de</w:t>
        <w:br/>
        <w:t>sus estándares mínimos de humanidad (párr. 149). En efecto, el principio  de</w:t>
        <w:br/>
        <w:t>humanidad puede ser entendido de modos distintos.  En  primer  lugar,  puede</w:t>
        <w:br/>
        <w:t>ser  concebida  como  principio  subyacente  a  la  prohibición  del   trato</w:t>
        <w:br/>
        <w:t>inhumano, establecida por el artículo 3 común a las cuatro  Convenciones  de</w:t>
        <w:br/>
        <w:t>Ginebra de 1949.</w:t>
        <w:br/>
        <w:br/>
        <w:t>20.   En segundo  lugar,  el  referido  principio  puede  ser  invocado  por</w:t>
        <w:br/>
        <w:t>referencia a la humanidad como un todo, en relación con materias de  interés</w:t>
        <w:br/>
        <w:t>común, general y directo de ésta. Y, en tercer  lugar,  el  mismo  principio</w:t>
        <w:br/>
        <w:t>puede emplearse para calificar una  determinada  calidad  de  comportamiento</w:t>
        <w:br/>
        <w:t>humano (humaneness). En el caso  Celebici  (Sentencia  del  16.11.1998),  el</w:t>
        <w:br/>
        <w:t>referido Tribunal  Internacional  para  la  Ex-Yugoslavia  (Trial  Chamber),</w:t>
        <w:br/>
        <w:t>calificó el trato inhumano de acto u omisión intencional o  deliberada,  que</w:t>
        <w:br/>
        <w:t>causa "serio sufrimiento o daño mental o físico", o  constituye  un  "ataque</w:t>
        <w:br/>
        <w:t>serio a la dignidad humana" (párr. 543). De ese modo, agregó el Tribunal,</w:t>
        <w:br/>
        <w:br/>
        <w:t xml:space="preserve">            "inhuman treatment  is  intentional  treatment  which  does  not</w:t>
        <w:br/>
        <w:t xml:space="preserve">      conform with the fundamental principle  of  humanity,  and  forms  the</w:t>
        <w:br/>
        <w:t xml:space="preserve">      umbrella under which the remainder of the listed `grave  breaches'  in</w:t>
        <w:br/>
        <w:t xml:space="preserve">      the Conventions fall" (párr. 543).</w:t>
        <w:br/>
        <w:br/>
        <w:t>Posteriormente, en el caso T. Blaskic (Sentencia del 03.03.2000),  el  mismo</w:t>
        <w:br/>
        <w:t>Tribunal (Trial Chamber) reiteró esta posición (párr. 154).</w:t>
        <w:br/>
        <w:br/>
        <w:t>21.   No hay que pasar  aquí  desapercibida  la  célebre  cláusula  Martens,</w:t>
        <w:br/>
        <w:t>originalmente  insertada en los preámbulos de la II Convención  de  La  Haya</w:t>
        <w:br/>
        <w:t>de 1899 (párr. 9) y de la IV Convención de La Haya de 1907 (párr. 8),  ambas</w:t>
        <w:br/>
        <w:t>relativas a las leyes y costumbres de la guerra terrestre. Su propósito  era</w:t>
        <w:br/>
        <w:t>el de extender jurídicamente la protección a  las  personas  civiles  y  los</w:t>
        <w:br/>
        <w:t>combatientes en todas  las  situaciones,  aunque  no  contempladas  por  las</w:t>
        <w:br/>
        <w:t>normas convencionales; con este  fin,  la  cláusula  Martens  invocaba  "los</w:t>
        <w:br/>
        <w:t>principios del derecho de gentes" derivados de "los usos establecidos",  así</w:t>
        <w:br/>
        <w:t>como "las leyes de humanidad" y "las exigencias de la  conciencia  pública".</w:t>
        <w:br/>
        <w:t>Subsiguientemente, la cláusula Martens volvió a figurar  en  la  disposición</w:t>
        <w:br/>
        <w:t>común, relativa a la denuncia, de las cuatro Convenciones de  Ginebra  sobre</w:t>
        <w:br/>
        <w:t>Derecho Internacional Humanitario  de  1949  (artículo  63/62/142/158),  así</w:t>
        <w:br/>
        <w:t>como en el Protocolo Adicional I (de 1977) a dichas  Convenciones  (artículo</w:t>
        <w:br/>
        <w:t>1(2)), - para citar algunas  de  las  principales  Convenciones  de  Derecho</w:t>
        <w:br/>
        <w:t>Internacional Humanitario. La mencionada cláusula se ha revestido,  pues,  a</w:t>
        <w:br/>
        <w:t>lo largo de más de un siglo, de validad continuada.</w:t>
        <w:br/>
        <w:t>22.   La cláusula  Martens  sostiene  la  aplicabilidad  continuada  de  los</w:t>
        <w:br/>
        <w:t>principios del derecho de gentes, las leyes de humanidad  y  las  exigencias</w:t>
        <w:br/>
        <w:t>de la conciencia  pública,  independientemente  del  surgimiento  de  nuevas</w:t>
        <w:br/>
        <w:t>situaciones;  la  referida  cláusula  (perteneciente   al   propio   derecho</w:t>
        <w:br/>
        <w:t>internacional general)  impide,  pues,  el  non  liquet,  y  ejerce  un  rol</w:t>
        <w:br/>
        <w:t>importante en la hermenéutica de la normativa  humanitaria.  Las  "leyes  de</w:t>
        <w:br/>
        <w:t>humanidad" y las "exigencias de la conciencia pública"  por  ella  invocadas</w:t>
        <w:br/>
        <w:t>recaen en el dominio del jus cogens. La cláusula Martens, como un  todo,  ha</w:t>
        <w:br/>
        <w:t>sido concebida y reiteradamente afirmada, en última instancia, en  beneficio</w:t>
        <w:br/>
        <w:t>de todo el género humano, manteniendo  así  su  gran  actualidad;  se  puede</w:t>
        <w:br/>
        <w:t>considerarla como expresión de la razón de la humanidad  imponiendo  límites</w:t>
        <w:br/>
        <w:t>a la razón de Estado (raison d'État)[38].</w:t>
        <w:br/>
        <w:br/>
        <w:t>23.   La presente Sentencia de la Corte Interamericana  en  el  caso  de  la</w:t>
        <w:br/>
        <w:t>Masacre de Plan de Sánchez va más allá del  denominador  común  del  Derecho</w:t>
        <w:br/>
        <w:t>Internacional  de  los  Derechos  Humanos  y   del   Derecho   Internacional</w:t>
        <w:br/>
        <w:t>Humanitario, y contiene elementos conceptuales propios también  del  Derecho</w:t>
        <w:br/>
        <w:t>Internacional de los Refugiados: es el caso, v.g., de la referencia  expresa</w:t>
        <w:br/>
        <w:t>al criterio del "temor fundado de  persecución"  (párr.  42.29),  propia  de</w:t>
        <w:br/>
        <w:t>esta última vertiente de protección de los derechos de  la  persona  humana.</w:t>
        <w:br/>
        <w:t>En efecto, hechos como los del  presente  caso  (de  masacres  y  planes  de</w:t>
        <w:br/>
        <w:t>"tierra  arrasada")  generaron  temor,  y  dieron  lugar  a  desplazamientos</w:t>
        <w:br/>
        <w:t>forzados y llegada de  refugiados  guatemaltecos  a  México,  sobre  todo  a</w:t>
        <w:br/>
        <w:t>partir de 1981-1982)[39]. Del presente caso se desprenden,  en  efecto,  las</w:t>
        <w:br/>
        <w:t>aproximaciones o convergencias entre  las  tres  vertientes  de  protección,</w:t>
        <w:br/>
        <w:t>que, como vengo sosteniendo hace algunos años, se manifiestan en los  planos</w:t>
        <w:br/>
        <w:t>tanto normativo y hermenéutico así como operativo, de modo  a  maximizar  la</w:t>
        <w:br/>
        <w:t>protección de los derechos de la persona humana[40].</w:t>
        <w:br/>
        <w:br/>
        <w:br/>
        <w:t xml:space="preserve">      IV. Responsabilidad Internacional Agravada.</w:t>
        <w:br/>
        <w:br/>
        <w:t>24.   El hecho de que la Corte Interamericana carezca de  jurisdicción  para</w:t>
        <w:br/>
        <w:t>determinar violaciones de  la  Convención  contra  el  Genocidio  (1948)  no</w:t>
        <w:br/>
        <w:t>significa  que  la  Corte  no  pueda  tomar  en  cuenta  actos  que  aquella</w:t>
        <w:br/>
        <w:t>Convención tipifica como de genocidio,  como  circunstancias  agravantes  de</w:t>
        <w:br/>
        <w:t>violaciones de los derechos protegidos por  la  Convención  Americana  sobre</w:t>
        <w:br/>
        <w:t>Derechos  Humanos  (con  incidencia  directa  en  la  determinación  de  las</w:t>
        <w:br/>
        <w:t>reparaciones). Para este propósito, no es necesario que  dichos  actos  sean</w:t>
        <w:br/>
        <w:t>calificados como de genocidio, lo que podría generar  dificultades  para  la</w:t>
        <w:br/>
        <w:t>aplicación de la normativa de la Convención Americana, que tiene por fin  la</w:t>
        <w:br/>
        <w:t>determinación de la  responsabilidad  internacional  del  Estado,  y  no  de</w:t>
        <w:br/>
        <w:t>individuos.</w:t>
        <w:br/>
        <w:br/>
        <w:t>25.   Dichas dificultades, sin embargo, no me parecen insuperables. Bajo  la</w:t>
        <w:br/>
        <w:t>Convención Americana,  es  perfectamente  posible  la  determinación  de  la</w:t>
        <w:br/>
        <w:t>responsabilidad  internacional  agravada   del   Estado,   con   todas   las</w:t>
        <w:br/>
        <w:t>consecuencias jurídicas para las reparaciones; entre éstas,  encuéntrase  el</w:t>
        <w:br/>
        <w:t>cumplimiento  del  deber  por  parte  del  Estado  de  determinación  de  la</w:t>
        <w:br/>
        <w:t>responsabilidad penal individual de los perpetradores de las violaciones  de</w:t>
        <w:br/>
        <w:t>los derechos protegidos,  y  su  sanción  correspondiente.  No  es  esta  la</w:t>
        <w:br/>
        <w:t>primera vez que  la  Corte  Interamericana  identifica  una  responsabilidad</w:t>
        <w:br/>
        <w:t>internacional agravada (en los  términos  del  párrafo  51  de  la  presente</w:t>
        <w:br/>
        <w:t>Sentencia sobre el caso de la Masacre de Plan de Sánchez);  en  su  anterior</w:t>
        <w:br/>
        <w:t>Sentencia, del 25.11.2003, sobre el caso Myrna Mack Chang versus  Guatemala,</w:t>
        <w:br/>
        <w:t>la  Corte  concluyó  que,  de  los  hechos  probados,  se   desprendía   una</w:t>
        <w:br/>
        <w:t>"responsabilidad internacional agravada del Estado demandado" (párr. 139).</w:t>
        <w:br/>
        <w:br/>
        <w:t>26.   Normas consagradas en tratados  y  convenciones  pueden  perfectamente</w:t>
        <w:br/>
        <w:t>ser evidencia del derecho internacional consuetudinario[41]. Más  que  ésto,</w:t>
        <w:br/>
        <w:t>pueden subsistir como normas del derecho  internacional  tanto  convencional</w:t>
        <w:br/>
        <w:t>como consuetudinario[42]. La Convención contra el Genocidio de 1948  vino  a</w:t>
        <w:br/>
        <w:t>codificar la materia de que trata; aunque se considerara  -  visión  que  no</w:t>
        <w:br/>
        <w:t>comparto - que  sólo  a  partir  de  la  adopción  de  dicha  Convención  la</w:t>
        <w:br/>
        <w:t>prohibición del genocidio pasó  gradualmente,  con  su  consagración  en  el</w:t>
        <w:br/>
        <w:t>derecho internacional convencional,  a  integrarse  también  en  el  derecho</w:t>
        <w:br/>
        <w:t>internacional contemporáneo, es innegable que, en la época de la  ocurrencia</w:t>
        <w:br/>
        <w:t>de los hechos del presente caso, la prohibición  del  genocidio  ya  formaba</w:t>
        <w:br/>
        <w:t>parte del derecho internacional consuetudinario, e, inclusive,  del  dominio</w:t>
        <w:br/>
        <w:t>del jus cogens[43].</w:t>
        <w:br/>
        <w:br/>
        <w:t>27.   Ingresamos aquí, en definitiva, en el dominio del jus cogens y  de  la</w:t>
        <w:br/>
        <w:t>responsabilidad  internacional  agravada.  Ya  abordé   con   detalles   las</w:t>
        <w:br/>
        <w:t>consecuencias jurídicas de esta  última  en  mi  supracitado  Voto  Razonado</w:t>
        <w:br/>
        <w:t>(párrs. 41-55) en el caso Myrna Mack Chang (2003), al cual  me  permito,  al</w:t>
        <w:br/>
        <w:t>respecto,  hacer  aquí  referencia.  A  mi  juicio,  la   interpretación   y</w:t>
        <w:br/>
        <w:t>aplicación  de  la  Convención  Americana  no  excluyen  las   del   derecho</w:t>
        <w:br/>
        <w:t>internacional general; todo al contrario, las requieren.</w:t>
        <w:br/>
        <w:br/>
        <w:t>28.    El  propio  preámbulo  de  la   Convención   Americana   se   refiere</w:t>
        <w:br/>
        <w:t>expresamente a los principios reafirmados y  desarrollados  en  instrumentos</w:t>
        <w:br/>
        <w:t>internacionales, "tanto  de  ámbito  universal  como  regional"  (párr.  3).</w:t>
        <w:br/>
        <w:t>También se refiere a obligaciones impuestas  por  el  derecho  internacional</w:t>
        <w:br/>
        <w:t>(artículo 27)[44], así como a  los  "principios  del  derecho  internacional</w:t>
        <w:br/>
        <w:t>generalmente  reconocidos"   (artículo   46(1)(a))[45].   En   efecto,   los</w:t>
        <w:br/>
        <w:t>principios generales del  derecho[46]  orientan  todo  y  cualquier  sistema</w:t>
        <w:br/>
        <w:t>jurídico, y guían el derecho tanto convencional como general. Estos  dos  se</w:t>
        <w:br/>
        <w:t>aplican concomitantemente[47], y el hecho de que un  principio  general  del</w:t>
        <w:br/>
        <w:t>derecho encontró expresión en convenciones multilaterales no lo priva de  su</w:t>
        <w:br/>
        <w:t>continuada   aplicación   como   principio    de    derecho    internacional</w:t>
        <w:br/>
        <w:t>consuetudinario; el derecho internacional general continúa a aplicarse  pari</w:t>
        <w:br/>
        <w:t>passu con el convencional[48].</w:t>
        <w:br/>
        <w:br/>
        <w:br/>
        <w:t xml:space="preserve">      V. El Jus Cogens en su Amplia Dimensión.</w:t>
        <w:br/>
        <w:br/>
        <w:br/>
        <w:t>29.   El propio concepto de  jus  cogens,  en  mi  entender,  trasciende  el</w:t>
        <w:br/>
        <w:t>ámbito tanto del  derecho  de  los  tratados[49]  como  del  derecho  de  la</w:t>
        <w:br/>
        <w:t>responsabilidad internacional de los Estados[50],  de  modo  a  alcanzar  el</w:t>
        <w:br/>
        <w:t>derecho internacional general y los propios fundamentos del  orden  jurídico</w:t>
        <w:br/>
        <w:t>internacional. La Corte Interamericana se refirió a  esta  evolución  en  su</w:t>
        <w:br/>
        <w:t>reciente Opinión Consultiva n. 18, sobre la Condición  Jurídica  y  Derechos</w:t>
        <w:br/>
        <w:t>de los Migrantes Indocumentados (párrs. 98-99). En mi  Voto  Concurrente  en</w:t>
        <w:br/>
        <w:t>aquella Opinión Consultiva, me permití ponderar que tal evolución atiende  a</w:t>
        <w:br/>
        <w:t>la necesidad de "un mínimo de verticalización en  el  ordenamiento  jurídico</w:t>
        <w:br/>
        <w:t>internacional, erigido sobre pilares en que se fusionan  lo  jurídico  y  lo</w:t>
        <w:br/>
        <w:t>ético" (párr. 66), y agregué:</w:t>
        <w:br/>
        <w:br/>
        <w:t xml:space="preserve">            "De mi parte, siempre  he  sostenido  que  es  una  consecuencia</w:t>
        <w:br/>
        <w:t xml:space="preserve">      ineludible  de  la  afirmación  y  la  propia  existencia  de   normas</w:t>
        <w:br/>
        <w:t xml:space="preserve">      imperativas del Derecho Internacional el no se  limitar  éstas  a  las</w:t>
        <w:br/>
        <w:t xml:space="preserve">      normas convencionales, al derecho de los tratados, y el  extenderse  a</w:t>
        <w:br/>
        <w:t xml:space="preserve">      todo y cualquier acto jurídico. Desarrollos recientes  apuntan  en  el</w:t>
        <w:br/>
        <w:t xml:space="preserve">      mismo sentido, o sea, de que el dominio del jus cogens, más  allá  del</w:t>
        <w:br/>
        <w:t xml:space="preserve">      derecho de los tratados, alcanza igualmente el  derecho  internacional</w:t>
        <w:br/>
        <w:t xml:space="preserve">      general. Además, el jus cogens,  en  mi  entender,  es  una  categoría</w:t>
        <w:br/>
        <w:t xml:space="preserve">      abierta, que se expande en la medida en que se despierta la conciencia</w:t>
        <w:br/>
        <w:t xml:space="preserve">      jurídica universal (fuente  material  de  todo  el  Derecho)  para  la</w:t>
        <w:br/>
        <w:t xml:space="preserve">      necesidad de proteger los derechos inherentes a  todo  ser  humano  en</w:t>
        <w:br/>
        <w:t xml:space="preserve">      toda y cualquier situación" (párr. 68).</w:t>
        <w:br/>
        <w:br/>
        <w:t>30.   Así, la prohibición de las prácticas de tortura y trato  inhumano,  de</w:t>
        <w:br/>
        <w:t>desaparición forzada de personas, de ejecuciones sumarias  y  extra-legales,</w:t>
        <w:br/>
        <w:t>del irrespeto del honor y creencias personales (inclusive las relaciones  de</w:t>
        <w:br/>
        <w:t>los vivos con sus muertos), es en nuestros días absoluta y  universal,  pues</w:t>
        <w:br/>
        <w:t>pertenece al dominio del  jus  cogens  internacional.  Esta  prohibición  se</w:t>
        <w:br/>
        <w:t>afirma hoy día en estos  términos  debido  al  despertar  de  la  conciencia</w:t>
        <w:br/>
        <w:t>jurídica universal, la cual,  me  permito  reiterar,  constituye  la  fuente</w:t>
        <w:br/>
        <w:t>material de todo el Derecho; la infracción de dicha prohibición  general  la</w:t>
        <w:br/>
        <w:t>responsabilidad internacional agravada  del  Estado,  y  la  responsabilidad</w:t>
        <w:br/>
        <w:t>penal internacional de los perpetradores  (intelectuales  y  materiales)  de</w:t>
        <w:br/>
        <w:t>las violaciones.</w:t>
        <w:br/>
        <w:br/>
        <w:t>31.   Tal como también lo  señalé  en  mi  citado  Voto  Concurrente  en  la</w:t>
        <w:br/>
        <w:t>Opinión Consultiva n. 18  de  esta  Corte  sobre  la  Condición  Jurídica  y</w:t>
        <w:br/>
        <w:t>Derechos de los Migrantes Indocumentados (2003),</w:t>
        <w:br/>
        <w:br/>
        <w:t xml:space="preserve">            "A la responsabilidad  internacional  objetiva  de  los  Estados</w:t>
        <w:br/>
        <w:t xml:space="preserve">      corresponde necesariamente la noción de ilegalidad  objetiva  (uno  de</w:t>
        <w:br/>
        <w:t xml:space="preserve">      los elementos subyacentes al concepto  de  jus  cogens).  En  nuestros</w:t>
        <w:br/>
        <w:t xml:space="preserve">      días, nadie osaría negar la ilegalidad objetiva de actos de genocidio,</w:t>
        <w:br/>
        <w:t xml:space="preserve">      de prácticas sistemáticas de tortura, de ejecuciones sumarias y extra-</w:t>
        <w:br/>
        <w:t xml:space="preserve">      legales, y de desaparición forzada de personas (...),  condenadas  por</w:t>
        <w:br/>
        <w:t xml:space="preserve">      la conciencia jurídica  universal,  a  la  par  de  la  aplicación  de</w:t>
        <w:br/>
        <w:t xml:space="preserve">      tratados.</w:t>
        <w:br/>
        <w:t xml:space="preserve">            (...) La emergencia y consagración del  jus  cogens  evocan  las</w:t>
        <w:br/>
        <w:t xml:space="preserve">      nociones de orden público internacional y de una jerarquía  de  normas</w:t>
        <w:br/>
        <w:t xml:space="preserve">      jurídicas, así como la prevalencia del jus necessarium  sobre  el  jus</w:t>
        <w:br/>
        <w:t xml:space="preserve">      voluntarium; el jus cogens se presenta como la expresión  jurídica  de</w:t>
        <w:br/>
        <w:t xml:space="preserve">      la propia comunidad internacional como un todo, la cual, en fin,  toma</w:t>
        <w:br/>
        <w:t xml:space="preserve">      conciencia de sí misma, y de los principios  y  valores  fundamentales</w:t>
        <w:br/>
        <w:t xml:space="preserve">      que la guían" (párrs. 71 y 73).</w:t>
        <w:br/>
        <w:br/>
        <w:t>32.   Las prohibiciones supracitadas del jus cogens son  incuestionables  en</w:t>
        <w:br/>
        <w:t>nuestros días, en la actual etapa de  evolución  del  derecho  internacional</w:t>
        <w:br/>
        <w:t>contemporáneo.  Además,  revelan  la  gradual  emergencia  de   un   derecho</w:t>
        <w:br/>
        <w:t>internacional universal. El propósito del jus cogens es precisamente  el  de</w:t>
        <w:br/>
        <w:t>asegurar  los  intereses  y  valores  más  fundamentales  de  la   comunidad</w:t>
        <w:br/>
        <w:t>internacional como un todo[51]. Las referidas prohibiciones (de  violaciones</w:t>
        <w:br/>
        <w:t>graves de los derechos humanos) indican, en  la  ponderación  de  M.  Lachs,</w:t>
        <w:br/>
        <w:t>cómo</w:t>
        <w:br/>
        <w:br/>
        <w:t xml:space="preserve">            "mankind, or the international community, on its journey through</w:t>
        <w:br/>
        <w:t xml:space="preserve">      history, found it necessary to outlaw once and for all certain actions</w:t>
        <w:br/>
        <w:t xml:space="preserve">      (...). On this, the deniers and doubters have to agree, if they accept</w:t>
        <w:br/>
        <w:t xml:space="preserve">      the basic premises of law and the imperative of its progress"[52].</w:t>
        <w:br/>
        <w:br/>
        <w:t>33.   Hay  obligaciones  internacionales  atinentes  a  la  salvaguardia  de</w:t>
        <w:br/>
        <w:t>valores  fundamentales  de  la  propia  comunidad  internacional,   que   se</w:t>
        <w:br/>
        <w:t>distinguen de otras obligaciones internacionales; de ahí  la  emergencia  de</w:t>
        <w:br/>
        <w:t>conceptos como los de las obligaciones erga omnes, atinentes al jus  cogens,</w:t>
        <w:br/>
        <w:t>en el derecho internacional contemporáneo[53].  Así, la  visión  clásica  de</w:t>
        <w:br/>
        <w:t>un régimen único e indiferenciado de  responsabilidad  internacional  ya  no</w:t>
        <w:br/>
        <w:t>corresponde a la actual etapa de evolución  de  la  materia  en  el  derecho</w:t>
        <w:br/>
        <w:t>internacional contemporáneo[54]. La  búsqueda  corriente  de  una  jerarquía</w:t>
        <w:br/>
        <w:t>normativa y conceptual en el ordenamiento jurídico internacional  (ilustrada</w:t>
        <w:br/>
        <w:t>por la consagración del jus cogens) ha conformado, a  mi  modo  de  ver,  la</w:t>
        <w:br/>
        <w:t>responsabilidad   internacional   agravada,   en   casos   de    violaciones</w:t>
        <w:br/>
        <w:t>particularmente   graves   de   los   derechos   humanos   y   de   crímenes</w:t>
        <w:br/>
        <w:t>internacionales,  con   todas   sus   consecuencias   jurídicas.    Crímenes</w:t>
        <w:br/>
        <w:t>internacionales y violaciones del jus cogens, por  su  particular  gravedad,</w:t>
        <w:br/>
        <w:t>afectan los valores básicos de la comunidad internacional como un todo[55].</w:t>
        <w:br/>
        <w:br/>
        <w:br/>
        <w:t xml:space="preserve">      VI. Existencia del Crimen de Estado.</w:t>
        <w:br/>
        <w:br/>
        <w:br/>
        <w:t>34.   La responsabilidad agravada es, precisamente, la que corresponde a  un</w:t>
        <w:br/>
        <w:t>crimen de Estado,  sin  que  con  esto  se  pretenda  sugerir  una  analogía</w:t>
        <w:br/>
        <w:t>inadecuada  con  categorías  del  derecho  penal  interno.  Los  hechos  del</w:t>
        <w:br/>
        <w:t>presente caso de la Masacre de Plan de Sánchez hablan por sí mismos,  y  con</w:t>
        <w:br/>
        <w:t>elocuencia, revelando que los crímenes de Estado sí, existen,  aunque  parte</w:t>
        <w:br/>
        <w:t>de la doctrina jusinternacionalista, apegada a  dogmas  del  pasado,  busque</w:t>
        <w:br/>
        <w:t>negarlos o eludirlos. El crimen de Estado,  acarreando  una  responsabilidad</w:t>
        <w:br/>
        <w:t>internacional agravada, afecta directamente los valores fundamentales de  la</w:t>
        <w:br/>
        <w:t>comunidad internacional como un todo.</w:t>
        <w:br/>
        <w:br/>
        <w:t>35.   Desde esta perspectiva, el crimen de  Estado  se  configura  como  una</w:t>
        <w:br/>
        <w:t>violación grave del derecho internacional perentorio  (el  jus  cogens).  El</w:t>
        <w:br/>
        <w:t>crimen de Estado se torna aún más evidente en la medida en que se  establece</w:t>
        <w:br/>
        <w:t>la intención (falta o culpa), o tolerancia,  acquiescencia,  negligencia,  u</w:t>
        <w:br/>
        <w:t>omisión, por parte del Estado en relación  con  violaciones  graves  de  los</w:t>
        <w:br/>
        <w:t>derechos humanos y del Derecho  Internacional  Humanitario  perpetradas  por</w:t>
        <w:br/>
        <w:t>sus agentes, inclusive en nombre de una política de Estado.</w:t>
        <w:br/>
        <w:br/>
        <w:t>36.   Aquí, el principio de  la  responsabilidad  objetiva  o  absoluta  del</w:t>
        <w:br/>
        <w:t>Estado, cede espacio a la  responsabilidad  basada  en  la  falta  o  culpa,</w:t>
        <w:br/>
        <w:t>siempre y cuando se puede demostrar  -  como  en  el  presente  caso  de  la</w:t>
        <w:br/>
        <w:t>Masacre del Plan de Sánchez - la intención del Estado de causar  el  daño  o</w:t>
        <w:br/>
        <w:t>su negligencia en evitarlo; al igual que en el caso  Myrna  Mack  Chang,  la</w:t>
        <w:br/>
        <w:t>falta o culpa  tórnase,  aquí,  la  base  conceptual  imprescindible  de  la</w:t>
        <w:br/>
        <w:t>responsabilidad  del  Estado,  agravada  por  esta  circunstancia.  Como  me</w:t>
        <w:br/>
        <w:t>permití advertir en mi Voto Razonado en el caso Myrna Mack Chang,</w:t>
        <w:br/>
        <w:br/>
        <w:t xml:space="preserve">            "El crimen de Estado es mucho más que una  posibilidad,  es  una</w:t>
        <w:br/>
        <w:t xml:space="preserve">      realidad, como lo revelan los hechos del  cas  d'espèce.  Mientras  se</w:t>
        <w:br/>
        <w:t xml:space="preserve">      siga intentando eludir la cuestión, la  doctrina  jusinternacionalista</w:t>
        <w:br/>
        <w:t xml:space="preserve">      contemporánea estará sucumbiendo ante  el  espectro  de  la  soberanía</w:t>
        <w:br/>
        <w:t xml:space="preserve">      estatal, y frenando la propia  evolución  del  derecho  de  gentes  en</w:t>
        <w:br/>
        <w:t xml:space="preserve">      nuestros días. Mientras se  siga  negando  su  existencia,  se  estará</w:t>
        <w:br/>
        <w:t xml:space="preserve">      privando a la persona humana, titular último de los  derechos  que  le</w:t>
        <w:br/>
        <w:t xml:space="preserve">      son  inherentes,  y  anteriores  y  superiores  al   Estado,   de   la</w:t>
        <w:br/>
        <w:t xml:space="preserve">      salvaguardia y del ejercicio de dichos  derechos,  a  empezar  por  el</w:t>
        <w:br/>
        <w:t xml:space="preserve">      derecho a la justicia; se estará, además, privando a la persona humana</w:t>
        <w:br/>
        <w:t xml:space="preserve">      de las reparaciones por las lesiones de aquellos derechos.</w:t>
        <w:br/>
        <w:t xml:space="preserve">            Mientras se siga negando su existencia, se  estará  privando  al</w:t>
        <w:br/>
        <w:t xml:space="preserve">      Estado, - rehén de una estructura deformada de represión e  impunidad,</w:t>
        <w:br/>
        <w:t xml:space="preserve">      - de su fin precipuo, la realización del bien común. Mientras se  siga</w:t>
        <w:br/>
        <w:t xml:space="preserve">      negando su existencia, en medio a un imbroglio  semántico  vacío  (que</w:t>
        <w:br/>
        <w:t xml:space="preserve">      desvía la atención de la cuestión central de la necesidad de  asegurar</w:t>
        <w:br/>
        <w:t xml:space="preserve">      el primado de la justicia), se estará privando al propio Derecho de su</w:t>
        <w:br/>
        <w:t xml:space="preserve">      fin último, precisamente la realización de la  justicia.  Mientras  se</w:t>
        <w:br/>
        <w:t xml:space="preserve">      siga intentando eludir  la  cuestión,  el  tratamiento  dispensado  al</w:t>
        <w:br/>
        <w:t xml:space="preserve">      capítulo central del derecho de la responsabilidad  internacional  del</w:t>
        <w:br/>
        <w:t xml:space="preserve">      Estado  seguirá  siendo  inconvincente,  además   de   conceptualmente</w:t>
        <w:br/>
        <w:t xml:space="preserve">      incompleto  y  jurídicamente  inconsistente.  Con  ésto,   se   estará</w:t>
        <w:br/>
        <w:t xml:space="preserve">      lamentablemente postergando la  construcción  y  consolidación  de  un</w:t>
        <w:br/>
        <w:t xml:space="preserve">      verdadero Estado de Derecho, y, en el marco  de  éste  último,  de  un</w:t>
        <w:br/>
        <w:t xml:space="preserve">      verdadero derecho al Derecho, o sea,  el  derecho  a  un  ordenamiento</w:t>
        <w:br/>
        <w:t xml:space="preserve">      jurídico que efectivamente salvaguarde los derechos  fundamentales  de</w:t>
        <w:br/>
        <w:t xml:space="preserve">      la persona humana" (párrs. 54-55).</w:t>
        <w:br/>
        <w:br/>
        <w:br/>
        <w:t xml:space="preserve">      VII. Coexistencia de la Responsabilidad  Internacional  del  Estado  y</w:t>
        <w:br/>
        <w:t xml:space="preserve">          del Individuo.</w:t>
        <w:br/>
        <w:br/>
        <w:br/>
        <w:t>37.   No me parece haber impedimento jurídico alguno para  la  determinación</w:t>
        <w:br/>
        <w:t>concomitante  de  la  responsabilidad  internacional   del   Estado   y   la</w:t>
        <w:br/>
        <w:t>responsabilidad penal  de  los  individuos  en  los  términos  anteriormente</w:t>
        <w:br/>
        <w:t>señalados (párr. 25, supra), en lo que concierne a la Convención  Americana,</w:t>
        <w:br/>
        <w:t>revelando la interacción entre los ordenamientos jurídicos  internacional  y</w:t>
        <w:br/>
        <w:t>nacional, en el presente dominio de protección de los derechos  humanos.  Se</w:t>
        <w:br/>
        <w:t>ha, al respecto, ponderado que, coincidiendo los hechos determinados por  la</w:t>
        <w:br/>
        <w:t>CEH con figuras tipificadas por los ordenamientos  jurídicos  tanto  interno</w:t>
        <w:br/>
        <w:t>como  internacional  como  delitos,  y  siendo  las  conductas   respectivas</w:t>
        <w:br/>
        <w:t>calificadas como "las más graves en la escala social", merecedoras  de  "las</w:t>
        <w:br/>
        <w:t>más graves sanciones sociales", el sólo "reproche ético" es  necesario  pero</w:t>
        <w:br/>
        <w:t>no suficiente, por cuanto para dichas conductas se  preveía  "la  imposición</w:t>
        <w:br/>
        <w:t>de una sanción".  Y se ha agregado que</w:t>
        <w:br/>
        <w:br/>
        <w:t xml:space="preserve">      "Si el reproche es solamente moral se distorsiona todo el  sistema  de</w:t>
        <w:br/>
        <w:t xml:space="preserve">      prevención de delitos y protección de bienes jurídicos previsto por el</w:t>
        <w:br/>
        <w:t xml:space="preserve">      derecho penal.  Si no se aplica la sanción penal a hechos tan  graves,</w:t>
        <w:br/>
        <w:t xml:space="preserve">      la  sociedad  puede  considerar  como  permitido  aquello  que  estaba</w:t>
        <w:br/>
        <w:t xml:space="preserve">      prohibido o por lo menos entender que se encontraba justificado"[56].</w:t>
        <w:br/>
        <w:br/>
        <w:t>De ahí la  relevancia  de  la  lucha  contra  la  impunidad.   En  el  plano</w:t>
        <w:br/>
        <w:t>estrictamente  internacional,   subsiste,   sin   embargo,   un   desarrollo</w:t>
        <w:br/>
        <w:t>insuficiente de la materia, reflejado en la actitud persistente,  de  tratar</w:t>
        <w:br/>
        <w:t>la responsabilidad internacional del Estado y la  responsabilidad  penal  de</w:t>
        <w:br/>
        <w:t>los individuos de forma separada y compartimentalizada.</w:t>
        <w:br/>
        <w:br/>
        <w:t>38.   En la actual etapa del desarrollo  insuficiente  de  la  materia,  los</w:t>
        <w:br/>
        <w:t>tribunales  internacionales  de  derechos  humanos  (las  Cortes  Europea  e</w:t>
        <w:br/>
        <w:t>Interamericana, y en el futuro la Africana) se centran  en  la  primera  (la</w:t>
        <w:br/>
        <w:t>responsabilidad internacional  del  Estado),  mientras  que  los  tribunales</w:t>
        <w:br/>
        <w:t>penales internacionales ad hoc (para la ex-Yugoslavia y para  Ruanda)  y  el</w:t>
        <w:br/>
        <w:t>Tribunal  Penal  Internacional  (TPI)  se   vuelven   a   la   segunda   (la</w:t>
        <w:br/>
        <w:t>responsabilidad  penal   internacional   de   los   individuos).   Pero   la</w:t>
        <w:br/>
        <w:t>responsabilidad  internacional  del  Estado   y   la   del   individuo   son</w:t>
        <w:br/>
        <w:t>complementarias.  La  Convención  Americana  sobre  Derechos   Humanos,   al</w:t>
        <w:br/>
        <w:t>centrarse en la responsabilidad internacional del Estado por violaciones  de</w:t>
        <w:br/>
        <w:t>los derechos por ella protegidos, no se exime, sin embargo, de señalar -  en</w:t>
        <w:br/>
        <w:t>su ni siempre  recordado  artículo  32(1)[57]  -  que  "toda  persona  tiene</w:t>
        <w:br/>
        <w:t>deberes para con la familia, la comunidad y la humanidad".</w:t>
        <w:br/>
        <w:br/>
        <w:t>39.   La reacción a las violaciones graves y sistemáticas  de  los  derechos</w:t>
        <w:br/>
        <w:t>humanos y del Derecho  Internacional  Humanitario  constituye  hoy  día  una</w:t>
        <w:br/>
        <w:t>legítima preocupación de la comunidad  internacional  como  un  todo;  dicha</w:t>
        <w:br/>
        <w:t>reacción se impone aún con mayor fuerza cuando las víctimas son  vulnerables</w:t>
        <w:br/>
        <w:t>e indefensas (como en el presente caso de la Masacre del Plan  de  Sánchez),</w:t>
        <w:br/>
        <w:t>y la estructura del poder público es deformada y puesta  a  servicio  de  la</w:t>
        <w:br/>
        <w:t>represión y no de la búsqueda  del  bien  común.  La  responsabilidad  penal</w:t>
        <w:br/>
        <w:t>internacional del individuo, en mi entendimiento, no exime  la  del  Estado;</w:t>
        <w:br/>
        <w:t>las dos coexisten, siendo este reconocimiento de  crucial  importancia  para</w:t>
        <w:br/>
        <w:t>la erradicación de la impunidad.  Tanto  el  Estado  como  sus  agentes  son</w:t>
        <w:br/>
        <w:t>destinatarios directos de normas del  derecho  internacional  contemporáneo;</w:t>
        <w:br/>
        <w:t>la conducta de ambos es prevista y reglada por este último, debiendo,  pues,</w:t>
        <w:br/>
        <w:t>tanto el Estado como sus agentes responder  por  las  consecuencias  de  sus</w:t>
        <w:br/>
        <w:t>actos y omisiones.</w:t>
        <w:br/>
        <w:br/>
        <w:br/>
        <w:t xml:space="preserve">      VIII. Epílogo.</w:t>
        <w:br/>
        <w:br/>
        <w:br/>
        <w:t>40.   No podría concluir  este  Voto  Razonado  sin  referirme,  aunque  muy</w:t>
        <w:br/>
        <w:t>brevemente, a un aspecto del  presente  caso  de  la  Masacre  del  Plan  de</w:t>
        <w:br/>
        <w:t>Sánchez que me parece de la mayor relevancia, y que, a mi juicio,  no  puede</w:t>
        <w:br/>
        <w:t>pasar desapercibido. A pesar de que los  hechos  ocurrieron  hace  22  años,</w:t>
        <w:br/>
        <w:t>quedan seguramente vivos en la memoria de los sobrevivientes.  Los  años  de</w:t>
        <w:br/>
        <w:t>silencio y humillación, frente  a  las  dificultades  de  ubicación  de  los</w:t>
        <w:br/>
        <w:t>cementerios clandestinos y de exhumación de los cadáveres de la  masacre,  y</w:t>
        <w:br/>
        <w:t>de prolongada denegación de justicia, no lograron apagar la memoria  de  los</w:t>
        <w:br/>
        <w:t>sobrevivientes de lo ocurrido en Plan de Sánchez  el  día  18  de  julio  de</w:t>
        <w:br/>
        <w:t>1982. Como bien señaló un escritor latinoamericano, "el  olvido  está  lleno</w:t>
        <w:br/>
        <w:t>de memoria"[58]; o sea, efectivamente no hay olvido.</w:t>
        <w:br/>
        <w:br/>
        <w:t>41.   La memoria es duradera, resiste a la erosión del  tiempo,  resurge  de</w:t>
        <w:br/>
        <w:t>las profundidades y tinieblas del sufrimiento humano, pues los  caminos  del</w:t>
        <w:br/>
        <w:t>pasado ya fueron trazados y debidamente  recorridos,  ya  son  conocidos,  y</w:t>
        <w:br/>
        <w:t>permanecen inolvidables. Al respecto, advertía un gran  pensador  del  siglo</w:t>
        <w:br/>
        <w:t>XX que jamás hay que  dejar  pasar  por  alto  "el  respeto  a  los  eternos</w:t>
        <w:br/>
        <w:t>derechos humanos, el aprecio de lo antiguo y la continuidad de la cultura  y</w:t>
        <w:br/>
        <w:t>de la historia del espíritu"[59].</w:t>
        <w:br/>
        <w:br/>
        <w:t>42.   Transcurridas más de dos décadas desde la referida masacre de Plan  de</w:t>
        <w:br/>
        <w:t>Sánchez, el Estado demandado ha reconocido su responsabilidad  internacional</w:t>
        <w:br/>
        <w:t>por las graves violaciones de los derechos humanos[60] en el  cas  d'espèce,</w:t>
        <w:br/>
        <w:t>y los victimados de Plan de Sánchez han tenido su caso conocido y  resuelto,</w:t>
        <w:br/>
        <w:t>en cuanto al fondo, por un tribunal internacional de derechos  humanos.  Los</w:t>
        <w:br/>
        <w:t>sobrevivientes de la masacre de Plan de Sánchez podrán ahora reconstruir,  o</w:t>
        <w:br/>
        <w:t>reconstituir con plenitud, las relaciones  con  sus  muertos,  reivindicados</w:t>
        <w:br/>
        <w:t>por la presente Sentencia de la Corte Interamericana.</w:t>
        <w:br/>
        <w:br/>
        <w:t>43.   En definitiva, la conciencia humana es  la  fuente  material  de  todo</w:t>
        <w:br/>
        <w:t>Derecho. La conciencia colectiva de los miembros del  pueblo  maya  ha  dado</w:t>
        <w:br/>
        <w:t>elocuente testimonio de su existencia espiritual,  individual  y  colectiva,</w:t>
        <w:br/>
        <w:t>la cual, a su vez, los identifica, los vincula y los  distingue.  La  suerte</w:t>
        <w:br/>
        <w:t>de uno está ineluctablemente ligada a  la  de  los  demás  miembros  de  sus</w:t>
        <w:br/>
        <w:t>comunidades. Como tan lúcidamente ponderó C.G. Jung en su autobiografía,  el</w:t>
        <w:br/>
        <w:t>alma humana tiene una  naturaleza  y  un  comportamiento  objetivos[61].  La</w:t>
        <w:br/>
        <w:t>existencia espiritual, individual y colectiva,  es  una  realidad  objetiva.</w:t>
        <w:br/>
        <w:t>Los hechos del presente caso lo comprueban cabalmente.</w:t>
        <w:br/>
        <w:br/>
        <w:br/>
        <w:br/>
        <w:br/>
        <w:t xml:space="preserve">                                  Antônio Augusto Cançado Trindade</w:t>
        <w:br/>
        <w:t xml:space="preserve">                                              Juez</w:t>
        <w:br/>
        <w:br/>
        <w:br/>
        <w:br/>
        <w:t>Pablo Saavedra Alessandri</w:t>
        <w:br/>
        <w:t xml:space="preserve">      Secretario</w:t>
        <w:br/>
        <w:t>-----------------------</w:t>
        <w:br/>
        <w:t>[1]   Las excepciones preliminares interpuestas por  el  Estado  fueron  las</w:t>
        <w:br/>
        <w:t>siguientes: “No Agotamiento de los  Recursos  de  la  Jurisdicción  Interna,</w:t>
        <w:br/>
        <w:t>Falta de Resolución  de  los  Planteamientos  del  Estado  en  cuanto  a  la</w:t>
        <w:br/>
        <w:t>variación  y  modificación  del  Contenido  del  Informe  de   la   Comisión</w:t>
        <w:br/>
        <w:t>Interamericana de  Derechos  Humanos  que  originó  la  presentación  de  la</w:t>
        <w:br/>
        <w:t>Demanda ante la Corte Interamericana de Derechos  Humanos  e  Interpretación</w:t>
        <w:br/>
        <w:t>Errónea  y  Extensiva  del  Reconocimiento  Efectuado  por  el   Estado   de</w:t>
        <w:br/>
        <w:t>Guatemala”.</w:t>
        <w:br/>
        <w:t>[2]   Durante el trámite del presente caso CALDH realizó algunos cambios  en</w:t>
        <w:br/>
        <w:t>las designaciones de sus representantes ante la Corte.</w:t>
        <w:br/>
        <w:br/>
        <w:t>[3]   Durante el  trámite  del  presente  caso  el  Estado  realizó  algunos</w:t>
        <w:br/>
        <w:t>cambios en la designación de sus representantes ante la Corte.</w:t>
        <w:br/>
        <w:t>[4]   En su escrito de demanda la Comisión señaló  que  “la  estructura  del</w:t>
        <w:br/>
        <w:t>mando militar, en lo que respecta a Rabinal, era la siguiente al momento  de</w:t>
        <w:br/>
        <w:t>los hechos”:</w:t>
        <w:br/>
        <w:t xml:space="preserve">               ▪ Presidente de la República y Ministro de Defensa.</w:t>
        <w:br/>
        <w:t xml:space="preserve">               ▪ Jefe del Alto Estado Mayor General del Ejército.</w:t>
        <w:br/>
        <w:t xml:space="preserve">               ▪ Jefe del Departamento de Inteligencia Militar.</w:t>
        <w:br/>
        <w:t xml:space="preserve">               ▪ Superior de la Base Militar de Cobán.</w:t>
        <w:br/>
        <w:t xml:space="preserve">               ▪ Superior del Destacamento Militar de Rabinal.</w:t>
        <w:br/>
        <w:t xml:space="preserve">               ▪ Oficiales.</w:t>
        <w:br/>
        <w:t xml:space="preserve">               ▪ PAC, Judiciales, Comisionados Militares y Soldados.</w:t>
        <w:br/>
        <w:t>[5]   Cfr. Escrito de demanda de  la  Comisión  Interamericana  de  Derechos</w:t>
        <w:br/>
        <w:t>Humanos de fecha 31 de julio de 2002, folio 12, párrafo 51.</w:t>
        <w:br/>
        <w:t>[6]   Los representantes de las víctimas y sus familiares en su  escrito  de</w:t>
        <w:br/>
        <w:t>solicitudes, argumentos y pruebas señalaron que  “el  cargo  de  Comisionado</w:t>
        <w:br/>
        <w:t>Militar fue creado en 1939 por  el  entonces  Presidente  Jorge  Ubico  para</w:t>
        <w:br/>
        <w:t>facilitar al Ejército la vigilancia de las  comunidades  rurales.   En  1954</w:t>
        <w:br/>
        <w:t>entraron a formar  parte  de  la  Reserva  Militar  en  conformidad  con  lo</w:t>
        <w:br/>
        <w:t>regulado en el Decreto 79.  Este Decreto,  que  creaba  el  Departamento  de</w:t>
        <w:br/>
        <w:t>Organización, Instrucción y Entrenamiento de la Reserva Militar como  órgano</w:t>
        <w:br/>
        <w:t>dependiente del Estado Mayor del Ejército, se regulaba  y  definía  así  las</w:t>
        <w:br/>
        <w:t>tareas de los Comisionados:</w:t>
        <w:br/>
        <w:t xml:space="preserve">      Artículo 1: 1.   Actuar como Agentes de la autoridad militar.</w:t>
        <w:br/>
        <w:t xml:space="preserve">                 2.    Darle cumplimiento a  todas  aquellas  comisiones  de</w:t>
        <w:br/>
        <w:t xml:space="preserve">                       naturaleza militar que le sean ordenadas…</w:t>
        <w:br/>
        <w:t xml:space="preserve">                 3.    Ejercer control y vigilancia en la población.</w:t>
        <w:br/>
        <w:t xml:space="preserve">      Artículo 2: Los Comisionados Militares y ayudantes  son  miembros  del</w:t>
        <w:br/>
        <w:t xml:space="preserve">                 Ejército cuando se encuentren en cumplimiento de una misión</w:t>
        <w:br/>
        <w:t xml:space="preserve">                 ordenada  por  la  autoridad  militar  competente   y   por</w:t>
        <w:br/>
        <w:t xml:space="preserve">                 consiguiente están sujetos al fuero de guerra.</w:t>
        <w:br/>
        <w:t>[…] Los Comisionados Militares jugaron un papel  clave  de  inteligencia  en</w:t>
        <w:br/>
        <w:t>las zonas rurales. […] Las funciones de los  comisionados  militares  en  la</w:t>
        <w:br/>
        <w:t>actualidad fueron abolidas por el Gobierno de Ramiro de León  Carpio,  estos</w:t>
        <w:br/>
        <w:t>personajes continuaron teniendo un inmenso poder y haciendo desmanes  contra</w:t>
        <w:br/>
        <w:t>la población de la Guatemala rural […]”.</w:t>
        <w:br/>
        <w:br/>
        <w:t>[7]   Los representantes de las víctimas y sus familiares en su  escrito  de</w:t>
        <w:br/>
        <w:t>solicitudes, argumentos y pruebas señalaron que las PAC “fueron  creadas  en</w:t>
        <w:br/>
        <w:t>1981 por el  entonces  Presidente  General  Lucas  García  como  una  fuerza</w:t>
        <w:br/>
        <w:t>paramilitar que pudiera llevar a cabo operaciones  militares  en  las  zonas</w:t>
        <w:br/>
        <w:t>rurales.  Poco después de su creación,  el  Ministro  de  Defensa  Benedicto</w:t>
        <w:br/>
        <w:t>Lucas declaró en relación a las PAC:</w:t>
        <w:br/>
        <w:t xml:space="preserve">      ‘Armar a los civiles para cualquier acto, ya personal o comunitario,</w:t>
        <w:br/>
        <w:t xml:space="preserve">      está prohibido por la Constitución, pero ello es legal cuando los</w:t>
        <w:br/>
        <w:t xml:space="preserve">      grupos son incorporados al Ejército’.</w:t>
        <w:br/>
        <w:t>[…] La responsabilidad del Ejército en la organización  y  entrenamiento  de</w:t>
        <w:br/>
        <w:t>las PAC fue establecida en el Decreto 19-86, publicado el  10  de  enero  de</w:t>
        <w:br/>
        <w:t>1986.  La participación en las patrullas era obligatoria  y  controlada  por</w:t>
        <w:br/>
        <w:t>los  Comisionados  Militares.   La  abstención  era  castigada  severamente,</w:t>
        <w:br/>
        <w:t>algunas veces con la muerte.   En  el  año  1983  la  cifra  de  patrulleros</w:t>
        <w:br/>
        <w:t>llegaba a 700.000 y en 1985 alcanzaba el millón.”</w:t>
        <w:br/>
        <w:br/>
        <w:t>[8]   Los representantes de las víctimas y sus familiares en su  escrito  de</w:t>
        <w:br/>
        <w:t>solicitudes, argumentos y pruebas señalaron que “[…e]n 1985  se  estimó  que</w:t>
        <w:br/>
        <w:t>alrededor de 10.000 civiles prestaban servicios militares como  Comisionados</w:t>
        <w:br/>
        <w:t>Militares y 1.000.000 formaban parte de las PAC.   No  se  ha  estudiado  en</w:t>
        <w:br/>
        <w:t>profundidad la colaboración de civiles como Policía Judicial,  los  llamados</w:t>
        <w:br/>
        <w:t>‘orejas’:</w:t>
        <w:br/>
        <w:t xml:space="preserve">      Las referencias que se tienen con relación al  número  de  patrulleros</w:t>
        <w:br/>
        <w:t xml:space="preserve">      civiles en todo el país, inician en 1981  con  aproximadamente  25,000</w:t>
        <w:br/>
        <w:t xml:space="preserve">      hombres.  Según cifras oficiales del Ejército, ‘en el año de  1982  se</w:t>
        <w:br/>
        <w:t xml:space="preserve">      contaba con un millón de patrulleros civiles’.  Desde el  reinicio  de</w:t>
        <w:br/>
        <w:t xml:space="preserve">      los gobiernos civiles en 1986 es que empiezan a disminuir:   ‘en  1996</w:t>
        <w:br/>
        <w:t xml:space="preserve">      habían menos de 40,000 organizados’; según el Ejército, para  ese  año</w:t>
        <w:br/>
        <w:t xml:space="preserve">      tenían registrados 270,906 en 15 departamentos del país.</w:t>
        <w:br/>
        <w:t>[…] Estos tres grupos, más otros colaboradores civiles,  forman  el  escalón</w:t>
        <w:br/>
        <w:t>más bajo de la estructura jerárquica militar.  En el caso de la  masacre  de</w:t>
        <w:br/>
        <w:t>Plan de Sánchez,  estos  elementos  civiles  estaban  bajo  el  control  del</w:t>
        <w:br/>
        <w:t>Destacamento Militar de Rabinal, que a su vez obedecía  las  órdenes  de  la</w:t>
        <w:br/>
        <w:t>Base Militar de Cobán.  Para la reunión de información  y  la  ejecución  de</w:t>
        <w:br/>
        <w:t>operaciones militares, los militares y civiles están bajo  la  autoridad  de</w:t>
        <w:br/>
        <w:t>los Grupos de Inteligencia (G2) y los Grupos Operacionales (G3)  dentro  del</w:t>
        <w:br/>
        <w:t>Ejército de Guatemala.  Desde  1981,  los  representantes  de  estos  grupos</w:t>
        <w:br/>
        <w:t>dentro de cada  Base  coordinaban  su  estrategia  con  el  Departamento  de</w:t>
        <w:br/>
        <w:t>Inteligencia y el mando militar en el Gobierno.”</w:t>
        <w:br/>
        <w:br/>
        <w:t>[9]   Los representantes de las víctimas y sus familiares  señalaron  en  el</w:t>
        <w:br/>
        <w:t>escrito de solicitudes, argumentos y  pruebas  que  “los  ‘judiciales’  eran</w:t>
        <w:br/>
        <w:t>originalmente un cuerpo de investigación de la Policía.  Aunque como  cuerpo</w:t>
        <w:br/>
        <w:t>dejaron de existir oficialmente antes de la  masacre  que  denunciamos,  sin</w:t>
        <w:br/>
        <w:t>embargo  continuaron  funcionando  como   asociados   al   Departamento   de</w:t>
        <w:br/>
        <w:t>Inteligencia Militar.  Como las comunidades  de  la  municipalidad  son  muy</w:t>
        <w:br/>
        <w:t>pequeñas, la mayoría de los  Judiciales  son  conocidos  de  todos  ya  que,</w:t>
        <w:br/>
        <w:t>además,  amenazan  e  intimidan  a  la  gente  abiertamente  y   con   total</w:t>
        <w:br/>
        <w:t>impunidad”.</w:t>
        <w:br/>
        <w:br/>
        <w:t>[10]  Dicha cifra fue señalada por la Comisión y los representantes  de  las</w:t>
        <w:br/>
        <w:t>víctimas y sus familiares, sin embargo, se  puede  constatar  que  la  cifra</w:t>
        <w:br/>
        <w:t>indicada no es definitiva, dadas las  dificultades  señaladas  por  áquellos</w:t>
        <w:br/>
        <w:t>respecto a la determinación de las mismas.</w:t>
        <w:br/>
        <w:br/>
        <w:t>[11]  Los nombres indicados corresponden a la lista señalada en  el  escrito</w:t>
        <w:br/>
        <w:t>de demanda en la nota pie de página número siete, en  el  cual  la  Comisión</w:t>
        <w:br/>
        <w:t>señaló que “los peticionarios remitieron a la [Comisión un] listado  de  las</w:t>
        <w:br/>
        <w:t>170 personas ejecutadas en la masacre que a enero de  [2002]  ha[bían]  sido</w:t>
        <w:br/>
        <w:t>individualizados”, sin perjuicio de considerar las discrepancias  entre  las</w:t>
        <w:br/>
        <w:t>distintas cifras producto de los esfuerzos por determinar  y  ubicar  a  las</w:t>
        <w:br/>
        <w:t>víctimas.</w:t>
        <w:br/>
        <w:br/>
        <w:br/>
        <w:t>[12]  Los nombres indicados corresponden a la lista señalada en  el  escrito</w:t>
        <w:br/>
        <w:t>de demanda en el capítulo 10 titulado “Datos de los denunciantes  originales</w:t>
        <w:br/>
        <w:t>como de las víctimas y de sus familiares”, párr. 265.</w:t>
        <w:br/>
        <w:br/>
        <w:t>[13]  Cfr. Caso Bulacio.  Sentencia de 18 de septiembre  de  2003.  Serie  C</w:t>
        <w:br/>
        <w:t>No. 100, párrs. 27 y 38; Caso Barrios Altos . Sentencia de 14  de  marzo  de</w:t>
        <w:br/>
        <w:t>2001. Serie C No. 75, párr. 38; Caso Trujillo Oroza.   Sentencia  de  26  de</w:t>
        <w:br/>
        <w:t>enero de 2000.  Serie C No. 64, párr. 40; Caso del Caracazo.   Sentencia  de</w:t>
        <w:br/>
        <w:t>11 de noviembre  de  1999.   Serie  C  No.  58,  párr.  41;  Caso  Benavides</w:t>
        <w:br/>
        <w:t>Cevallos.  Sentencia de 19 de junio de 1998.  Serie  C  No.  38,  párr.  42;</w:t>
        <w:br/>
        <w:t>Caso Garrido y Baigorria.  Sentencia de 2 de febrero de 1996.  Serie  C  No.</w:t>
        <w:br/>
        <w:t>26, párr. 27; Caso El Amparo.  Sentencia de 18 de enero de  1995.   Serie  C</w:t>
        <w:br/>
        <w:t>No. 19, párr. 20; y Caso Aloeboetoe y otros.  Sentencia de  4  de  diciembre</w:t>
        <w:br/>
        <w:t>de 1991.  Serie C No. 11, párr. 23.</w:t>
        <w:br/>
        <w:br/>
        <w:t xml:space="preserve">    [14]. Párrafos 3, 54-55, 63 y 129 de la referida demanda.</w:t>
        <w:br/>
        <w:br/>
        <w:t xml:space="preserve">    [15]. Párrafos 354, 357 y 359 del referido escrito de observaciones.</w:t>
        <w:br/>
        <w:br/>
        <w:t xml:space="preserve">    [16]. La CEH consideró "pertinente distinguir entre política genocida  y</w:t>
        <w:br/>
        <w:t>actos de genocidio. Existe una política genocida cuando  el  objetivo  final</w:t>
        <w:br/>
        <w:t>de las acciones es el exterminio de un grupo, en todo o  en  parte.  Existen</w:t>
        <w:br/>
        <w:t>actos genocidas cuando el objetivo final no es el exterminio del grupo  sino</w:t>
        <w:br/>
        <w:t>otros fines políticos, económicos, militares o  de  cualquier  otra  índole,</w:t>
        <w:br/>
        <w:t>pero los medios que se utilizan para alcanzar ese objetivo final  contemplan</w:t>
        <w:br/>
        <w:t>el exterminio total o parcial del grupo". Comisión para  el  Esclarecimiento</w:t>
        <w:br/>
        <w:t>Histórico, Guatemala - Memoria  del  Silencio,  tomo  III,  Guatemala,  CEH,</w:t>
        <w:br/>
        <w:t>1999, pp. 316-318.</w:t>
        <w:br/>
        <w:br/>
        <w:t xml:space="preserve">    [17]. Cf. ibid., pp. 358, 375-376, 393 y 416, respectivamente.</w:t>
        <w:br/>
        <w:br/>
        <w:t xml:space="preserve">    [18]. Cf. ibid., pp. 417-423.</w:t>
        <w:br/>
        <w:br/>
        <w:t xml:space="preserve">    [19]. Cf., v.g., ibid., p. 410.</w:t>
        <w:br/>
        <w:br/>
        <w:t xml:space="preserve">    [20]. Ibid., p. 422.</w:t>
        <w:br/>
        <w:br/>
        <w:t xml:space="preserve">    [21]. Artículo 50/51/130/147.</w:t>
        <w:br/>
        <w:br/>
        <w:t xml:space="preserve">    [22]. Artículo 12/12/13/27.</w:t>
        <w:br/>
        <w:br/>
        <w:t xml:space="preserve">    [23]. Artículo 17/20/120/130.</w:t>
        <w:br/>
        <w:br/>
        <w:t xml:space="preserve">    [24]. Protocolo I, artículo 75; Protocolo II, artículos 4-6.</w:t>
        <w:br/>
        <w:br/>
        <w:t xml:space="preserve">    [25]. Protocolo II, artículo 4;  cf.  comentarios  in:  Varios  Autores,</w:t>
        <w:br/>
        <w:t>Commentary on the Additional Protocols of 1977 to the Geneva Conventions  of</w:t>
        <w:br/>
        <w:t>1949  (eds.  Y.  Sandoz,  Chr.   Swinarski   y   B.   Zimmermann),   Geneva,</w:t>
        <w:br/>
        <w:t>Nijhoff/ICRC, 1987, pp. 1368-1381 (commentario de S. Junod); M. Bothe,  K.J.</w:t>
        <w:br/>
        <w:t>Partsch y W.A. Solf, New Rules for Victims of Armed Conflicts  -  Commentary</w:t>
        <w:br/>
        <w:t>on the Two 1977 Protocols Additional to the Geneva Conventions of 1949,  The</w:t>
        <w:br/>
        <w:t>Hague, Nijhoff, 1982, pp. 640-643.</w:t>
        <w:br/>
        <w:br/>
        <w:t xml:space="preserve">    [26]. Artículo 53(a) del Protocolo I de 1977.</w:t>
        <w:br/>
        <w:br/>
        <w:t xml:space="preserve">    [27]. Al respecto, ya se ha señalado que "it  is  increasingly  believed</w:t>
        <w:br/>
        <w:t>that the role of international law is to ensure a minimum of guarantees  and</w:t>
        <w:br/>
        <w:t>of humanity for all, whether in time  of  peace  or  in  time  of  war";  J.</w:t>
        <w:br/>
        <w:t>Pictet, The Principles of  International  Humanitarian  Law,  Geneva,  ICRC,</w:t>
        <w:br/>
        <w:t>1966, pp. 29-30.</w:t>
        <w:br/>
        <w:br/>
        <w:t xml:space="preserve">    [28]. G. Radbruch, Introducción a la Filosofía  del  Derecho  [Vorschule</w:t>
        <w:br/>
        <w:t>der  Rechtsphilosophie]  ,  3a.  ed.  española,  México,  Fondo  de  Cultura</w:t>
        <w:br/>
        <w:t>Económica, 1965, p. 180.</w:t>
        <w:br/>
        <w:br/>
        <w:t xml:space="preserve">    [29]. Igual  ponderación  se  encuentra  en  las  Sentencias  del  mismo</w:t>
        <w:br/>
        <w:t>Tribunal en el supracitado caso  J.P.  Akayesu,  así  como  en  el  caso  O.</w:t>
        <w:br/>
        <w:t>Serushago (Sentencia del 05.02.1999, párr. 15).</w:t>
        <w:br/>
        <w:br/>
        <w:t xml:space="preserve">    [30]. T.O. Elias, "New Trends in  Contemporary  International  Law",  in</w:t>
        <w:br/>
        <w:t>Contemporary Issues in International Law (eds. D. Freestone, S. Subedi y  S.</w:t>
        <w:br/>
        <w:t>Davidson), The Hague, Kluwer, 2002, pp. 11-12.</w:t>
        <w:br/>
        <w:br/>
        <w:t xml:space="preserve">    [31]. Cf. M.C.  Bassiouni,  Crimes  against  Humanity  in  International</w:t>
        <w:br/>
        <w:t>Criminal Law, 2a. ed. rev., The Hague, Kluwer, 1999, pp. 210-211, en lo  que</w:t>
        <w:br/>
        <w:t>respeta a los crímenes contra la humanidad.</w:t>
        <w:br/>
        <w:br/>
        <w:t xml:space="preserve">    [32]. ICJ, ICJ Reports (1951) p. 23.</w:t>
        <w:br/>
        <w:br/>
        <w:t xml:space="preserve">    [33]. Cf. Corte Interamericana de Derechos  Humanos  (CtIADH),  caso  de</w:t>
        <w:br/>
        <w:t>los Cinco Pensionistas versus Perú (Sentencia del  28.02.2003),  párr.  156;</w:t>
        <w:br/>
        <w:t>CtIADH,  caso  Cantos  versus   Argentina   (Exc.   Prel.,   Sentencia   del</w:t>
        <w:br/>
        <w:t>07.09.2001), párr. 37; CtIADH, caso Baena  Ricardo  y  Otros  versus  Panamá</w:t>
        <w:br/>
        <w:t>(Sentencia del 02.02.2001), párr. 98;  CtIADH,  caso  Neira  Alegría  versus</w:t>
        <w:br/>
        <w:t>Perú  (Exc.  Prel.,  Sentencia  del  11.12.1991),  párr.  29;  CtIADH,  caso</w:t>
        <w:br/>
        <w:t>Velásquez Rodríguez versus Honduras (Sentencia del 29.07.1988),  párr.  184;</w:t>
        <w:br/>
        <w:t>y cf. también CtIADH, Opinión Consultiva n. 17, sobre la Condición  Jurídica</w:t>
        <w:br/>
        <w:t>y Derechos Humanos del Niño  (del  28.08.2002),  párrs.  66  y  87;  CtIADH,</w:t>
        <w:br/>
        <w:t>Opinión Consultiva n. 16,  sobre  el  Derecho  a  la  Información  sobre  la</w:t>
        <w:br/>
        <w:t>Asistencia  Consular en el Marco de las Garantías del Debido  Proceso  Legal</w:t>
        <w:br/>
        <w:t>(del 01.10.1999), párrs. 58, 113 y 128; CtIADH, Opinión  Consultiva  n.  14,</w:t>
        <w:br/>
        <w:t>sobre la Responsabilidad Internacional por la  Expedición  y  Aplicación  de</w:t>
        <w:br/>
        <w:t>Leyes Violatorias de la Convención Americana  sobre  Derechos  Humanos  (del</w:t>
        <w:br/>
        <w:t>09.12.1994), párr. 35.</w:t>
        <w:br/>
        <w:br/>
        <w:t xml:space="preserve">    [34]. A.A.  Cançado  Trindade,  Tratado  de  Direito  Internacional  dos</w:t>
        <w:br/>
        <w:t>Direitos Humanos, tomo III, Porto Alegre/Brasil, S.A. Fabris Ed., 2003,  pp.</w:t>
        <w:br/>
        <w:t>524-525.</w:t>
        <w:br/>
        <w:br/>
        <w:t xml:space="preserve">    [35]. Párrafo 157 de la referida Opinión Consultiva.</w:t>
        <w:br/>
        <w:br/>
        <w:t xml:space="preserve">    [36]. B. Maurer, Le principe de respect de  la  dignité  humaine  et  la</w:t>
        <w:br/>
        <w:t>Convention Européenne des  Droits  de  l'Homme,  Paris,  CERIC/Univ.  d'Aix-</w:t>
        <w:br/>
        <w:t>Marseille, 1999, p. 18.</w:t>
        <w:br/>
        <w:br/>
        <w:t xml:space="preserve">    [37]. R. Abi-Saab, "Les `principes généraux' du Droit humanitaire  selon</w:t>
        <w:br/>
        <w:t>la Cour Internationale de Justice", 766 Revue internationale  de  la  Croix-</w:t>
        <w:br/>
        <w:t>Rouge (1987) pp. 386 y 389.</w:t>
        <w:br/>
        <w:br/>
        <w:t xml:space="preserve">    [38]. A.A. Cançado  Trindade,  "Reflexiones  sobre  el  Desarraigo  como</w:t>
        <w:br/>
        <w:t>Problema de Derechos Humanos Frente a la Conciencia Jurídica Universal",  in</w:t>
        <w:br/>
        <w:t>La Nueva Dimensión de las Necesidades de Protección del  Ser  Humano  en  el</w:t>
        <w:br/>
        <w:t>Inicio del Siglo XXI (de A.A. Cançado Trindade y J. Ruiz de  Santiago),  1a.</w:t>
        <w:br/>
        <w:t>ed., San José de Costa Rica, ACNUR, 2001, pp. 19-78, esp. pp. 58-78.</w:t>
        <w:br/>
        <w:br/>
        <w:t xml:space="preserve">    [39].  ACNUR,  Memoria-Presencia  de  los  Refugiados  Guatemaltecos  en</w:t>
        <w:br/>
        <w:t>México, México, ACNUR/Comisión Mexicana de Ayuda  a  Refugiados,  1999,  pp.</w:t>
        <w:br/>
        <w:t>41, 45, 167, 235 y 314; A.  Rouquié,  Guerras  y  Paz  en  América  Central,</w:t>
        <w:br/>
        <w:t>México, Fondo de Cultura Económica, 1994, pp. 152-153 y 325.</w:t>
        <w:br/>
        <w:br/>
        <w:t xml:space="preserve">    [40]. Cf. A.A. Cançado Trindade, Tratado de  Direito  Internacional  dos</w:t>
        <w:br/>
        <w:t>Direitos Humanos, tomo I, 1a. ed., Porto  Alegre,  S.A.  Fabris  Ed.,  1997,</w:t>
        <w:br/>
        <w:t>cap. VIII, pp. 269-352; A.A. Cançado Trindade, El Derecho  Internacional  de</w:t>
        <w:br/>
        <w:t>los Derechos Humanos en el Siglo XXI, Santiago de Chile, Editorial  Jurídica</w:t>
        <w:br/>
        <w:t>de Chile,  2001,  cap.  V,  pp.  183-265;  A.A.  Cançado  Trindade,  Derecho</w:t>
        <w:br/>
        <w:t>Internacional  de  los  Derechos  Humanos,  Derecho  Internacional  de   los</w:t>
        <w:br/>
        <w:t>Refugiados  y  Derecho  Internacional   Humanitario   -   Aproximaciones   y</w:t>
        <w:br/>
        <w:t>Convergencias, Ginebra, CICR, [2001], pp. 1-66.</w:t>
        <w:br/>
        <w:br/>
        <w:t xml:space="preserve">    [41]. R.R. Baxter, "Treaties and  Custom",  129  Recueil  des  Cours  de</w:t>
        <w:br/>
        <w:t>l'Académie de Droit International de La Haye (1970) pp. 31, 43, 57 and  102-</w:t>
        <w:br/>
        <w:t>103.</w:t>
        <w:br/>
        <w:br/>
        <w:t xml:space="preserve">    [42]. Recuérdese, v.g., el principio del pacta sunt servanda, - al  cual</w:t>
        <w:br/>
        <w:t>se refieren las dos Convenciones de Viena  sobre  Derecho  de  los  Tratados</w:t>
        <w:br/>
        <w:t>(artículo 26 y preámbulo), - que emergió tanto como  una  regla  general  de</w:t>
        <w:br/>
        <w:t>interpretación   de   tratados   así   como   del   derecho    internacional</w:t>
        <w:br/>
        <w:t>consuetudinario.  El  referido  principio  encuéntra,   así,   profundamente</w:t>
        <w:br/>
        <w:t>arraigado en el corpus juris del derecho  internacional  como  un  todo;  M.</w:t>
        <w:br/>
        <w:t>Lachs, "Pacta Sunt Servanda", in Encyclopedia of  Public  International  Law</w:t>
        <w:br/>
        <w:t>(ed. R. Bernhardt), vol. 7, Amsterdam,  North-Holland/Max  Planck  Institut,</w:t>
        <w:br/>
        <w:t>1984, pp. 364-371. La cuestión básica  de  la  validad  de  las  normas  del</w:t>
        <w:br/>
        <w:t>derecho internacional transciende el ámbito del  derecho  de  los  tratados.</w:t>
        <w:br/>
        <w:t>Quizás la base de una obligación internacional sea, en última instancia,  de</w:t>
        <w:br/>
        <w:t>caráter  metajurídico;  J.L.   Brierly,   The   Basis   of   Obligation   in</w:t>
        <w:br/>
        <w:t>International Law, Oxford, Clarendon Press, 1958, p. 65; J.L.  Brierly,  The</w:t>
        <w:br/>
        <w:t>Law of Nations, 6a. ed., Oxford, Clarendon Press, 1963, p. 54.</w:t>
        <w:br/>
        <w:br/>
        <w:t xml:space="preserve">    [43]. Cf., al respecto, v.g., W.A. Schabas,  Genocide  in  International</w:t>
        <w:br/>
        <w:t>Law, Cambridge, University Press, 2002 [reprint], pp. 445 y 500-501,  y  cf.</w:t>
        <w:br/>
        <w:t>pp. 434-435; y, sobre la prohibición de genocidio  como  siendo  de  derecho</w:t>
        <w:br/>
        <w:t>internacional general o consuetudinario, cf. ibid., pp. 99, 142, 362, 365  y</w:t>
        <w:br/>
        <w:t>548; y cf. también ibid., pp. 168 y 209, sobre lo ocurrido en Guatemala.</w:t>
        <w:br/>
        <w:br/>
        <w:t xml:space="preserve">    [44]. Sobre suspensión de garantías.</w:t>
        <w:br/>
        <w:br/>
        <w:t xml:space="preserve">    [45]. Sobre  la  regla  del  agotamiento  de  los  recursos  de  derecho</w:t>
        <w:br/>
        <w:t>interno.</w:t>
        <w:br/>
        <w:br/>
        <w:t xml:space="preserve">    [46]. Abarcando tanto los de los sistemas jurídicos nacionales como  los</w:t>
        <w:br/>
        <w:t>del derecho internacional.</w:t>
        <w:br/>
        <w:br/>
        <w:t xml:space="preserve">    [47]. Cf., en  general,  v.g.,  G.  Barile,  "La  structure  de  l'ordre</w:t>
        <w:br/>
        <w:t>juridique international - Règles générales et règles conventionnelles",  161</w:t>
        <w:br/>
        <w:t>Recueil des Cours de l'Académie de Droit International  de  La  Haye  (1978)</w:t>
        <w:br/>
        <w:t>pp. 48-64. - En lo que respecta al genocidio, se ha sugerido que  "the  most</w:t>
        <w:br/>
        <w:t>promising route for the future evolution of international  law  on  genocide</w:t>
        <w:br/>
        <w:t>would be through clearer expansion of  customary  international  law";  S.R.</w:t>
        <w:br/>
        <w:t>Ratner  y  J.S.  Abrams,  Accountability  for  Human  Rights  Atrocities  in</w:t>
        <w:br/>
        <w:t>International Law, 2a. ed., Oxford, University Press, 2001, p. 45.</w:t>
        <w:br/>
        <w:br/>
        <w:t xml:space="preserve">    [48]. CIJ, caso Nicaragua versus Estados  Unidos  (Fondo),  ICJ  Reports</w:t>
        <w:br/>
        <w:t>(1986)  pp.  93-97,  párrs.  174-181.  –Sobre  el   entendimiento   de   que</w:t>
        <w:br/>
        <w:t>determinadas  normas  de  Derecho  Internacional  Humanitario   convencional</w:t>
        <w:br/>
        <w:t>forman parte también del derecho internacional  general,  cf.  G.  Abi-Saab,</w:t>
        <w:br/>
        <w:t>"The  1977  Additional  Protocols  and  General  International  Law:    Some</w:t>
        <w:br/>
        <w:t>Preliminary Reflexions", in Humanitarian Law of Armed  Conflict:  Challenges</w:t>
        <w:br/>
        <w:t>Ahead – Essays in Honour of  F.  Kalshoven  (eds.  A.J.M.  Delissen  y  G.J.</w:t>
        <w:br/>
        <w:t>Tanja), Dordrecht, Nijhoff, 1991, p. 126.</w:t>
        <w:br/>
        <w:br/>
        <w:t xml:space="preserve">    [49]. Su consagración en las dos Convenciones de Viena sobre Derecho  de</w:t>
        <w:br/>
        <w:t>los Tratados (1969 y 1986), artículos 53 y 64.</w:t>
        <w:br/>
        <w:br/>
        <w:t xml:space="preserve">    [50]. V.g., su reconocimiento en los Artículos sobre la  Responsabilidad</w:t>
        <w:br/>
        <w:t>de los Estados, adoptados  por  la  Comisión  de  Derecho  Internacional  de</w:t>
        <w:br/>
        <w:t>Naciones Unidas en 2001.</w:t>
        <w:br/>
        <w:br/>
        <w:t xml:space="preserve">     [51]   B.  Simma,  "From  Bilateralism   to   Community   Interest   in</w:t>
        <w:br/>
        <w:t>International Law",  ",  250  Recueil  des  Cours  de  l'Académie  de  Droit</w:t>
        <w:br/>
        <w:t>International de La Haye (1994) p. 289.</w:t>
        <w:br/>
        <w:br/>
        <w:br/>
        <w:br/>
        <w:t xml:space="preserve">    [52]. M. Lachs, "The Development and  General  Trends  of  International</w:t>
        <w:br/>
        <w:t>Law  in  Our  Time",  169  Recueil  des  Cours  de   l'Académie   de   Droit</w:t>
        <w:br/>
        <w:t>International de La Haye (1976) pp. 272-273.</w:t>
        <w:br/>
        <w:br/>
        <w:t xml:space="preserve">    [53]. V. Starace, "La  responsabilité  résultant  de  la  violation  des</w:t>
        <w:br/>
        <w:t>obligations à l'égard de la  communauté  internationale",  153  Recueil  des</w:t>
        <w:br/>
        <w:t>Cours de l'Académie de Droit International de La Haye (1980) p. 205.</w:t>
        <w:br/>
        <w:br/>
        <w:t xml:space="preserve">    [54]. Ibid, pp. 274-275, y cf. pp. 289, 297 y 308.</w:t>
        <w:br/>
        <w:br/>
        <w:t xml:space="preserve">    [55]. C. Tomuschat, "Obligations Arising for States without  or  against</w:t>
        <w:br/>
        <w:t>Their Will", 241 Recueil des Cours de l'Académie de Droit  International  de</w:t>
        <w:br/>
        <w:t>La Haye (1993) p. 224, y cf. p. 307.</w:t>
        <w:br/>
        <w:br/>
        <w:t xml:space="preserve">    [56]. C. Paz y Paz Bailey, La Tipificación de Violaciones en  Contra  de</w:t>
        <w:br/>
        <w:t>Derechos  Fundamentales  y   los   Hechos   de   Violencia   Vinculados   al</w:t>
        <w:br/>
        <w:t>Enfrentamiento Armado, Guatemala, CECI/Instituto de Estudios  Comparados  en</w:t>
        <w:br/>
        <w:t>Ciencias Penales de Guatemala, 1998, p. 2.</w:t>
        <w:br/>
        <w:br/>
        <w:t xml:space="preserve">    [57]. Sobre la correlación entre deberes y derechos.</w:t>
        <w:br/>
        <w:br/>
        <w:t xml:space="preserve">    [58]. M. Benedetti, El Olvido  Está  Lleno  de  Memoria,  Bogotá,  Edit.</w:t>
        <w:br/>
        <w:t>Planeta, 2001, pp. 13-19.</w:t>
        <w:br/>
        <w:br/>
        <w:t xml:space="preserve">    [59]. C.G. Jung, op. cit. infra n. (48), p. 278.</w:t>
        <w:br/>
        <w:br/>
        <w:t xml:space="preserve">    [60]. Consagrados en los artículos 1(1), 5(1) y (2), 8(1), 11,  12(2)  y</w:t>
        <w:br/>
        <w:t>(3), 13(2)(a) y  (5),  16(1),  21(1)  y  (2),  24  y  25  de  la  Convención</w:t>
        <w:br/>
        <w:t>Americana; cf. párr. 46 de la presente Sentencia.</w:t>
        <w:br/>
        <w:br/>
        <w:t xml:space="preserve">    [61]. C.G. Jung, Recuerdos, Sueños, Pensamientos,  Barcelona,  Ed.  Seix</w:t>
        <w:br/>
        <w:t>Barral, 2002, pp. 126 y 135.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