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Godínez Cruz Vs. Honduras</w:t>
        <w:br/>
        <w:br/>
        <w:br/>
        <w:t xml:space="preserve">                      Sentencia de 17 de agosto de 1990</w:t>
        <w:br/>
        <w:t xml:space="preserve">          (Interpretación de la Sentencia de Reparaciones y Costas)</w:t>
        <w:br/>
        <w:br/>
        <w:br/>
        <w:t>En el caso Godínez Cruz,</w:t>
        <w:br/>
        <w:br/>
        <w:t>la Corte Interamericana de Derechos Humanos integrada,  en  observancia  del</w:t>
        <w:br/>
        <w:t>artículo 54.3 de la Convención Americana sobre  Derechos  Humanos,  por  los</w:t>
        <w:br/>
        <w:t>siguientes jueces:</w:t>
        <w:br/>
        <w:br/>
        <w:t xml:space="preserve">      Héctor Fix-Zamudio, Presidente</w:t>
        <w:br/>
        <w:t xml:space="preserve">      Rodolfo E. Piza E., Juez</w:t>
        <w:br/>
        <w:t xml:space="preserve">      Pedro Nikken, Juez</w:t>
        <w:br/>
        <w:t xml:space="preserve">      Rafael Nieto Navia, Juez</w:t>
        <w:br/>
        <w:t xml:space="preserve">      Rigoberto Espinal Irías, Juez ad hoc</w:t>
        <w:br/>
        <w:br/>
        <w:br/>
        <w:t>presente, además,</w:t>
        <w:br/>
        <w:br/>
        <w:t xml:space="preserve">      Manuel E. Ventura Robles, Secretario</w:t>
        <w:br/>
        <w:br/>
        <w:t>de acuerdo con el artículo 67 de  la  Convención  Americana  sobre  Derechos</w:t>
        <w:br/>
        <w:t>Humanos (en adelante “la Convención” o “la Convención Americana”)  y  48  de</w:t>
        <w:br/>
        <w:t>su  Reglamento,  dicta  el   siguiente   fallo   sobre   la   solicitud   de</w:t>
        <w:br/>
        <w:t>interpretación de la sentencia  de  indemnización  compensatoria  de  21  de</w:t>
        <w:br/>
        <w:t>julio de 1989 contra el Estado de Honduras (en  adelante  “Honduras”  o  “el</w:t>
        <w:br/>
        <w:t>Gobierno”), presentada por la Comisión Interamericana  de  Derechos  Humanos</w:t>
        <w:br/>
        <w:t>(en adelante “la Comisión”).</w:t>
        <w:br/>
        <w:br/>
        <w:br/>
        <w:t xml:space="preserve">                                      I</w:t>
        <w:br/>
        <w:br/>
        <w:t>1.  Por  escrito  de  29  de  septiembre  de  1989,  recibido  en  la  Corte</w:t>
        <w:br/>
        <w:t>Interamericana de Derechos Humanos (en adelante “la Corte”) el 2 de  octubre</w:t>
        <w:br/>
        <w:t>siguiente,  la  Comisión  solicitó  aclaración   de   la   sentencia   sobre</w:t>
        <w:br/>
        <w:t>indemnización compensatoria en el caso Godínez Cruz, dictada el  día  21  de</w:t>
        <w:br/>
        <w:t>julio de 1989.</w:t>
        <w:br/>
        <w:br/>
        <w:t>2. La Comisión invocó los artículos 67 de la Convención y 48 del  Reglamento</w:t>
        <w:br/>
        <w:t>de la Corte (en adelante “el Reglamento”).</w:t>
        <w:br/>
        <w:br/>
        <w:t>3. En su solicitud la Comisión pide a la Corte que se disponga que a fin  de</w:t>
        <w:br/>
        <w:t>proteger el valor  adquisitivo  de  las  sumas  que  tanto  como  capital  e</w:t>
        <w:br/>
        <w:t>intereses, surgen del fideicomiso a establecerse a favor  de  EMMA  PATRICIA</w:t>
        <w:br/>
        <w:t>GODINEZ (CRUZ), dicha porción  de  la  indemnización  debe  ajustarse  a  un</w:t>
        <w:br/>
        <w:t>indicador que mantenga su poder adquisitivo.</w:t>
        <w:br/>
        <w:br/>
        <w:t>4. El 18 de octubre de 1989 la Secretaría, con  fundamento  en  el  artículo</w:t>
        <w:br/>
        <w:t>48.2 del Reglamento, comunicó  al  Gobierno  la  solicitud  de  la  Comisión</w:t>
        <w:br/>
        <w:t>invitándolo a presentar sus eventuales alegaciones  escritas  dentro  de  un</w:t>
        <w:br/>
        <w:t>plazo de treinta días a partir de la fecha.</w:t>
        <w:br/>
        <w:br/>
        <w:t>5.  El  Gobierno,  en  escrito  del  16  de  noviembre  de  1989,  consideró</w:t>
        <w:br/>
        <w:t>improcedente  la  solicitud  de  la  Comisión  porque,  en  su  opinión,  la</w:t>
        <w:br/>
        <w:t>sentencia  es  clara  y  no  amerita  interpretación  y   porque   aceptarla</w:t>
        <w:br/>
        <w:t>comportaría una modificación en la sentencia mencionada.</w:t>
        <w:br/>
        <w:br/>
        <w:t>6. La Comisión presentó el 6 de julio de 1990 un  pedido  de  ampliación  de</w:t>
        <w:br/>
        <w:t>recurso de aclaración de  sentencia  que  se  refiere  a  las  consecuencias</w:t>
        <w:br/>
        <w:t>materiales surgidas del no pago  en  término,  es  decir  antes  del  20  de</w:t>
        <w:br/>
        <w:t>octubre de 1989, por el Estado hondureño de  las  indemnizaciones  señaladas</w:t>
        <w:br/>
        <w:t>en la sentencia, lo que ha generado un hecho nuevo que requiere, autoriza  y</w:t>
        <w:br/>
        <w:t>justifica la presente ampliación del recurso de aclaración en este momento.</w:t>
        <w:br/>
        <w:br/>
        <w:t>7. El escrito de la Comisión fue puesto en conocimiento del Gobierno  el  11</w:t>
        <w:br/>
        <w:t>de julio de 1990. Se le comunicó, además, que el Presidente fijó  el  10  de</w:t>
        <w:br/>
        <w:t>agosto de 1990 como fecha límite para  recibir  las  eventuales  alegaciones</w:t>
        <w:br/>
        <w:t>del Gobierno sobre dicho escrito.</w:t>
        <w:br/>
        <w:br/>
        <w:t>8. Dentro del plazo fijado por  el  Presidente,  el  Gobierno  presentó  sus</w:t>
        <w:br/>
        <w:t>alegaciones y pidió a la Corte denegar la solicitud de la Comisión.</w:t>
        <w:br/>
        <w:br/>
        <w:t>9. El Gobierno presentó, el 14 de agosto  de  1990,  fotocopia  del  Decreto</w:t>
        <w:br/>
        <w:t>número 59-90, publicado en La Gaceta de la República de Honduras  el  21  de</w:t>
        <w:br/>
        <w:t>julio de 1990, mediante el cual se autoriza el pago de  las  indemnizaciones</w:t>
        <w:br/>
        <w:t>decretadas por la Corte en sus sentencias de 21 de  julio  de  1989.  En  su</w:t>
        <w:br/>
        <w:t>nota de remisión expresó  que  las  sumas  no  han  sido  entregadas  a  sus</w:t>
        <w:br/>
        <w:t>interesados ya que ellos esperan los resultados de la audiencia pública  por</w:t>
        <w:br/>
        <w:t>celebrarse en esta fecha.</w:t>
        <w:br/>
        <w:br/>
        <w:t>10. En esa misma fecha la Corte celebró una audiencia pública con el fin  de</w:t>
        <w:br/>
        <w:t>escuchar el parecer de las partes sobre la solicitud de la Comisión.</w:t>
        <w:br/>
        <w:br/>
        <w:t>Comparecieron ante la Corte</w:t>
        <w:br/>
        <w:br/>
        <w:t>a) por el Gobierno de Honduras</w:t>
        <w:br/>
        <w:br/>
        <w:t>Embajador Edgardo Sevilla Idiáquez, Agente</w:t>
        <w:br/>
        <w:br/>
        <w:t>b) por la Comisión Interamericana de Derechos Humanos</w:t>
        <w:br/>
        <w:br/>
        <w:t>Dra. Gilda M.C.M. de Russomano, Delegada</w:t>
        <w:br/>
        <w:br/>
        <w:t>Dr. Jorge Seall Sasiain, Delegado.</w:t>
        <w:br/>
        <w:br/>
        <w:br/>
        <w:br/>
        <w:br/>
        <w:br/>
        <w:t xml:space="preserve">                                     II</w:t>
        <w:br/>
        <w:br/>
        <w:t>11. La Corte, en esta ocasión, se integra con los jueces  que  intervinieron</w:t>
        <w:br/>
        <w:t>tanto en  el  fondo  del  asunto  como  en  la  sentencia  de  indemnización</w:t>
        <w:br/>
        <w:t>compensatoria  de  21  de  julio  de  1989,  cuya  interpretación  ha   sido</w:t>
        <w:br/>
        <w:t>solicitada por la Comisión.</w:t>
        <w:br/>
        <w:br/>
        <w:t>12. Esta integración obedece a lo dispuesto  por  el  artículo  54.3  de  la</w:t>
        <w:br/>
        <w:t>Convención,  según  el  cual  los  jueces  de  la   Corte   deberán   seguir</w:t>
        <w:br/>
        <w:t>interviniendo en los casos de que  ya  hubieren  tomado  conocimiento  y  se</w:t>
        <w:br/>
        <w:t>encuentren en estado de sentencia. Dicho precepto debe aplicarse  también  a</w:t>
        <w:br/>
        <w:t>la decisión  sobre  interpretación  de  sentencia  a  que  se  refieren  los</w:t>
        <w:br/>
        <w:t>artículos 67 de la Convención y 48 del Reglamento  porque,  de  acuerdo  con</w:t>
        <w:br/>
        <w:t>las reglas generales del derecho procesal, un asunto  contencioso  no  puede</w:t>
        <w:br/>
        <w:t>considerarse concluido sino hasta que el fallo  se  cumpla  totalmente.  Por</w:t>
        <w:br/>
        <w:t>analogía debe colegirse que han de seguir interviniendo cuando se  encuentre</w:t>
        <w:br/>
        <w:t>en estado de ejecución, más aún cuando esta  propia  Corte  resolvió  en  su</w:t>
        <w:br/>
        <w:t>citada sentencia de 21 de julio de 1989  que  supervisaría  el  cumplimiento</w:t>
        <w:br/>
        <w:t>del pago de la indemnización  acordada  y  sólo  después  se  archivaría  el</w:t>
        <w:br/>
        <w:t>expediente.</w:t>
        <w:br/>
        <w:br/>
        <w:t>13. El artículo 54.3 de la  Convención  tiene  como  antecedentes  preceptos</w:t>
        <w:br/>
        <w:t>similares del Estatuto de  la  Corte  Internacional  de  Justicia  y  de  la</w:t>
        <w:br/>
        <w:t>Convención (Europea) para la Protección de los Derechos  Humanos  y  de  las</w:t>
        <w:br/>
        <w:t>Libertades Fundamentales. En efecto, el artículo 13.3  del  citado  Estatuto</w:t>
        <w:br/>
        <w:t>dispone, en esencia, que después de reemplazados  los  jueces  de  la  Corte</w:t>
        <w:br/>
        <w:t>Internacional de Justicia, continuarán conociendo de los casos que  hubieren</w:t>
        <w:br/>
        <w:t>iniciado hasta su terminación, y el artículo 40.6 de la  Convención  europea</w:t>
        <w:br/>
        <w:t>establece, en el mismo supuesto, que los jueces de esa Corte seguirán en  el</w:t>
        <w:br/>
        <w:t>conocimiento de  los  asuntos  que  ya  les  habían  sido  encomendados.  De</w:t>
        <w:br/>
        <w:t>conformidad con el artículo 56 del Reglamento de la misma, [l]a  demanda  de</w:t>
        <w:br/>
        <w:t>interpretación  será  examinada  por  la  Sala  que  haya   pronunciado   la</w:t>
        <w:br/>
        <w:t>sentencia, compuesta si es posible por los mismos jueces...</w:t>
        <w:br/>
        <w:br/>
        <w:t>14.  La  Corte  es  competente  para  resolver  la  presente  solicitud   de</w:t>
        <w:br/>
        <w:t>interpretación porque el artículo 67 de la Convención dispone:</w:t>
        <w:br/>
        <w:br/>
        <w:t xml:space="preserve">                 El fallo de la Corte será definitivo e inapelable. En  caso</w:t>
        <w:br/>
        <w:t xml:space="preserve">           de desacuerdo sobre el sentido o alcance del fallo, la Corte  lo</w:t>
        <w:br/>
        <w:t xml:space="preserve">           interpretará a solicitud de cualquiera de  las  partes,  siempre</w:t>
        <w:br/>
        <w:t xml:space="preserve">           que dicha solicitud se presente dentro de  los  noventa  días  a</w:t>
        <w:br/>
        <w:t xml:space="preserve">           partir de la fecha de la notificación del fallo.</w:t>
        <w:br/>
        <w:br/>
        <w:t>Por su parte, el artículo 48 del Reglamento dice:</w:t>
        <w:br/>
        <w:br/>
        <w:t xml:space="preserve">                 Artículo 48. Demanda de Interpretación de una Sentencia</w:t>
        <w:br/>
        <w:br/>
        <w:br/>
        <w:t xml:space="preserve">                 1.     Las  solicitudes  de  interpretación  que   pudieren</w:t>
        <w:br/>
        <w:t xml:space="preserve">           presentarse en los términos del Artículo 67 de la Convención  se</w:t>
        <w:br/>
        <w:t xml:space="preserve">           acompañarán con veinte copias, e  indicarán  con  precisión  los</w:t>
        <w:br/>
        <w:t xml:space="preserve">           aspectos  de  la  parte  dispositiva  de   la   sentencia   cuya</w:t>
        <w:br/>
        <w:t xml:space="preserve">           interpretación se pida. Se depositará en  la  Secretaría  de  la</w:t>
        <w:br/>
        <w:t xml:space="preserve">           Corte.</w:t>
        <w:br/>
        <w:t xml:space="preserve">                 2.    El Secretario comunicará la  solicitud  a  las  demás</w:t>
        <w:br/>
        <w:t xml:space="preserve">           partes y, si procediese, a la Comisión, invitándoles a presentar</w:t>
        <w:br/>
        <w:t xml:space="preserve">           con veinte copias sus  eventuales  alegaciones  escritas  en  el</w:t>
        <w:br/>
        <w:t xml:space="preserve">           plazo fijado por el Presidente.</w:t>
        <w:br/>
        <w:br/>
        <w:br/>
        <w:t xml:space="preserve">                 3.     La  Corte   determinará   la   naturaleza   de   los</w:t>
        <w:br/>
        <w:t xml:space="preserve">           procedimientos.</w:t>
        <w:br/>
        <w:br/>
        <w:br/>
        <w:t xml:space="preserve">                 4.    Cualquier solicitud de interpretación  no  suspenderá</w:t>
        <w:br/>
        <w:t xml:space="preserve">           los efectos de la sentencia.</w:t>
        <w:br/>
        <w:br/>
        <w:br/>
        <w:t>La Comisión es parte en el caso y presentó su solicitud el 2 de  octubre  de</w:t>
        <w:br/>
        <w:t>1989. Como el fallo fue notificado el 21 de julio de 1989, la solicitud  fue</w:t>
        <w:br/>
        <w:t>presentada dentro del plazo establecido por dicho artículo.</w:t>
        <w:br/>
        <w:br/>
        <w:t>15. En el escrito de 6 de julio de 1990 la  Comisión  solicitó  a  la  Corte</w:t>
        <w:br/>
        <w:t>aceptar un pedido de ampliación  de  recurso  de  aclaración  de  sentencia,</w:t>
        <w:br/>
        <w:t>basada en un hecho nuevo, como lo sería el retardo del Gobierno en  el  pago</w:t>
        <w:br/>
        <w:t>de  las  indemnizaciones,  no  conocido  cuando  se  presentó   la   primera</w:t>
        <w:br/>
        <w:t>solicitud. Como la  Corte  acudirá  a  otros  principios  para  resolver  lo</w:t>
        <w:br/>
        <w:t>pertinente, no encuentra necesario pronunciarse ahora sobre  la  posibilidad</w:t>
        <w:br/>
        <w:t>de  ampliar  una  solicitud  a  la  cual  la  Convención  fija  un   término</w:t>
        <w:br/>
        <w:t>perentorio, ni sobre la doctrina del hecho nuevo  que  se  aplica  en  otros</w:t>
        <w:br/>
        <w:t>tribunales.</w:t>
        <w:br/>
        <w:br/>
        <w:br/>
        <w:t xml:space="preserve">                                     III</w:t>
        <w:br/>
        <w:br/>
        <w:t>16. En su sentencia de 21 de julio de 1989, la Corte</w:t>
        <w:br/>
        <w:br/>
        <w:t xml:space="preserve">           por unanimidad</w:t>
        <w:br/>
        <w:br/>
        <w:br/>
        <w:t xml:space="preserve">           1.     Fija   en   seiscientos   cincuenta   mil   lempiras   la</w:t>
        <w:br/>
        <w:t xml:space="preserve">           indemnización compensatoria que el Estado de Honduras debe pagar</w:t>
        <w:br/>
        <w:t xml:space="preserve">           a los familiares de Saúl Godínez Cruz.</w:t>
        <w:br/>
        <w:br/>
        <w:br/>
        <w:t xml:space="preserve">           2. Decide que la cantidad correspondiente a la cónyuge  de  Saúl</w:t>
        <w:br/>
        <w:t xml:space="preserve">           Godínez Cruz  será  de  ciento  sesenta  y  dos  mil  quinientos</w:t>
        <w:br/>
        <w:t xml:space="preserve">           lempiras.</w:t>
        <w:br/>
        <w:br/>
        <w:br/>
        <w:t xml:space="preserve">           por unanimidad</w:t>
        <w:br/>
        <w:br/>
        <w:br/>
        <w:t xml:space="preserve">           3. Decide que la cantidad correspondiente  a  la  hija  de  Saúl</w:t>
        <w:br/>
        <w:t xml:space="preserve">           Godínez  Cruz  será  de  cuatrocientos  ochenta  y   siete   mil</w:t>
        <w:br/>
        <w:t xml:space="preserve">           quinientos lempiras.</w:t>
        <w:br/>
        <w:br/>
        <w:br/>
        <w:t xml:space="preserve">           por unanimidad</w:t>
        <w:br/>
        <w:br/>
        <w:br/>
        <w:t xml:space="preserve">           4. Ordena que la forma y modalidades de pago de la indemnización</w:t>
        <w:br/>
        <w:t xml:space="preserve">           serán las  especificadas  en  los  párrafos  52  y  53  de  esta</w:t>
        <w:br/>
        <w:t xml:space="preserve">           sentencia</w:t>
        <w:br/>
        <w:br/>
        <w:br/>
        <w:t xml:space="preserve">           por unanimidad</w:t>
        <w:br/>
        <w:br/>
        <w:br/>
        <w:t xml:space="preserve">           5. Resuelve que supervisará  el  cumplimiento  del  pago  de  la</w:t>
        <w:br/>
        <w:t xml:space="preserve">           indemnización acordada y que  sólo  después  de  su  cancelación</w:t>
        <w:br/>
        <w:t xml:space="preserve">           archivará el expediente.</w:t>
        <w:br/>
        <w:br/>
        <w:t>17. Los párrafos 52 y 53 de dicha sentencia establecen lo siguiente:</w:t>
        <w:br/>
        <w:br/>
        <w:t xml:space="preserve">           52. El pago de los seiscientos cincuenta  mil  lempiras  fijados</w:t>
        <w:br/>
        <w:t xml:space="preserve">           por la Corte debe ser hecho dentro de los noventa días  contados</w:t>
        <w:br/>
        <w:t xml:space="preserve">           a partir de la notificación  de  la  sentencia,  libre  de  todo</w:t>
        <w:br/>
        <w:t xml:space="preserve">           impuesto que eventualmente pudiera considerarse  aplicable.  Sin</w:t>
        <w:br/>
        <w:t xml:space="preserve">           embargo, el pago podrá ser hecho por el Gobierno en seis  cuotas</w:t>
        <w:br/>
        <w:t xml:space="preserve">           mensuales iguales,  la  primera  pagadera  a  los  noventa  días</w:t>
        <w:br/>
        <w:t xml:space="preserve">           mencionados y así sucesivamente, pero en este caso los saldos se</w:t>
        <w:br/>
        <w:t xml:space="preserve">           acrecentarán con los intereses correspondientes, que  serán  los</w:t>
        <w:br/>
        <w:t xml:space="preserve">           bancarios corrientes en ese momento en Honduras.</w:t>
        <w:br/>
        <w:br/>
        <w:br/>
        <w:t xml:space="preserve">           53. De la indemnización total la cuarta parte corresponderá a la</w:t>
        <w:br/>
        <w:t xml:space="preserve">           cónyuge que recibirá directamente la suma que se le asigna y los</w:t>
        <w:br/>
        <w:t xml:space="preserve">           tres cuartos restantes a su hija. Con la  suma  atribuida  a  la</w:t>
        <w:br/>
        <w:t xml:space="preserve">           hija se constituirá  un  fideicomiso  en  el  Banco  Central  de</w:t>
        <w:br/>
        <w:t xml:space="preserve">           Honduras, en las condiciones más favorables  según  la  práctica</w:t>
        <w:br/>
        <w:t xml:space="preserve">           bancaria hondureña. La hija recibirá mensualmente los beneficios</w:t>
        <w:br/>
        <w:t xml:space="preserve">           de este fideicomiso y al cumplirlos  veinticinco  años  de  edad</w:t>
        <w:br/>
        <w:t xml:space="preserve">           percibirá el capital.</w:t>
        <w:br/>
        <w:br/>
        <w:t>18. La Comisión, en su escrito de 29 de septiembre de  1989,  fundamentó  su</w:t>
        <w:br/>
        <w:t>solicitud en los siguientes términos:</w:t>
        <w:br/>
        <w:br/>
        <w:t xml:space="preserve">           Este recurso de aclaración se refiere a la suma  de  dinero  que</w:t>
        <w:br/>
        <w:t xml:space="preserve">           quedará  depositada  en  el  Banco  Central   de   Honduras   en</w:t>
        <w:br/>
        <w:t xml:space="preserve">           fideicomiso en beneficio de Emma Patricia Godínez  (Cruz),  hija</w:t>
        <w:br/>
        <w:t xml:space="preserve">           de la víctima, hasta que la beneficiaria alcance los veinticinco</w:t>
        <w:br/>
        <w:t xml:space="preserve">           años de edad, es decir el 3 de mayo del año 2007.</w:t>
        <w:br/>
        <w:br/>
        <w:br/>
        <w:t xml:space="preserve">           La sentencia no prevé ningún mecanismo de protección que permita</w:t>
        <w:br/>
        <w:t xml:space="preserve">           mantener su actual poder adquisitivo frente  a  la  inflación  o</w:t>
        <w:br/>
        <w:t xml:space="preserve">           eventuales devaluaciones de la  lempira.  Como  la  Corte  tiene</w:t>
        <w:br/>
        <w:t xml:space="preserve">           conocimiento, y detallamos más abajo, la pérdida  de  ese  poder</w:t>
        <w:br/>
        <w:t xml:space="preserve">           adquisitivo de las unidades monetarias  ha  sido  históricamente</w:t>
        <w:br/>
        <w:t xml:space="preserve">           alta en América Latina en general y se ha acentuado -en  algunos</w:t>
        <w:br/>
        <w:t xml:space="preserve">           casos catastróficamente- en algunos países.</w:t>
        <w:br/>
        <w:br/>
        <w:br/>
        <w:t xml:space="preserve">           Mueven a la Comisión  a  presentar  esta  petición  dos  motivos</w:t>
        <w:br/>
        <w:t xml:space="preserve">           fundamentales:</w:t>
        <w:br/>
        <w:br/>
        <w:br/>
        <w:t xml:space="preserve">           En primer lugar, en caso de no aclararse el sentido del fallo  y</w:t>
        <w:br/>
        <w:t xml:space="preserve">           su alcance en cuanto al valor futuro de la indemnización  puesta</w:t>
        <w:br/>
        <w:t xml:space="preserve">           bajo fideicomiso, se puede causar  un  daño  irreparable  a  los</w:t>
        <w:br/>
        <w:t xml:space="preserve">           damnificados, daño que como mostramos más abajo no es hipotético</w:t>
        <w:br/>
        <w:t xml:space="preserve">           y banal, sino que es predecible y puede anular prácticamente  el</w:t>
        <w:br/>
        <w:t xml:space="preserve">           valor  mismo  de  la  decisión  de  esa  Corte  y  su  intención</w:t>
        <w:br/>
        <w:t xml:space="preserve">           reparatoria.</w:t>
        <w:br/>
        <w:br/>
        <w:br/>
        <w:t xml:space="preserve">           Además, entiende la Comisión que en sí dichas sentencias  tienen</w:t>
        <w:br/>
        <w:t xml:space="preserve">           un valor jurídico ejemplar especial que alcanza mucho  más  allá</w:t>
        <w:br/>
        <w:t xml:space="preserve">           de  la  jurisdicción  de  la  Corte  Interamericana  y   de   su</w:t>
        <w:br/>
        <w:t xml:space="preserve">           jurisprudencia, ya que por su naturaleza,  contenido  y  efectos</w:t>
        <w:br/>
        <w:t xml:space="preserve">           han ganado merecidamente la atención universal y marcan un  hito</w:t>
        <w:br/>
        <w:t xml:space="preserve">           en el desarrollo del sistema jurídico humanitario internacional.</w:t>
        <w:br/>
        <w:br/>
        <w:br/>
        <w:t xml:space="preserve">           El haber asumido la Corte en forma específica la supervisión  de</w:t>
        <w:br/>
        <w:t xml:space="preserve">           su cumplimiento es un indicador elocuente de la  responsabilidad</w:t>
        <w:br/>
        <w:t xml:space="preserve">           que la misma Corte asigna a que dicho cumplimento sea  hecho  de</w:t>
        <w:br/>
        <w:t xml:space="preserve">           forma cabal y completa, y  un  elemento  más  que  justifica  la</w:t>
        <w:br/>
        <w:t xml:space="preserve">           importancia de esta interpretación que requerimos.</w:t>
        <w:br/>
        <w:br/>
        <w:br/>
        <w:t xml:space="preserve">           Yendo al fondo del asunto  sabrá  considerar  la  Corte  que  el</w:t>
        <w:br/>
        <w:t xml:space="preserve">           índice de precios al consumidor, el indicador  más  adecuado  al</w:t>
        <w:br/>
        <w:t xml:space="preserve">           caso, para el conjunto de los países de América  Latina  aumentó</w:t>
        <w:br/>
        <w:t xml:space="preserve">           un 721% de cinco años desde 1983 a 1988, o sea  un  promedio  de</w:t>
        <w:br/>
        <w:t xml:space="preserve">           144%. Sin llegar a casos extremos  de  países  que  han  sufrido</w:t>
        <w:br/>
        <w:t xml:space="preserve">           hiperinflación, un país vecino a Honduras como Costa Rica sufrió</w:t>
        <w:br/>
        <w:t xml:space="preserve">           en los últimos diez años un aumento del  índice  de  precios  al</w:t>
        <w:br/>
        <w:t xml:space="preserve">           consumidor de 263%.</w:t>
        <w:br/>
        <w:t xml:space="preserve">           (Fuente: Informe al Consejo Interamericano  Económico  y  Social</w:t>
        <w:br/>
        <w:t xml:space="preserve">           CIES. OES, Septiembre  1989).  En  el  caso  de  Honduras,  este</w:t>
        <w:br/>
        <w:t xml:space="preserve">           fenómeno se ha dado en forma mucho más reducida. Aun así, a  las</w:t>
        <w:br/>
        <w:t xml:space="preserve">           relativamente  reducidas  tasas  de  incremento  del  índice  de</w:t>
        <w:br/>
        <w:t xml:space="preserve">           precios al consumidor en Honduras, si el fideicomiso en cuestión</w:t>
        <w:br/>
        <w:t xml:space="preserve">           por L.487.500 hubiera sido hecho hace 18 años, en 1971, dada  la</w:t>
        <w:br/>
        <w:t xml:space="preserve">           variación del índice de precios al consumidor en  Honduras,  hoy</w:t>
        <w:br/>
        <w:t xml:space="preserve">           equivaldría a L.127.510, alrededor de  un  cuarto  de  su  valor</w:t>
        <w:br/>
        <w:t xml:space="preserve">           inicial.</w:t>
        <w:br/>
        <w:br/>
        <w:t>19. La Comisión pidió a la Corte que acepte su solicitud para que</w:t>
        <w:br/>
        <w:br/>
        <w:t xml:space="preserve">           se disponga que a fin de proteger el valor  adquisitivo  de  las</w:t>
        <w:br/>
        <w:t xml:space="preserve">           sumas que tanto como capital e intereses, surgen del fideicomiso</w:t>
        <w:br/>
        <w:t xml:space="preserve">           a establecerse a favor de EMMA PATRICIA  GODINEZ  (CRUZ),  dicha</w:t>
        <w:br/>
        <w:t xml:space="preserve">           porción de la indemnización debe ajustarse a  un  indicador  que</w:t>
        <w:br/>
        <w:t xml:space="preserve">           mantenga su poder adquisitivo, tanto para cada uno de los  pagos</w:t>
        <w:br/>
        <w:t xml:space="preserve">           de intereses correspondientes, como para pago del capital en  el</w:t>
        <w:br/>
        <w:t xml:space="preserve">           momento en que debe recibirlo la beneficiaria,  al  cumplir  los</w:t>
        <w:br/>
        <w:t xml:space="preserve">           veinticinco años de edad, el día 3 de mayo de 2007.</w:t>
        <w:br/>
        <w:br/>
        <w:t>20. La Comisión manifestó que</w:t>
        <w:br/>
        <w:br/>
        <w:t xml:space="preserve">           Existen distintas formas de establecer un sistema simple y claro</w:t>
        <w:br/>
        <w:t xml:space="preserve">           de protección, que la Corte podría establecer en  la  aclaración</w:t>
        <w:br/>
        <w:t xml:space="preserve">           de sentencia que se solicita. Ninguna de ellas daría  protección</w:t>
        <w:br/>
        <w:t xml:space="preserve">           total  a  la  beneficiaria,  ni  preservaría  completamente   la</w:t>
        <w:br/>
        <w:t xml:space="preserve">           intención indemnizatoria de la  sentencia,  pero  por  lo  menos</w:t>
        <w:br/>
        <w:t xml:space="preserve">           amenguaría la desprotección actual y el deterioro previsible  de</w:t>
        <w:br/>
        <w:t xml:space="preserve">           su valor.</w:t>
        <w:br/>
        <w:br/>
        <w:br/>
        <w:t xml:space="preserve">           Considera la Comisión que una fórmula adecuada de  ajuste  sería</w:t>
        <w:br/>
        <w:t xml:space="preserve">           calcular el valor actual del capital en fideicomiso  en  dólares</w:t>
        <w:br/>
        <w:t xml:space="preserve">           americanos al 20 de octubre de 1989, y mantenerlo a dicho  valor</w:t>
        <w:br/>
        <w:t xml:space="preserve">           a lo largo de todo el  período  del  mismo.  Para  ello  debería</w:t>
        <w:br/>
        <w:t xml:space="preserve">           ajustarse al monto en lempiras necesario  para  adquirir  en  el</w:t>
        <w:br/>
        <w:t xml:space="preserve">           mercado  libre  internacional  ese   monto   fijo   de   dólares</w:t>
        <w:br/>
        <w:t xml:space="preserve">           establecido inicialmente. De esta manera cada pago de  intereses</w:t>
        <w:br/>
        <w:t xml:space="preserve">           se calcularía en lempiras sobre un capital también  en  lempiras</w:t>
        <w:br/>
        <w:t xml:space="preserve">           reajustado según el método indicado.</w:t>
        <w:br/>
        <w:br/>
        <w:t>21. El Gobierno, por escrito de 16  de  noviembre  de  1989,  fundamentó  su</w:t>
        <w:br/>
        <w:t>oposición a la solicitud de la Comisión de la siguiente manera:</w:t>
        <w:br/>
        <w:br/>
        <w:t xml:space="preserve">           1. Porque la sentencia de  indemnización  compensatoria  dictada</w:t>
        <w:br/>
        <w:t xml:space="preserve">           por la Honorable Corte el 21 de julio de 1989,  en  el  caso  de</w:t>
        <w:br/>
        <w:t xml:space="preserve">           SAUL GODINEZ CRUZ, es totalmente clara y  precisa  tanto  en  su</w:t>
        <w:br/>
        <w:t xml:space="preserve">           parte considerativa  como  en  la  dispositiva  y  por  ello  no</w:t>
        <w:br/>
        <w:t xml:space="preserve">           requiere de aclaración o interpretación, pues la misma  fija  en</w:t>
        <w:br/>
        <w:t xml:space="preserve">           términos inequívocos el monto  en  lempiras  del  fideicomiso  a</w:t>
        <w:br/>
        <w:t xml:space="preserve">           establecerse en el Banco Central y la tasa del interés que en la</w:t>
        <w:br/>
        <w:t xml:space="preserve">           misma moneda generará anualmente el capital del fideicomiso.</w:t>
        <w:br/>
        <w:br/>
        <w:br/>
        <w:t xml:space="preserve">           2. Porque la Honorable Corte al  fijar  el  monto  total  de  la</w:t>
        <w:br/>
        <w:t xml:space="preserve">           indemnización compensatoria  y  su  forma  de  pago,  misma  que</w:t>
        <w:br/>
        <w:t xml:space="preserve">           comprende la parte correspondiente al fideicomiso y sus  frutos,</w:t>
        <w:br/>
        <w:t xml:space="preserve">           tomó como unidad monetaria  la  del  país  de  ejecución  de  la</w:t>
        <w:br/>
        <w:t xml:space="preserve">           sentencia,   es   decir   Honduras,    sin    consideración    y</w:t>
        <w:br/>
        <w:t xml:space="preserve">           condicionamiento alguno acerca de una eventual  disminución  del</w:t>
        <w:br/>
        <w:t xml:space="preserve">           valor adquisitivo de la moneda hondureña;  asimismo,  porque  la</w:t>
        <w:br/>
        <w:t xml:space="preserve">           sentencia tampoco fijó otro parámetro monetario  como  indicador</w:t>
        <w:br/>
        <w:t xml:space="preserve">           de ajuste para mantener ese poder adquisitivo.</w:t>
        <w:br/>
        <w:br/>
        <w:br/>
        <w:t xml:space="preserve">           3.  Porque  no  estando  previstas  tales  situaciones   en   la</w:t>
        <w:br/>
        <w:t xml:space="preserve">           mencionada  sentencia  indemnizatoria,  lo   que   la   Comisión</w:t>
        <w:br/>
        <w:t xml:space="preserve">           Interamericana de Derechos Humanos persigue en su  solicitud  de</w:t>
        <w:br/>
        <w:t xml:space="preserve">           aclaración  es  que  la  Honorable  Corte  modifique  la   dicha</w:t>
        <w:br/>
        <w:t xml:space="preserve">           sentencia del 21  de  julio  de  1989,  introduciendo  elementos</w:t>
        <w:br/>
        <w:t xml:space="preserve">           nuevos de carácter monetario  en  la  parte  dispositiva  de  la</w:t>
        <w:br/>
        <w:t xml:space="preserve">           misma, cuando pide a la Corte que disponga sobre un indicador  a</w:t>
        <w:br/>
        <w:t xml:space="preserve">           que debe ajustarse la indemnización para mantener inalterable su</w:t>
        <w:br/>
        <w:t xml:space="preserve">           valor adquisitivo, elemento éste que como ya se ha expresado  no</w:t>
        <w:br/>
        <w:t xml:space="preserve">           se contempla en la sentencia.</w:t>
        <w:br/>
        <w:br/>
        <w:br/>
        <w:t xml:space="preserve">                 Por las razones expuestas, el Gobierno  de  Honduras  pide</w:t>
        <w:br/>
        <w:t xml:space="preserve">           respetuosamente  a  la  Honorable  Corte  denegar  la  expresada</w:t>
        <w:br/>
        <w:t xml:space="preserve">           solicitud de la Comisión Interamericana de Derechos Humanos.</w:t>
        <w:br/>
        <w:br/>
        <w:t>22. En su escrito de 6 de julio de 1990 la Comisión dijo:</w:t>
        <w:br/>
        <w:br/>
        <w:t xml:space="preserve">                 ...a ocho meses de vencido el término por  la  Corte  para</w:t>
        <w:br/>
        <w:t xml:space="preserve">           dicha efectivación, la misma no se ha  realizado  con  distintos</w:t>
        <w:br/>
        <w:t xml:space="preserve">           perjuicios para los damnificados.</w:t>
        <w:br/>
        <w:br/>
        <w:br/>
        <w:t xml:space="preserve">                 Dichos perjuicios surgen de dos fuentes:  una,  el  tiempo</w:t>
        <w:br/>
        <w:t xml:space="preserve">           transcurrido desde el 20 de octubre de 1989, sin que los  mismos</w:t>
        <w:br/>
        <w:t xml:space="preserve">           pudieran hacer efectivo el goce y usufructo de la  indemnización</w:t>
        <w:br/>
        <w:t xml:space="preserve">           debida; y el otro, la devaluación de la lempira en ese  período,</w:t>
        <w:br/>
        <w:t xml:space="preserve">           devaluación  establecida  por  el  Gobierno  en   forma   legal,</w:t>
        <w:br/>
        <w:t xml:space="preserve">           siguiendo el desarrollo real de su valor adquisitivo  que  había</w:t>
        <w:br/>
        <w:t xml:space="preserve">           disminuido sensiblemente en el período en cuestión.</w:t>
        <w:br/>
        <w:br/>
        <w:br/>
        <w:t xml:space="preserve">           ...</w:t>
        <w:br/>
        <w:br/>
        <w:br/>
        <w:t xml:space="preserve">                 No obstante los mismos, sin embargo entiende la Comisión y</w:t>
        <w:br/>
        <w:t xml:space="preserve">           así lo solicita a la  Corte,  que  tanto  por  la  seriedad  del</w:t>
        <w:br/>
        <w:t xml:space="preserve">           procedimiento  internacional  y  del   respeto   debido   a   la</w:t>
        <w:br/>
        <w:t xml:space="preserve">           indemnización justa fijada por esa Corte, como  por  la  pérdida</w:t>
        <w:br/>
        <w:t xml:space="preserve">           real de más de un 30 (treinta) por ciento del valor  adquisitivo</w:t>
        <w:br/>
        <w:t xml:space="preserve">           debido al atraso en el pago, la Ilustre Corte debe  declarar  en</w:t>
        <w:br/>
        <w:t xml:space="preserve">           esta aclaratoria solicitada, que el monto indemnizatorio  fijado</w:t>
        <w:br/>
        <w:t xml:space="preserve">           debe entenderse como conexo al plazo igualmente fijado.</w:t>
        <w:br/>
        <w:br/>
        <w:t>23. Por tales razones la Comisión</w:t>
        <w:br/>
        <w:br/>
        <w:t xml:space="preserve">                 ...solicita respetuosamente a esa Ilustre Corte se  acepte</w:t>
        <w:br/>
        <w:t xml:space="preserve">           este pedido de ampliación de recurso de aclaración de sentencia,</w:t>
        <w:br/>
        <w:t xml:space="preserve">           y se disponga además el pago de intereses por el  período  desde</w:t>
        <w:br/>
        <w:t xml:space="preserve">           el 20 de octubre de 1989 hasta la fecha de pago efectivo, más el</w:t>
        <w:br/>
        <w:t xml:space="preserve">           ajuste retroactivo del valor adquisitivo de las  indemnizaciones</w:t>
        <w:br/>
        <w:t xml:space="preserve">           a esa fecha para compensar la devaluación sufrida por la lempira</w:t>
        <w:br/>
        <w:t xml:space="preserve">           durante ese período.</w:t>
        <w:br/>
        <w:br/>
        <w:t>24. El  Gobierno  se  opuso  a  esta  última  solicitud  en  los  siguientes</w:t>
        <w:br/>
        <w:t>términos:</w:t>
        <w:br/>
        <w:br/>
        <w:t xml:space="preserve">           1. Porque las sentencias de indemnización compensatoria dictadas</w:t>
        <w:br/>
        <w:t xml:space="preserve">           por la Honorable Corte el 21 de julio de 1989, en los  casos  de</w:t>
        <w:br/>
        <w:t xml:space="preserve">           ANGEL MANFREDO VELASQUEZ y SAUL GODINEZ CRUZ, son  perfectamente</w:t>
        <w:br/>
        <w:t xml:space="preserve">           claras, tanto en su parte considerativa como en la dispositiva y</w:t>
        <w:br/>
        <w:t xml:space="preserve">           por ello no requieren  aclaración,  pues  las  mismas  fijan  de</w:t>
        <w:br/>
        <w:t xml:space="preserve">           manera precisa las  cantidades  totales  a  pagar  en  lempiras,</w:t>
        <w:br/>
        <w:t xml:space="preserve">           incluyendo   las   correspondientes   a   los   fideicomisos   a</w:t>
        <w:br/>
        <w:t xml:space="preserve">           establecerse en el Banco Central, así como la tasa  del  interés</w:t>
        <w:br/>
        <w:t xml:space="preserve">           que en la misma moneda generara anualmente el capital de  dichos</w:t>
        <w:br/>
        <w:t xml:space="preserve">           fideicomisos.</w:t>
        <w:br/>
        <w:br/>
        <w:br/>
        <w:t xml:space="preserve">           2. Porque la Honorable Corte, al fijar los montos totales de las</w:t>
        <w:br/>
        <w:t xml:space="preserve">           indemnizaciones compensatorias y su forma de pago  en  lempiras,</w:t>
        <w:br/>
        <w:t xml:space="preserve">           que comprenden las partes correspondientes a los fideicomisos  y</w:t>
        <w:br/>
        <w:t xml:space="preserve">           sus frutos, lo hizo sin consideración ni condicionamiento alguno</w:t>
        <w:br/>
        <w:t xml:space="preserve">           acerca de una eventual disminución del valor adquisitivo  de  la</w:t>
        <w:br/>
        <w:t xml:space="preserve">           moneda hondureña. Por otra parte, la sentencia tampoco fijó otro</w:t>
        <w:br/>
        <w:t xml:space="preserve">           parámetro monetario como indicador de ajuste para  mantener  ese</w:t>
        <w:br/>
        <w:t xml:space="preserve">           poder adquisitivo, ni intereses en el eventual atraso en el pago</w:t>
        <w:br/>
        <w:t xml:space="preserve">           de las indemnizaciones.</w:t>
        <w:br/>
        <w:br/>
        <w:br/>
        <w:t xml:space="preserve">           3.  Porque  no  estando  previstas  tales  situaciones  en   las</w:t>
        <w:br/>
        <w:t xml:space="preserve">           sentencias indemnizatorias, lo que la Comisión Interamericana de</w:t>
        <w:br/>
        <w:t xml:space="preserve">           Derechos Humanos persigue  en  su  solicitud  de  ampliación  de</w:t>
        <w:br/>
        <w:t xml:space="preserve">           aclaración, es que la Honorable Corte modifique  las  sentencias</w:t>
        <w:br/>
        <w:t xml:space="preserve">           del 21 de julio  de  1989,  introduciendo  elementos  nuevos  de</w:t>
        <w:br/>
        <w:t xml:space="preserve">           carácter monetario en la parte dispositiva de las mismas, cuando</w:t>
        <w:br/>
        <w:t xml:space="preserve">           pide a la Corte que declare que por el atraso en la  cancelación</w:t>
        <w:br/>
        <w:t xml:space="preserve">           de las indemnizaciones,  el  Gobierno  de  Honduras  debe  pagar</w:t>
        <w:br/>
        <w:t xml:space="preserve">           intereses y ajustar  los  montos  indemnizatorios  en  su  valor</w:t>
        <w:br/>
        <w:t xml:space="preserve">           adquisitivo, al valor que  tenían  cuando  debió  efectuarse  el</w:t>
        <w:br/>
        <w:t xml:space="preserve">           pago, elementos éstos que,  como  ya  se  ha  expresado,  no  se</w:t>
        <w:br/>
        <w:t xml:space="preserve">           contemplan en las sentencias mencionadas.</w:t>
        <w:br/>
        <w:br/>
        <w:br/>
        <w:t xml:space="preserve">           4. Porque las sentencias de la Corte Interamericana de  Derechos</w:t>
        <w:br/>
        <w:t xml:space="preserve">           Humanos, al ser definitivas e inapelables, tienen efecto de  res</w:t>
        <w:br/>
        <w:t xml:space="preserve">           judicata, lo cual impide que las  partes  reabran  una  cuestión</w:t>
        <w:br/>
        <w:t xml:space="preserve">           para obtener de esa  Honorable  Corte  un  segundo  fallo,  como</w:t>
        <w:br/>
        <w:t xml:space="preserve">           ocurriría   de   aceptarse   la   solicitud   de   la   Comisión</w:t>
        <w:br/>
        <w:t xml:space="preserve">           Interamericana de Derechos Humanos y modificar, por adición, las</w:t>
        <w:br/>
        <w:t xml:space="preserve">           sentencias del 21 de julio de 1989.</w:t>
        <w:br/>
        <w:br/>
        <w:br/>
        <w:t xml:space="preserve">           5. Porque, como ha quedado acreditado ante esa  Honorable  Corte</w:t>
        <w:br/>
        <w:t xml:space="preserve">           en las presentaciones efectuadas por el Gobierno de Honduras  el</w:t>
        <w:br/>
        <w:t xml:space="preserve">           27  de  enero  y  5  de  marzo  de  1990,  durante  el   período</w:t>
        <w:br/>
        <w:t xml:space="preserve">           transcurrido a partir del 21  de  julio  de  1989,  mi  Gobierno</w:t>
        <w:br/>
        <w:t xml:space="preserve">           realizó todas las acciones necesarias para  dar  cumplimiento  a</w:t>
        <w:br/>
        <w:t xml:space="preserve">           las sentencias y si  hubo  atraso  en  el  pago  de  los  montos</w:t>
        <w:br/>
        <w:t xml:space="preserve">           indemnizatorios, no se debió en manera alguna  a  negligencia  o</w:t>
        <w:br/>
        <w:t xml:space="preserve">           desinterés de su parte, sino a  motivos  de  orden  económico  y</w:t>
        <w:br/>
        <w:t xml:space="preserve">           presupuestario, los cuales una vez superados, culminaron con  la</w:t>
        <w:br/>
        <w:t xml:space="preserve">           emisión del Decreto No. 59-90, aprobado por el Congreso Nacional</w:t>
        <w:br/>
        <w:t xml:space="preserve">           el 2 de julio de 1990, mediante el cual, en cumplimiento fiel de</w:t>
        <w:br/>
        <w:t xml:space="preserve">           las sentencias de esa Honorable Corte, crea  en  el  Presupuesto</w:t>
        <w:br/>
        <w:t xml:space="preserve">           General de Ingresos y Egresos de  la  República,  la  asignación</w:t>
        <w:br/>
        <w:t xml:space="preserve">           correspondiente   para   el   pago   de   las    indemnizaciones</w:t>
        <w:br/>
        <w:t xml:space="preserve">           compensatorias a  los  familiares  de  los  desaparecidos  ANGEL</w:t>
        <w:br/>
        <w:t xml:space="preserve">           MANFREDO VELASQUEZ RODRIGUEZ y SAUL GODINEZ CRUZ, en la forma  y</w:t>
        <w:br/>
        <w:t xml:space="preserve">           condiciones  que   fueren   establecidas   en   las   sentencias</w:t>
        <w:br/>
        <w:t xml:space="preserve">           respectivas.</w:t>
        <w:br/>
        <w:br/>
        <w:t>25. En la audiencia quedó establecido que, no obstante  la  estabilidad  que</w:t>
        <w:br/>
        <w:t>había caracterizado el lempira durante muchos años,  para  la  época  en  la</w:t>
        <w:br/>
        <w:t>cual la Corte dictó  la  sentencia  de  indemnizaciones  ya  se  presentaban</w:t>
        <w:br/>
        <w:t>algunas diferencias de cambio en relación con divisas  fuertes,  las  cuales</w:t>
        <w:br/>
        <w:t>han seguido y se han acrecentado  hasta  ahora,  no  obstante  que  la  tasa</w:t>
        <w:br/>
        <w:t>oficial de cambio continúa inmodificable. Igualmente quedó claro que en  las</w:t>
        <w:br/>
        <w:t>actuales disposiciones de cambio internacional en  Honduras,  se  permite  a</w:t>
        <w:br/>
        <w:t>los particulares adquirir libremente otras monedas.</w:t>
        <w:br/>
        <w:br/>
        <w:br/>
        <w:t xml:space="preserve">                                     IV</w:t>
        <w:br/>
        <w:br/>
        <w:t>26. La interpretación de una sentencia implica  no  sólo  la  precisión  del</w:t>
        <w:br/>
        <w:t>texto de los puntos resolutivos del fallo,  sino  también  la  determinación</w:t>
        <w:br/>
        <w:t>del alcance, el sentido y la finalidad de la resolución, de acuerdo con  las</w:t>
        <w:br/>
        <w:t>consideraciones de la misma. Este ha sido el criterio de  la  jurisprudencia</w:t>
        <w:br/>
        <w:t>internacional (vgr. Eur. Court H.R., Ringeisen case (Interpretation  of  the</w:t>
        <w:br/>
        <w:t>judgment of 22 June 1972), judgment of 23 june 1973, Series A, Vol. 16).</w:t>
        <w:br/>
        <w:br/>
        <w:t>27. La indemnización que se debe a las víctimas o a sus  familiares  en  los</w:t>
        <w:br/>
        <w:t>términos del  artículo  63.1  de  la  Convención,  debe  estar  orientada  a</w:t>
        <w:br/>
        <w:t>procurar la restitutio in integrum  de  los  daños  causados  por  el  hecho</w:t>
        <w:br/>
        <w:t>violatorio de los derechos humanos. El desiderátum es la  restitución  total</w:t>
        <w:br/>
        <w:t>de la situación lesionada, lo cual, lamentablemente, es a menudo  imposible,</w:t>
        <w:br/>
        <w:t>dada la naturaleza irreversible de  los  perjuicios  ocasionados,  tal  como</w:t>
        <w:br/>
        <w:t>ocurre en el caso presente. En esos  supuestos,  es  procedente  acordar  el</w:t>
        <w:br/>
        <w:t>pago de una “justa indemnización” en  términos  lo  suficientemente  amplios</w:t>
        <w:br/>
        <w:t>para compensar, en la medida de lo posible, la pérdida sufrida.</w:t>
        <w:br/>
        <w:br/>
        <w:t>28. La Corte acordó, por eso, una  indemnización  que  comprendió  el  lucro</w:t>
        <w:br/>
        <w:t>cesante, calculado con base en  una  estimación  prudente  de  los  ingresos</w:t>
        <w:br/>
        <w:t>posibles de la víctima durante el resto de su vida probable,  así  como  los</w:t>
        <w:br/>
        <w:t>daños morales (Caso Godínez Cruz, Indemnización Compensatoria, Sentencia  de</w:t>
        <w:br/>
        <w:t>21 de  julio  de  1989,  (art.  63.1  Convención  Americana  sobre  Derechos</w:t>
        <w:br/>
        <w:t>Humanos). Serie C No. 8, párrs. 47 y 50).</w:t>
        <w:br/>
        <w:br/>
        <w:t>29. La naturaleza de la  indemnización  acordada,  en  cuanto  comprende  el</w:t>
        <w:br/>
        <w:t>lucro cesante calculado a lo largo de  una  vida  probable,  indica  que  la</w:t>
        <w:br/>
        <w:t>restitutio in integrum se vincula con la posibilidad  de  conservar  durante</w:t>
        <w:br/>
        <w:t>un tiempo relativamente largo el valor real del monto acordado. Una  fórmula</w:t>
        <w:br/>
        <w:t>posible para alcanzar ese objetivo es la llamada “indexación”,  que  permite</w:t>
        <w:br/>
        <w:t>el ajuste periódico de los montos a pagar a fin  de  mantener  constante  su</w:t>
        <w:br/>
        <w:t>valor real. Sin embargo, tal  método  es  aplicable,  en  general,  sólo  en</w:t>
        <w:br/>
        <w:t>aquellos casos en que la indemnización debe ser cubierta a través de  cuotas</w:t>
        <w:br/>
        <w:t>pagaderas durante  plazos  relativamente  largos.  No  es  ese  el  supuesto</w:t>
        <w:br/>
        <w:t>presente, pues la  Corte  ordenó  la  cancelación  de  la  totalidad  de  la</w:t>
        <w:br/>
        <w:t>indemnización de una sola vez o, a  lo  sumo,  mediante  el  abono  de  seis</w:t>
        <w:br/>
        <w:t>cuotas mensuales consecutivas.</w:t>
        <w:br/>
        <w:br/>
        <w:t>30. Esa circunstancia, sin  embargo,  no  hace  ajena  a  un  caso  como  el</w:t>
        <w:br/>
        <w:t>presente la noción de la conservación del valor real de la  suma  estipulada</w:t>
        <w:br/>
        <w:t>pues, como se dijo, la compensación del lucro cesante  en  los  términos  en</w:t>
        <w:br/>
        <w:t>que ha sido calculado implica, en alguna medida, dicha noción.  Es  así  que</w:t>
        <w:br/>
        <w:t>la Corte decidió, en el párrafo de la parte resolutiva de la  sentencia  que</w:t>
        <w:br/>
        <w:t>remite al párrafo 53 un medio de conservación  del  capital  adeudado  a  la</w:t>
        <w:br/>
        <w:t>menor hija de Saúl Godínez Cruz, como es su colocación en fideicomiso en  el</w:t>
        <w:br/>
        <w:t>Banco Central de  Honduras  en  las  condiciones  más  favorables  según  la</w:t>
        <w:br/>
        <w:t>práctica bancaria hondureña.</w:t>
        <w:br/>
        <w:br/>
        <w:t>31. La Corte interpreta que la expresión en las condiciones  más  favorables</w:t>
        <w:br/>
        <w:t>se refiere a que todo acto o gestión del  agente  fiduciario  debe  asegurar</w:t>
        <w:br/>
        <w:t>que la suma asignada mantenga su  poder  adquisitivo  y  produzca  frutos  o</w:t>
        <w:br/>
        <w:t>dividendos suficientes para acrecerla; la frase según la  práctica  bancaria</w:t>
        <w:br/>
        <w:t>hondureña, indica  que  el  agente  fiduciario  debe  cumplir  fielmente  su</w:t>
        <w:br/>
        <w:t>encargo como un buen padre de familia y tiene la potestad  y  la  obligación</w:t>
        <w:br/>
        <w:t>de seleccionar diversos tipos de inversión, ya  sea  mediante  depósitos  en</w:t>
        <w:br/>
        <w:t>moneda fuerte como el dólar de los Estados Unidos u  otras,  adquisición  de</w:t>
        <w:br/>
        <w:t>bonos hipotecarios, bienes raíces, valores  garantizados  o  cualquier  otro</w:t>
        <w:br/>
        <w:t>medio aconsejable, como precisamente lo ordenó la  Corte,  por  la  práctica</w:t>
        <w:br/>
        <w:t>bancaria hondureña.</w:t>
        <w:br/>
        <w:br/>
        <w:t>32. La Corte tuvo en su momento una preocupación similar a la expresada  por</w:t>
        <w:br/>
        <w:t>la Comisión en sus escritos y en la  audiencia,  en  orden  a  que  la  suma</w:t>
        <w:br/>
        <w:t>debida a la menor hija de Saúl Godínez Cruz conservara su valor  adquisitivo</w:t>
        <w:br/>
        <w:t>hasta haber alcanzado ella la edad de veinticinco años y aún más  allá.  Por</w:t>
        <w:br/>
        <w:t>esa razón decidió colocar dicha suma  en  fideicomiso,  institución  que,  a</w:t>
        <w:br/>
        <w:t>diferencia  de  las  cuentas  bancarias  ordinarias,  debe  precaver  a   la</w:t>
        <w:br/>
        <w:t>conservación del valor real de los activos y a su incremento.</w:t>
        <w:br/>
        <w:br/>
        <w:t>33. La sentencia contempla el pago de la indemnización de una sola vez o  en</w:t>
        <w:br/>
        <w:t>seis cuotas mensuales consecutivas. La  Comisión  pide  que  se  imponga  al</w:t>
        <w:br/>
        <w:t>Gobierno  el  desembolso  periódico  de  sumas  adicionales  para   mantener</w:t>
        <w:br/>
        <w:t>constante el valor de los activos originales mientras dure  el  fideicomiso.</w:t>
        <w:br/>
        <w:t>Es claro que esta solicitud, en los  términos  en  que  ha  sido  formulada,</w:t>
        <w:br/>
        <w:t>impondría al Gobierno una obligación que  no  se  deduce  de  la  sentencia,</w:t>
        <w:br/>
        <w:t>excede, en consecuencia, el ámbito de mera  interpretación  y  exige  de  la</w:t>
        <w:br/>
        <w:t>Corte declarar que no hay lugar a lo pedido.</w:t>
        <w:br/>
        <w:br/>
        <w:br/>
        <w:t xml:space="preserve">                                      V</w:t>
        <w:br/>
        <w:br/>
        <w:t>34. En su escrito recibido en la Corte el 6 de julio de  1990,  la  Comisión</w:t>
        <w:br/>
        <w:t>presentó una ampliación de la solicitud de interpretación de las  sentencias</w:t>
        <w:br/>
        <w:t>en el que subrayó cómo, a pesar de haber transcurrido ocho  meses  desde  la</w:t>
        <w:br/>
        <w:t>fecha de exigibilidad de la indemnización, el Gobierno aún  no  había  hecho</w:t>
        <w:br/>
        <w:t>el pago correspondiente y solicitó que, para atender a las consecuencias  de</w:t>
        <w:br/>
        <w:t>esa demora, la Corte ordenara  el  pago  de:  a)  los  intereses  por  dicho</w:t>
        <w:br/>
        <w:t>retardo y b) el ajuste del valor adquisitivo de  la  unidad  monetaria  para</w:t>
        <w:br/>
        <w:t>retrotraer su valor presente al momento del pago, al que tenía cuando  debía</w:t>
        <w:br/>
        <w:t>haberse efectuado el mismo.</w:t>
        <w:br/>
        <w:br/>
        <w:t>35. Respecto de este último escrito la Corte debe determinar  ante  todo  si</w:t>
        <w:br/>
        <w:t>está facultada para atender la solicitud así formulada.</w:t>
        <w:br/>
        <w:br/>
        <w:t>36. Cabe observar que, según el artículo 67 de la Convención, la Corte  está</w:t>
        <w:br/>
        <w:t>facultada para interpretar sus fallos  cuando  exista  desacuerdo  sobre  el</w:t>
        <w:br/>
        <w:t>sentido o alcance de los mismos. En el escrito de la Comisión que  ahora  se</w:t>
        <w:br/>
        <w:t>analiza, no hay mención alguna sobre aspectos del fallo de  la  Corte  cuyos</w:t>
        <w:br/>
        <w:t>sentido o alcance sean dudosos  o  controversiales.  Por  el  contrario,  se</w:t>
        <w:br/>
        <w:t>denuncia que no se han cumplido términos claros  de  dicha  sentencia,  como</w:t>
        <w:br/>
        <w:t>son los plazos dentro de los cuales debió pagarse la indemnización  acordada</w:t>
        <w:br/>
        <w:t>por la Corte. No es procedente, en consecuencia, dar curso a la petición  de</w:t>
        <w:br/>
        <w:t>la Comisión,  como  una  “ampliación”  de  la  solicitud  de  interpretación</w:t>
        <w:br/>
        <w:t>anteriormente introducida por ella misma.</w:t>
        <w:br/>
        <w:br/>
        <w:t>37. No obstante, como en los términos del  fallo  la  Corte  se  reservó  la</w:t>
        <w:br/>
        <w:t>supervisión del pago de la indemnización acordada e indicó que sólo  después</w:t>
        <w:br/>
        <w:t>de  su  cancelación   archivaría   el   expediente   (Caso   Godínez   Cruz,</w:t>
        <w:br/>
        <w:t>Indemnización  Compensatoria,  supra   28,   párr.   55.5)   ella   conserva</w:t>
        <w:br/>
        <w:t>jurisdicción sobre el presente caso y está habilitada  para  resolver  sobre</w:t>
        <w:br/>
        <w:t>las consecuencias de la demora  del  Gobierno  en  abonar  la  indemnización</w:t>
        <w:br/>
        <w:t>ordenada.</w:t>
        <w:br/>
        <w:br/>
        <w:t>38. A estos efectos cabe observar, en primer lugar, que el retardo  se  debe</w:t>
        <w:br/>
        <w:t>a un hecho del Estado de Honduras que se prolonga hasta hoy.  En  efecto,  a</w:t>
        <w:br/>
        <w:t>pesar de las gestiones del Poder Ejecutivo de las que el  Gobierno  ha  dado</w:t>
        <w:br/>
        <w:t>cuenta y de la buena voluntad de éste, que la Corte de ningún modo  pone  en</w:t>
        <w:br/>
        <w:t>duda, la realidad es que, hasta esta fecha, el  pago  no  se  ha  efectuado,</w:t>
        <w:br/>
        <w:t>hecho éste imputable al Estado cuyas consecuencias deben ser resarcidas  por</w:t>
        <w:br/>
        <w:t>éste, de modo que no se vean menoscabados los derechos de las  beneficiarias</w:t>
        <w:br/>
        <w:t>de la indemnización.</w:t>
        <w:br/>
        <w:br/>
        <w:t>39. Debe, además, señalarse que en ningún momento el Gobierno  dio  muestras</w:t>
        <w:br/>
        <w:t>de acogerse a la opción de pagar la indemnización a través  de  seis  cuotas</w:t>
        <w:br/>
        <w:t>mensuales consecutivas  (Caso  Godínez  Cruz,  Indemnización  Compensatoria,</w:t>
        <w:br/>
        <w:t>supra 28, párr. 52), ni canceló  ninguna  de  dichas  cuotas,  que,  por  lo</w:t>
        <w:br/>
        <w:t>demás, estarían todas vencidas. La base del cálculo de  los  daños  causados</w:t>
        <w:br/>
        <w:t>por la demora debe ser por lo tanto la totalidad del capital adeudado en  la</w:t>
        <w:br/>
        <w:t>fecha de su exigibilidad,  es  decir,  seiscientos  cincuenta  mil  lempiras</w:t>
        <w:br/>
        <w:t>desde el día 21 de octubre de 1989. La afirmación del Gobierno  de  que  las</w:t>
        <w:br/>
        <w:t>sumas debidas no han sido entregadas a sus interesados ya que ellos  esperan</w:t>
        <w:br/>
        <w:t>los resultados de la audiencia, no es óbice para  la  declaración  anterior,</w:t>
        <w:br/>
        <w:t>entre otras razones, porque la publicación del decreto que autoriza el  pago</w:t>
        <w:br/>
        <w:t>se hizo un año después de la sentencia que lo ordenó y solamente pocos  días</w:t>
        <w:br/>
        <w:t>antes de la audiencia en cuestión.</w:t>
        <w:br/>
        <w:br/>
        <w:t>40. Es procedente, en primer lugar, el pago de intereses sobre el total  del</w:t>
        <w:br/>
        <w:t>capital adeudado, que serán los bancarios corrientes a la fecha del pago  en</w:t>
        <w:br/>
        <w:t>Honduras. Si tales intereses fueron acordados por la Corte para el  supuesto</w:t>
        <w:br/>
        <w:t>en que el Gobierno optara por pagar en  seis  cuotas  mensuales,  ellos  son</w:t>
        <w:br/>
        <w:t>aplicables a fortiori al retardo en el cumplimiento.</w:t>
        <w:br/>
        <w:br/>
        <w:t>41. Existen, además,  otros  daños  que  deben  ser  compensados  y  que  se</w:t>
        <w:br/>
        <w:t>vinculan con el derecho de las beneficiarias de la indemnización  y,  en  su</w:t>
        <w:br/>
        <w:t>caso, el deber del agente fiduciario, de adoptar, desde el  momento  en  que</w:t>
        <w:br/>
        <w:t>la misma se les debía, medidas tendientes a conservar el valor  real  de  la</w:t>
        <w:br/>
        <w:t>suma percibida, para que ésta pudiera cumplir su finalidad  como  restitutio</w:t>
        <w:br/>
        <w:t>in integrum de los daños causados.</w:t>
        <w:br/>
        <w:br/>
        <w:t>42. A este respecto la Corte observa que una de las vías  más  accesibles  y</w:t>
        <w:br/>
        <w:t>comunes para lograr  ese  propósito,  como  es  la  conversión  de  la  suma</w:t>
        <w:br/>
        <w:t>percibida a una de las  llamadas  divisas  duras,  se  ha  visto  seriamente</w:t>
        <w:br/>
        <w:t>menoscabada por obra de la pérdida de valor del lempira frente al  dólar  de</w:t>
        <w:br/>
        <w:t>los Estados Unidos en el mercado de libre convertibilidad,  desde  la  fecha</w:t>
        <w:br/>
        <w:t>en que el pago debió efectuarse. Este perjuicio  real  debe  ser  compensado</w:t>
        <w:br/>
        <w:t>por el Gobierno, en adición a los intereses bancarios corrientes,  añadiendo</w:t>
        <w:br/>
        <w:t>a éstos el valor de dicha pérdida entre la  fecha  en  la  que  el  Gobierno</w:t>
        <w:br/>
        <w:t>debió pagar la indemnización y constituir el fideicomiso y  no  lo  hizo,  y</w:t>
        <w:br/>
        <w:t>aquella en que efectivamente lo haga.</w:t>
        <w:br/>
        <w:br/>
        <w:t>43.  Teniendo  ya  el  Gobierno,  como  lo  ha  informado  a  la  Corte,  la</w:t>
        <w:br/>
        <w:t>autorización para pagar, debe proceder  de  inmediato  a  entregar  la  suma</w:t>
        <w:br/>
        <w:t>fijada  en  el  Decreto  número   59-90   a   las   beneficiarias   de   las</w:t>
        <w:br/>
        <w:t>indemnizaciones y del  fideicomiso,  pero  aplicándolas,  como  es  práctica</w:t>
        <w:br/>
        <w:t>corriente, primero a la compensación ya indicada y a los intereses, y  luego</w:t>
        <w:br/>
        <w:t>al capital. Los faltantes de  capital  que  quedaren  luego  de  este  pago,</w:t>
        <w:br/>
        <w:t>estarán sujetos a lo dicho en el  párrafo  42  supra  hasta  su  cancelación</w:t>
        <w:br/>
        <w:t>total.</w:t>
        <w:br/>
        <w:br/>
        <w:t>44. De  todo  lo  anterior  se  concluye  que  la  Corte  debe  pronunciarse</w:t>
        <w:br/>
        <w:t>específicamente sobre dos puntos, a saber:</w:t>
        <w:br/>
        <w:br/>
        <w:t xml:space="preserve">      1. Sobre la interpretación del sentido,  alcance  y  finalidad  de  la</w:t>
        <w:br/>
        <w:t xml:space="preserve">      expresión en las condiciones más favorables según la práctica bancaria</w:t>
        <w:br/>
        <w:t xml:space="preserve">      hondureña, que utilizó en el párrafo 53 de la sentencia de 21 de julio</w:t>
        <w:br/>
        <w:t xml:space="preserve">      de 1989; y</w:t>
        <w:br/>
        <w:br/>
        <w:br/>
        <w:t xml:space="preserve">      2. Sobre las medidas que debe tomar en ejercicio de la facultad que se</w:t>
        <w:br/>
        <w:t xml:space="preserve">      reservó en el párrafo 5 de la parte resolutiva de la  misma  sentencia</w:t>
        <w:br/>
        <w:t xml:space="preserve">      de supervisar el cumplimiento del pago de  la  indemnización  acordada</w:t>
        <w:br/>
        <w:t xml:space="preserve">      hasta su cancelación.</w:t>
        <w:br/>
        <w:br/>
        <w:t>POR TANTO,</w:t>
        <w:br/>
        <w:br/>
        <w:t>LA CORTE,</w:t>
        <w:br/>
        <w:br/>
        <w:t>RESUELVE:</w:t>
        <w:br/>
        <w:br/>
        <w:t>por unanimidad</w:t>
        <w:br/>
        <w:br/>
        <w:t>1. Declarar admisible la demanda de interpretación de la sentencia de  fecha</w:t>
        <w:br/>
        <w:t>21 de julio de 1989, presentada por la Comisión Interamericana  de  Derechos</w:t>
        <w:br/>
        <w:t>Humanos el 2 de octubre de 1989.</w:t>
        <w:br/>
        <w:br/>
        <w:t>por unanimidad</w:t>
        <w:br/>
        <w:br/>
        <w:t>2. Declarar improcedente el pedido de ampliación de  recurso  de  aclaración</w:t>
        <w:br/>
        <w:t>de sentencia presentado por la Comisión Interamericana de  Derechos  Humanos</w:t>
        <w:br/>
        <w:t>el 6 de julio de 1990.</w:t>
        <w:br/>
        <w:br/>
        <w:t>por unanimidad</w:t>
        <w:br/>
        <w:br/>
        <w:t>3. Declarar que la expresión en las  condiciones  más  favorables  según  la</w:t>
        <w:br/>
        <w:t>práctica bancaria hondureña debe interpretarse en la forma expresada  en  el</w:t>
        <w:br/>
        <w:t>párrafo 31 supra.</w:t>
        <w:br/>
        <w:br/>
        <w:t>por unanimidad</w:t>
        <w:br/>
        <w:br/>
        <w:t>4. En ejercicio de las  facultades  de  supervisar  el  cumplimiento  de  su</w:t>
        <w:br/>
        <w:t>sentencia de 21  de  julio  de  1989,  que  el  Gobierno  de  Honduras  debe</w:t>
        <w:br/>
        <w:t>compensar a los lesionados  por  razón  de  la  demora  en  el  pago  de  la</w:t>
        <w:br/>
        <w:t>indemnización y  en  la  constitución  del  fideicomiso  ordenados,  en  los</w:t>
        <w:br/>
        <w:t>términos que se expresan en los párrafos 40, 42 y 43 supra.</w:t>
        <w:br/>
        <w:br/>
        <w:t>Redactada en español e inglés haciendo fe el  texto  en  español.  Leída  en</w:t>
        <w:br/>
        <w:t>sesión pública en la sede de la Corte en San José,  Costa  Rica,  el  17  de</w:t>
        <w:br/>
        <w:t>agosto de 1990*.</w:t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 xml:space="preserve">          Rodolfo E. Piza E.                           Pedro Nikken</w:t>
        <w:br/>
        <w:br/>
        <w:br/>
        <w:t xml:space="preserve">    Rafael Nieto Navia                           Rigoberto Espinal Irías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</w:t>
        <w:br/>
        <w:br/>
        <w:br/>
        <w:t xml:space="preserve">                                                          Héctor Fix-Zamudio</w:t>
        <w:br/>
        <w:t xml:space="preserve">                                                                  Presidente</w:t>
        <w:br/>
        <w:br/>
        <w:t>Manuel E. Ventura Robles</w:t>
        <w:br/>
        <w:t>Secretario</w:t>
        <w:br/>
        <w:br/>
        <w:t xml:space="preserve">                    VOTO SEPARADO DEL JUEZ PIZA ESCALANTE</w:t>
        <w:br/>
        <w:br/>
        <w:br/>
        <w:t>He concurrido en el voto unánime de la Corte y en la  línea  general  de  su</w:t>
        <w:br/>
        <w:t>razonamiento pero tengo que separarme de la tesis recogida en  los  párrafos</w:t>
        <w:br/>
        <w:t>12, 14 y 15, en cuanto invocan la aplicabilidad  inmediata  y  no  meramente</w:t>
        <w:br/>
        <w:t>analógica del artículo 67 de la Convención, que regula  las  solicitudes  de</w:t>
        <w:br/>
        <w:t>interpretación del fallo. En este  sentido,  tengo  que  observar  que  esas</w:t>
        <w:br/>
        <w:t>solicitudes se articulan en  la  citada  norma  de  la  Convención  sólo  en</w:t>
        <w:br/>
        <w:t>relación con el fallo, es decir, obviamente con la sentencia definitiva  que</w:t>
        <w:br/>
        <w:t>resuelve el fondo del asunto,  a  la  que  se  refieren,  entre  otros,  los</w:t>
        <w:br/>
        <w:t>artículos 63.1 y 66 de la misma Convención: sólo es respecto de ella que  se</w:t>
        <w:br/>
        <w:t>hace necesaria una expresa previsión convencional, así como la  fijación  de</w:t>
        <w:br/>
        <w:t>un plazo de caducidad de la legitimación para pedirla,  porque,  de  acuerdo</w:t>
        <w:br/>
        <w:t>con principios universales de todo  derecho  procesal,  tanto  interno  como</w:t>
        <w:br/>
        <w:t>internacional, sólo ella es  irrevocable  y  sólo  ella  puede  adquirir  la</w:t>
        <w:br/>
        <w:t>autoridad de la cosa juzgada.</w:t>
        <w:br/>
        <w:br/>
        <w:t>Todas las demás resoluciones, tanto del proceso principal como  de  su  fase</w:t>
        <w:br/>
        <w:t>de  ejecución,  aunque  de  hecho  o  por  costumbre   se   llamen   también</w:t>
        <w:br/>
        <w:t>“sentencias”, son interlocutorias y siempre sujetas a otras que, por vía  de</w:t>
        <w:br/>
        <w:t>recurso  o   sencillamente   por   contrario   imperio,   las   interpreten,</w:t>
        <w:br/>
        <w:t>complementen, aclaren o adicionen o incluso las modifiquen o revoquen,  esto</w:t>
        <w:br/>
        <w:t>último, claro está, dentro del respeto debido al principio de  preclusión  y</w:t>
        <w:br/>
        <w:t>a la buena fe.</w:t>
        <w:br/>
        <w:br/>
        <w:t>La llamada “sentencia de indemnización compensatoria”  de  21  de  julio  de</w:t>
        <w:br/>
        <w:t>1989, no es el fallo o sentencia definitivo a que aluden los artículos  63.1</w:t>
        <w:br/>
        <w:t>y 66, ni, por ende, susceptible de la  clase  de  interpretación  a  que  se</w:t>
        <w:br/>
        <w:t>refiere el 67 de  la  Convención,  aunque  sí,  desde  luego,  de  cualquier</w:t>
        <w:br/>
        <w:t>interpretación, complementación, aclaración o adición, o aun modificación  o</w:t>
        <w:br/>
        <w:t>revocación, en los términos antes dichos.</w:t>
        <w:br/>
        <w:br/>
        <w:t>En el presente caso, el fallo o sentencia definitivo sólo fue el  de  20  de</w:t>
        <w:br/>
        <w:t>enero de 1989, que resolvió definitivamente  la  cuestión  sobre  el  fondo.</w:t>
        <w:br/>
        <w:t>Este único fallo definitivo no requería interpretación en los  términos  del</w:t>
        <w:br/>
        <w:t>artículo  67,  ni  ella  fue  nunca  solicitada.  En  lo  referente   a   la</w:t>
        <w:br/>
        <w:t>indemnización compensatoria se limitó a condenar al  Gobierno  de  Honduras,</w:t>
        <w:br/>
        <w:t>en  abstracto,  a  pagarla  a  las  causahabientes  de  Saúl  Godínez  Cruz,</w:t>
        <w:br/>
        <w:t>reservando la determinación de su monto y forma de pago a lo que  obviamente</w:t>
        <w:br/>
        <w:t>implicaba una etapa posterior de ejecución de sentencia, valiéndose  así  de</w:t>
        <w:br/>
        <w:t>la opción  procesal  usual  de  dejar  para  esa  etapa  la  liquidación  de</w:t>
        <w:br/>
        <w:t>determinadas declaraciones generales contenidas en el fallo mismo,  mediante</w:t>
        <w:br/>
        <w:t>resoluciones dotadas,  naturalmente,  de  la  misma  eficacia  vinculante  y</w:t>
        <w:br/>
        <w:t>ejecutiva de la propia sentencia (en el caso, la de los artículos  65  y  68</w:t>
        <w:br/>
        <w:t>de la Convención), pero carentes de su naturaleza y, como  se  dijo,  de  su</w:t>
        <w:br/>
        <w:t>definitividad, es decir, de su irrevocabilidad o  intangibilidad.  Eso  fue,</w:t>
        <w:br/>
        <w:t>ejecutar la sentencia, lo que hizo la Corte en su resolución de 21 de  julio</w:t>
        <w:br/>
        <w:t>de 1989, lo que está haciendo hoy y  lo  que  puede  y  posiblemente  deberá</w:t>
        <w:br/>
        <w:t>seguir haciendo en el futuro, mientras  el  expediente  no  se  archive  por</w:t>
        <w:br/>
        <w:t>habérsele dado cabal cumplimiento.</w:t>
        <w:br/>
        <w:br/>
        <w:t>No quiero  con  lo  anterior  significar,  ni  que  la  Corte  pueda  seguir</w:t>
        <w:br/>
        <w:t>indefinidamente modificando lo resuelto en esta etapa de ejecución  mientras</w:t>
        <w:br/>
        <w:t>no se den  las  conocidas  justificaciones  procesales  para  desaplicar  el</w:t>
        <w:br/>
        <w:t>principio de preclusión; como serían las nulidades o  el  cambio  sustancial</w:t>
        <w:br/>
        <w:t>de circunstancias (rebus sic stantibus); ni tampoco que no  se  pueda  pedir</w:t>
        <w:br/>
        <w:t>aclaración o interpretación de  las  mismas,  estas  últimas  tanto  por  la</w:t>
        <w:br/>
        <w:t>analogía que se señala en el  voto  principal,  cuanto  por  los  principios</w:t>
        <w:br/>
        <w:t>generales señalados, confirmados por la propia sentencia del 21 de julio  de</w:t>
        <w:br/>
        <w:t>1989 en cuanto dispuso mantener abierto su expediente hasta su  consumación,</w:t>
        <w:br/>
        <w:t>sólo que esa posibilidad no es la del artículo 67 de la  Convención  y,  por</w:t>
        <w:br/>
        <w:t>lo tanto no está sujeta, ni a petición de parte, ni a plazos  de  caducidad,</w:t>
        <w:br/>
        <w:t>sino que se mantiene abierta para siempre que haga falta en el curso  de  la</w:t>
        <w:br/>
        <w:t>ejecución de la sentencia definitiva.</w:t>
        <w:br/>
        <w:br/>
        <w:br/>
        <w:t xml:space="preserve">                                                          Rodolfo E. Piza E.</w:t>
        <w:br/>
        <w:br/>
        <w:br/>
        <w:t>Manuel E. Ventura Robles</w:t>
        <w:br/>
        <w:t>Secretario</w:t>
        <w:br/>
        <w:br/>
        <w:br/>
        <w:br/>
        <w:br/>
        <w:t>* El Juez Héctor Gros Espiell no participó en  la  elaboración  y  firma  de</w:t>
        <w:br/>
        <w:t>esta sentencia por haber renunciado al cargo de Juez de la  Corte.  El  Juez</w:t>
        <w:br/>
        <w:t>Thomas Buergenthal tampoco participó en  la  elaboración  y  firma  de  esta</w:t>
        <w:br/>
        <w:t>sentencia por no haberlo hecho en la de 21 de julio de 1989.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