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br/>
        <w:t>Caso de los Hermanos Gómez Paquiyauri Vs. Perú</w:t>
        <w:br/>
        <w:br/>
        <w:br/>
        <w:br/>
        <w:br/>
        <w:br/>
        <w:t>Sentencia de 8 de julio de  2004</w:t>
        <w:br/>
        <w:br/>
        <w:t xml:space="preserve">                       (Fondo, Reparaciones y Costas)</w:t>
        <w:br/>
        <w:br/>
        <w:br/>
        <w:br/>
        <w:br/>
        <w:t>En el caso de los hermanos Gómez Paquiyauri,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jueces*:</w:t>
        <w:br/>
        <w:br/>
        <w:t xml:space="preserve">   Sergio García Ramírez, Presidente;</w:t>
        <w:br/>
        <w:t xml:space="preserve">   Alirio Abreu Burelli, Vicepresidente;</w:t>
        <w:br/>
        <w:t xml:space="preserve">   Oliver Jackman, Juez;</w:t>
        <w:br/>
        <w:t xml:space="preserve">   Antônio A. Cançado Trindade, Juez;</w:t>
        <w:br/>
        <w:t xml:space="preserve">   Cecilia Medina Quiroga, Jueza;</w:t>
        <w:br/>
        <w:t xml:space="preserve">   Manuel E. Ventura Robles, Juez; y</w:t>
        <w:br/>
        <w:t xml:space="preserve">   Francisco José Eguiguren Praeli, Juez ad hoc;</w:t>
        <w:br/>
        <w:br/>
        <w:t xml:space="preserve">   presentes, además,</w:t>
        <w:br/>
        <w:br/>
        <w:t xml:space="preserve">   Pablo Saavedra Alessandri, Secretario; y</w:t>
        <w:br/>
        <w:t xml:space="preserve">   Emilia Segares Rodríguez, Secretaria Adjunta,</w:t>
        <w:br/>
        <w:br/>
        <w:t>de conformidad con los artículos 29, 56, 57 y 58 del Reglamento de la  Corte</w:t>
        <w:br/>
        <w:t>(en adelante “el Reglamento”), y con  el  artículo  63.1  de  la  Convención</w:t>
        <w:br/>
        <w:t>Americana  sobre  Derechos  Humanos  (en  adelante  “la  Convención”  o  “la</w:t>
        <w:br/>
        <w:t>Convención Americana”), dicta la presente Sentencia.</w:t>
        <w:br/>
        <w:br/>
        <w:br/>
        <w:br/>
        <w:br/>
        <w:br/>
        <w:t>I</w:t>
        <w:br/>
        <w:br/>
        <w:br/>
        <w:t>introducción de la causa</w:t>
        <w:br/>
        <w:br/>
        <w:br/>
        <w:t>1.    El 5 de febrero de 2002 la Comisión Interamericana de Derechos</w:t>
        <w:br/>
        <w:t>Humanos (en adelante “la Comisión” o “la Comisión Interamericana”) sometió</w:t>
        <w:br/>
        <w:t>ante la Corte una demanda contra el Estado del Perú (en adelante “el</w:t>
        <w:br/>
        <w:t>Estado” o “el Perú”), la cual se originó en la denuncia Nº 11.016, recibida</w:t>
        <w:br/>
        <w:t>en la Secretaría de la Comisión el 2 de julio de 1991.</w:t>
        <w:br/>
        <w:br/>
        <w:t>2.    La Comisión presentó la demanda con base  en  el  artículo  51  de  la</w:t>
        <w:br/>
        <w:t>Convención Americana, con el fin de que la  Corte  decidiera  si  el  Estado</w:t>
        <w:br/>
        <w:t>violó los artículos 4 (Derecho a  la  Vida),  5  (Derecho  a  la  Integridad</w:t>
        <w:br/>
        <w:t>Personal), 7 (Derecho a la Libertad Personal) y 19 (Derechos del  Niño)  por</w:t>
        <w:br/>
        <w:t>las presuntas detención, tortura y ejecución extrajudicial de  los  hermanos</w:t>
        <w:br/>
        <w:t>Emilio Moisés y Rafael Samuel Gómez Paquiyauri, así  como  los  artículos  8</w:t>
        <w:br/>
        <w:t>(Garantías  Judiciales)  y  25  (Protección  Judicial)  de   la   Convención</w:t>
        <w:br/>
        <w:t>Americana, en  perjuicio  de  sus  familiares,  todos  en  relación  con  la</w:t>
        <w:br/>
        <w:t>obligación establecida en  el  artículo  1.1  (Obligación  de  Respetar  los</w:t>
        <w:br/>
        <w:t>Derechos) de la misma. De igual manera, la Comisión solicitó a la Corte  que</w:t>
        <w:br/>
        <w:t>declarara la  violación  de  los  artículos  1,  6  y  8  de  la  Convención</w:t>
        <w:br/>
        <w:t>Interamericana para  Prevenir  y  Sancionar  la  Tortura  (en  adelante  “la</w:t>
        <w:br/>
        <w:t>Convención Interamericana contra la Tortura”) en perjuicio de  los  hermanos</w:t>
        <w:br/>
        <w:t>Gómez Paquiyauri.  Finalmente, la Comisión solicitó a la Corte que  ordenara</w:t>
        <w:br/>
        <w:t>al  Estado  que  adoptara  una  serie  de  reparaciones  pecuniarias  y   no</w:t>
        <w:br/>
        <w:t>pecuniarias, así como el pago de las costas generadas en la tramitación  del</w:t>
        <w:br/>
        <w:t>caso en la jurisdicción interna y ante el Sistema Interamericano.</w:t>
        <w:br/>
        <w:br/>
        <w:t>3.    De conformidad con lo señalado por la Comisión, la mañana  del  21  de</w:t>
        <w:br/>
        <w:t>junio de 1991, en medio de dos operativos policiales,  los  hermanos  Emilio</w:t>
        <w:br/>
        <w:t>Moisés y Rafael Samuel Gómez Paquiyauri, de 14 y 17  años,  respectivamente,</w:t>
        <w:br/>
        <w:t>fueron detenidos por agentes de la Policía Nacional  e  introducidos  en  la</w:t>
        <w:br/>
        <w:t>maletera de una patrulla policial. Supuestamente fueron  ejecutados  durante</w:t>
        <w:br/>
        <w:t>el trayecto que siguieron los policías después de su detención. La  Comisión</w:t>
        <w:br/>
        <w:t>alegó  que  los  cuerpos  de   ambos   fueron   ingresados   a   la   morgue</w:t>
        <w:br/>
        <w:t>aproximadamente una hora después de su captura.  La Comisión señaló que  los</w:t>
        <w:br/>
        <w:t>tribunales   peruanos   investigaron   los   hechos   y   determinaron    la</w:t>
        <w:br/>
        <w:t>responsabilidad  individual  de  los  autores   materiales.    La   Comisión</w:t>
        <w:br/>
        <w:t>Interamericana alegó que el presunto  autor  intelectual  fue  identificado,</w:t>
        <w:br/>
        <w:t>pero se encontraba prófugo de  la  justicia  y  no  había  sido  juzgado  ni</w:t>
        <w:br/>
        <w:t>sancionado. De igual forma, la Comisión señaló que los  tribunales  peruanos</w:t>
        <w:br/>
        <w:t>impusieron una reparación civil a los autores  materiales,  la  cual,  a  la</w:t>
        <w:br/>
        <w:t>fecha de la  presentación  de  la  demanda,  no  había  sido  pagada  a  los</w:t>
        <w:br/>
        <w:t>familiares de las presuntas víctimas.</w:t>
        <w:br/>
        <w:br/>
        <w:t>II</w:t>
        <w:br/>
        <w:t>COMPETENCIA</w:t>
        <w:br/>
        <w:br/>
        <w:t>4.    La Corte  es  competente  para  conocer  del  presente  caso,  en  los</w:t>
        <w:br/>
        <w:t>términos de los artículos 62 y 63.1 de la Convención Americana,  ya  que  el</w:t>
        <w:br/>
        <w:t>Perú es Estado Parte de la Convención  desde  el  28  de  julio  de  1978  y</w:t>
        <w:br/>
        <w:t>reconoció la competencia contenciosa de la Corte el 21  de  enero  de  1981.</w:t>
        <w:br/>
        <w:t>Además, el Estado ratificó la Convención Interamericana  contra  la  Tortura</w:t>
        <w:br/>
        <w:t>el 28 de marzo de 1991.</w:t>
        <w:br/>
        <w:br/>
        <w:br/>
        <w:t>III</w:t>
        <w:br/>
        <w:br/>
        <w:t>PROCEDIMIENTO ANTE LA COMISIÓN</w:t>
        <w:br/>
        <w:br/>
        <w:t>5.    El caso No. 11.016 fue abierto por la Comisión  Interamericana  el  12</w:t>
        <w:br/>
        <w:t>de junio de 1992 a raíz  de  una  denuncia  interpuesta  por  el  Centro  de</w:t>
        <w:br/>
        <w:t>Estudios y Acción para la Paz (en adelante “CEAPAZ” o  “los  peticionarios”)</w:t>
        <w:br/>
        <w:t>el 2 de julio de 1991.</w:t>
        <w:br/>
        <w:br/>
        <w:t>6.    El 1º de mayo de  2000  la  Comisión  envió  una  comunicación  a  las</w:t>
        <w:br/>
        <w:t>partes, poniéndose a su disposición con el objeto de alcanzar  una  solución</w:t>
        <w:br/>
        <w:t>amistosa, de conformidad con "el artículo 48(1)(f) de  la  Convención  y  el</w:t>
        <w:br/>
        <w:t>artículo 45(1) y 45(2) de su Reglamento".</w:t>
        <w:br/>
        <w:br/>
        <w:t>7.    El 5 de  marzo  de  2001  la  Comisión  aprobó,  en  su  110º  Período</w:t>
        <w:br/>
        <w:t>Ordinario de Sesiones, el Informe  No.  44/01  sobre  la  admisibilidad  del</w:t>
        <w:br/>
        <w:t>caso.</w:t>
        <w:br/>
        <w:br/>
        <w:t>8.    El  21  de  marzo  de  2001  la  Comisión  reiteró  a  las  partes  su</w:t>
        <w:br/>
        <w:t>disponibilidad de alcanzar una solución amistosa.  El 23 de  abril  de  2001</w:t>
        <w:br/>
        <w:t>el Estado manifestó que  “no  desea[ba]  someterse[,]  por  el  momento,  al</w:t>
        <w:br/>
        <w:t>procedimiento de solución amistosa”.  Los peticionarios manifestaron,  el  9</w:t>
        <w:br/>
        <w:t>de abril de 2001, que “estaban dispuestos a iniciar un proceso  de  solución</w:t>
        <w:br/>
        <w:t>amistosa”.</w:t>
        <w:br/>
        <w:br/>
        <w:t>9.    El 11 de octubre de 2001  la  Comisión  aprobó,  en  su  113º  Período</w:t>
        <w:br/>
        <w:t>Ordinario de Sesiones, el Informe No.  99/01  sobre  el  fondo  del  caso  y</w:t>
        <w:br/>
        <w:t>recomendó al Estado que:</w:t>
        <w:br/>
        <w:br/>
        <w:t xml:space="preserve">      1.    [r]eparar[a] adecuadamente a  los  familiares  de  los  hermanos</w:t>
        <w:br/>
        <w:t xml:space="preserve">      Gómez Paquiyauri, incluyendo tanto el aspecto moral como el  material,</w:t>
        <w:br/>
        <w:t xml:space="preserve">      por las violaciones  de  derechos  humanos   determinadas  en  el  […]</w:t>
        <w:br/>
        <w:t xml:space="preserve">      informe, y en particular,</w:t>
        <w:br/>
        <w:br/>
        <w:br/>
        <w:t xml:space="preserve">      2.    [r]ealizar[a] una investigación completa, imparcial  y  efectiva</w:t>
        <w:br/>
        <w:t xml:space="preserve">      de  los  hechos  con  el  objeto  de   establecer   y   sancionar   la</w:t>
        <w:br/>
        <w:t xml:space="preserve">      responsabilidad intelectual respecto a los hechos relacionados con  el</w:t>
        <w:br/>
        <w:t xml:space="preserve">      secuestro, tortura y asesinato de los hermanos Gómez Paquiyauri.</w:t>
        <w:br/>
        <w:br/>
        <w:br/>
        <w:t xml:space="preserve">      3.    Pagar[a] a los familiares de los hermanos Gómez  Paquiyauri  una</w:t>
        <w:br/>
        <w:t xml:space="preserve">      indemnización calculada conforme a los parámetros internacionales, por</w:t>
        <w:br/>
        <w:t xml:space="preserve">      un monto suficiente para resarcir tanto los daños materiales como  los</w:t>
        <w:br/>
        <w:t xml:space="preserve">      daños morales sufridos  por  los  familiares  de  los  hermanos  Gómez</w:t>
        <w:br/>
        <w:t xml:space="preserve">      Paquiyauri con ocasión a su asesinato.</w:t>
        <w:br/>
        <w:br/>
        <w:t>10.   El 5 de noviembre de 2001 la Comisión transmitió el Informe No.  99/01</w:t>
        <w:br/>
        <w:t>a las partes, pidió al Estado  la  presentación  de  un  informe  sobre  las</w:t>
        <w:br/>
        <w:t>medidas  adoptadas  para  dar  cumplimiento  a  las  recomendaciones  de  la</w:t>
        <w:br/>
        <w:t>Comisión dentro de un plazo de dos meses y solicitó a los peticionarios,  de</w:t>
        <w:br/>
        <w:t>conformidad con  el  artículo  43.3  del  Reglamento  de  la  Comisión,  que</w:t>
        <w:br/>
        <w:t>remitieran  información  relativa  al  sometimiento  del  caso  a  la  Corte</w:t>
        <w:br/>
        <w:t>Interamericana.</w:t>
        <w:br/>
        <w:br/>
        <w:t>11.   El 3 de enero de 2002 el Estado informó a la  Comisión  que  “est[aba]</w:t>
        <w:br/>
        <w:t>realizando  las  gestiones  necesarias  […]  para  dar  cumplimiento  a  las</w:t>
        <w:br/>
        <w:t>recomendaciones” del Informe No. 99/01.</w:t>
        <w:br/>
        <w:br/>
        <w:t>12.   El 8 de enero de 2002 la Comisión, “ante el incumplimiento del  Estado</w:t>
        <w:br/>
        <w:t>peruano con las recomendaciones del informe de fondo”,  decidió  someter  el</w:t>
        <w:br/>
        <w:t>caso a la Corte.</w:t>
        <w:br/>
        <w:br/>
        <w:t>IV</w:t>
        <w:br/>
        <w:t>PROCEDIMIENTO ANTE LA CORTE</w:t>
        <w:br/>
        <w:br/>
        <w:t>13.    La  Comisión  presentó  la  demanda  y  sus  anexos  ante  la   Corte</w:t>
        <w:br/>
        <w:t>Interamericana el 5 de febrero de 2002.</w:t>
        <w:br/>
        <w:br/>
        <w:t>14.   La Comisión designó como delegados ante la Corte  a  la  señora  Marta</w:t>
        <w:br/>
        <w:t>Altolaguirre y al señor Santiago Canton y,  como  asesores  legales,  a  los</w:t>
        <w:br/>
        <w:t>señores Ignacio Álvarez, Elizabeth Abi-Mershed y Ariel Dulitzky.</w:t>
        <w:br/>
        <w:br/>
        <w:t>15.   El 19 de febrero de 2002 la Secretaría, previo  examen  preliminar  de</w:t>
        <w:br/>
        <w:t>la demanda realizado por el Presidente, remitió ésta, junto con sus  anexos,</w:t>
        <w:br/>
        <w:t>al  Estado  y  a  los  representantes  de  las  presuntas  víctimas  y   sus</w:t>
        <w:br/>
        <w:t>familiares[1], e informó  a  ambos  sobre  los  plazos  para  contestarla  y</w:t>
        <w:br/>
        <w:t>designar representación en el proceso, así como para  presentar  el  escrito</w:t>
        <w:br/>
        <w:t>de solicitudes,  argumentos  y  pruebas,  respectivamente.   A  su  vez,  la</w:t>
        <w:br/>
        <w:t>Secretaría informó al Estado que tenía derecho a  nombrar  un  juez  ad  hoc</w:t>
        <w:br/>
        <w:t>para que participara en la consideración del caso.</w:t>
        <w:br/>
        <w:br/>
        <w:t>16.   El 5 de marzo de 2002 los  padres  de  las  presuntas  víctimas  y  la</w:t>
        <w:br/>
        <w:t>señora Mónica Feria Tinta (en adelante “la representante  de  las  presuntas</w:t>
        <w:br/>
        <w:t>víctimas y sus familiares”) remitieron copia  del  poder  otorgado  por  los</w:t>
        <w:br/>
        <w:t>primeros a la segunda para que los representara en el proceso ante la  Corte</w:t>
        <w:br/>
        <w:t>Interamericana. Asimismo, el día 22 de marzo de  2002  la  representante  de</w:t>
        <w:br/>
        <w:t>las presuntas víctimas y sus familiares remitió copia del poder  otorgado  a</w:t>
        <w:br/>
        <w:t>su favor por los hermanos de las presuntas  víctimas  para  el  trámite  del</w:t>
        <w:br/>
        <w:t>caso ante la Corte.</w:t>
        <w:br/>
        <w:br/>
        <w:t>17.    Mediante  nota  de  21  de  marzo  de  2002  el  Estado  comunicó  la</w:t>
        <w:br/>
        <w:t>designación del señor Francisco José Eguiguren  Praeli  como  Juez  ad  hoc.</w:t>
        <w:br/>
        <w:t>Asimismo, comunicó la designación del señor Julio  Quintanilla  Loaiza  como</w:t>
        <w:br/>
        <w:t>agente.</w:t>
        <w:br/>
        <w:br/>
        <w:t>18.   El 15 de abril de 2002 la representante de las  presuntas  víctimas  y</w:t>
        <w:br/>
        <w:t>sus familiares, después de  haberle  otorgado  dos  prórrogas,  presentó  su</w:t>
        <w:br/>
        <w:t>escrito de solicitudes, argumentos y pruebas y sus anexos.</w:t>
        <w:br/>
        <w:br/>
        <w:t>19.   El 22 de abril de 2002 el Estado remitió su  escrito  de  contestación</w:t>
        <w:br/>
        <w:t>de la demanda.</w:t>
        <w:br/>
        <w:br/>
        <w:t>20.   El 10  de  mayo  de  2002  la  Secretaría  transmitió  el  escrito  de</w:t>
        <w:br/>
        <w:t>solicitudes, argumentos y pruebas, junto con sus anexos, al Estado  y  a  la</w:t>
        <w:br/>
        <w:t>Comisión Interamericana y les informó que contaban con un plazo de  30  días</w:t>
        <w:br/>
        <w:t>para la presentación de las observaciones que estimaran  pertinentes  a  las</w:t>
        <w:br/>
        <w:t>solicitudes formuladas por la representante de las presuntas víctimas y  sus</w:t>
        <w:br/>
        <w:t>familiares.</w:t>
        <w:br/>
        <w:br/>
        <w:t>21.   El 21 de octubre de 2002 la representante de las presuntas víctimas  y</w:t>
        <w:br/>
        <w:t>sus familiares remitió una comunicación, en la que informó que  “la  familia</w:t>
        <w:br/>
        <w:t>[Gómez Paquiyauri] v[enía] siendo objeto de asedio por parte del Agente  del</w:t>
        <w:br/>
        <w:t>Estado Peruano”.</w:t>
        <w:br/>
        <w:br/>
        <w:t>22.   El 18 de noviembre de 2002 la Corte emitió una Resolución  en  la  que</w:t>
        <w:br/>
        <w:t>“[d]eclar[ó] que el señor Francisco José Eguiguren no está impedido para  el</w:t>
        <w:br/>
        <w:t>ejercicio del cargo de juez ad hoc  en  el  presente  caso”,  en  vista  del</w:t>
        <w:br/>
        <w:t>cuestionamiento presentado por la representante de  las  presuntas  víctimas</w:t>
        <w:br/>
        <w:t>y sus familiares a la figura del juez ad hoc.</w:t>
        <w:br/>
        <w:br/>
        <w:t>23.   El 14 de mayo de 2003 se presentó un  escrito  en  calidad  de  amicus</w:t>
        <w:br/>
        <w:t>curiae en el presente caso[2].</w:t>
        <w:br/>
        <w:br/>
        <w:t>24.   El 1º  de  marzo  de  2004  el  Presidente  de  la  Corte  emitió  una</w:t>
        <w:br/>
        <w:t>Resolución, mediante la cual requirió que los señores Bent  Sorensen  y  Ole</w:t>
        <w:br/>
        <w:t>Vedel Rasmussen prestaran sus peritajes a través de  declaraciones  rendidas</w:t>
        <w:br/>
        <w:t>ante fedatario público (affidávit), las cuales  deberían  ser  remitidas  al</w:t>
        <w:br/>
        <w:t>Tribunal a más tardar el 22 de marzo de 2004  y  serían  transmitidas  a  la</w:t>
        <w:br/>
        <w:t>Comisión  Interamericana  y  al  Estado  para   la   presentación   de   las</w:t>
        <w:br/>
        <w:t>observaciones que estimaren pertinentes.  Asimismo, el Presidente convocó  a</w:t>
        <w:br/>
        <w:t>la Comisión, al Estado y a la representante de las presuntas víctimas y  sus</w:t>
        <w:br/>
        <w:t>familiares a una audiencia pública que se celebraría en la sede de la  Corte</w:t>
        <w:br/>
        <w:t>Interamericana, a partir del 5 de mayo de 2004, para escuchar  sus  alegatos</w:t>
        <w:br/>
        <w:t>finales orales sobre el fondo y las eventuales reparaciones  y  costas,  así</w:t>
        <w:br/>
        <w:t>como las declaraciones testimoniales y  los  dictámenes  periciales  de  las</w:t>
        <w:br/>
        <w:t>personas que más adelante se indican (infra  párr.  28).   Además,  en  esta</w:t>
        <w:br/>
        <w:t>Resolución el Presidente comunicó a las partes que contaban con plazo  hasta</w:t>
        <w:br/>
        <w:t>el 7 de junio de 2004 para presentar sus alegatos finales escritos sobre  el</w:t>
        <w:br/>
        <w:t>fondo y las eventuales reparaciones y costas.</w:t>
        <w:br/>
        <w:br/>
        <w:t>25.   El 22 de marzo de 2004 la representante de las  presuntas  víctimas  y</w:t>
        <w:br/>
        <w:t>sus familiares remitió la  declaración  en  inglés  rendida  ante  fedatario</w:t>
        <w:br/>
        <w:t>público (affidávit) por el señor Bent Sorensen[3].</w:t>
        <w:br/>
        <w:br/>
        <w:t>26.   El 19 de abril de 2004  la  Comisión  Interamericana  informó  que  no</w:t>
        <w:br/>
        <w:t>tenía observaciones que presentar a la declaración  rendida  ante  fedatario</w:t>
        <w:br/>
        <w:t>público por el señor Bent Sorensen.  El  28  de  abril  de  2004  el  Estado</w:t>
        <w:br/>
        <w:t>remitió sus observaciones a la referida declaración.</w:t>
        <w:br/>
        <w:br/>
        <w:t>27.   El 1º de mayo de 2004 la representante de las presuntas víctimas y</w:t>
        <w:br/>
        <w:t>sus familiares remitió un video relacionado con los hechos del caso.</w:t>
        <w:br/>
        <w:br/>
        <w:t>28.   Los días 5, 6 y 7 de mayo de 2004 la Corte recibió, en audiencia</w:t>
        <w:br/>
        <w:t>pública sobre el fondo y las eventuales reparaciones y costas, las</w:t>
        <w:br/>
        <w:t>declaraciones de los testigos y los dictámenes de los peritos propuestos</w:t>
        <w:br/>
        <w:t>por la Comisión Interamericana y por la representante de las presuntas</w:t>
        <w:br/>
        <w:t>víctimas y sus familiares.  Además, la Corte escuchó los alegatos finales</w:t>
        <w:br/>
        <w:t>orales de la Comisión, de la representante de las presuntas víctimas y sus</w:t>
        <w:br/>
        <w:t>familiares, y del Estado.</w:t>
        <w:br/>
        <w:br/>
        <w:t>Comparecieron ante la Corte:</w:t>
        <w:br/>
        <w:br/>
        <w:t>por la Comisión Interamericana de Derechos Humanos:</w:t>
        <w:br/>
        <w:br/>
        <w:br/>
        <w:t xml:space="preserve">      Freddy Gutiérrez, delegado;</w:t>
        <w:br/>
        <w:t xml:space="preserve">      Santiago Canton, delegado;</w:t>
        <w:br/>
        <w:t xml:space="preserve">      Ignacio J. Álvarez, asesor;</w:t>
        <w:br/>
        <w:t xml:space="preserve">      Lilly Ching, asesora; y</w:t>
        <w:br/>
        <w:t xml:space="preserve">      Marisol Blanchard, asesora.</w:t>
        <w:br/>
        <w:br/>
        <w:t>por las presuntas víctimas y sus familiares:</w:t>
        <w:br/>
        <w:br/>
        <w:t xml:space="preserve">      Mónica Feria Tinta, representante; y</w:t>
        <w:br/>
        <w:t xml:space="preserve">      Zoe Harper, asistente legal.</w:t>
        <w:br/>
        <w:br/>
        <w:t>por el Estado del Perú:</w:t>
        <w:br/>
        <w:br/>
        <w:t xml:space="preserve">      Julio Quintanilla Loaiza, agente.</w:t>
        <w:br/>
        <w:br/>
        <w:t>Testigos propuestos por la Comisión Interamericana de Derechos Humanos:</w:t>
        <w:br/>
        <w:br/>
        <w:br/>
        <w:t xml:space="preserve">      Marcelina Paquiyauri Illanes de Gómez;</w:t>
        <w:br/>
        <w:t xml:space="preserve">      Ricardo Samuel Gómez Quispe;</w:t>
        <w:br/>
        <w:t xml:space="preserve">      Lucy Rosa Gómez Paquiyauri; y</w:t>
        <w:br/>
        <w:t xml:space="preserve">      Ángel del Rosario Vásquez Chumo.</w:t>
        <w:br/>
        <w:br/>
        <w:t>Testigos propuestos por la representante de las presuntas víctimas y sus</w:t>
        <w:br/>
        <w:t>familiares:</w:t>
        <w:br/>
        <w:br/>
        <w:br/>
        <w:t xml:space="preserve">      Miguel Ángel Gómez Paquiyauri;</w:t>
        <w:br/>
        <w:t xml:space="preserve">      Víctor Chuquitaype Eguiluz; y</w:t>
        <w:br/>
        <w:t xml:space="preserve">      Jacinta Peralta Allccarima.</w:t>
        <w:br/>
        <w:br/>
        <w:t>Peritos propuestos por la representante de las presuntas víctimas y sus</w:t>
        <w:br/>
        <w:t>familiares:</w:t>
        <w:br/>
        <w:br/>
        <w:t xml:space="preserve">      Inge Genefke; y</w:t>
        <w:br/>
        <w:t xml:space="preserve">      Hans Petter Houguen.</w:t>
        <w:br/>
        <w:br/>
        <w:t>No obstante haber sido citado por el Presidente, un testigo no compareció  a</w:t>
        <w:br/>
        <w:t>rendir su declaración[4].</w:t>
        <w:br/>
        <w:br/>
        <w:t>29.   Durante la celebración de la audiencia pública tanto el Estado como</w:t>
        <w:br/>
        <w:t>la representante de las presuntas víctimas presentaron diversos documentos</w:t>
        <w:br/>
        <w:t>(infra párr. 46).</w:t>
        <w:br/>
        <w:br/>
        <w:t>30.   El 7 de junio  de  2004  la  Comisión  y  el  Estado  presentaron  sus</w:t>
        <w:br/>
        <w:t>alegatos finales escritos. El 11 de junio de 2004 lo hizo la representante.</w:t>
        <w:br/>
        <w:br/>
        <w:t>31.   El 14 de junio de 2004 la Secretaría, siguiendo instrucciones del</w:t>
        <w:br/>
        <w:t>Presidente, solicitó al Estado y a la representante de las presuntas</w:t>
        <w:br/>
        <w:t>víctimas y sus familiares que presentaran, a más tardar el 21 de junio de</w:t>
        <w:br/>
        <w:t>2004, determinados documentos como prueba para mejor resolver sobre el</w:t>
        <w:br/>
        <w:t>fondo y las eventuales reparaciones y costas.</w:t>
        <w:br/>
        <w:br/>
        <w:t>32.   El 21 de junio de 2004 la representante de las presuntas víctimas y</w:t>
        <w:br/>
        <w:t>sus familiares remitió la prueba documental que había sido solicitada como</w:t>
        <w:br/>
        <w:t>prueba para mejor resolver, siguiendo instrucciones del Presidente.</w:t>
        <w:br/>
        <w:br/>
        <w:t>33.   A la fecha de la emisión de la presente sentencia, el Estado no</w:t>
        <w:br/>
        <w:t>presentó la prueba solicitada (supra párr. 31).</w:t>
        <w:br/>
        <w:br/>
        <w:br/>
        <w:t>V</w:t>
        <w:br/>
        <w:br/>
        <w:br/>
        <w:t>Medidas Provisionales</w:t>
        <w:br/>
        <w:br/>
        <w:br/>
        <w:t>34.   Durante la audiencia pública celebrada (supra párr.  28),  el  testigo</w:t>
        <w:br/>
        <w:t>Ángel del Rosario Vásquez Chumo manifestó que:</w:t>
        <w:br/>
        <w:br/>
        <w:t xml:space="preserve">      [F]ui intimidado, fui presionado, […] fui amenazado para que no dijera</w:t>
        <w:br/>
        <w:t xml:space="preserve">      la verdad de los hechos, pero […] quería que comenzara de una  vez  la</w:t>
        <w:br/>
        <w:t xml:space="preserve">      audiencia del juicio oral para decir tal como sucedieron  los  hechos.</w:t>
        <w:br/>
        <w:t xml:space="preserve">      Cuando llegó el juicio oral después de 2  años,  dije  todo  tal  como</w:t>
        <w:br/>
        <w:t xml:space="preserve">      sucedieron los hechos, cuando salgo del penal para poder  constituirme</w:t>
        <w:br/>
        <w:t xml:space="preserve">      a  la  sociedad,  se  cerraban  las  puertas,  porque  simplemente  me</w:t>
        <w:br/>
        <w:t xml:space="preserve">      identificaban como “vaca’e chumbo” y me cerraban las puertas […].</w:t>
        <w:br/>
        <w:t xml:space="preserve">      [L]es pido a ustedes [que me] ayud[en] en cuanto que no haya ninguna</w:t>
        <w:br/>
        <w:t xml:space="preserve">      represalia contra mi familia y con quien habla, porque ya hub[o]</w:t>
        <w:br/>
        <w:t xml:space="preserve">      intimida[ciones] mucho antes y ahora, bueno esconder las cosas que han</w:t>
        <w:br/>
        <w:t xml:space="preserve">      sucedido, después pueden tomar represalias contra mí y mi familia.</w:t>
        <w:br/>
        <w:br/>
        <w:t>35.   Asimismo, durante la audiencia pública celebrada (supra párr. 28),</w:t>
        <w:br/>
        <w:t>los testigos Lucy Rosa Gómez Paquiyauri, Marcelina Paquiyauri Illanes de</w:t>
        <w:br/>
        <w:t>Gómez, Ricardo Samuel Gómez Quispe, Miguel Ángel Gómez Paquiyauri, y</w:t>
        <w:br/>
        <w:t>Jacinta Peralta Allccarima, todos familiares de las presuntas víctimas en</w:t>
        <w:br/>
        <w:t>el presente caso, manifestaron que han sido objeto de persecución y</w:t>
        <w:br/>
        <w:t>hostigamientos con posterioridad a los hechos del caso.</w:t>
        <w:br/>
        <w:br/>
        <w:t>36.   El 7 de mayo de 2004 la representante de las presuntas víctimas y sus</w:t>
        <w:br/>
        <w:t>familiares solicitó al Tribunal que “tom[ara] las medidas que cre[yera]</w:t>
        <w:br/>
        <w:t>conveniente para que […] los miembros de la familia Gómez Paquiyauri […] no</w:t>
        <w:br/>
        <w:t>sufran represalias por su posición como [presuntas] víctimas en este caso</w:t>
        <w:br/>
        <w:t>ni acoso u hostigamiento con injerencias en su domicilio con presiones y</w:t>
        <w:br/>
        <w:t>amenazas” para conminarlos a “aceptar” soluciones amistosas por parte del</w:t>
        <w:br/>
        <w:t>Agente del Estado peruano u otros agentes del Estado en este proceso.</w:t>
        <w:br/>
        <w:br/>
        <w:t>37.   El mismo día la Secretaría, siguiendo instrucciones de la Corte,</w:t>
        <w:br/>
        <w:t>solicitó al Estado que cooperara en el sentido de que sus agentes no</w:t>
        <w:br/>
        <w:t>entraran en contacto con la familia Gómez Paquiyauri o con su</w:t>
        <w:br/>
        <w:t>representante, ni siquiera con el propósito de intentar alcanzar una</w:t>
        <w:br/>
        <w:t>solución amistosa en este caso, debido a que dichas aproximaciones habían</w:t>
        <w:br/>
        <w:t>sido interpretadas por la mencionada familia como “acoso u hostigamiento</w:t>
        <w:br/>
        <w:t>con injerencias en su domicilio[,] con presiones y amenazas”.</w:t>
        <w:br/>
        <w:br/>
        <w:t>38.   Asimismo, el 7 de mayo de 2004, la Corte emitió una Resolución en la</w:t>
        <w:br/>
        <w:t>que decidió:</w:t>
        <w:br/>
        <w:br/>
        <w:t xml:space="preserve">      1.    Requerir al Estado que adopt[ara], sin dilación, las medidas</w:t>
        <w:br/>
        <w:t xml:space="preserve">      necesarias para proteger la vida e integridad personal de los miembros</w:t>
        <w:br/>
        <w:t xml:space="preserve">      de la familia Gómez Paquiyauri que declararon ante la Corte, señores</w:t>
        <w:br/>
        <w:t xml:space="preserve">      Ricardo Samuel Gómez Quispe, Marcelina Paquiyauri Illanes de Gómez,</w:t>
        <w:br/>
        <w:t xml:space="preserve">      Lucy Rosa Gómez Paquiyauri, Miguel Ángel Gómez Paquiyauri, y Jacinta</w:t>
        <w:br/>
        <w:t xml:space="preserve">      Peralta Allccarima, y los que se encuentran en el Perú, a saber: los</w:t>
        <w:br/>
        <w:t xml:space="preserve">      señores Ricardo Emilio, Carlos Pedro, y Marcelina Haydée, todos Gómez</w:t>
        <w:br/>
        <w:t xml:space="preserve">      Paquiyauri, y la menor Nora Emely Gómez Peralta.</w:t>
        <w:br/>
        <w:br/>
        <w:t xml:space="preserve">      2.    Requerir al Estado que adopt[ara], sin dilación, las medidas</w:t>
        <w:br/>
        <w:t xml:space="preserve">      necesarias para proteger la vida e integridad personal del señor Ángel</w:t>
        <w:br/>
        <w:t xml:space="preserve">      del Rosario Vásquez Chumo y los miembros de su familia.</w:t>
        <w:br/>
        <w:br/>
        <w:t xml:space="preserve">      […]</w:t>
        <w:br/>
        <w:br/>
        <w:br/>
        <w:t>En la misma Resolución, la Corte requirió al Estado que diera  participación</w:t>
        <w:br/>
        <w:t>a  los  beneficiarios  de  medidas  provisionales  en  la  planificación   e</w:t>
        <w:br/>
        <w:t>implementación de las mismas, y estableció plazos para que  éste  presentara</w:t>
        <w:br/>
        <w:t>informes sobre las medidas provisionales, y la Comisión Interamericana y  la</w:t>
        <w:br/>
        <w:t>representante de los beneficiarios de las medidas provisionales  integrantes</w:t>
        <w:br/>
        <w:t>de la  familia  Gómez  Paquiyauri  remitieran  sus  observaciones  a  dichos</w:t>
        <w:br/>
        <w:t>informes.</w:t>
        <w:br/>
        <w:br/>
        <w:br/>
        <w:t>VI</w:t>
        <w:br/>
        <w:br/>
        <w:br/>
        <w:t>La Prueba</w:t>
        <w:br/>
        <w:br/>
        <w:br/>
        <w:t>39.   Antes del examen de las pruebas recibidas, la Corte  realizará,  a  la</w:t>
        <w:br/>
        <w:t>luz de lo establecido en los artículos  44  y  45  del  Reglamento,  algunas</w:t>
        <w:br/>
        <w:t>consideraciones aplicables al caso específico, la mayoría de las cuales  han</w:t>
        <w:br/>
        <w:t>sido desarrolladas en la propia jurisprudencia del Tribunal.</w:t>
        <w:br/>
        <w:br/>
        <w:t>40.   En materia probatoria rige el  principio  del  contradictorio,  en  el</w:t>
        <w:br/>
        <w:t>cual se respeta el derecho de defensa de las partes, siendo  este  principio</w:t>
        <w:br/>
        <w:t>uno de los fundamentos del artículo 44 del Reglamento, en lo que atañe a  la</w:t>
        <w:br/>
        <w:t>oportunidad en que debe ofrecerse la prueba con el fin de que haya  igualdad</w:t>
        <w:br/>
        <w:t>entre las partes[5].</w:t>
        <w:br/>
        <w:br/>
        <w:t>41.   La Corte ha señalado anteriormente, en cuanto  a  la  recepción  y  la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partes[6].  Además, la Corte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 prueba  necesaria  para  fundar   un   fallo[7].    Este   criterio   es</w:t>
        <w:br/>
        <w:t>especialmente válido en  relación  con  los  tribunales  internacionales  de</w:t>
        <w:br/>
        <w:t>derechos humanos, los cuales disponen, para efectos de la  determinación  de</w:t>
        <w:br/>
        <w:t>la responsabilidad internacional de un Estado por violación de  derechos  de</w:t>
        <w:br/>
        <w:t>la persona, de una  amplia  flexibilidad  en  la  valoración  de  la  prueba</w:t>
        <w:br/>
        <w:t>rendida ante ellos sobre los hechos pertinentes, de acuerdo con  las  reglas</w:t>
        <w:br/>
        <w:t>de la lógica y con base en la experiencia[8].</w:t>
        <w:br/>
        <w:br/>
        <w:t>42.   Con base en lo dicho, la Corte  procederá  a  examinar  y  valorar  el</w:t>
        <w:br/>
        <w:t>conjunto de los elementos que  conforman  el  acervo  probatorio  del  caso,</w:t>
        <w:br/>
        <w:t>según la regla de la sana crítica, dentro del marco legal en estudio.</w:t>
        <w:br/>
        <w:br/>
        <w:br/>
        <w:t>A) Prueba Documental</w:t>
        <w:br/>
        <w:br/>
        <w:t>43.    La  Comisión  Interamericana,  la  representante  de  las   presuntas</w:t>
        <w:br/>
        <w:t>víctimas y sus  familiares  y  el  Estado  aportaron  prueba  documental  al</w:t>
        <w:br/>
        <w:t>presentar los escritos de demanda,  solicitudes,  argumentos  y  pruebas,  y</w:t>
        <w:br/>
        <w:t>contestación de la demanda (supra párrs. 13, 18 y 19)[9].</w:t>
        <w:br/>
        <w:br/>
        <w:t>44.   El 22 de marzo de 2004 la representante de las  presuntas  víctimas  y</w:t>
        <w:br/>
        <w:t>sus  familiares  remitió  la  declaración  rendida  ante  fedatario  público</w:t>
        <w:br/>
        <w:t>(affidávit) por el señor Bent Sorensen (supra párr. 25)[10], de  conformidad</w:t>
        <w:br/>
        <w:t>con lo dispuesto por el Presidente mediante Resolución de  1º  de  marzo  de</w:t>
        <w:br/>
        <w:t>2004 (supra párr. 24).   A  continuación,  el  Tribunal  resume  las  partes</w:t>
        <w:br/>
        <w:t>relevantes de dicha declaración.</w:t>
        <w:br/>
        <w:br/>
        <w:br/>
        <w:t>Peritaje del señor Bent Sorensen, médico cirujano y experto en materia de</w:t>
        <w:br/>
        <w:t>tratamiento y prevención de la tortura</w:t>
        <w:br/>
        <w:br/>
        <w:br/>
        <w:t xml:space="preserve">      El perito fue jefe de la delegación del Comité contra la Tortura de</w:t>
        <w:br/>
        <w:t xml:space="preserve">      las Naciones Unidas (CAT) que visitó el Perú entre agosto y septiembre</w:t>
        <w:br/>
        <w:t xml:space="preserve">      de 1998 y fue el responsable de redactar el reporte que fue adoptado</w:t>
        <w:br/>
        <w:t xml:space="preserve">      unánimemente por miembros del CAT.  Dicho reporte concluyó que la</w:t>
        <w:br/>
        <w:t xml:space="preserve">      tortura, tal como está definida en el artículo 1 de la Convención</w:t>
        <w:br/>
        <w:t xml:space="preserve">      contra la Tortura y otros Tratos o Penas Crueles, Inhumanos o</w:t>
        <w:br/>
        <w:t xml:space="preserve">      Degradantes de las Naciones Unidas (en adelante “la Convención contra</w:t>
        <w:br/>
        <w:t xml:space="preserve">      la Tortura de la ONU”), era practicada sistemáticamente en el país,</w:t>
        <w:br/>
        <w:t xml:space="preserve">      tanto por la Dirección Nacional Contra el Terrorismo, (en adelante</w:t>
        <w:br/>
        <w:t xml:space="preserve">      “DINCOTE”), como por la División de Investigación Criminal, DIVINCRI.</w:t>
        <w:br/>
        <w:br/>
        <w:br/>
        <w:t xml:space="preserve">      En relación con el presente caso, el perito informó, en primer  lugar,</w:t>
        <w:br/>
        <w:t xml:space="preserve">      que no se ha entrevistado personalmente con ninguno de los  familiares</w:t>
        <w:br/>
        <w:t xml:space="preserve">      de las presuntas víctimas.</w:t>
        <w:br/>
        <w:br/>
        <w:br/>
        <w:t xml:space="preserve">      En relación con Rafael Samuel y Emilio Moisés Gómez Paquiyauri, señaló</w:t>
        <w:br/>
        <w:t xml:space="preserve">      que los golpes sufridos por ellos, tal como  están  descritos  en  los</w:t>
        <w:br/>
        <w:t xml:space="preserve">      documentos y fotos  relevantes,  ocasionaron  dolores  y  sufrimientos</w:t>
        <w:br/>
        <w:t xml:space="preserve">      graves;  el  acto  fue  hecho  intencionalmente,  ya  que  los  golpes</w:t>
        <w:br/>
        <w:t xml:space="preserve">      empezaron con el arresto de los dos muchachos;  el  propósito  de  los</w:t>
        <w:br/>
        <w:t xml:space="preserve">      actos parecía ser el investigar,  pero  pudo  haber  sido  también  el</w:t>
        <w:br/>
        <w:t xml:space="preserve">      intimidar o coercionar.  El acto fue llevado a cabo por  oficiales  de</w:t>
        <w:br/>
        <w:t xml:space="preserve">      la policía identificados.  En  conclusión,  el  perito  manifestó  que</w:t>
        <w:br/>
        <w:t xml:space="preserve">      ”[n]o [cabe] ninguna duda que  los  dos  muchachos  fueron  torturados</w:t>
        <w:br/>
        <w:t xml:space="preserve">      antes de ser asesinados”.</w:t>
        <w:br/>
        <w:br/>
        <w:br/>
        <w:t xml:space="preserve">      En relación con Lucy Rosa Gómez Paquiyauri, hermana de  las  presuntas</w:t>
        <w:br/>
        <w:t xml:space="preserve">      víctimas, el perito señaló que es “obvio” el sufrimiento mental de una</w:t>
        <w:br/>
        <w:t xml:space="preserve">      joven de 15 años al enterarse que sus dos hermanos  fueron  torturados</w:t>
        <w:br/>
        <w:t xml:space="preserve">      hasta la muerte.  La  tortura  mental  y  física  causada  durante  la</w:t>
        <w:br/>
        <w:t xml:space="preserve">      interrogación y privación de libertad de Lucy Rosa fue llevada a  cabo</w:t>
        <w:br/>
        <w:t xml:space="preserve">      intencionalmente por oficiales de la policía y de la prisión,  con  el</w:t>
        <w:br/>
        <w:t xml:space="preserve">      propósito de intimidarla y “coercionarla”.  En conclusión,  el  perito</w:t>
        <w:br/>
        <w:t xml:space="preserve">      señaló que Lucy sufrió tortura física y mental.</w:t>
        <w:br/>
        <w:br/>
        <w:br/>
        <w:t xml:space="preserve">      En relación con el resto de la familia sobreviviente, el perito señaló</w:t>
        <w:br/>
        <w:t xml:space="preserve">      que se encuentra descrito en detalle en los documentos relevantes  que</w:t>
        <w:br/>
        <w:t xml:space="preserve">      la DINCOTE visitó el hogar de la familia Gómez Paquiyauri e  interrogó</w:t>
        <w:br/>
        <w:t xml:space="preserve">      a la familia muchas veces durante varios años, lo cual les ocasionó un</w:t>
        <w:br/>
        <w:t xml:space="preserve">      sufrimiento  mental.   Tales   acciones   fueron   llevadas   a   cabo</w:t>
        <w:br/>
        <w:t xml:space="preserve">      intencionalmente por la  DINCOTE  con  el  propósito  de  intimidar  o</w:t>
        <w:br/>
        <w:t xml:space="preserve">      coercionar.  De lo anterior, el perito concluyó que la familia  entera</w:t>
        <w:br/>
        <w:t xml:space="preserve">      fue torturada mentalmente.</w:t>
        <w:br/>
        <w:br/>
        <w:br/>
        <w:t xml:space="preserve">      Por otro lado, el perito manifestó que el Estado es el responsable  de</w:t>
        <w:br/>
        <w:t xml:space="preserve">      hacer efectiva la prohibición de la tortura, y  el  hecho  de  cumplir</w:t>
        <w:br/>
        <w:t xml:space="preserve">      órdenes de un superior no es excusa.  Tanto la persona que obedece  la</w:t>
        <w:br/>
        <w:t xml:space="preserve">      orden y tortura, como la que da la orden, son responsables.  A la vez,</w:t>
        <w:br/>
        <w:t xml:space="preserve">      existe un deber de encausar penalmente y, eventualmente,  aplicar  una</w:t>
        <w:br/>
        <w:t xml:space="preserve">      pena a los torturadores.</w:t>
        <w:br/>
        <w:br/>
        <w:t>45.   El 1º de mayo de 2004 la representante de  las  presuntas  víctimas  y</w:t>
        <w:br/>
        <w:t>sus familiares remitió un video como prueba documental.</w:t>
        <w:br/>
        <w:br/>
        <w:t>46.   Durante la audiencia pública, tanto la representante de las  presuntas</w:t>
        <w:br/>
        <w:t>víctimas y sus familiares como el Estado presentaron varios documentos  como</w:t>
        <w:br/>
        <w:t>prueba (supra párr. 29)[11].</w:t>
        <w:br/>
        <w:br/>
        <w:t>47.   La representante de las presuntas víctimas y sus familiares, así  como</w:t>
        <w:br/>
        <w:t>el Estado, al presentar sus respectivos  alegatos  finales  escritos  (supra</w:t>
        <w:br/>
        <w:t>párr. 30), adjuntaron como prueba diversos documentos[12].</w:t>
        <w:br/>
        <w:br/>
        <w:t>48.   El 21 de junio de 2004 la  representante  de  las  presuntas  víctimas</w:t>
        <w:br/>
        <w:t>remitió la prueba documental que había  sido  solicitada  como  prueba  para</w:t>
        <w:br/>
        <w:t>mejor resolver, siguiendo instrucciones del Presidente[13].</w:t>
        <w:br/>
        <w:br/>
        <w:br/>
        <w:br/>
        <w:t>B) Prueba Testimonial y Pericial</w:t>
        <w:br/>
        <w:br/>
        <w:br/>
        <w:t>49.   Los días 5, 6 y 7 de mayo de 2004 la Corte recibió  las  declaraciones</w:t>
        <w:br/>
        <w:t>de los testigos y el dictamen de  los  peritos  ofrecidos  por  la  Comisión</w:t>
        <w:br/>
        <w:t>Interamericana y por la  representante  de  las  presuntas  víctimas  y  sus</w:t>
        <w:br/>
        <w:t>familiares.  A continuación, el Tribunal resume  las  partes  relevantes  de</w:t>
        <w:br/>
        <w:t>dichas declaraciones.</w:t>
        <w:br/>
        <w:br/>
        <w:t xml:space="preserve">   a. Testimonio de Ángel del Rosario Vásquez Chumo, miembro de  la  Policía</w:t>
        <w:br/>
        <w:t xml:space="preserve">        Nacional del Perú en la época de los hechos</w:t>
        <w:br/>
        <w:br/>
        <w:t xml:space="preserve">      Fue el chofer de la patrulla policial en la  que  fueron  introducidos</w:t>
        <w:br/>
        <w:t xml:space="preserve">      los hermanos Rafael Samuel y Emilio Moisés Gómez Paquiyauri el  21  de</w:t>
        <w:br/>
        <w:t xml:space="preserve">      junio de 1991.  Ese día se  encontraba  con  el  testigo  el  sargento</w:t>
        <w:br/>
        <w:t xml:space="preserve">      Francisco Antezano Santillán, quien, con otros oficiales de la  unidad</w:t>
        <w:br/>
        <w:t xml:space="preserve">      policial “POE”, introdujo a las presuntas víctimas en la maletera.</w:t>
        <w:br/>
        <w:br/>
        <w:br/>
        <w:t xml:space="preserve">      Cuando llegó al lugar de los hechos,  las  presuntas  víctimas  habían</w:t>
        <w:br/>
        <w:t xml:space="preserve">      sido detenidas por el cabo Ari Jaime, quien  tenía  un  arma  dirigida</w:t>
        <w:br/>
        <w:t xml:space="preserve">      hacia arriba y en el suelo se encontraban los detenidos boca  abajo  y</w:t>
        <w:br/>
        <w:t xml:space="preserve">      con las manos libres. El sargento Antezano Santillán bajó del vehículo</w:t>
        <w:br/>
        <w:t xml:space="preserve">      para hablar con el cabo Ari Jaime. Llegaron, además, el capitán  César</w:t>
        <w:br/>
        <w:t xml:space="preserve">      Augusto Santoyo Castro y otros efectivos, incluyendo  personal  de  la</w:t>
        <w:br/>
        <w:t xml:space="preserve">      Unidad del “POE”, de quienes era jefe directo el mayor Juan Valdelomar</w:t>
        <w:br/>
        <w:t xml:space="preserve">      Quirós Chávez.</w:t>
        <w:br/>
        <w:br/>
        <w:br/>
        <w:t xml:space="preserve">      El sargento Antezano Santillán recibió  órdenes  del  capitán  Santoyo</w:t>
        <w:br/>
        <w:t xml:space="preserve">      Castro, e indicó al testigo que se dirigieran hacia “Ventanilla” en el</w:t>
        <w:br/>
        <w:t xml:space="preserve">      distrito de El Callao, mientras el capitán Santoyo Castro  iba  detrás</w:t>
        <w:br/>
        <w:t xml:space="preserve">      de ellos con otro patrullero y, detrás de estos  últimos,  venía  otra</w:t>
        <w:br/>
        <w:t xml:space="preserve">      patrulla con el sargento primero Canales. Después de un semáforo,  las</w:t>
        <w:br/>
        <w:t xml:space="preserve">      tres patrullas se separaron. Al llegar al lugar conocido como la Pampa</w:t>
        <w:br/>
        <w:t xml:space="preserve">      de los Perros, el sargento Antezano Santillán ordenó  al  testigo  que</w:t>
        <w:br/>
        <w:t xml:space="preserve">      ingresara con el vehículo a dicho sitio, y a los 150 ó 200  metros  le</w:t>
        <w:br/>
        <w:t xml:space="preserve">      ordenó que girara el automóvil hacia  la  Avenida  Fose  para  ver  si</w:t>
        <w:br/>
        <w:t xml:space="preserve">      llegaban los otros dos patrulleros.</w:t>
        <w:br/>
        <w:br/>
        <w:br/>
        <w:t xml:space="preserve">      El  sargento  Antezano  Santillán  pidió  al  testigo  la  llave   del</w:t>
        <w:br/>
        <w:t xml:space="preserve">      patrullero, sacó su pistola, se  dirigió  a  la  parte  posterior  del</w:t>
        <w:br/>
        <w:t xml:space="preserve">      automóvil y abrió la maletera.  El  señor  Vásquez  Chumo  dice  haber</w:t>
        <w:br/>
        <w:t xml:space="preserve">      sentido cuando bajaron los detenidos. Al estar el maletero abierto, su</w:t>
        <w:br/>
        <w:t xml:space="preserve">      visión de lo que ocurría en la parte  posterior  del  automóvil  quedó</w:t>
        <w:br/>
        <w:t xml:space="preserve">      impedida y permaneció observando la Avenida por  si  detectaba  a  las</w:t>
        <w:br/>
        <w:t xml:space="preserve">      otras dos patrullas.</w:t>
        <w:br/>
        <w:br/>
        <w:br/>
        <w:t xml:space="preserve">      Posteriormente oyó disparos. Salió del automóvil  y  vio  al  sargento</w:t>
        <w:br/>
        <w:t xml:space="preserve">      Antezano  Santillán  con  el  arma  hacia  abajo,  los  detenidos   se</w:t>
        <w:br/>
        <w:t xml:space="preserve">      encontraban boca abajo y vio a uno de los detenidos todavía temblando.</w:t>
        <w:br/>
        <w:t xml:space="preserve">      El sargento Antezano Santillán le solicitó colaboración para llevar  a</w:t>
        <w:br/>
        <w:t xml:space="preserve">      las presuntas víctimas al hospital.  Rápidamente ayudó a subir  a  los</w:t>
        <w:br/>
        <w:t xml:space="preserve">      heridos a la maletera y se dirigieron al Hospital San Juan.</w:t>
        <w:br/>
        <w:br/>
        <w:br/>
        <w:t xml:space="preserve">      El testigo escuchó por radio al  capitán  Santoyo  Castro  preguntarle</w:t>
        <w:br/>
        <w:t xml:space="preserve">      algo al sargento Antezano Santillán, a lo cual el  Sargento  contestó:</w:t>
        <w:br/>
        <w:t xml:space="preserve">      “afirmativo con la orden”. A los choferes, como él, no se les permitía</w:t>
        <w:br/>
        <w:t xml:space="preserve">      manejar la radio y, por ende, no conocían los códigos. El testigo sólo</w:t>
        <w:br/>
        <w:t xml:space="preserve">      sabía reconocer los códigos simples que se utilizaban diariamente.  El</w:t>
        <w:br/>
        <w:t xml:space="preserve">      capitán Santoyo Castro propuso al sargento Antezano Santillán  que  se</w:t>
        <w:br/>
        <w:t xml:space="preserve">      encontraran en Gambeta, adonde  llegó  también  el  sargento  Canales.</w:t>
        <w:br/>
        <w:t xml:space="preserve">      Luego, el capitán Santoyo Castro se acercó al testigo y le dijo que se</w:t>
        <w:br/>
        <w:t xml:space="preserve">      tranquilizara, que los muertos eran “terrucos”  o  terroristas  y  que</w:t>
        <w:br/>
        <w:t xml:space="preserve">      luego conversarían.  Posteriormente, se dirigieron al hospital  detrás</w:t>
        <w:br/>
        <w:t xml:space="preserve">      de la patrulla del capitán Santoyo Castro para que  él  “limpiara”  la</w:t>
        <w:br/>
        <w:t xml:space="preserve">      zona con el fin de evitar encontrarse con  periodistas  o  cámaras  de</w:t>
        <w:br/>
        <w:t xml:space="preserve">      televisión.  Al llegar al hospital, ingresaron a los cadáveres y luego</w:t>
        <w:br/>
        <w:t xml:space="preserve">      el capitán les ordenó se dirigieran al cuartel de Radiopatrulla.</w:t>
        <w:br/>
        <w:br/>
        <w:br/>
        <w:t xml:space="preserve">      En el cuartel de Radiopatrulla  hubo  una  reunión  entre  el  capitán</w:t>
        <w:br/>
        <w:t xml:space="preserve">      Santoyo Castro, el mayor Quirós Chávez, el sargento Antezano Santillán</w:t>
        <w:br/>
        <w:t xml:space="preserve">      y  el  señor  Cornejo  Zapata,  para  elaborar  el   parte   policial.</w:t>
        <w:br/>
        <w:t xml:space="preserve">      Posteriormente, el sargento Antezano Santillán  instruyó  al  testigo,</w:t>
        <w:br/>
        <w:t xml:space="preserve">      por orden del capitán Santoyo Castro, que dijera que lo ocurrido había</w:t>
        <w:br/>
        <w:t xml:space="preserve">      sido un enfrentamiento, y que, como resultado  de  un  ataque,  habían</w:t>
        <w:br/>
        <w:t xml:space="preserve">      muerto los detenidos en el lugar. El capitán Santoyo Castro y el mayor</w:t>
        <w:br/>
        <w:t xml:space="preserve">      Quirós Chávez dijeron al testigo que al dar esta versión no le  iba  a</w:t>
        <w:br/>
        <w:t xml:space="preserve">      pasar nada, puesto que había sido chofer del patrullero y que  después</w:t>
        <w:br/>
        <w:t xml:space="preserve">      de 15 días todo iba a seguir igual que siempre, ya que el  caso  sería</w:t>
        <w:br/>
        <w:t xml:space="preserve">      conocido en el fuero militar.</w:t>
        <w:br/>
        <w:br/>
        <w:br/>
        <w:t xml:space="preserve">      El testigo actualmente es taxista y gana en promedio US$5 (cinco</w:t>
        <w:br/>
        <w:t xml:space="preserve">      dólares de los Estados Unidos de América) al día. De esta manera, le</w:t>
        <w:br/>
        <w:t xml:space="preserve">      es difícil mantener a su familia, y por ende, le resultaría imposible</w:t>
        <w:br/>
        <w:t xml:space="preserve">      pagar la reparación civil ordenada a favor de la familia Gómez</w:t>
        <w:br/>
        <w:t xml:space="preserve">      Paquiyauri por los tribunales internos, de la cual no ha pagado nada</w:t>
        <w:br/>
        <w:t xml:space="preserve">      todavía.</w:t>
        <w:br/>
        <w:br/>
        <w:br/>
        <w:t xml:space="preserve">      El testigo agregó que fue intimidado y  presionado  para  mantener  la</w:t>
        <w:br/>
        <w:t xml:space="preserve">      versión falsa de los hechos  por  personas  enviadas  por  el  capitán</w:t>
        <w:br/>
        <w:t xml:space="preserve">      Santoyo Castro. En el establecimiento penal en el que estuvo  detenido</w:t>
        <w:br/>
        <w:t xml:space="preserve">      sufría constantes amenazas contra su vida y su integridad  física.  En</w:t>
        <w:br/>
        <w:t xml:space="preserve">      una ocasión, un sargento le informó que estaba recolectado dinero para</w:t>
        <w:br/>
        <w:t xml:space="preserve">      pagarle los gastos de los abogados, como un acto  voluntario.  Después</w:t>
        <w:br/>
        <w:t xml:space="preserve">      de haber contado la versión correcta de los hechos, se le cerraron las</w:t>
        <w:br/>
        <w:t xml:space="preserve">      puertas para seguir trabajando. En su trabajo como taxista también  ha</w:t>
        <w:br/>
        <w:t xml:space="preserve">      sufrido diferentes incidentes relacionados con su participación en los</w:t>
        <w:br/>
        <w:t xml:space="preserve">      hechos, y por haber contado lo que pasó,  lo trataban de “soplón”.</w:t>
        <w:br/>
        <w:br/>
        <w:br/>
        <w:t xml:space="preserve">      El testigo señaló que, durante la época de los hechos, el Perú,  y  la</w:t>
        <w:br/>
        <w:t xml:space="preserve">      provincia de El Callao en  particular,  se  encontraba  en  estado  de</w:t>
        <w:br/>
        <w:t xml:space="preserve">      emergencia.</w:t>
        <w:br/>
        <w:br/>
        <w:t>b.    Testimonio de Lucy Rosa Gómez Paquiyauri, hermana de las presuntas</w:t>
        <w:br/>
        <w:t>víctimas</w:t>
        <w:br/>
        <w:br/>
        <w:t xml:space="preserve">      La  testigo  es  hermana  de  Rafael  Samuel  y  Emilio  Moisés  Gómez</w:t>
        <w:br/>
        <w:t xml:space="preserve">      Paquiyauri, y tenía 15 años en la fecha en que ocurrieron los  hechos.</w:t>
        <w:br/>
        <w:t xml:space="preserve">      El 21 de junio de 1991 se disponía a desayunar con sus hermanos cuando</w:t>
        <w:br/>
        <w:t xml:space="preserve">      escucharon balazos en la calle.</w:t>
        <w:br/>
        <w:br/>
        <w:br/>
        <w:t xml:space="preserve">      Como acostumbraban hacerlo, Rafael y Emilio se dirigieron  al  comedor</w:t>
        <w:br/>
        <w:t xml:space="preserve">      donde trabajaba su madre para “recoger la comida del trabajo  de  [su]</w:t>
        <w:br/>
        <w:t xml:space="preserve">      madre para cubrir el almuerzo de los días  que  no  ten[ían]”.  Cuando</w:t>
        <w:br/>
        <w:t xml:space="preserve">      apenas habían transcurrido unos cinco minutos de haber salido Rafael y</w:t>
        <w:br/>
        <w:t xml:space="preserve">      Emilio, una vecina llegó  corriendo  a  avisarle  que  “un  patrullero</w:t>
        <w:br/>
        <w:t xml:space="preserve">      ha[bía] agarrado a [sus] hermanos, [que] el policía los ha[bía] tirado</w:t>
        <w:br/>
        <w:t xml:space="preserve">      al piso y los ha[bía] metido en el maletero y se los ha[bía] llevado”.</w:t>
        <w:br/>
        <w:br/>
        <w:br/>
        <w:t xml:space="preserve">      Otro de sus hermanos, Miguel Ángel, fue  a  buscar  a  su  madre  para</w:t>
        <w:br/>
        <w:t xml:space="preserve">      ponerla al tanto de lo sucedido, y ella  intentó  comunicarse  con  su</w:t>
        <w:br/>
        <w:t xml:space="preserve">      padre; sin embargo no le fue posible  porque  “como  él  trabajaba  en</w:t>
        <w:br/>
        <w:t xml:space="preserve">      barcos, cuando tenían que probar las válvulas que reparaban se iban  a</w:t>
        <w:br/>
        <w:t xml:space="preserve">      la mar […] y ese día fue uno de esos días”.</w:t>
        <w:br/>
        <w:br/>
        <w:br/>
        <w:t xml:space="preserve">      Cuando su madre llegó a la casa y se enteró de lo sucedido  buscó  los</w:t>
        <w:br/>
        <w:t xml:space="preserve">      documentos de sus hermanos, Rafael y Emilio, quienes tenían  17  y  14</w:t>
        <w:br/>
        <w:t xml:space="preserve">      años, respectivamente.  Asimismo, a su casa llegó un señor preguntando</w:t>
        <w:br/>
        <w:t xml:space="preserve">      por Emilio.</w:t>
        <w:br/>
        <w:br/>
        <w:br/>
        <w:t xml:space="preserve">      En ese  momento,  su  hermana  Haydée,  quien  tenía  nueve  meses  de</w:t>
        <w:br/>
        <w:t xml:space="preserve">      embarazo, la llamó y le dijo que se estaba sintiendo mal y que  estaba</w:t>
        <w:br/>
        <w:t xml:space="preserve">      sangrando.  Ante esta situación, su mamá, sus hermanos Miguel Ángel  y</w:t>
        <w:br/>
        <w:t xml:space="preserve">      Haydée y la testigo partieron hacia Emergencias del hospital San Juan,</w:t>
        <w:br/>
        <w:t xml:space="preserve">      que ahora se llama Daniel Alcides Carrión.</w:t>
        <w:br/>
        <w:br/>
        <w:br/>
        <w:t xml:space="preserve">      El hombre que había llegado a su  casa  a  preguntar  por  su  hermano</w:t>
        <w:br/>
        <w:t xml:space="preserve">      Emilio los siguió hasta el hospital junto  con  otro  hombre.   En  el</w:t>
        <w:br/>
        <w:t xml:space="preserve">      hospital, le dijeron a Haydée que debía reposar, por lo que junto  con</w:t>
        <w:br/>
        <w:t xml:space="preserve">      Miguel Ángel regresaron a la casa, mientras que la testigo y su  madre</w:t>
        <w:br/>
        <w:t xml:space="preserve">      fueron a buscar a sus hermanos detenidos.</w:t>
        <w:br/>
        <w:br/>
        <w:br/>
        <w:t xml:space="preserve">      Se dirigieron a la Comisaría,  que  no  estaba  lejos,  donde  no  les</w:t>
        <w:br/>
        <w:t xml:space="preserve">      pudieron dar razón de  sus  hermanos  detenidos,  ni  les  ayudaron  a</w:t>
        <w:br/>
        <w:t xml:space="preserve">      buscarlos.</w:t>
        <w:br/>
        <w:br/>
        <w:br/>
        <w:t xml:space="preserve">      La testigo y su madre regresaron por el mismo camino por el que habían</w:t>
        <w:br/>
        <w:t xml:space="preserve">      llegado a la Comisaría y se volvieron a encontrar con los hombres  que</w:t>
        <w:br/>
        <w:t xml:space="preserve">      las habían seguido desde su casa.  Éstos preguntaron a su madre,  como</w:t>
        <w:br/>
        <w:t xml:space="preserve">      ya lo habían hecho a la salida de su casa, si  no  tenía  un  familiar</w:t>
        <w:br/>
        <w:t xml:space="preserve">      varón “que pueda [ella] pasarle la voz”, a lo cual le respondieron que</w:t>
        <w:br/>
        <w:t xml:space="preserve">      no.  El hombre siguió insistiendo en su pregunta y  la  testigo  y  su</w:t>
        <w:br/>
        <w:t xml:space="preserve">      madre lo increparon para que les dijera lo que sabía  sobre  Rafael  y</w:t>
        <w:br/>
        <w:t xml:space="preserve">      Emilio.</w:t>
        <w:br/>
        <w:br/>
        <w:br/>
        <w:t xml:space="preserve">      En ese  momento,  Lucy  se  percató  que  estaban  en  frente  de  una</w:t>
        <w:br/>
        <w:t xml:space="preserve">      funeraria, y el hombre les dijo que Rafael y Emilio  estaban  heridos,</w:t>
        <w:br/>
        <w:t xml:space="preserve">      que estaban en el hospital y que él las podía llevar.</w:t>
        <w:br/>
        <w:br/>
        <w:br/>
        <w:t xml:space="preserve">      El hombre las condujo al hospital, en donde les comunicó que Rafael  y</w:t>
        <w:br/>
        <w:t xml:space="preserve">      Emilio estaban muertos.   Fueron  hasta  la  sala  donde  estaban  los</w:t>
        <w:br/>
        <w:t xml:space="preserve">      cuerpos y vio que estaban  mojados,  llenos  de  tierra,  sucios.   Su</w:t>
        <w:br/>
        <w:t xml:space="preserve">      hermano Rafael “olía  a  orines”  y  “tenía  una  expresión  de  dolor</w:t>
        <w:br/>
        <w:t xml:space="preserve">      horrible”, ambos tenían los ojos vaciados, había  masa  encefálica  en</w:t>
        <w:br/>
        <w:t xml:space="preserve">      sus cabellos, pudo ver que el pecho de su hermano Rafael estaba  lleno</w:t>
        <w:br/>
        <w:t xml:space="preserve">      de agujeros, y ambos  estaban  sucios  y  llenos  de  tierra.  En  ese</w:t>
        <w:br/>
        <w:t xml:space="preserve">      momento, “s[intió] que [su] vida se caía a pedazos”.</w:t>
        <w:br/>
        <w:br/>
        <w:br/>
        <w:t xml:space="preserve">      Ambos cuerpos tenían un  letrero  que  decía  “NN  [No  Identificado],</w:t>
        <w:br/>
        <w:t xml:space="preserve">      contextura delgada, tez trigueña,  edad  aproximada”  24  años  en  el</w:t>
        <w:br/>
        <w:t xml:space="preserve">      cartel de Emilio y 27 años en el de Rafael, “llegó cadáver”.</w:t>
        <w:br/>
        <w:br/>
        <w:br/>
        <w:t xml:space="preserve">      La testigo  regresó  a  su  casa,  mientras  su  madre  realizaba  las</w:t>
        <w:br/>
        <w:t xml:space="preserve">      gestiones para que les devolvieran los cuerpos de Rafael y Emilio.  Al</w:t>
        <w:br/>
        <w:t xml:space="preserve">      llegar contó a sus hermanos Haydée y Miguel Ángel lo sucedido, quienes</w:t>
        <w:br/>
        <w:t xml:space="preserve">      se alteraron mucho al escuchar la noticia, sobre  todo  Miguel  Ángel,</w:t>
        <w:br/>
        <w:t xml:space="preserve">      quien en ese momento tenía 8 años de edad.</w:t>
        <w:br/>
        <w:br/>
        <w:br/>
        <w:t xml:space="preserve">      En la noche vieron en la televisión un reportaje sobre los hechos, los</w:t>
        <w:br/>
        <w:t xml:space="preserve">      cuales fueron presentados como un  enfrentamiento  en  el  que  habían</w:t>
        <w:br/>
        <w:t xml:space="preserve">      muerto tres “subversivos”: sus dos hermanos y un  joven  universitario</w:t>
        <w:br/>
        <w:t xml:space="preserve">      que también había estado por esa zona.</w:t>
        <w:br/>
        <w:br/>
        <w:br/>
        <w:t xml:space="preserve">      Después de los hechos, la DINCOTE  citó  a  declarar  a  su  madre  y,</w:t>
        <w:br/>
        <w:t xml:space="preserve">      además, fue a su casa en un par  de  ocasiones,  donde  revisaron  los</w:t>
        <w:br/>
        <w:t xml:space="preserve">      cuartos de sus hermanos, abrieron  sus  colchones  y  destrozaron  los</w:t>
        <w:br/>
        <w:t xml:space="preserve">      muebles de la familia.  Asimismo, la policía pasaba  casi  diariamente</w:t>
        <w:br/>
        <w:t xml:space="preserve">      enfrente de su casa.</w:t>
        <w:br/>
        <w:br/>
        <w:br/>
        <w:t xml:space="preserve">      La testigo fue detenida en octubre de 1992, y  llevada  a  una  cárcel</w:t>
        <w:br/>
        <w:t xml:space="preserve">      para adultos, a pesar de que tenía 16 años,  en  donde  estuvo  cuatro</w:t>
        <w:br/>
        <w:t xml:space="preserve">      años.  En el momento de su aprehensión y durante el tiempo que  estuvo</w:t>
        <w:br/>
        <w:t xml:space="preserve">      detenida se referían a sus hermanos Rafael y Emilio como terroristas.</w:t>
        <w:br/>
        <w:br/>
        <w:br/>
        <w:t xml:space="preserve">      Ella y sus hermanos eran muy unidos, compartían todo.  Rafael era  muy</w:t>
        <w:br/>
        <w:t xml:space="preserve">      inteligente y sacaba muy buenas notas, incluso había obtenido una beca</w:t>
        <w:br/>
        <w:t xml:space="preserve">      para estudiar en una academia que lo prepararía para  la  Universidad;</w:t>
        <w:br/>
        <w:t xml:space="preserve">      además era muy hábil y ganaba algún dinero con  diversas  tareas  para</w:t>
        <w:br/>
        <w:t xml:space="preserve">      ayudar en su casa.  Rafael quería ser mecánico de profesión.   Por  su</w:t>
        <w:br/>
        <w:t xml:space="preserve">      parte, Emilio era tranquilo y  estudioso,  y  quería  ser  técnico  de</w:t>
        <w:br/>
        <w:t xml:space="preserve">      aviones cuando creciera.</w:t>
        <w:br/>
        <w:br/>
        <w:br/>
        <w:t xml:space="preserve">      Quiere encontrar justicia y que el Estado “reivindique”  lo  que  hizo</w:t>
        <w:br/>
        <w:t xml:space="preserve">      con sus hermanos, por haber mancillado sus nombres; quiere que se sepa</w:t>
        <w:br/>
        <w:t xml:space="preserve">      la verdad sobre lo que sucedió.</w:t>
        <w:br/>
        <w:br/>
        <w:t>c.    Testimonio de Marcelina Paquiyauri Illanes de Gómez, madre de las</w:t>
        <w:br/>
        <w:t>presuntas víctimas</w:t>
        <w:br/>
        <w:br/>
        <w:t xml:space="preserve">      El día 21 de junio de 1991 se dirigió  a  su  trabajo,  junto  con  su</w:t>
        <w:br/>
        <w:t xml:space="preserve">      esposo, dejando a sus hijos en casa para que tomaran el desayuno.  Ese</w:t>
        <w:br/>
        <w:t xml:space="preserve">      mismo día en la mañana acordaron, como era costumbre,  que  sus  hijos</w:t>
        <w:br/>
        <w:t xml:space="preserve">      Rafael, Emilio y Miguel irían a su trabajo a buscarla, pero únicamente</w:t>
        <w:br/>
        <w:t xml:space="preserve">      llegó Miguel, quien le informó que a sus hermanos se los había llevado</w:t>
        <w:br/>
        <w:t xml:space="preserve">      un patrullero.</w:t>
        <w:br/>
        <w:br/>
        <w:br/>
        <w:t xml:space="preserve">      El saber que sus hijos habían sido detenidos le causó preocupación y</w:t>
        <w:br/>
        <w:t xml:space="preserve">      pidió permiso para retirarse del trabajo para ir en su búsqueda.</w:t>
        <w:br/>
        <w:t xml:space="preserve">      Durante el trayecto, se enteró a través de la radio que en un</w:t>
        <w:br/>
        <w:t xml:space="preserve">      enfrentamiento habían caído tres subversivos en la urbanización donde</w:t>
        <w:br/>
        <w:t xml:space="preserve">      ella habitaba.  Al llegar a su domicilio su vecina le comentó que la</w:t>
        <w:br/>
        <w:t xml:space="preserve">      policía había “pisoteado” a sus hijos y se los había llevado.  En su</w:t>
        <w:br/>
        <w:t xml:space="preserve">      casa buscó los documentos de identidad de los menores, para poder</w:t>
        <w:br/>
        <w:t xml:space="preserve">      identificarlos frente a las autoridades.</w:t>
        <w:br/>
        <w:br/>
        <w:br/>
        <w:t xml:space="preserve">      En aquel momento, su hija  Marcelina  Haydeé,  tenía  nueve  meses  de</w:t>
        <w:br/>
        <w:t xml:space="preserve">      embarazo, y al agravarse su estado de salud la tuvieron que llevar  al</w:t>
        <w:br/>
        <w:t xml:space="preserve">      hospital.  Cuando se disponía a salir de casa en compañía de sus hijos</w:t>
        <w:br/>
        <w:t xml:space="preserve">      Lucy, Miguel y  Marcelina  Haydeé,  una  persona  no  identificada  se</w:t>
        <w:br/>
        <w:t xml:space="preserve">      presentó en su domicilio preguntando por su hijo Emilio,  y  dijo  ser</w:t>
        <w:br/>
        <w:t xml:space="preserve">      amigo de éste.  Al  ver  el  apuro  de  la  familia  los  acompañó  al</w:t>
        <w:br/>
        <w:t xml:space="preserve">      hospital.</w:t>
        <w:br/>
        <w:br/>
        <w:br/>
        <w:t xml:space="preserve">      Ese día en el hospital había huelga de médicos y  tuvieron  que  hacer</w:t>
        <w:br/>
        <w:t xml:space="preserve">      turno para ser atendidos. El doctor que revisó a su  hija  indicó  que</w:t>
        <w:br/>
        <w:t xml:space="preserve">      aún no era la hora de parto y que debía irse a su casa.  Miguel se fue</w:t>
        <w:br/>
        <w:t xml:space="preserve">      en compañía de su hermana Haydeé a la casa.</w:t>
        <w:br/>
        <w:br/>
        <w:br/>
        <w:t xml:space="preserve">      Posteriormente se dirigió, junto con su hija Lucy, a la  Comisaría  la</w:t>
        <w:br/>
        <w:t xml:space="preserve">      Perla donde le negaron el acceso argumentando que no  había  nadie  de</w:t>
        <w:br/>
        <w:t xml:space="preserve">      las personas que buscaba. De regreso a su casa buscó al señor que  esa</w:t>
        <w:br/>
        <w:t xml:space="preserve">      mañana se identificó como amigo de Emilio y lo  había  buscado  en  su</w:t>
        <w:br/>
        <w:t xml:space="preserve">      domicilio.  El señor le preguntó por su esposo, a lo que respondió que</w:t>
        <w:br/>
        <w:t xml:space="preserve">      éste se encontraba trabajando en un buque y que no había nadie más  de</w:t>
        <w:br/>
        <w:t xml:space="preserve">      la familia.  El hombre la llevó a ella y a su hija Lucy de regreso  al</w:t>
        <w:br/>
        <w:t xml:space="preserve">      hospital donde habían estado esa mañana con su hija Haydeé, pero  esta</w:t>
        <w:br/>
        <w:t xml:space="preserve">      vez no entraron a la sala de emergencias sino a  un  cuarto  donde  se</w:t>
        <w:br/>
        <w:t xml:space="preserve">      encontraban los cadáveres de sus hijos.</w:t>
        <w:br/>
        <w:br/>
        <w:br/>
        <w:t xml:space="preserve">      Rafael y Emilio se encontraban sin vida, con sus rostros  destrozados.</w:t>
        <w:br/>
        <w:t xml:space="preserve">      Emilio se encontraba con su boca entreabierta, sus dientes  llenos  de</w:t>
        <w:br/>
        <w:t xml:space="preserve">      tierra, su ropa con tierra, mojado, lleno de  orines.  Por  su  parte,</w:t>
        <w:br/>
        <w:t xml:space="preserve">      comenta que Rafael estaba igual, “le faltaba la vista”, su dedo pulgar</w:t>
        <w:br/>
        <w:t xml:space="preserve">      había sido volado, como cortado, con herida de bala, pero un  poco  de</w:t>
        <w:br/>
        <w:t xml:space="preserve">      piel retenía el pedazo de “falange” y las palmas de las manos  también</w:t>
        <w:br/>
        <w:t xml:space="preserve">      estaban huecas, como si lo hubieran quemado.</w:t>
        <w:br/>
        <w:br/>
        <w:br/>
        <w:t xml:space="preserve">      El cuerpo de Rafael fue identificado como: “aproximadamente  27  años,</w:t>
        <w:br/>
        <w:t xml:space="preserve">      NN  [no  identificado],  llegó  cadáver”,  y  el   de   Emilio   como:</w:t>
        <w:br/>
        <w:t xml:space="preserve">      “aproximadamente 24 años, no identificado, llegó cadáver”. Debido a su</w:t>
        <w:br/>
        <w:t xml:space="preserve">      desesperación comenzó a gritar y a preguntarse por qué le  ponían  esa</w:t>
        <w:br/>
        <w:t xml:space="preserve">      edad si eran niños.</w:t>
        <w:br/>
        <w:br/>
        <w:br/>
        <w:t xml:space="preserve">      Al momento de identificar a sus hijos aparecieron dos personas que  le</w:t>
        <w:br/>
        <w:t xml:space="preserve">      arrancaron las partidas y comenzaron a hacer  anotaciones  y  a  hacer</w:t>
        <w:br/>
        <w:t xml:space="preserve">      preguntas a ambas. Apuntaban todo lo que ellas decían y, al  no  saber</w:t>
        <w:br/>
        <w:t xml:space="preserve">      que hacer, salieron de ese lugar.</w:t>
        <w:br/>
        <w:br/>
        <w:br/>
        <w:t xml:space="preserve">      Finalmente,  la  testigo  señaló  que  la  familia  nunca  tuvo  ayuda</w:t>
        <w:br/>
        <w:t xml:space="preserve">      psicológica, sino que “más bien siempre se [les] ha golpeado”.</w:t>
        <w:br/>
        <w:br/>
        <w:t>d.    Testimonio de Ricardo Samuel Gómez Quispe, padre de las presuntas</w:t>
        <w:br/>
        <w:t>víctimas</w:t>
        <w:br/>
        <w:br/>
        <w:t xml:space="preserve">      Es mecánico de buque de profesión, y  en  esa  época,  al  haber  sido</w:t>
        <w:br/>
        <w:t xml:space="preserve">      despedido del servicio industrial  de  la  marina,  tenía  un  trabajo</w:t>
        <w:br/>
        <w:t xml:space="preserve">      eventual, donde lo ayudaba su  hijo  Rafael.   En  la  semana  en  que</w:t>
        <w:br/>
        <w:t xml:space="preserve">      ocurrieron los hechos había terminado el trabajo de su  hijo,  por  lo</w:t>
        <w:br/>
        <w:t xml:space="preserve">      que éste se encontraba en casa con sus hermanos menores.</w:t>
        <w:br/>
        <w:br/>
        <w:br/>
        <w:t xml:space="preserve">      El 21 de junio de 1991 se hallaba realizando una prueba en  la  mar  y</w:t>
        <w:br/>
        <w:t xml:space="preserve">      regresó a su casa hasta las cinco de la tarde de ese  mismo  día.   Al</w:t>
        <w:br/>
        <w:t xml:space="preserve">      momento de llegar, su esposa se encontraba muy angustiada  porque  sus</w:t>
        <w:br/>
        <w:t xml:space="preserve">      hijos habían sido detenidos, golpeados, pisoteados por  la  policía  y</w:t>
        <w:br/>
        <w:t xml:space="preserve">      metidos en una maletera.</w:t>
        <w:br/>
        <w:br/>
        <w:br/>
        <w:t xml:space="preserve">      La empresa donde trabajaba le  envió  una  camioneta  en  la  cual  se</w:t>
        <w:br/>
        <w:t xml:space="preserve">      transportó, junto con su vecino, al hospital donde se encontraban  los</w:t>
        <w:br/>
        <w:t xml:space="preserve">      cadáveres de sus hijos.</w:t>
        <w:br/>
        <w:br/>
        <w:br/>
        <w:t xml:space="preserve">      Sus hijos, de 14 y 17 años, fueron cruelmente torturados y asesinados.</w:t>
        <w:br/>
        <w:t xml:space="preserve">       El cuerpo de Rafael se encontraba con una marca que señalaba “NN  [no</w:t>
        <w:br/>
        <w:t xml:space="preserve">      identificado], 27 años”, y estaba  lleno  de  tierra,  sangre  en  sus</w:t>
        <w:br/>
        <w:t xml:space="preserve">      ropas, una de sus manos  tenía  el  dedo  roto,  un  pedazo  de  carne</w:t>
        <w:br/>
        <w:t xml:space="preserve">      colgado, con huecos en ambas manos.  El cuerpo  de  Emilio  decía  “24</w:t>
        <w:br/>
        <w:t xml:space="preserve">      años”.  En  el  lugar  se  encontraban  otros  cadáveres  en   iguales</w:t>
        <w:br/>
        <w:t xml:space="preserve">      condiciones.</w:t>
        <w:br/>
        <w:br/>
        <w:br/>
        <w:t xml:space="preserve">      Se dirigió a interponer la denuncia en la Prefectura,  donde  sólo  le</w:t>
        <w:br/>
        <w:t xml:space="preserve">      tomaron los  datos  de  lo  acontecido,  remitiéndolo  al  Palacio  de</w:t>
        <w:br/>
        <w:t xml:space="preserve">      Justicia, al  cual  no  acudió  por  considerar  que  a  esa  hora  se</w:t>
        <w:br/>
        <w:t xml:space="preserve">      encontraba cerrado.  Posteriormente regresó a la morgue  para  hacerse</w:t>
        <w:br/>
        <w:t xml:space="preserve">      cargo de los cuerpos de sus hijos y preparar el  velorio,  el  que  se</w:t>
        <w:br/>
        <w:t xml:space="preserve">      realizó al día siguiente.  El cuerpo de Emilio fue entregado en primer</w:t>
        <w:br/>
        <w:t xml:space="preserve">      lugar el  día  sábado,  teniendo  la  esposa  del  testigo  que  hacer</w:t>
        <w:br/>
        <w:t xml:space="preserve">      gestiones para que el cuerpo de Rafael fuera entregado el  mismo  día,</w:t>
        <w:br/>
        <w:t xml:space="preserve">      ya que su autopsia no se llevaría a cabo sino hasta el día lunes.</w:t>
        <w:br/>
        <w:br/>
        <w:br/>
        <w:t xml:space="preserve">      Al día siguiente, escuchó mencionar por la televisión el nombre de sus</w:t>
        <w:br/>
        <w:t xml:space="preserve">      hijos en una nota que relataba un enfrentamiento con la policía en  el</w:t>
        <w:br/>
        <w:t xml:space="preserve">      que murieron “tres terroristas”.</w:t>
        <w:br/>
        <w:br/>
        <w:br/>
        <w:t xml:space="preserve">      La  familia  recibió  ayuda  de  la  Cruz  Roja  Internacional  y   de</w:t>
        <w:br/>
        <w:t xml:space="preserve">      organizaciones de derechos humanos para solventar  los  gastos  y  las</w:t>
        <w:br/>
        <w:t xml:space="preserve">      deudas que tenían que pagar.</w:t>
        <w:br/>
        <w:br/>
        <w:br/>
        <w:t xml:space="preserve">      La familia ha sido hostigada en su domicilio por el servicio de</w:t>
        <w:br/>
        <w:t xml:space="preserve">      inteligencia, por la policía, por la televisión y por los periodistas.</w:t>
        <w:br/>
        <w:br/>
        <w:br/>
        <w:t xml:space="preserve">      Acudió a testificar  a  la  Corte  Interamericana  para  que  se  haga</w:t>
        <w:br/>
        <w:t xml:space="preserve">      justicia contra los autores intelectuales del caso.</w:t>
        <w:br/>
        <w:br/>
        <w:t>e.    Testimonio de Miguel Ángel Gómez Paquiyauri, hermano de las presuntas</w:t>
        <w:br/>
        <w:t>víctimas</w:t>
        <w:br/>
        <w:br/>
        <w:t xml:space="preserve">      Cuando sucedieron los hechos, el 21 de junio de 1991, tenía 8 años de</w:t>
        <w:br/>
        <w:t xml:space="preserve">      edad.  Ese día se encontraba en su casa, cuando en la calle se escuchó</w:t>
        <w:br/>
        <w:t xml:space="preserve">      un alboroto y disparos. Sus hermanos Emilio y Rafael salieron a la</w:t>
        <w:br/>
        <w:t xml:space="preserve">      calle a ver qué sucedía. Regresaron a la casa y comentaron que era un</w:t>
        <w:br/>
        <w:t xml:space="preserve">      “enfrentamiento entre policías” y que había muertos en la calle.</w:t>
        <w:br/>
        <w:t xml:space="preserve">      Luego, sus hermanos se dirigieron al trabajo de su madre, como lo</w:t>
        <w:br/>
        <w:t xml:space="preserve">      hacían todos los días para traer la comida, porque su mamá trabajaba</w:t>
        <w:br/>
        <w:t xml:space="preserve">      en un comedor.  Su hermano Emilio llevaba consigo una copia de la</w:t>
        <w:br/>
        <w:t xml:space="preserve">      partida de nacimiento y su hermano Rafael tenía su boleta militar.</w:t>
        <w:br/>
        <w:br/>
        <w:br/>
        <w:t xml:space="preserve">      Más tarde se enteró por sus  vecinos  que  sus  hermanos  habían  sido</w:t>
        <w:br/>
        <w:t xml:space="preserve">      detenidos por policías y luego golpeados, pisoteados e introducidos en</w:t>
        <w:br/>
        <w:t xml:space="preserve">      la maletera de un patrullero y que  habían  sido  llevados  con  rumbo</w:t>
        <w:br/>
        <w:t xml:space="preserve">      desconocido.</w:t>
        <w:br/>
        <w:br/>
        <w:br/>
        <w:t xml:space="preserve">      Después de ello, fue al trabajo de su madre a avisarle de lo sucedido.</w:t>
        <w:br/>
        <w:t xml:space="preserve">      Al enterarse su madre se puso nerviosa y regresaron a la casa.  En  el</w:t>
        <w:br/>
        <w:t xml:space="preserve">      camino de regreso, escuchó en la radio que  en  la  Urbanización  Cima</w:t>
        <w:br/>
        <w:t xml:space="preserve">      –donde vivían-, hubo un “enfrentamiento terrorista”.   Al  llegar,  su</w:t>
        <w:br/>
        <w:t xml:space="preserve">      madre fue a preguntar a los vecinos sobre lo acontecido. Entonces,  su</w:t>
        <w:br/>
        <w:t xml:space="preserve">      hermana Haydeé, quien en ese tiempo estaba gestando, se sintió  mal  y</w:t>
        <w:br/>
        <w:t xml:space="preserve">      la llevaron al hospital.  Posteriormente regresó con su hermana  a  su</w:t>
        <w:br/>
        <w:t xml:space="preserve">      casa y su madre se encaminó a buscar a sus hermanos.  Su hermana  Lucy</w:t>
        <w:br/>
        <w:t xml:space="preserve">      les dijo que habían encontrado a sus hermanos en la morgue.</w:t>
        <w:br/>
        <w:br/>
        <w:br/>
        <w:t xml:space="preserve">      El hecho lo marcó de niño dañándolo “bastante”, sufría de pesadillas,</w:t>
        <w:br/>
        <w:t xml:space="preserve">      soñaba con ellos y sus nervios estaban muy afectados.  Después que vio</w:t>
        <w:br/>
        <w:t xml:space="preserve">      los cuerpos y las fotos, quedó profundamente dolido, “no tengo</w:t>
        <w:br/>
        <w:t xml:space="preserve">      palabras para describir, fue algo que en verdad me dolió profundamente</w:t>
        <w:br/>
        <w:t xml:space="preserve">      al verlos así”.  Sintió que se quedó prácticamente solo, porque Emilio</w:t>
        <w:br/>
        <w:t xml:space="preserve">      y Rafael eran aquellos que lo defendían si algo le pasaba. Si</w:t>
        <w:br/>
        <w:t xml:space="preserve">      necesitaba algo, Rafael, quien trabajaba, se lo compraba, eran “como</w:t>
        <w:br/>
        <w:t xml:space="preserve">      mis padres […] me cuidaban como si fueran mis padres y de la noche a</w:t>
        <w:br/>
        <w:t xml:space="preserve">      la mañana me quedé solo, sin nadie”.  En cuanto al recuerdo de lo</w:t>
        <w:br/>
        <w:t xml:space="preserve">      acontecido, el testigo señaló que prefería “sepultarlo pero no se</w:t>
        <w:br/>
        <w:t xml:space="preserve">      puede, es algo que si no se encuentra justicia siempre va a estar ahí</w:t>
        <w:br/>
        <w:t xml:space="preserve">      y no se va a poder borrar”.</w:t>
        <w:br/>
        <w:br/>
        <w:br/>
        <w:t xml:space="preserve">      Su hermana Haydeé perdió su  bebé  “de  la  emoción”.   Luego  de  los</w:t>
        <w:br/>
        <w:t xml:space="preserve">      hechos, Haydeé trabajó para sacar adelante a la familia.</w:t>
        <w:br/>
        <w:br/>
        <w:br/>
        <w:t xml:space="preserve">      Su familia ha sido, ante todo, muy unida, siempre se han apoyado</w:t>
        <w:br/>
        <w:t xml:space="preserve">      mutuamente.  Rafael era hábil para el trabajo de mecánica y en los</w:t>
        <w:br/>
        <w:t xml:space="preserve">      estudios también.  Él era “los ojos de mi padre”, porque trabajaba con</w:t>
        <w:br/>
        <w:t xml:space="preserve">      él y era su mano derecha. Aprendió rápidamente el oficio de aquél y se</w:t>
        <w:br/>
        <w:t xml:space="preserve">      desenvolvía de la mejor manera. Se sentía orgulloso de sus hermanos.</w:t>
        <w:br/>
        <w:t xml:space="preserve">      Emilio era quien lo defendía, el que le enseñó a trabajar desde que</w:t>
        <w:br/>
        <w:t xml:space="preserve">      Emilio tenía 11 años, porque se daba cuenta de la necesidad que tenía</w:t>
        <w:br/>
        <w:t xml:space="preserve">      su familia y lo incitaba a trabajar para colaborar con ella. Siente</w:t>
        <w:br/>
        <w:t xml:space="preserve">      que se rompió, en parte, la unidad familiar, pero aún así se han</w:t>
        <w:br/>
        <w:t xml:space="preserve">      mantenido juntos.</w:t>
        <w:br/>
        <w:br/>
        <w:br/>
        <w:t xml:space="preserve">      Posteriormente a los hechos, su familia fue seguida y acosada. Su</w:t>
        <w:br/>
        <w:t xml:space="preserve">      madre recibía amenazas y era citada en la DINCOTE, pero no acudía por</w:t>
        <w:br/>
        <w:t xml:space="preserve">      temor a que la detuvieran.  Su madre no le permitía salir de su casa</w:t>
        <w:br/>
        <w:t xml:space="preserve">      frecuentemente, por temor a que le sucediera algo.  A los once años</w:t>
        <w:br/>
        <w:t xml:space="preserve">      fue atropellado en una avenida, por una persona que era hermano de un</w:t>
        <w:br/>
        <w:t xml:space="preserve">      oficial de la marina, del servicio de inteligencia. Las secuelas del</w:t>
        <w:br/>
        <w:t xml:space="preserve">      accidente limitan hoy su capacidad para laborar.</w:t>
        <w:br/>
        <w:br/>
        <w:br/>
        <w:t xml:space="preserve">      En la época de los hechos, la familia no tenía medios económicos, eran</w:t>
        <w:br/>
        <w:t xml:space="preserve">      humildes, razón por la cual no pudieron  conseguir  justicia.   Sintió</w:t>
        <w:br/>
        <w:t xml:space="preserve">      que tuvo que madurar rápido y trabajar, acabó su secundaria y no  pudo</w:t>
        <w:br/>
        <w:t xml:space="preserve">      seguir estudiando, por carencia de medios económicos.</w:t>
        <w:br/>
        <w:br/>
        <w:br/>
        <w:t xml:space="preserve">      No participaron en ningún proceso  de  investigación  respecto  de  lo</w:t>
        <w:br/>
        <w:t xml:space="preserve">      acontecido, porque no contaban con un abogado y, si  se  enteraban  de</w:t>
        <w:br/>
        <w:t xml:space="preserve">      algo, era por los medios de comunicación.  Nunca  se  les  notificó  o</w:t>
        <w:br/>
        <w:t xml:space="preserve">      comunicó nada relacionado con proceso judicial alguno relativo  a  los</w:t>
        <w:br/>
        <w:t xml:space="preserve">      hechos del caso.</w:t>
        <w:br/>
        <w:br/>
        <w:br/>
        <w:t xml:space="preserve">      Fue testigo de cómo su mamá recurrió a  varios  lugares  en  busca  de</w:t>
        <w:br/>
        <w:t xml:space="preserve">      justicia y, a raíz de  esto,  fue  que  comenzó  a  ser  perseguida  y</w:t>
        <w:br/>
        <w:t xml:space="preserve">      amenazada. Su madre se dirigió a todos los lugares que le indicaron  y</w:t>
        <w:br/>
        <w:t xml:space="preserve">      no obtuvo respuesta. Si bien  de  pequeño  su  madre  no  le  permitía</w:t>
        <w:br/>
        <w:t xml:space="preserve">      informarse a través de periódicos  o  la  televisión,  más  tarde  fue</w:t>
        <w:br/>
        <w:t xml:space="preserve">      conociendo el caso y considera que el crimen  ha  quedado  impune.  El</w:t>
        <w:br/>
        <w:t xml:space="preserve">      Estado tampoco ha realizado ninguna gestión para mitigar  un  poco  el</w:t>
        <w:br/>
        <w:t xml:space="preserve">      dolor que han sufrido como familia y él como persona.</w:t>
        <w:br/>
        <w:br/>
        <w:br/>
        <w:t xml:space="preserve">      Su familia fue completamente humillada y nadie se acercaba a ellos.</w:t>
        <w:br/>
        <w:br/>
        <w:br/>
        <w:t xml:space="preserve">      Por lo demás, intentó también, personalmente, incluir el caso en el</w:t>
        <w:br/>
        <w:t xml:space="preserve">      informe de la Comisión de la Verdad, pero no aceptaron su reclamo.</w:t>
        <w:br/>
        <w:br/>
        <w:br/>
        <w:t xml:space="preserve">      Hoy desea justicia y que las  personas  que  dañaron  a  sus  hermanos</w:t>
        <w:br/>
        <w:t xml:space="preserve">      “paguen su crimen […] y no solo los autores, como dicen  ellos,  malos</w:t>
        <w:br/>
        <w:t xml:space="preserve">      policías, sino los que dieron la orden”.</w:t>
        <w:br/>
        <w:br/>
        <w:br/>
        <w:t xml:space="preserve">   f. Testimonio de Víctor Chuquitaype  Eguiluz,  vecino  de  las  presuntas</w:t>
        <w:br/>
        <w:t xml:space="preserve">        víctimas</w:t>
        <w:br/>
        <w:br/>
        <w:t xml:space="preserve">      Es vecino de la familia Gómez Paquiyauri, y el 21 de junio de 1991,</w:t>
        <w:br/>
        <w:t xml:space="preserve">      después de escuchar que se produjo una balacera, vio a los hermanos</w:t>
        <w:br/>
        <w:t xml:space="preserve">      Rafael y Emilio, quienes le dijeron que había un carro y una persona</w:t>
        <w:br/>
        <w:t xml:space="preserve">      muerta a la vuelta de la esquina. Veinte minutos más tarde encontró en</w:t>
        <w:br/>
        <w:t xml:space="preserve">      la calle a la hermana mayor, Haydeé, quien le dijo que habían agarrado</w:t>
        <w:br/>
        <w:t xml:space="preserve">      a sus hermanos, que los habían tirado al suelo, pateado, pisado y que</w:t>
        <w:br/>
        <w:t xml:space="preserve">      los habían metido en una maletera.  El testigo describió el estado en</w:t>
        <w:br/>
        <w:t xml:space="preserve">      que fueron encontrados los cadáveres de las presuntas víctimas en la</w:t>
        <w:br/>
        <w:t xml:space="preserve">      morgue.</w:t>
        <w:br/>
        <w:br/>
        <w:t>g.    Testimonio de Jacinta Peralta Allccarima, madre de la hija de una de</w:t>
        <w:br/>
        <w:t>las presuntas víctimas</w:t>
        <w:br/>
        <w:br/>
        <w:t xml:space="preserve">      Rafael fue su compañero,  pero  no  conviviente.  Compartieron  muchos</w:t>
        <w:br/>
        <w:t xml:space="preserve">      momentos, tanto con los amigos como también con los familiares. Al  21</w:t>
        <w:br/>
        <w:t xml:space="preserve">      de junio de 1991 tenía dos semanas de gestación. Rafael no  sabía  con</w:t>
        <w:br/>
        <w:t xml:space="preserve">      certeza que ella se encontraba embarazada porque no  habían  realizado</w:t>
        <w:br/>
        <w:t xml:space="preserve">      los análisis médicos definitivos. En el momento en que se enteró de su</w:t>
        <w:br/>
        <w:t xml:space="preserve">      embarazo sintió una inmensa  alegría,  porque  había  sido  fruto  del</w:t>
        <w:br/>
        <w:t xml:space="preserve">      hombre que amó.</w:t>
        <w:br/>
        <w:br/>
        <w:br/>
        <w:t xml:space="preserve">      Nora Emely, su hija, actualmente tiene 12 años de  edad.  Cuando  ella</w:t>
        <w:br/>
        <w:t xml:space="preserve">      nació, su situación de salud era muy delicada, incluso los médicos que</w:t>
        <w:br/>
        <w:t xml:space="preserve">      la atendieron le plantearon que, posiblemente, debería interrumpir  el</w:t>
        <w:br/>
        <w:t xml:space="preserve">      embarazo, porque necesitaba ser operada. Para la testigo, eso fue otro</w:t>
        <w:br/>
        <w:t xml:space="preserve">      golpe más, ya que había perdido a Rafael y no quería perder también  a</w:t>
        <w:br/>
        <w:t xml:space="preserve">      su hija,  entonces  decidió  continuar  con  su  embarazo.  Ha  sacado</w:t>
        <w:br/>
        <w:t xml:space="preserve">      adelante a su hija, siempre contando con  el  apoyo  de  parte  de  la</w:t>
        <w:br/>
        <w:t xml:space="preserve">      familia Gómez Paquiyauri,  quienes  desde  el  primer  día  estuvieron</w:t>
        <w:br/>
        <w:t xml:space="preserve">      siempre acompañándola.</w:t>
        <w:br/>
        <w:br/>
        <w:br/>
        <w:t xml:space="preserve">      Sin embargo, a su hija le falta su padre y sabe que eso “es un vacío</w:t>
        <w:br/>
        <w:t xml:space="preserve">      que por más cariño, por más amor que le hayamos dado, no podemos</w:t>
        <w:br/>
        <w:t xml:space="preserve">      llenar”. Cuando tenía la edad de 2 a 3 años, la niña empezó a asistir</w:t>
        <w:br/>
        <w:t xml:space="preserve">      a un “nido infantil” y comenzó a sentir más la falta de su padre, por</w:t>
        <w:br/>
        <w:t xml:space="preserve">      sus actividades, en las que aquél estaba ausente.</w:t>
        <w:br/>
        <w:br/>
        <w:br/>
        <w:t xml:space="preserve">      Su abuelo paterno le dio el reconocimiento legal a su  hija,  pero  la</w:t>
        <w:br/>
        <w:t xml:space="preserve">      pequeña ha querido averiguar siempre quién era su padre  y  ha  tenido</w:t>
        <w:br/>
        <w:t xml:space="preserve">      que  contarle  la  verdad.  Cuando  nació  su  hija,  en  el  hospital</w:t>
        <w:br/>
        <w:t xml:space="preserve">      preguntaron quién era su padre,  pero  por  temor  no  dio  el  nombre</w:t>
        <w:br/>
        <w:t xml:space="preserve">      verdadero, porque era conciente de lo que estaba sufriendo la familia.</w:t>
        <w:br/>
        <w:t xml:space="preserve">      Todos los días, en los medios de comunicación, aparecían como “familia</w:t>
        <w:br/>
        <w:t xml:space="preserve">      de terroristas”, y allí decían que habían muerto en un  enfrentamiento</w:t>
        <w:br/>
        <w:t xml:space="preserve">      terrorista.</w:t>
        <w:br/>
        <w:br/>
        <w:br/>
        <w:t xml:space="preserve">      Cuando vio la necesidad de registrar el nacimiento de la  hija  de  la</w:t>
        <w:br/>
        <w:t xml:space="preserve">      testigo, decidieron ponerle el apellido de su abuelo, porque  su  hija</w:t>
        <w:br/>
        <w:t xml:space="preserve">      es Gómez y tenía que llevar el apellido. Eso  ha  causado  también  en</w:t>
        <w:br/>
        <w:t xml:space="preserve">      aquélla una confusión, desde muy pequeña, porque ha  crecido  sabiendo</w:t>
        <w:br/>
        <w:t xml:space="preserve">      que es  su  abuelo  y,  muchas  veces,  ha  preguntado  por  qué  está</w:t>
        <w:br/>
        <w:t xml:space="preserve">      registrada con el nombre de aquél y no con  el  de  su  padre.  En  el</w:t>
        <w:br/>
        <w:t xml:space="preserve">      colegio o en cualquier actividad en que ella ha estado, esto  ha  sido</w:t>
        <w:br/>
        <w:t xml:space="preserve">      un problema; muchas veces ha sido difícil explicar a los  maestros  la</w:t>
        <w:br/>
        <w:t xml:space="preserve">      cuestión.</w:t>
        <w:br/>
        <w:br/>
        <w:br/>
        <w:t xml:space="preserve">      Sabe que su hija se siente mal por todo esto, porque quisiera que  las</w:t>
        <w:br/>
        <w:t xml:space="preserve">      cosas sean mucho más claras y hay algunas  que,  hasta  la  fecha,  no</w:t>
        <w:br/>
        <w:t xml:space="preserve">      puede comprender. Solicita que su hija sea  reconocida  como  hija  de</w:t>
        <w:br/>
        <w:t xml:space="preserve">      Rafael, pero para ello quisiera que el nombre de Rafael sea limpiado y</w:t>
        <w:br/>
        <w:t xml:space="preserve">      que no sea tildado como un terrorista, ya que su hija tiene el derecho</w:t>
        <w:br/>
        <w:t xml:space="preserve">      de sentir orgullo por su padre; a pesar de que no lo  conoció,  siente</w:t>
        <w:br/>
        <w:t xml:space="preserve">      un cariño muy inmenso por su recuerdo.</w:t>
        <w:br/>
        <w:br/>
        <w:br/>
        <w:t xml:space="preserve">      No rectificó el nombre de su hija debido a la persecución política que</w:t>
        <w:br/>
        <w:t xml:space="preserve">      sufría la familia, porque le hicieron mucho daño y ha  querido  evitar</w:t>
        <w:br/>
        <w:t xml:space="preserve">      que eso también alcance a la niña. Por ejemplo, tenía  la  inseguridad</w:t>
        <w:br/>
        <w:t xml:space="preserve">      que, de repente, su hija no regresara del colegio.</w:t>
        <w:br/>
        <w:br/>
        <w:br/>
        <w:t xml:space="preserve">      Ha tenido que trabajar muy duramente para sacar adelante a su hija, ya</w:t>
        <w:br/>
        <w:t xml:space="preserve">      que no es muy fácil ser madre y padre a  la  vez.  Eso  ha  hecho  que</w:t>
        <w:br/>
        <w:t xml:space="preserve">      descuide las actividades del colegio de aquélla o que  comparta  menos</w:t>
        <w:br/>
        <w:t xml:space="preserve">      tiempo con ella.</w:t>
        <w:br/>
        <w:br/>
        <w:br/>
        <w:t xml:space="preserve">      En el colegio su hija es muy estudiosa, muy inteligente, pero para  no</w:t>
        <w:br/>
        <w:t xml:space="preserve">      hacer  sufrir  a  la  familia  guarda  sus  cosas,  el  dolor  y   sus</w:t>
        <w:br/>
        <w:t xml:space="preserve">      sentimientos, porque ve que su familia  sufre.  Por  ejemplo,  el  año</w:t>
        <w:br/>
        <w:t xml:space="preserve">      pasado presentó un problema de  salud  que  parecía  ser  un  problema</w:t>
        <w:br/>
        <w:t xml:space="preserve">      dermatológico, pero que finalmente resultó ser tensional. Entonces, ha</w:t>
        <w:br/>
        <w:t xml:space="preserve">      estado asistiendo a sesiones con una psiquiatra, pero es  una  terapia</w:t>
        <w:br/>
        <w:t xml:space="preserve">      que  no  ha  concluido,  aunque  ella  sigue  necesitando  una   ayuda</w:t>
        <w:br/>
        <w:t xml:space="preserve">      profesional.</w:t>
        <w:br/>
        <w:br/>
        <w:t xml:space="preserve">                                      *</w:t>
        <w:br/>
        <w:t xml:space="preserve">                                   *     *</w:t>
        <w:br/>
        <w:t xml:space="preserve">   h.  Dictamen  de  Inge  Genefke,  neuróloga  y  experta  en  materia   de</w:t>
        <w:br/>
        <w:t xml:space="preserve">        tratamiento y prevención de la tortura</w:t>
        <w:br/>
        <w:br/>
        <w:t xml:space="preserve">      Ha trabajado en la rehabilitación de víctimas de tortura en el marco</w:t>
        <w:br/>
        <w:t xml:space="preserve">      de la Organización de las Naciones Unidas y el Consejo de Europa.  Es</w:t>
        <w:br/>
        <w:t xml:space="preserve">      fundadora de organizaciones que trabajan con este tema.</w:t>
        <w:br/>
        <w:br/>
        <w:br/>
        <w:t xml:space="preserve">      La definición de tortura a nivel internacional, de conformidad con el</w:t>
        <w:br/>
        <w:t xml:space="preserve">      artículo 1 de la Convención contra la Tortura de Naciones Unidas,</w:t>
        <w:br/>
        <w:t xml:space="preserve">      describe aspectos importantes para poder determinar si ciertos actos</w:t>
        <w:br/>
        <w:t xml:space="preserve">      pueden considerarse como tortura, a saber: debe existir un daño o</w:t>
        <w:br/>
        <w:t xml:space="preserve">      sufrimiento severo, físico o mental, y realizado de manera</w:t>
        <w:br/>
        <w:t xml:space="preserve">      intencional; tiene que haber una motivación y debe ser cometido por</w:t>
        <w:br/>
        <w:t xml:space="preserve">      personas vinculadas al poder, como oficiales o policías.</w:t>
        <w:br/>
        <w:br/>
        <w:br/>
        <w:t xml:space="preserve">      En el presente caso tuvo a su alcance un video sobre lo ocurrido,</w:t>
        <w:br/>
        <w:t xml:space="preserve">      además de diversas fuentes escritas y de conversaciones con los</w:t>
        <w:br/>
        <w:t xml:space="preserve">      familiares de las presuntas víctimas. A través de ello, observó cómo</w:t>
        <w:br/>
        <w:t xml:space="preserve">      los menores fueron pisados, encapuchados, tomados de los cabellos y</w:t>
        <w:br/>
        <w:t xml:space="preserve">      luego introducidos y encerrados en un carro. Más tarde, fueron</w:t>
        <w:br/>
        <w:t xml:space="preserve">      golpeados y posteriormente asesinados. Los menores sufrieron tanto</w:t>
        <w:br/>
        <w:t xml:space="preserve">      física como psíquicamente y existía un propósito detrás de ello.  Los</w:t>
        <w:br/>
        <w:t xml:space="preserve">      hechos del caso completan los criterios sobre tortura, según las</w:t>
        <w:br/>
        <w:t xml:space="preserve">      pautas internacionales descritas.</w:t>
        <w:br/>
        <w:br/>
        <w:br/>
        <w:t xml:space="preserve">      El concepto de ”víctima secundaria” se  refiere  a  los  miembros  más</w:t>
        <w:br/>
        <w:t xml:space="preserve">      cercanos de la familia quienes, luego del episodio de tortura,  sufren</w:t>
        <w:br/>
        <w:t xml:space="preserve">      y el hecho tiene consecuencias directas también sobre ellos.</w:t>
        <w:br/>
        <w:br/>
        <w:br/>
        <w:t xml:space="preserve">      En este caso, la familia ha sufrido. La forma en que les fueron</w:t>
        <w:br/>
        <w:t xml:space="preserve">      mostrados los cuerpos, sin ninguna preparación, constituyó un shock</w:t>
        <w:br/>
        <w:t xml:space="preserve">      traumático. Aún hoy se encuentran bajo los efectos de este</w:t>
        <w:br/>
        <w:t xml:space="preserve">      sufrimiento.  En ese sentido, los familiares de las presuntas víctimas</w:t>
        <w:br/>
        <w:t xml:space="preserve">      pueden ser llamados “víctimas secundarias”. Las autoridades</w:t>
        <w:br/>
        <w:t xml:space="preserve">      persiguieron a la familia en lugar de ayudarla.</w:t>
        <w:br/>
        <w:br/>
        <w:br/>
        <w:t xml:space="preserve">      El hermano menor de las presuntas víctimas, Miguel, era un niño</w:t>
        <w:br/>
        <w:t xml:space="preserve">      totalmente sano. Él sufrió una perturbación psicológica severa y tuvo</w:t>
        <w:br/>
        <w:t xml:space="preserve">      dificultades con todo: no podía dormir, lloraba, debía quedarse solo</w:t>
        <w:br/>
        <w:t xml:space="preserve">      en su casa sin poder tener amigos, tuvo una vida “horrible”.  Más aún,</w:t>
        <w:br/>
        <w:t xml:space="preserve">      ninguno de los familiares recibió atención médica o psicológica</w:t>
        <w:br/>
        <w:t xml:space="preserve">      adecuada, cuando deberían haber obtenido ayuda y tratamientos de</w:t>
        <w:br/>
        <w:t xml:space="preserve">      rehabilitación, como víctimas de tortura.</w:t>
        <w:br/>
        <w:br/>
        <w:br/>
        <w:t xml:space="preserve">      La situación de Lucy Gómez  Paquiyauri  era  extremadamente  severa  y</w:t>
        <w:br/>
        <w:t xml:space="preserve">      peligrosa. Ella era menor cuando soportó  estos  hechos  intolerables,</w:t>
        <w:br/>
        <w:t xml:space="preserve">      sufriendo las persecuciones y estigmatizaciones causadas a su familia.</w:t>
        <w:br/>
        <w:t xml:space="preserve">      Aún más, ella fue arrestada cuando tenía dieciséis años. Fue golpeada,</w:t>
        <w:br/>
        <w:t xml:space="preserve">      introducida en un carro –al igual que sus hermanos-, vendada y  sintió</w:t>
        <w:br/>
        <w:t xml:space="preserve">      temor de ser asesinada. También la amenazaron diciéndole que iba a ser</w:t>
        <w:br/>
        <w:t xml:space="preserve">      arrojada desde un helicóptero o que iba a ser  desnudada  y  golpeada.</w:t>
        <w:br/>
        <w:t xml:space="preserve">      Luego, permaneció en prisión durante cuatro años; la primera parte  de</w:t>
        <w:br/>
        <w:t xml:space="preserve">      ese tiempo estuvo en una prisión de máxima seguridad.</w:t>
        <w:br/>
        <w:br/>
        <w:br/>
        <w:t xml:space="preserve">      Los padres de las presuntas  víctimas  han  vivido  una  situación  de</w:t>
        <w:br/>
        <w:t xml:space="preserve">      “estrés psicológico  extremo”.  No  fueron  ayudados  por  nadie;  sin</w:t>
        <w:br/>
        <w:t xml:space="preserve">      embargo, y a pesar de ser muy pobres, tuvieron el coraje de  denunciar</w:t>
        <w:br/>
        <w:t xml:space="preserve">      lo sucedido y, a causa de ello, fueron perseguidos.  Vivieron  en  una</w:t>
        <w:br/>
        <w:t xml:space="preserve">      lucha continua.</w:t>
        <w:br/>
        <w:br/>
        <w:br/>
        <w:t xml:space="preserve">      Un agravante en el caso lo constituye el hecho de que no se haya hecho</w:t>
        <w:br/>
        <w:t xml:space="preserve">      nada para alcanzar la justicia; por el contrario, fueron perseguidos y</w:t>
        <w:br/>
        <w:t xml:space="preserve">      etiquetados. Otro agravante es el punto de que las presuntas  víctimas</w:t>
        <w:br/>
        <w:t xml:space="preserve">      fueran menores, niños de catorce y diecisiete años.</w:t>
        <w:br/>
        <w:br/>
        <w:br/>
        <w:t xml:space="preserve">      Por el sufrimiento y el dolor, las víctimas de tortura deben ser</w:t>
        <w:br/>
        <w:t xml:space="preserve">      compensadas, tomando en cuenta la naturaleza especial del trauma. La</w:t>
        <w:br/>
        <w:t xml:space="preserve">      Convención de Naciones Unidas contra la Tortura, en su artículo 14,</w:t>
        <w:br/>
        <w:t xml:space="preserve">      explica cómo rehabilitar y ayudar a las víctimas de tortura, lo cual</w:t>
        <w:br/>
        <w:t xml:space="preserve">      deviene un deber de los Estados. Un punto importante es que la</w:t>
        <w:br/>
        <w:t xml:space="preserve">      impunidad no continúe prevaleciendo, que quienes cometen tortura sean</w:t>
        <w:br/>
        <w:t xml:space="preserve">      penados. Es imposible lograr la rehabilitación de las víctimas cuando</w:t>
        <w:br/>
        <w:t xml:space="preserve">      existe impunidad. Por otra parte, y debido a la estigmatización</w:t>
        <w:br/>
        <w:t xml:space="preserve">      padecida, el Estado debe brindar una explicación y aclarar que aquello</w:t>
        <w:br/>
        <w:t xml:space="preserve">      no era la verdad y que los niños no eran terroristas. También</w:t>
        <w:br/>
        <w:t xml:space="preserve">      significaría mucho para la familia que pudieran tener más seguridad,</w:t>
        <w:br/>
        <w:t xml:space="preserve">      tanto ellos como la hija de Rafael.  Sería muy importante devolver a</w:t>
        <w:br/>
        <w:t xml:space="preserve">      la familia sus dos hijos que continúan en prisión y que hace mucho</w:t>
        <w:br/>
        <w:t xml:space="preserve">      tiempo no ven; que fueron juzgados por tribunales sin rostro y que</w:t>
        <w:br/>
        <w:t xml:space="preserve">      permanecieron mucho tiempo sin tener un juicio. Finalmente, resulta</w:t>
        <w:br/>
        <w:t xml:space="preserve">      necesaria la rehabilitación médica y psicológica de los familiares de</w:t>
        <w:br/>
        <w:t xml:space="preserve">      las presuntas víctimas.</w:t>
        <w:br/>
        <w:br/>
        <w:br/>
        <w:t xml:space="preserve">      La compensación económica debe cubrir las capacidades laborales y la</w:t>
        <w:br/>
        <w:t xml:space="preserve">      pérdida de ganancias. Las presuntas víctimas eran jóvenes e</w:t>
        <w:br/>
        <w:t xml:space="preserve">      inteligentes y, de hecho, ya trabajaban y tenían muchas</w:t>
        <w:br/>
        <w:t xml:space="preserve">      responsabilidades dentro de su familia. Hubiesen podido tener buenos</w:t>
        <w:br/>
        <w:t xml:space="preserve">      trabajos y ganar mucho dinero.</w:t>
        <w:br/>
        <w:br/>
        <w:t xml:space="preserve">   i. Dictamen de Hans Petter Houguen, experto en patología forense</w:t>
        <w:br/>
        <w:br/>
        <w:t xml:space="preserve">      Es  vice-director  del  Departamento  de  Patología  Forense   de   la</w:t>
        <w:br/>
        <w:t xml:space="preserve">      Universidad de Copenhague, Dinamarca, y  ha  colaborado  con  Amnistía</w:t>
        <w:br/>
        <w:t xml:space="preserve">      Internacional, y con las Naciones Unidas, además de ser experto ad hoc</w:t>
        <w:br/>
        <w:t xml:space="preserve">      del Ministerio de Relaciones Interiores de Gran Bretaña, Home Office.</w:t>
        <w:br/>
        <w:br/>
        <w:br/>
        <w:t xml:space="preserve">      Tuvo a su alcance los protocolos de autopsias hechas por el  Instituto</w:t>
        <w:br/>
        <w:t xml:space="preserve">      de Medicina Legal del Ministerio Público de la República del Perú,  de</w:t>
        <w:br/>
        <w:t xml:space="preserve">      la División Médico Legal del Callao, los resultados de las autopsias y</w:t>
        <w:br/>
        <w:t xml:space="preserve">      fotografías tomadas por la familia de los cadáveres, tanto  de  Rafael</w:t>
        <w:br/>
        <w:t xml:space="preserve">      Samuel como de Emilio Moisés Gómez Paquiyauri.</w:t>
        <w:br/>
        <w:br/>
        <w:br/>
        <w:t xml:space="preserve">      Las descripciones de lesiones y otras patologías en un protocolo deben</w:t>
        <w:br/>
        <w:t xml:space="preserve">      ser realizadas de forma tan detallada que cualquier otro perito  pueda</w:t>
        <w:br/>
        <w:t xml:space="preserve">      llegar a la misma conclusión a la que ha llegado el  patólogo  que  ha</w:t>
        <w:br/>
        <w:t xml:space="preserve">      hecho la autopsia.  En este caso,  los protocolos de las dos autopsias</w:t>
        <w:br/>
        <w:t xml:space="preserve">      son muy  breves  y  faltan  muchas  descripciones  de  las  diferentes</w:t>
        <w:br/>
        <w:t xml:space="preserve">      lesiones. Si bien había una descripción de las  heridas  causadas  por</w:t>
        <w:br/>
        <w:t xml:space="preserve">      arma  de  fuego,  hubiese  sido  necesario  un  mayor  detalle  de  la</w:t>
        <w:br/>
        <w:t xml:space="preserve">      trayectoria de la bala. Por ejemplo, respecto  de  la  cabeza,  no  se</w:t>
        <w:br/>
        <w:t xml:space="preserve">      hablaba del fenómeno “bisel” del hueso del cráneo, cuando la  bala  lo</w:t>
        <w:br/>
        <w:t xml:space="preserve">      atraviesa, lo que es fundamental para reconocer  la  dirección  de  la</w:t>
        <w:br/>
        <w:t xml:space="preserve">      bala. También estaban ausentes varios puntos afirmativos, solamente se</w:t>
        <w:br/>
        <w:t xml:space="preserve">      marcaron como “normal”. En patología se acostumbra describir tanto  lo</w:t>
        <w:br/>
        <w:t xml:space="preserve">      normal como lo patológico.  Asimismo, faltaron fotografías tomadas por</w:t>
        <w:br/>
        <w:t xml:space="preserve">      las autoridades de los  cadáveres  durante  la  autopsia.  Tampoco  se</w:t>
        <w:br/>
        <w:t xml:space="preserve">      realizó  una  inspección  del  lugar  del  hecho,   no   hubo   examen</w:t>
        <w:br/>
        <w:t xml:space="preserve">      toxicológico ni biológico de los orificios naturales en  búsqueda  de,</w:t>
        <w:br/>
        <w:t xml:space="preserve">      por ejemplo, semen, para comprobar  que  no  hubiese  existido  ningún</w:t>
        <w:br/>
        <w:t xml:space="preserve">      crimen sexual.</w:t>
        <w:br/>
        <w:br/>
        <w:br/>
        <w:t xml:space="preserve">      Detrás del ojo izquierdo de Rafael, en el borde inferior, había una</w:t>
        <w:br/>
        <w:t xml:space="preserve">      lesión consistente con una salida de bala. Su cara presentaba otras</w:t>
        <w:br/>
        <w:t xml:space="preserve">      lesiones, entre ellas, raspones en el ala de la nariz.  También había</w:t>
        <w:br/>
        <w:t xml:space="preserve">      un hematoma rojo y otro azul en el párpado superior, probablemente</w:t>
        <w:br/>
        <w:t xml:space="preserve">      causado por la salida de la bala. Finalmente, notó varias</w:t>
        <w:br/>
        <w:t xml:space="preserve">      escoriaciones en el párpado superior y también unas erosiones</w:t>
        <w:br/>
        <w:t xml:space="preserve">      lineales, que parecían haber sido marcas de uñas. Varias de las</w:t>
        <w:br/>
        <w:t xml:space="preserve">      escoriaciones podrían haber sido causadas por violencia de otra</w:t>
        <w:br/>
        <w:t xml:space="preserve">      persona, al igual que uno de los hematomas.</w:t>
        <w:br/>
        <w:br/>
        <w:br/>
        <w:t xml:space="preserve">      En las manos de Rafael, la mano izquierda tenía una lesión redonda, de</w:t>
        <w:br/>
        <w:t xml:space="preserve">      color negro, rodeada por una zona rosada. En la mano derecha había una</w:t>
        <w:br/>
        <w:t xml:space="preserve">      lesión irregular de color negro y otra en el pulgar, donde se notaba</w:t>
        <w:br/>
        <w:t xml:space="preserve">      la falta externa de dicho dedo y donde la uña estaba desviada y casi</w:t>
        <w:br/>
        <w:t xml:space="preserve">      suelta del dedo. Además de ello, se divisaba una lesión pequeña en el</w:t>
        <w:br/>
        <w:t xml:space="preserve">      tercer dedo de la mano derecha. Las tres lesiones presentaron las</w:t>
        <w:br/>
        <w:t xml:space="preserve">      características de haber sido causadas por arma de fuego: redondas y</w:t>
        <w:br/>
        <w:t xml:space="preserve">      de bordes regulares y con el color negro de la pólvora quemada. Eso es</w:t>
        <w:br/>
        <w:t xml:space="preserve">      consistente, también, con un disparo de muy corta distancia, de menos</w:t>
        <w:br/>
        <w:t xml:space="preserve">      de un centímetro, probablemente de contacto. La decoloración rosada</w:t>
        <w:br/>
        <w:t xml:space="preserve">      alrededor indicaba que el impacto se había producido mientras había</w:t>
        <w:br/>
        <w:t xml:space="preserve">      circulación de sangre, es decir, que era consistente con la existencia</w:t>
        <w:br/>
        <w:t xml:space="preserve">      de vida.</w:t>
        <w:br/>
        <w:br/>
        <w:br/>
        <w:t xml:space="preserve">      Por lo demás, el perito indicó que no es posible que una persona muera</w:t>
        <w:br/>
        <w:t xml:space="preserve">      instantáneamente a causa de un disparo en una mano. No se pudo</w:t>
        <w:br/>
        <w:t xml:space="preserve">      determinar qué tipo de revólver, pistola u otra arma de fuego había</w:t>
        <w:br/>
        <w:t xml:space="preserve">      sido utilizada en este caso, pero sí que la herida era consistente con</w:t>
        <w:br/>
        <w:t xml:space="preserve">      un arma “MGP”.</w:t>
        <w:br/>
        <w:br/>
        <w:br/>
        <w:t xml:space="preserve">      Respecto de  Emilio  Moisés  Gómez  Paquiyauri,  se  evidenciaba  que,</w:t>
        <w:br/>
        <w:t xml:space="preserve">      alrededor del ojo derecho, la piel estaba descolorida y  rojiza.  Allí</w:t>
        <w:br/>
        <w:t xml:space="preserve">      había dos lesiones: una en el borde interior del ojo derecho y otra en</w:t>
        <w:br/>
        <w:t xml:space="preserve">      el  párpado  superior  derecho,  relativamente   redondas,   las   que</w:t>
        <w:br/>
        <w:t xml:space="preserve">      parecieron ser de salida de bala, aunque no podía asegurarse que había</w:t>
        <w:br/>
        <w:t xml:space="preserve">      sido causada por arma de fuego, porque las heridas de salida  de  bala</w:t>
        <w:br/>
        <w:t xml:space="preserve">      pueden tener muchas formas. Por  lo  demás,  en  el  párpado  superior</w:t>
        <w:br/>
        <w:t xml:space="preserve">      derecho había un hematoma pequeño color azul y dos escoriaciones.</w:t>
        <w:br/>
        <w:br/>
        <w:br/>
        <w:t xml:space="preserve">      En la ropa de Rafael se observaron una serie de huecos que previamente</w:t>
        <w:br/>
        <w:t xml:space="preserve">      no estaban y que podrían haber sido  causados  por  la  punta  de  una</w:t>
        <w:br/>
        <w:t xml:space="preserve">      bayoneta.</w:t>
        <w:br/>
        <w:br/>
        <w:br/>
        <w:br/>
        <w:t>C) Valoración de la Prueba</w:t>
        <w:br/>
        <w:br/>
        <w:br/>
        <w:br/>
        <w:t>Valoración de la Prueba Documental</w:t>
        <w:br/>
        <w:br/>
        <w:br/>
        <w:t>50.   En  este  caso,  como  en  otros[14],  el  Tribunal  admite  el  valor</w:t>
        <w:br/>
        <w:t>probatorio  de  aquellos  documentos  presentados  por  las  partes  en   su</w:t>
        <w:br/>
        <w:t>oportunidad procesal o como  prueba  para  mejor  resolver,  que  no  fueron</w:t>
        <w:br/>
        <w:t>controvertidos ni objetados, ni cuya autenticidad fue puesta en  duda.   Por</w:t>
        <w:br/>
        <w:t>otra parte,  la  Corte  admite,  de  conformidad  con  el  artículo  44  del</w:t>
        <w:br/>
        <w:t>Reglamento, la prueba presentada por las partes en relación con  los  hechos</w:t>
        <w:br/>
        <w:t>supervinientes a la presentación de la demanda.</w:t>
        <w:br/>
        <w:br/>
        <w:t>51.   Este Tribunal ha considerado, en cuanto a los recortes de  periódicos,</w:t>
        <w:br/>
        <w:t>que aun cuando no tienen carácter de prueba  documental  propiamente  dicha,</w:t>
        <w:br/>
        <w:t>podrán  ser  apreciados  cuando  recojan   hechos   públicos   o   notorios,</w:t>
        <w:br/>
        <w:t>declaraciones de funcionarios del Estado  o  corroboren  lo  establecido  en</w:t>
        <w:br/>
        <w:t>otros documentos o testimonios recibidos en el proceso[15].</w:t>
        <w:br/>
        <w:br/>
        <w:t>52.   Constata el Tribunal que la declaración del señor Bent Sorensen,</w:t>
        <w:br/>
        <w:t>ofrecido como perito por la representante de las presuntas víctimas y sus</w:t>
        <w:br/>
        <w:t>familiares, fue aportada al proceso (supra párr. 25), de conformidad con lo</w:t>
        <w:br/>
        <w:t>ordenado por el Presidente en su Resolución de 1º de marzo de 2004 (supra</w:t>
        <w:br/>
        <w:t>párr. 24).  El contenido y la firma de quien suscribía la declaración</w:t>
        <w:br/>
        <w:t>fueron reconocidos ante notario público.</w:t>
        <w:br/>
        <w:br/>
        <w:t>53.   Al respecto, el Estado alegó que el perito “no h[a] tenido</w:t>
        <w:br/>
        <w:t>oportunidad de conversar o discutir los casos con ninguna de las víctimas o</w:t>
        <w:br/>
        <w:t>testigos”; en razón de lo cual “las conclusiones [del perito] no pueden ser</w:t>
        <w:br/>
        <w:t>en ningún caso categóricas ni determinantes”[16].</w:t>
        <w:br/>
        <w:br/>
        <w:t>54.   La Corte admite el dictamen del señor Bent Sorensen en cuanto se</w:t>
        <w:br/>
        <w:t>ajuste al objeto que fue definido por el Presidente en la Resolución en que</w:t>
        <w:br/>
        <w:t>ordenó recibirla[17] (supra párr. 24) y apreciará su contenido, como lo ha</w:t>
        <w:br/>
        <w:t>hecho en otros casos, dentro del contexto del acervo probatorio y aplicando</w:t>
        <w:br/>
        <w:t>las reglas de la sana crítica[18].</w:t>
        <w:br/>
        <w:br/>
        <w:t>55.   En relación con  el  video  remitido  por  la  representantes  de  las</w:t>
        <w:br/>
        <w:t>presuntas víctimas y sus familiares el 1º de mayo de 2004 (supra párr.  27),</w:t>
        <w:br/>
        <w:t>el Estado manifestó que “es un video editado, y  presentado  en  copia,  que</w:t>
        <w:br/>
        <w:t>intencionalmente conduce a error al efectuar repeticiones del  audio  frente</w:t>
        <w:br/>
        <w:t>a determinadas imágenes, las que ciertamente muestra[n] la manipulación  del</w:t>
        <w:br/>
        <w:t>mismo[; s]e presenta en blanco  y  negro,  cuando  la  tecnología  de  aquel</w:t>
        <w:br/>
        <w:t>entonces  ya  permitía  conocer  las  imágenes  a  color  […;   n]o   existe</w:t>
        <w:br/>
        <w:t>correspondencia entre el audio y las imágenes[, m]uchas de  las  cuales  han</w:t>
        <w:br/>
        <w:t>sido acondicionad[a]s […; e]l [h]elicóptero que presuntamente sobrevuela  la</w:t>
        <w:br/>
        <w:t>escena del crimen, no  corresponde  a  los  hechos  investigados  o,  cuando</w:t>
        <w:br/>
        <w:t>menos, no existe forma de categorizarlo […; c]uando se emite  un  hecho  por</w:t>
        <w:br/>
        <w:t>un medio de comunicación, se  exhiben  los  hechos  m[á]s  sensacionales,  y</w:t>
        <w:br/>
        <w:t>cuando no se tienen suficientes imágenes, se buscan otras  tomas  de  apoyo,</w:t>
        <w:br/>
        <w:t>que pueden o no corresponder a la escena del crimen investigado”.</w:t>
        <w:br/>
        <w:br/>
        <w:t>56.   Al respecto, la Corte admite el video remitido  por  la  representante</w:t>
        <w:br/>
        <w:t>de las presuntas y sus familiares el 1º de mayo de 2004  (supra  párr.  27).</w:t>
        <w:br/>
        <w:t>No obstante, no le dará a la respectiva pieza documental carácter  de  plena</w:t>
        <w:br/>
        <w:t>prueba, sino que apreciará su  contenido  dentro  del  contexto  del  acervo</w:t>
        <w:br/>
        <w:t>probatorio y aplicando las reglas de la sana crítica.</w:t>
        <w:br/>
        <w:br/>
        <w:t>57.   En relación con los documentos presentados  por  la  representante  de</w:t>
        <w:br/>
        <w:t>las presuntas víctimas y sus familiares durante  la  audiencia  pública,  el</w:t>
        <w:br/>
        <w:t>Estado alegó que “las  copias  o  reproducciones  fotostáticas  del  proceso</w:t>
        <w:br/>
        <w:t>penal […] han sido obtenidas de  manera  ilícita  y  sin  mandato  judicial,</w:t>
        <w:br/>
        <w:t>hecho que nos hace incurrir en la teoría del fruto del árbol prohibido”.</w:t>
        <w:br/>
        <w:br/>
        <w:t>58.   El sistema procesal es un medio para realizar la justicia  y  ésta  no</w:t>
        <w:br/>
        <w:t>puede ser sacrificada en aras de meras formalidades[19], sin  que  por  ello</w:t>
        <w:br/>
        <w:t>deje la Corte de cuidar la seguridad jurídica y el  equilibrio  procesal  de</w:t>
        <w:br/>
        <w:t>las  partes[20].  Este  proceso,  por  ser  tramitado   ante   un   tribunal</w:t>
        <w:br/>
        <w:t>internacional, y por referirse a violaciones a los derechos  humanos,  tiene</w:t>
        <w:br/>
        <w:t>un carácter más flexible e informal que  el  seguido  ante  las  autoridades</w:t>
        <w:br/>
        <w:t>internas[21].</w:t>
        <w:br/>
        <w:br/>
        <w:t>59.   La Corte valora en su conjunto los documentos objetados por el  Estado</w:t>
        <w:br/>
        <w:t>y, atendiendo al criterio no  formalista  arriba  mencionado,  desestima  la</w:t>
        <w:br/>
        <w:t>objeción y acepta dichos documentos como prueba.</w:t>
        <w:br/>
        <w:br/>
        <w:t>60.   En lo que se refiere a los documentos solicitados por este Tribunal</w:t>
        <w:br/>
        <w:t>con fundamento en el artículo 45 del Reglamento y que fueron presentados</w:t>
        <w:br/>
        <w:t>por la representante de las presuntas víctimas y sus familiares. (supra</w:t>
        <w:br/>
        <w:t>párrs. 31 y 32), la Corte los incorpora al acervo probatorio del presente</w:t>
        <w:br/>
        <w:t>caso en aplicación a lo dispuesto en el inciso primero de esa norma.</w:t>
        <w:br/>
        <w:br/>
        <w:t>Valoración de la Prueba Testimonial y Pericial</w:t>
        <w:br/>
        <w:br/>
        <w:t>61.   En relación con las declaraciones rendidas  por  Marcelina  Paquiyauri</w:t>
        <w:br/>
        <w:t>Illanes de Gómez, Samuel Gómez Quispe, Lucy Rosa Gómez Paquiyauri  y  Miguel</w:t>
        <w:br/>
        <w:t>Ángel Gómez Paquiyauri en el presente  caso  (supra  párr.  49),  el  Estado</w:t>
        <w:br/>
        <w:t>señaló en su escrito de contestación de la  demanda  (supra  párr.  19)  que</w:t>
        <w:br/>
        <w:t>“sus declaraciones en sí son sumamente parcializadas  e  interesadas  y  que</w:t>
        <w:br/>
        <w:t>por tanto se les debe valorar con mucha prudencia en cuanto  a  la  eficacia</w:t>
        <w:br/>
        <w:t>jurídica que puedan tener”.  Por otro lado, el Estado objetó  el  testimonio</w:t>
        <w:br/>
        <w:t>de Miguel Ángel Gómez  Paquiyauri  “[p]or  ser  hermano  de  sangre  de  las</w:t>
        <w:br/>
        <w:t>presuntas víctimas y por  interés  directo  de  las  resultas  del  presento</w:t>
        <w:br/>
        <w:t>proceso, y por carecer de imparcialidad y objetividad, y por considerar  que</w:t>
        <w:br/>
        <w:t>a la fecha de los hechos era menor de edad y exponerlo  a  la  reminiscencia</w:t>
        <w:br/>
        <w:t>en alguna forma sería afectarlo” (supra párr. 29).</w:t>
        <w:br/>
        <w:br/>
        <w:t>62.   En la Resolución de 1º  de  marzo  de  2004  el  Presidente  consideró</w:t>
        <w:br/>
        <w:t>“[q]ue la comparecencia de los testigos propuestos no  ha  sido  objetada  o</w:t>
        <w:br/>
        <w:t>recusada, sino solamente cuestionada por parte del Estado  en  cuanto  a  la</w:t>
        <w:br/>
        <w:t>objetividad  de  las  declaraciones  de  los  señores  Marcelina  Paquiyauri</w:t>
        <w:br/>
        <w:t>Illanes  de  Gómez,  Ricardo  Samuel  Gómez  Quispe  [y]  Lucy  Rosa   Gómez</w:t>
        <w:br/>
        <w:t>Paquiyauri,  familiares  de  las  presuntas  víctimas.  Al  respecto,   esta</w:t>
        <w:br/>
        <w:t>Presidencia considera  que  las  declaraciones  de  los  familiares  de  las</w:t>
        <w:br/>
        <w:t>presuntas víctimas no pueden ser valoradas de manera  aislada,  sino  dentro</w:t>
        <w:br/>
        <w:t>del conjunto de las pruebas del proceso, y son útiles en la  medida  en  que</w:t>
        <w:br/>
        <w:t>pueden proporcionar mayor  información  sobre  los  hechos  alegados  en  el</w:t>
        <w:br/>
        <w:t>presente caso[22]”.</w:t>
        <w:br/>
        <w:br/>
        <w:t>63.   La Corte admite las declaraciones  rendidas  por  Marcelina  Pauiyauri</w:t>
        <w:br/>
        <w:t>Illanes de Gómez, Samuel Gómez Quispe, Lucy Rosa Gómez Paquiyauri  y  Miguel</w:t>
        <w:br/>
        <w:t>Ángel  Gómez  Paquiyauri,  en  cuanto   concuerden   con   el   objeto   del</w:t>
        <w:br/>
        <w:t>interrogatorio propuesto respectivamente por la  Comisión  Interamericana  y</w:t>
        <w:br/>
        <w:t>por la representante  de  las  presuntas  víctimas  y  sus  familiares.   Al</w:t>
        <w:br/>
        <w:t>respecto, este Tribunal  estima  que  por  tratarse  de  familiares  de  las</w:t>
        <w:br/>
        <w:t>presuntas  víctimas  y  tener  un  interés  directo  en   este   caso,   sus</w:t>
        <w:br/>
        <w:t>manifestaciones no  pueden  ser  valoradas  aisladamente,  sino  dentro  del</w:t>
        <w:br/>
        <w:t>conjunto de las pruebas del proceso, como en su oportunidad lo consideró  el</w:t>
        <w:br/>
        <w:t>Presidente[23].  En  materia  tanto  de  fondo  como  de  reparaciones,  las</w:t>
        <w:br/>
        <w:t>declaraciones de los familiares de las presuntas víctimas son útiles  en  la</w:t>
        <w:br/>
        <w:t>medida en que pueden proporcionar mayor información sobre las  consecuencias</w:t>
        <w:br/>
        <w:t>de las violaciones que pudieron haber sido perpetradas[24].</w:t>
        <w:br/>
        <w:br/>
        <w:t>64.   El Estado alegó que los  dictámenes  rendidos  por  los  señores  Inge</w:t>
        <w:br/>
        <w:t>Genefke y Hans Petter Houguen durante  la  audiencia  pública  (supra  párr.</w:t>
        <w:br/>
        <w:t>49.h  y  49.i)  “no  fueron  imparciales   y  menos  objetivos[;]  y   su[s]</w:t>
        <w:br/>
        <w:t>declaraci[ones] s[ó]lo debe[n] ser tomad[as]  en  forma  referencial  y  ser</w:t>
        <w:br/>
        <w:t>considerad[a]s  como  una  opinión  y  en  ningún  caso  como   [dictámenes]</w:t>
        <w:br/>
        <w:t>[p]ericial[es] técnico[s] que acer[quen] a la certeza judicial”.</w:t>
        <w:br/>
        <w:br/>
        <w:t>65.   La Corte admite los dictámenes de los señores Hans  Petter  Houguen  e</w:t>
        <w:br/>
        <w:t>Inge Genefke en cuanto  se  ajusten  al  objeto  que  fue  definido  por  el</w:t>
        <w:br/>
        <w:t>Presidente en la Resolución en que ordenó recibirlos  (supra  párr.  24),  y</w:t>
        <w:br/>
        <w:t>apreciará su contenido dentro del contexto del acervo probatorio  según  las</w:t>
        <w:br/>
        <w:t>reglas de la sana crítica.</w:t>
        <w:br/>
        <w:br/>
        <w:t>66.    La  Corte  apreciará  en  este  caso  el  valor  probatorio  de   los</w:t>
        <w:br/>
        <w:t>documentos, declaraciones y peritajes presentados  por  escrito  o  rendidos</w:t>
        <w:br/>
        <w:t>ante ella.  Además, la  prueba  presentada  durante  todas  las  etapas  del</w:t>
        <w:br/>
        <w:t>proceso ha sido integrada a un mismo  acervo  probatorio  que  se  considera</w:t>
        <w:br/>
        <w:t>como un todo único[25].</w:t>
        <w:br/>
        <w:br/>
        <w:t>VII</w:t>
        <w:br/>
        <w:br/>
        <w:t>Hechos Probados</w:t>
        <w:br/>
        <w:br/>
        <w:br/>
        <w:t>67.   Con base en los hechos expuestos en la demanda, la prueba  documental,</w:t>
        <w:br/>
        <w:t>las declaraciones de los testigos, los  dictámenes  de  los  peritos  y  las</w:t>
        <w:br/>
        <w:t>manifestaciones de  la  Comisión,  de  la  representante  de  las  presuntas</w:t>
        <w:br/>
        <w:t>víctimas y sus familiares y del Estado,  la  Corte  considera  probados  los</w:t>
        <w:br/>
        <w:t>siguientes hechos:</w:t>
        <w:br/>
        <w:br/>
        <w:t>Con respecto a la situación del país</w:t>
        <w:br/>
        <w:br/>
        <w:t xml:space="preserve">      67.a) Entre los años 1984 y 1993 se vivía  en  el  Perú  un  conflicto</w:t>
        <w:br/>
        <w:t xml:space="preserve">      entre grupos armados y agentes de las fuerzas policial y  militar,  en</w:t>
        <w:br/>
        <w:t xml:space="preserve">      medio de una  práctica  sistemática  de  violaciones  a  los  derechos</w:t>
        <w:br/>
        <w:t xml:space="preserve">      humanos,  entre  ellas  ejecuciones   extrajudiciales,   de   personas</w:t>
        <w:br/>
        <w:t xml:space="preserve">      sospechosas de pertenecer a grupos armados, prácticas  realizadas  por</w:t>
        <w:br/>
        <w:t xml:space="preserve">      agentes   estatales   siguiendo   órdenes   de   jefes   militares   y</w:t>
        <w:br/>
        <w:t xml:space="preserve">      policiales[26].</w:t>
        <w:br/>
        <w:br/>
        <w:br/>
        <w:t xml:space="preserve">      67.b) En varias oportunidades, durante  este  período,  se  decretaron</w:t>
        <w:br/>
        <w:t xml:space="preserve">      estados de emergencia, incluso en la Provincia de El Callao[27].</w:t>
        <w:br/>
        <w:br/>
        <w:br/>
        <w:t xml:space="preserve">      67.c) Particularmente, en el año  1991  se  llevaba  a  cabo  un  plan</w:t>
        <w:br/>
        <w:t xml:space="preserve">      conocido como “Cerco Noventiuno”, el cual fue diseñado para capturar y</w:t>
        <w:br/>
        <w:t xml:space="preserve">      ejecutar a perpetradores de actos terroristas[28].</w:t>
        <w:br/>
        <w:br/>
        <w:t>Con respecto a Rafael Samuel y Emilio Moisés Gómez Paquiyauri</w:t>
        <w:br/>
        <w:br/>
        <w:t xml:space="preserve">      67.d) Rafael Samuel Gómez Paquiyauri nació el 7 de febrero de 1974  en</w:t>
        <w:br/>
        <w:t xml:space="preserve">      San Miguel, Lima[29].  Su  hermano,  Emilio  Moisés  Gómez  Paquiyauri</w:t>
        <w:br/>
        <w:t xml:space="preserve">      nació el 6 de febrero de 1977 en San  Miguel,  Lima[30].   Ambos  eran</w:t>
        <w:br/>
        <w:t xml:space="preserve">      estudiantes en la época de los hechos[31], y ocasionalmente ayudaban a</w:t>
        <w:br/>
        <w:t xml:space="preserve">      su padre en diferentes labores, incluida la reparación de buques[32].</w:t>
        <w:br/>
        <w:br/>
        <w:br/>
        <w:t xml:space="preserve">      67.e) En la mañana del 21 de junio de 1991,  Rafael  Samuel  y  Emilio</w:t>
        <w:br/>
        <w:t xml:space="preserve">      Moisés Gómez Paquiyauri se dirigían al  trabajo  de  su  madre  en  la</w:t>
        <w:br/>
        <w:t xml:space="preserve">      provincia de El Callao, cuando fueron interceptados  y  detenidos  por</w:t>
        <w:br/>
        <w:t xml:space="preserve">      agentes de la  Policía  Nacional  Peruana[33]  que  buscaban  personas</w:t>
        <w:br/>
        <w:t xml:space="preserve">      involucradas en supuestos actos terroristas, en cumplimento  del  plan</w:t>
        <w:br/>
        <w:t xml:space="preserve">      “Cerco Noventiuno”[34].</w:t>
        <w:br/>
        <w:br/>
        <w:br/>
        <w:t xml:space="preserve">      67.f) Luego de su detención,  Rafael  Samuel  y  Emilio  Moisés  Gómez</w:t>
        <w:br/>
        <w:t xml:space="preserve">      Paquiyauri fueron arrojados al suelo,  golpeados  a  puntapiés,  y  un</w:t>
        <w:br/>
        <w:t xml:space="preserve">      policía se paró sobre sus espaldas[35]. En seguida  los  policías  les</w:t>
        <w:br/>
        <w:t xml:space="preserve">      cubrieron la cabeza y así los arrastraron a la  maletera  de  un  auto</w:t>
        <w:br/>
        <w:t xml:space="preserve">      patrullero[36].   Estas  acciones  fueron  captadas  por  cámaras   de</w:t>
        <w:br/>
        <w:t xml:space="preserve">      televisión del Noticiero “90 segundos” difundido por el Canal 2 de  la</w:t>
        <w:br/>
        <w:t xml:space="preserve">      televisión nacional peruana[37].</w:t>
        <w:br/>
        <w:br/>
        <w:br/>
        <w:t xml:space="preserve">      67.g) Los hermanos Rafael Samuel  y  Emilio  Moisés  Gómez  Paquiyauri</w:t>
        <w:br/>
        <w:t xml:space="preserve">      fueron entonces trasladados, bajo custodia policial,  hasta  un  lugar</w:t>
        <w:br/>
        <w:t xml:space="preserve">      llamado “Pampa de los Perros”, donde fueron golpeados a  culatazos  de</w:t>
        <w:br/>
        <w:t xml:space="preserve">      escopeta y posteriormente asesinados mediante disparos  con  armas  de</w:t>
        <w:br/>
        <w:t xml:space="preserve">      fuego en la cabeza, tórax y otras partes del cuerpo[38].</w:t>
        <w:br/>
        <w:br/>
        <w:br/>
        <w:t xml:space="preserve">      67.h) Aproximadamente una hora después de su detención, los  cadáveres</w:t>
        <w:br/>
        <w:t xml:space="preserve">      de Rafael Samuel y Emilio Moisés Gómez Paquiyauri fueron ingresados  a</w:t>
        <w:br/>
        <w:t xml:space="preserve">      la morgue del hospital San Juan, el cual actualmente se llama  “Daniel</w:t>
        <w:br/>
        <w:t xml:space="preserve">      Alcides Carrión”, como NN (No Identificados)[39].</w:t>
        <w:br/>
        <w:br/>
        <w:br/>
        <w:t xml:space="preserve">      67.i) Antes de morir, Rafael Samuel y Emilio Moisés  Gómez  Paquiyauri</w:t>
        <w:br/>
        <w:t xml:space="preserve">      fueron objeto  de  torturas  producidas  por  agentes  de  la  Policía</w:t>
        <w:br/>
        <w:t xml:space="preserve">      Nacional del Perú[40].</w:t>
        <w:br/>
        <w:br/>
        <w:br/>
        <w:t xml:space="preserve">      67.j) En la morgue, los cuerpos de Rafael Samuel y Emilio Moisés Gómez</w:t>
        <w:br/>
        <w:t xml:space="preserve">      Paquiyauri estaban llenos de sangre y tierra, sucios,  mojados;  había</w:t>
        <w:br/>
        <w:t xml:space="preserve">      masa encefálica en sus cabellos  y  Emilio  tenía  uno  de  sus  dedos</w:t>
        <w:br/>
        <w:t xml:space="preserve">      desprendidos.  Ambos tenían los ojos vaciados[41].</w:t>
        <w:br/>
        <w:br/>
        <w:br/>
        <w:t xml:space="preserve">      67.k) Los agentes estatales involucrados en  los  hechos  trataron  de</w:t>
        <w:br/>
        <w:t xml:space="preserve">      presentar ante la opinión pública a  Rafael  Samuel  y  Emilio  Moisés</w:t>
        <w:br/>
        <w:t xml:space="preserve">      Gómez Paquiyauri como si hubieran sido terroristas,  y  su  muerte  se</w:t>
        <w:br/>
        <w:t xml:space="preserve">      hubiera producido en el marco de un enfrentamiento armado[42].</w:t>
        <w:br/>
        <w:br/>
        <w:t>Con respecto a las actuaciones internas</w:t>
        <w:br/>
        <w:br/>
        <w:t xml:space="preserve">      67.l) Los padres de las presuntas víctimas denunciaron los  hechos  el</w:t>
        <w:br/>
        <w:t xml:space="preserve">      25 de junio de 1991 ante la Fiscal Provincial de la Quinta Fiscalía en</w:t>
        <w:br/>
        <w:t xml:space="preserve">      lo Penal[43].</w:t>
        <w:br/>
        <w:br/>
        <w:br/>
        <w:t xml:space="preserve">      67.m)  Por otro  lado,  la  Policía  Nacional  del  Perú  efectuó  una</w:t>
        <w:br/>
        <w:t xml:space="preserve">      investigación de los hechos, que resultó en el atestado  policial  No.</w:t>
        <w:br/>
        <w:t xml:space="preserve">      281-IC-H-DDCV de 26 de junio de 1991[44].</w:t>
        <w:br/>
        <w:br/>
        <w:br/>
        <w:t xml:space="preserve">      67.n) Con  base  en  la  denuncia  efectuada  por  los  señores  Gómez</w:t>
        <w:br/>
        <w:t xml:space="preserve">      Paquiyauri y el atestado policial No. 281-IC-H-DDCV, el 27 de junio de</w:t>
        <w:br/>
        <w:t xml:space="preserve">      1991, la Quinta Fiscalía en lo Penal formalizó denuncia penal, ante el</w:t>
        <w:br/>
        <w:t xml:space="preserve">      juez instructor de turno, contra varios agentes de la Policía Nacional</w:t>
        <w:br/>
        <w:t xml:space="preserve">      del Perú, entre ellos el sargento Francisco Antezano Santillán, el sub-</w:t>
        <w:br/>
        <w:t xml:space="preserve">      oficial Ángel del Rosario Vásquez Chumo y  el  capitán  César  Augusto</w:t>
        <w:br/>
        <w:t xml:space="preserve">      Santoyo Castro, por el delito de homicidio calificado  en  agravio  de</w:t>
        <w:br/>
        <w:t xml:space="preserve">      Rafael Samuel y  Emilio  Moisés  Gómez  Paquiyauri,  tramitada  en  el</w:t>
        <w:br/>
        <w:t xml:space="preserve">      expediente 227-92[45].</w:t>
        <w:br/>
        <w:br/>
        <w:br/>
        <w:t xml:space="preserve">      67.o) El 21 de septiembre de 1992 el Quinto Juzgado Penal de El Callao</w:t>
        <w:br/>
        <w:t xml:space="preserve">      rindió dictamen final de instrucción[46].</w:t>
        <w:br/>
        <w:br/>
        <w:br/>
        <w:t xml:space="preserve">      67.p) El 9 de noviembre de 1993 la Tercera Sala  Penal  de  El  Callao</w:t>
        <w:br/>
        <w:t xml:space="preserve">      dictó sentencia (en adelante  “la  sentencia  de  9  de  noviembre  de</w:t>
        <w:br/>
        <w:t xml:space="preserve">      1993”)[47], en la que:</w:t>
        <w:br/>
        <w:br/>
        <w:t xml:space="preserve">           67.p.1)     condenó al  sargento  Francisco  Antezano  Santillán</w:t>
        <w:br/>
        <w:t xml:space="preserve">           como autor del delito de  homicidio  calificado  en  agravio  de</w:t>
        <w:br/>
        <w:t xml:space="preserve">           Rafael Samuel Gómez Paquiyauri y Emilio Moisés Gómez Paquiyauri,</w:t>
        <w:br/>
        <w:t xml:space="preserve">           y por el delito contra la función jurisdiccional en agravio  del</w:t>
        <w:br/>
        <w:t xml:space="preserve">           Estado, a la pena privativa de libertad de dieciocho  años  y  a</w:t>
        <w:br/>
        <w:t xml:space="preserve">           inhabilitación de dos años;</w:t>
        <w:br/>
        <w:br/>
        <w:br/>
        <w:t xml:space="preserve">           67.p.2)     condenó al sub-oficial  Ángel  del  Rosario  Vásquez</w:t>
        <w:br/>
        <w:t xml:space="preserve">           Chumo como cómplice, por el delito de  homicidio  calificado  en</w:t>
        <w:br/>
        <w:t xml:space="preserve">           agravio de Rafael Samuel Gómez Paquiyauri y Emilio Moisés  Gómez</w:t>
        <w:br/>
        <w:t xml:space="preserve">           Paquiyauri, y por el delito contra la función jurisdiccional  en</w:t>
        <w:br/>
        <w:t xml:space="preserve">           agravio del Estado, a la pena privativa de libertad de seis años</w:t>
        <w:br/>
        <w:t xml:space="preserve">           y a inhabilitación de dos años;</w:t>
        <w:br/>
        <w:br/>
        <w:br/>
        <w:t xml:space="preserve">           67.p.3)     ordenó que los condenados pagaran a  los  familiares</w:t>
        <w:br/>
        <w:t xml:space="preserve">           de las presuntas víctimas una reparación  civil  de  veinte  mil</w:t>
        <w:br/>
        <w:t xml:space="preserve">           nuevos soles;</w:t>
        <w:br/>
        <w:br/>
        <w:br/>
        <w:t xml:space="preserve">           67.p.4)     determinó la existencia de un autor  intelectual  de</w:t>
        <w:br/>
        <w:t xml:space="preserve">           los hechos, el capitán de la Policía  Nacional  del  Perú  César</w:t>
        <w:br/>
        <w:t xml:space="preserve">           Augusto Santoyo  Castro,  quien  “indicó  al  operador  Antezano</w:t>
        <w:br/>
        <w:t xml:space="preserve">           Santillán que condujera en la maletera a los detenidos  […]  con</w:t>
        <w:br/>
        <w:t xml:space="preserve">           la finalidad de victimarlos y que esta orden le  fue  confirmada</w:t>
        <w:br/>
        <w:t xml:space="preserve">           por la radio en  el  trayecto  en  el  lugar  señalado”[48].  Al</w:t>
        <w:br/>
        <w:t xml:space="preserve">           respecto, la sentencia ordenó que se reservara el juzgamiento al</w:t>
        <w:br/>
        <w:t xml:space="preserve">           acusado César Augusto Santoyo Castro, y  que  se  renovaran  las</w:t>
        <w:br/>
        <w:t xml:space="preserve">           órdenes para su ubicación, captura e internamiento en la  cárcel</w:t>
        <w:br/>
        <w:t xml:space="preserve">           pública; y</w:t>
        <w:br/>
        <w:br/>
        <w:br/>
        <w:t xml:space="preserve">           67.p.5)     concedió el recurso  extraordinario  de  nulidad  de</w:t>
        <w:br/>
        <w:t xml:space="preserve">           oficio, y dispuso que se elevaran los autos a la  Corte  Suprema</w:t>
        <w:br/>
        <w:t xml:space="preserve">           de Justicia de la República.</w:t>
        <w:br/>
        <w:br/>
        <w:t xml:space="preserve">      67.q) El 9 de junio de 1994 la Sala  Transitoria  Penal  de  la  Corte</w:t>
        <w:br/>
        <w:t xml:space="preserve">      Suprema del Perú dictó sentencia, la cual declaró que no había nulidad</w:t>
        <w:br/>
        <w:t xml:space="preserve">      de la sentencia de 9 de  noviembre  de  1993  (supra  párr.  67.p),  y</w:t>
        <w:br/>
        <w:t xml:space="preserve">      confirmó las penas impuestas por la sentencia recurrida[49].</w:t>
        <w:br/>
        <w:br/>
        <w:br/>
        <w:t xml:space="preserve">      67.r) El 10 de noviembre de 1995 el señor Francisco Antezano Santillán</w:t>
        <w:br/>
        <w:t xml:space="preserve">      obtuvo el beneficio de semi-libertad y, el 18 de noviembre de 1994, el</w:t>
        <w:br/>
        <w:t xml:space="preserve">      señor Ángel del Rosario Vásquez Chumo obtuvo el beneficio de  libertad</w:t>
        <w:br/>
        <w:t xml:space="preserve">      condicional[50].</w:t>
        <w:br/>
        <w:br/>
        <w:br/>
        <w:t xml:space="preserve">      67.s) El Estado ha emitido  diversas  órdenes  de  captura  contra  el</w:t>
        <w:br/>
        <w:t xml:space="preserve">      Capitán César Augusto Santoyo Castro, sin que a  la  fecha  haya  sido</w:t>
        <w:br/>
        <w:t xml:space="preserve">      detenido.</w:t>
        <w:br/>
        <w:br/>
        <w:t>Con respecto a los  familiares  de  Rafael  Samuel  y  Emilio  Moisés  Gómez</w:t>
        <w:br/>
        <w:t>Paquiyauri</w:t>
        <w:br/>
        <w:br/>
        <w:t xml:space="preserve">      67.t) Los familiares de Rafael Samuel y Emilio Moisés Gómez Paquiyauri</w:t>
        <w:br/>
        <w:t xml:space="preserve">      son: Marcelina Paquiyauri Illanes de Gómez, su madre;  Ricardo  Samuel</w:t>
        <w:br/>
        <w:t xml:space="preserve">      Gómez Quispe, su padre; y Marcelina  Haydée,  Ricardo  Emilio,  Carlos</w:t>
        <w:br/>
        <w:t xml:space="preserve">      Pedro, Lucy Rosa y Miguel Ángel, todos Gómez Paquiyauri, sus hermanos.</w:t>
        <w:br/>
        <w:br/>
        <w:br/>
        <w:t xml:space="preserve">      67.u) Producto de su relación con Jacinta Peralta  Allccarima,  Rafael</w:t>
        <w:br/>
        <w:t xml:space="preserve">      Samuel Gómez Paquiyauri  tuvo  una  hija,  llamada  Nora  Emely  Gómez</w:t>
        <w:br/>
        <w:t xml:space="preserve">      Peralta, quien nació el 27 de febrero de 1992[51];</w:t>
        <w:br/>
        <w:br/>
        <w:br/>
        <w:t xml:space="preserve">      67.v) Nora Emely Gómez Peralta no ha sido inscrita como hija de Rafael</w:t>
        <w:br/>
        <w:t xml:space="preserve">      Samuel Gómez Paquiyauri, debido al temor de su madre[52].</w:t>
        <w:br/>
        <w:br/>
        <w:br/>
        <w:t xml:space="preserve">      67.w) Después de la muerte de los menores, los  familiares  de  Rafael</w:t>
        <w:br/>
        <w:t xml:space="preserve">      Samuel y Emilio Moisés Gómez Paquiyauri fueron  acosados  en  diversas</w:t>
        <w:br/>
        <w:t xml:space="preserve">      ocasiones por la DINCOTE[53]. Oficiales de  la  DINCOTE  visitaron  la</w:t>
        <w:br/>
        <w:t xml:space="preserve">      casa de la familia Gómez Paquiyauri varias veces, rompiendo muebles  y</w:t>
        <w:br/>
        <w:t xml:space="preserve">      colchones en busca de evidencia que  mostrara  que  los  jóvenes  eran</w:t>
        <w:br/>
        <w:t xml:space="preserve">      subversivos[54]. Además, la DINCOTE enviaba  citaciones  para  que  la</w:t>
        <w:br/>
        <w:t xml:space="preserve">      familia se apersonara a ser interrogada en su dependencia[55],  seguía</w:t>
        <w:br/>
        <w:t xml:space="preserve">      constantemente a los  miembros  de  aquélla[56]  y  por  la  noche  se</w:t>
        <w:br/>
        <w:t xml:space="preserve">      estacionaban carros de la policía en la zona[57]. En varias  ocasiones</w:t>
        <w:br/>
        <w:t xml:space="preserve">      ofrecieron dinero a la familia, aparentemente enviado por jefes de  la</w:t>
        <w:br/>
        <w:t xml:space="preserve">      policía y otras autoridades[58].</w:t>
        <w:br/>
        <w:br/>
        <w:br/>
        <w:t xml:space="preserve">      67.x) Asimismo, varios miembros de la familia Gómez Paquiyauri  fueron</w:t>
        <w:br/>
        <w:t xml:space="preserve">      afectados por  los  hechos.  Los  padres  de  las  presuntas  víctimas</w:t>
        <w:br/>
        <w:t xml:space="preserve">      acudieron a varios lugares en busca de justicia, sin obtener respuesta</w:t>
        <w:br/>
        <w:t xml:space="preserve">      alguna[59].  La señora Marcelina Paquiyauri, madre  de  las  presuntas</w:t>
        <w:br/>
        <w:t xml:space="preserve">      víctimas, sufrió un deterioro en su salud. En los días  posteriores  a</w:t>
        <w:br/>
        <w:t xml:space="preserve">      la muerte de sus hijos, los señores Gómez Paquiyauri  abandonaron  por</w:t>
        <w:br/>
        <w:t xml:space="preserve">      algún tiempo sus actividades de trabajo, el padre tres  semanas[60]  y</w:t>
        <w:br/>
        <w:t xml:space="preserve">      la madre un año[61].  La  hermana  mayor  de  los  menores,  Marcelina</w:t>
        <w:br/>
        <w:t xml:space="preserve">      Haydeé Gómez Paquiyauri, quien se encontraba embarazada de 9 meses  en</w:t>
        <w:br/>
        <w:t xml:space="preserve">      la época de los hechos, se puso mal de los nervios y  perdió  su  bebé</w:t>
        <w:br/>
        <w:t xml:space="preserve">      algunos días después[62]. En los  días  posteriores  a  la  ejecución,</w:t>
        <w:br/>
        <w:t xml:space="preserve">      Miguel Ángel sentía temor de permanecer  solo  en  la  casa  y  sufrió</w:t>
        <w:br/>
        <w:t xml:space="preserve">      problemas para conciliar el sueño. Asimismo, al terminar la secundaria</w:t>
        <w:br/>
        <w:t xml:space="preserve">      no pudo seguir estudiando por las carencias económicas que  sufría  la</w:t>
        <w:br/>
        <w:t xml:space="preserve">      familia[63]. De igual manera  que  sus  familiares,  Lucy  Rosa  Gómez</w:t>
        <w:br/>
        <w:t xml:space="preserve">      Paquiyauri sufrió  padecimientos  físicos  como  consecuencia  de  los</w:t>
        <w:br/>
        <w:t xml:space="preserve">      hechos.</w:t>
        <w:br/>
        <w:br/>
        <w:br/>
        <w:t xml:space="preserve">      67.y) El 29 de octubre de 1992 la hermana de las  presuntas  víctimas,</w:t>
        <w:br/>
        <w:t xml:space="preserve">      Lucy Rosa Gómez Paquiyauri, quien en ese momento tenía  16  años,  fue</w:t>
        <w:br/>
        <w:t xml:space="preserve">      detenida, y liberada cuatro años después[64].</w:t>
        <w:br/>
        <w:br/>
        <w:br/>
        <w:t xml:space="preserve">      67.z) La impunidad parcial  existente  en  este  caso  sigue  causando</w:t>
        <w:br/>
        <w:t xml:space="preserve">      sufrimientos a los familiares de Rafael Samuel y Emilio  Moisés  Gómez</w:t>
        <w:br/>
        <w:t xml:space="preserve">      Paquiyauri[65].</w:t>
        <w:br/>
        <w:br/>
        <w:t>Con  respecto  a  la  representación  de  los  familiares  ante  el  sistema</w:t>
        <w:br/>
        <w:t>interamericano de protección de los derechos humanos y los gastos  relativos</w:t>
        <w:br/>
        <w:t>a dicha representación</w:t>
        <w:br/>
        <w:br/>
        <w:t xml:space="preserve">      67.aa)      CEAPAZ actuó en representación de las presuntas víctimas y</w:t>
        <w:br/>
        <w:t xml:space="preserve">      sus familiares ante la Comisión Interamericana, por lo cual asumió una</w:t>
        <w:br/>
        <w:t xml:space="preserve">      serie  de  gastos[66].   La  señora  Mónica  Feria  Tinta   actuó   en</w:t>
        <w:br/>
        <w:t xml:space="preserve">      representación de las presuntas víctimas  y  sus  familiares  ante  la</w:t>
        <w:br/>
        <w:t xml:space="preserve">      Corte Interamericana, por lo cual también asumió diversos gastos[67].</w:t>
        <w:br/>
        <w:br/>
        <w:t xml:space="preserve">                                    VIII</w:t>
        <w:br/>
        <w:t xml:space="preserve">                  Responsabilidad Internacional del Estado</w:t>
        <w:br/>
        <w:br/>
        <w:t>Alegatos de la Comisión</w:t>
        <w:br/>
        <w:br/>
        <w:t>68.   En  relación  con  el  origen  la  responsabilidad  internacional  del</w:t>
        <w:br/>
        <w:t>Estado, la Comisión señaló que:</w:t>
        <w:br/>
        <w:br/>
        <w:t xml:space="preserve">      a)    en el sistema interamericano de protección de  derechos  humanos</w:t>
        <w:br/>
        <w:t xml:space="preserve">      la responsabilidad internacional del Estado surge cuando se genera  el</w:t>
        <w:br/>
        <w:t xml:space="preserve">      acto violatorio de los derechos humanos; sin embargo, dicho sistema es</w:t>
        <w:br/>
        <w:t xml:space="preserve">      subsidiario, y el Estado tiene la facultad y el  deber  de  tratar  de</w:t>
        <w:br/>
        <w:t xml:space="preserve">      solucionar el asunto a nivel interno, es decir, investigar,  sancionar</w:t>
        <w:br/>
        <w:t xml:space="preserve">      e indemnizar;</w:t>
        <w:br/>
        <w:br/>
        <w:br/>
        <w:t xml:space="preserve">      b)    en este sentido, si el Estado investiga y sanciona a  todos  los</w:t>
        <w:br/>
        <w:t xml:space="preserve">      responsables de los hechos e indemniza adecuadamente a las [presuntas]</w:t>
        <w:br/>
        <w:t xml:space="preserve">      víctimas   o   sus   familiares,   “descarg[a]   su    responsabilidad</w:t>
        <w:br/>
        <w:t xml:space="preserve">      internacional, que había surgido cuando se dieron los hechos y  ya  no</w:t>
        <w:br/>
        <w:t xml:space="preserve">      es responsable internacionalmente, ante el sistema interamericano  [de</w:t>
        <w:br/>
        <w:t xml:space="preserve">      protección] de derechos humanos por incumplimiento de su  obligación”;</w:t>
        <w:br/>
        <w:t xml:space="preserve">      y</w:t>
        <w:br/>
        <w:br/>
        <w:br/>
        <w:t xml:space="preserve">      c)    “al momento de estudiar si se aplica o no [la]  responsabilidad,</w:t>
        <w:br/>
        <w:t xml:space="preserve">      hay  que  tener  en  cuenta  el  carácter  subsidiario   del   sistema</w:t>
        <w:br/>
        <w:t xml:space="preserve">      interamericano y ver cuál fue el resultado de las actuaciones a  nivel</w:t>
        <w:br/>
        <w:t xml:space="preserve">      interno, de lo contrario el sistema  interamericano  prácticamente  se</w:t>
        <w:br/>
        <w:t xml:space="preserve">      convertiría en un  Tribunal  original  y  principal  y  perdería  [el]</w:t>
        <w:br/>
        <w:t xml:space="preserve">      carácter subsidiario que la Convención Interamericana le otorga”.</w:t>
        <w:br/>
        <w:br/>
        <w:br/>
        <w:t>Alegatos de la representante de las presuntas víctimas y sus familiares</w:t>
        <w:br/>
        <w:br/>
        <w:br/>
        <w:t>69.   Respecto del  surgimiento  de  la  responsabilidad  internacional  del</w:t>
        <w:br/>
        <w:t>Estado,  la  representante  de  las  presuntas  víctimas  y  sus  familiares</w:t>
        <w:br/>
        <w:t>manifestó que:</w:t>
        <w:br/>
        <w:br/>
        <w:t xml:space="preserve">      a)    la responsabilidad del Estado no surge a raíz de una falta de</w:t>
        <w:br/>
        <w:t xml:space="preserve">      debida investigación, sino desde el momento en que violó directamente</w:t>
        <w:br/>
        <w:t xml:space="preserve">      las normas de carácter sustantivo de la Convención.  En el presente</w:t>
        <w:br/>
        <w:t xml:space="preserve">      caso, no nos encontramos ante una violación “procesal” de los</w:t>
        <w:br/>
        <w:t xml:space="preserve">      artículos de la Convención por “falta de investigación y sanción de</w:t>
        <w:br/>
        <w:t xml:space="preserve">      los responsables”, sino que, ante todo, la responsabilidad</w:t>
        <w:br/>
        <w:t xml:space="preserve">      internacional del Estado está cuestionada por haber violado su</w:t>
        <w:br/>
        <w:t xml:space="preserve">      obligación de respetar los derechos consagrados en la Convención</w:t>
        <w:br/>
        <w:t xml:space="preserve">      Americana, en perjuicio de Rafael Samuel y Emilio Moisés Gómez</w:t>
        <w:br/>
        <w:t xml:space="preserve">      Paquiyauri;</w:t>
        <w:br/>
        <w:br/>
        <w:br/>
        <w:t xml:space="preserve">      b)    el Estado como sujeto de derecho internacional es responsable</w:t>
        <w:br/>
        <w:t xml:space="preserve">      por la conducta de todos sus órganos, agentes y oficiales que forman</w:t>
        <w:br/>
        <w:t xml:space="preserve">      parte de su organización y actúan en dicha capacidad.  “[N]o se debe</w:t>
        <w:br/>
        <w:t xml:space="preserve">      confundir la responsabilidad del Estado por la violación de la norma</w:t>
        <w:br/>
        <w:t xml:space="preserve">      primaria (de los […] instrumentos internacionales relevantes) por</w:t>
        <w:br/>
        <w:t xml:space="preserve">      [los] hechos que le son atribuibles, con la cuestión relativa a su</w:t>
        <w:br/>
        <w:t xml:space="preserve">      obligación (regla secundaria) de reparar dichas violaciones”. Por otro</w:t>
        <w:br/>
        <w:t xml:space="preserve">      lado, las normas de carácter primario en los instrumentos que</w:t>
        <w:br/>
        <w:t xml:space="preserve">      establecen las obligaciones relevantes en este asunto (la Convención</w:t>
        <w:br/>
        <w:t xml:space="preserve">      Americana y la Convención Interamericana contra la Tortura), disponen</w:t>
        <w:br/>
        <w:t xml:space="preserve">      la obligación de investigar los casos donde se alegue la violación de</w:t>
        <w:br/>
        <w:t xml:space="preserve">      dichas normas y garantizar el cumplimiento de la decisión como</w:t>
        <w:br/>
        <w:t xml:space="preserve">      resultado de las respectivas investigaciones;</w:t>
        <w:br/>
        <w:br/>
        <w:br/>
        <w:t xml:space="preserve">      c)    los principios relativos al surgimiento de la responsabilidad de</w:t>
        <w:br/>
        <w:t xml:space="preserve">      los Estados bajo el derecho internacional por actos atribuibles a</w:t>
        <w:br/>
        <w:t xml:space="preserve">      éstos, son diferentes del principio de derecho internacional según el</w:t>
        <w:br/>
        <w:t xml:space="preserve">      cual los Estados deben tener la oportunidad, en primer lugar, de</w:t>
        <w:br/>
        <w:t xml:space="preserve">      remediar la violación de una norma internacional dentro del marco de</w:t>
        <w:br/>
        <w:t xml:space="preserve">      su derecho doméstico antes que su responsabilidad pueda ser</w:t>
        <w:br/>
        <w:t xml:space="preserve">      cuestionada a nivel internacional; y</w:t>
        <w:br/>
        <w:br/>
        <w:br/>
        <w:t xml:space="preserve">      d)    en el presente caso, la responsabilidad internacional del Estado</w:t>
        <w:br/>
        <w:t xml:space="preserve">      surgió desde el momento que violó la Convención Americana “con la</w:t>
        <w:br/>
        <w:t xml:space="preserve">      perpetración de la detención arbitraria, tortura y ejecución sumaria</w:t>
        <w:br/>
        <w:t xml:space="preserve">      de Rafael Samuel y Emilio Moisés Gómez Paquiyauri”. El incumplimiento</w:t>
        <w:br/>
        <w:t xml:space="preserve">      posterior con la falta de investigación efectiva y sanción de los</w:t>
        <w:br/>
        <w:t xml:space="preserve">      responsables constituye también una violación de sus obligaciones</w:t>
        <w:br/>
        <w:t xml:space="preserve">      internacionales, sin embargo no es “en modo alguno la violación</w:t>
        <w:br/>
        <w:t xml:space="preserve">      central o única fuente de responsabilidad del Estado peruano en el</w:t>
        <w:br/>
        <w:t xml:space="preserve">      presente caso”.</w:t>
        <w:br/>
        <w:br/>
        <w:br/>
        <w:t>Alegatos del Estado</w:t>
        <w:br/>
        <w:br/>
        <w:br/>
        <w:t>70.   En su escrito de contestación de la  demanda,  el  Estado  indicó  que</w:t>
        <w:br/>
        <w:t>“las violaciones a  los  derechos  humanos  cometidas  por  sus  agentes  en</w:t>
        <w:br/>
        <w:t>perjuicio de los  hermanos  Gómez  Paquiyauri  y  sus  familiares  han  sido</w:t>
        <w:br/>
        <w:t>debidamente sancionadas, es decir, se han agotado todas las  investigaciones</w:t>
        <w:br/>
        <w:t>del caso para determinar e individualizar a los  autores  y  partícipes  del</w:t>
        <w:br/>
        <w:t>crimen contra los hermanos Gómez Paquiyauri”.</w:t>
        <w:br/>
        <w:br/>
        <w:br/>
        <w:t>Consideraciones de la Corte</w:t>
        <w:br/>
        <w:br/>
        <w:br/>
        <w:t>71.   La Corte procederá ahora al análisis de si el Estado es responsable</w:t>
        <w:br/>
        <w:t>internacionalmente por los hechos que el Tribunal ha tenido por probados.</w:t>
        <w:br/>
        <w:t>En relación con el origen de la responsabilidad internacional del Estado,</w:t>
        <w:br/>
        <w:t>el Tribunal ya ha señalado que “entiende que la responsabilidad</w:t>
        <w:br/>
        <w:t>internacional del Estado puede generarse por actos u omisiones de cualquier</w:t>
        <w:br/>
        <w:t>poder u órgano de éste, independientemente de su jerarquía, que violen la</w:t>
        <w:br/>
        <w:t>Convención Americana”[68].</w:t>
        <w:br/>
        <w:br/>
        <w:t>72.   Al respecto, la Corte ha señalado que</w:t>
        <w:br/>
        <w:br/>
        <w:t xml:space="preserve">      [e]l artículo 1.1 es fundamental para determinar si una  violación  de</w:t>
        <w:br/>
        <w:t xml:space="preserve">      los derechos humanos reconocidos por la Convención puede ser atribuida</w:t>
        <w:br/>
        <w:t xml:space="preserve">      a un Estado Parte.  En efecto, dicho artículo  pone  a  cargo  de  los</w:t>
        <w:br/>
        <w:t xml:space="preserve">      Estados Partes los deberes fundamentales de respeto y de garantía,  de</w:t>
        <w:br/>
        <w:t xml:space="preserve">      tal modo que todo menoscabo a los derechos humanos reconocidos  en  la</w:t>
        <w:br/>
        <w:t xml:space="preserve">      Convención que pueda ser  atribuido,  según  las  reglas  del  Derecho</w:t>
        <w:br/>
        <w:t xml:space="preserve">      internacional, a la acción u omisión de cualquier  autoridad  pública,</w:t>
        <w:br/>
        <w:t xml:space="preserve">      constituye  un  hecho  imputable   al   Estado   que   compromete   su</w:t>
        <w:br/>
        <w:t xml:space="preserve">      responsabilidad en los términos previstos por la misma Convención.</w:t>
        <w:br/>
        <w:br/>
        <w:br/>
        <w:t xml:space="preserve">      Conforme al artículo 1.1 es ilícita toda forma de ejercicio del  poder</w:t>
        <w:br/>
        <w:t xml:space="preserve">      público que viole los derechos reconocidos por la Convención.  En  tal</w:t>
        <w:br/>
        <w:t xml:space="preserve">      sentido, en toda circunstancia en la cual un órgano o funcionario  del</w:t>
        <w:br/>
        <w:t xml:space="preserve">      Estado o de una institución de carácter público lesione  indebidamente</w:t>
        <w:br/>
        <w:t xml:space="preserve">      uno de tales derechos, se está ante un supuesto de  inobservancia  del</w:t>
        <w:br/>
        <w:t xml:space="preserve">      deber de respeto consagrado en ese artículo[69].</w:t>
        <w:br/>
        <w:br/>
        <w:t>73.   La Corte considera que el Derecho Internacional de los Derechos</w:t>
        <w:br/>
        <w:t>Humanos tiene por fin proporcionar al individuo medios de protección de los</w:t>
        <w:br/>
        <w:t>derechos humanos reconocidos internacionalmente frente al Estado.  En la</w:t>
        <w:br/>
        <w:t>jurisdicción internacional, las partes y la materia de la controversia son,</w:t>
        <w:br/>
        <w:t>por definición, distintas de la jurisdicción interna[70].  Como lo ha</w:t>
        <w:br/>
        <w:t>señalado en otras ocasiones[71], en el presente caso la Corte tiene</w:t>
        <w:br/>
        <w:t>atribuciones para establecer la responsabilidad internacional del Estado y</w:t>
        <w:br/>
        <w:t>sus consecuencias jurídicas, no así para investigar y sancionar la conducta</w:t>
        <w:br/>
        <w:t>individual de los agentes del Estado que hubiesen participado en las</w:t>
        <w:br/>
        <w:t>violaciones.</w:t>
        <w:br/>
        <w:br/>
        <w:t>74.   El Estado alegó que las violaciones a los derechos humanos cometidas</w:t>
        <w:br/>
        <w:t>por sus agentes, en perjuicio de los hermanos Gómez Paquiyauri, han sido</w:t>
        <w:br/>
        <w:t>debidamente sancionadas y, por tanto, solicitó que se declare que no ha</w:t>
        <w:br/>
        <w:t>habido ninguna violación por parte del Perú.</w:t>
        <w:br/>
        <w:br/>
        <w:t>75.    Sin embargo, la Corte hace notar que la denuncia interpuesta ante la</w:t>
        <w:br/>
        <w:t>Comisión Interamericana el 2 de julio de 1991, así como la apertura del</w:t>
        <w:br/>
        <w:t>caso por parte de la Comisión el 12 de junio de 1992, precedieron la</w:t>
        <w:br/>
        <w:t>terminación del proceso interno al que alude el Estado, proceso que terminó</w:t>
        <w:br/>
        <w:t>mediante sentencia emitida el 9 de noviembre de 1993 por la Tercera Sala</w:t>
        <w:br/>
        <w:t>Penal de El Callao, la cual fue confirmada por la sentencia de la Sala</w:t>
        <w:br/>
        <w:t>Transitoria Penal de la Corte Suprema del Perú de 9 de junio de 1994 (supra</w:t>
        <w:br/>
        <w:t>párrs. 67.p y 67.q).  Como consecuencia de ello, cuando el sistema</w:t>
        <w:br/>
        <w:t>interamericano conoció el caso, los hechos generadores de las violaciones</w:t>
        <w:br/>
        <w:t>alegadas ya se habían cometido. Este Tribunal debe recordar que la</w:t>
        <w:br/>
        <w:t>responsabilidad internacional del Estado se genera de inmediato con el</w:t>
        <w:br/>
        <w:t>ilícito internacional a él atribuido, aunque sólo puede ser exigida después</w:t>
        <w:br/>
        <w:t>de que el Estado haya tenido la oportunidad de repararlo por sus propios</w:t>
        <w:br/>
        <w:t>medios.  Una posible reparación posterior llevada a cabo en el derecho</w:t>
        <w:br/>
        <w:t>interno, no inhibe a la Comisión ni a la Corte para conocer un caso que ya</w:t>
        <w:br/>
        <w:t>se ha iniciado bajo la Convención Americana.  Es por ello que la posición</w:t>
        <w:br/>
        <w:t>del Estado de haber investigado debidamente no puede ser aceptada por la</w:t>
        <w:br/>
        <w:t>Corte para declarar que el Estado no ha violado la Convención.</w:t>
        <w:br/>
        <w:br/>
        <w:t>76.   La Corte considera igualmente que, conforme a  lo  establecido  en  el</w:t>
        <w:br/>
        <w:t>capítulo de hechos probados, la responsabilidad del Estado  se  ve  agravada</w:t>
        <w:br/>
        <w:t>por existir en el Perú en la época de los hechos  una  práctica  sistemática</w:t>
        <w:br/>
        <w:t>de   violaciones   de   derechos   humanos,    entre    ellas    ejecuciones</w:t>
        <w:br/>
        <w:t>extrajudiciales, de personas sospechosas  de  pertenecer  a  grupos  armados</w:t>
        <w:br/>
        <w:t>realizadas por agentes estatales siguiendo  órdenes  de  jefes  militares  y</w:t>
        <w:br/>
        <w:t>policiales[72].  Dichas  violaciones  graves   infringen   el   jus   cogens</w:t>
        <w:br/>
        <w:t>internacional.  Asimismo,  para  la  determinación  de  la   responsabilidad</w:t>
        <w:br/>
        <w:t>agravada, se debe tomar en cuenta que las presuntas víctimas  de  este  caso</w:t>
        <w:br/>
        <w:t>eran niños.</w:t>
        <w:br/>
        <w:br/>
        <w:t xml:space="preserve">                                     IX</w:t>
        <w:br/>
        <w:t xml:space="preserve">                       Derecho a la Libertad Personal</w:t>
        <w:br/>
        <w:t xml:space="preserve">                                 Artículo 7</w:t>
        <w:br/>
        <w:t>en relación con el artículo 1.1</w:t>
        <w:br/>
        <w:br/>
        <w:t>Alegatos de la Comisión</w:t>
        <w:br/>
        <w:br/>
        <w:t>77.   La Comisión alegó que el Estado violó el derecho a la libertad</w:t>
        <w:br/>
        <w:t>personal consagrado en el artículo 7 de la Convención Americana, en</w:t>
        <w:br/>
        <w:t>relación con el artículo 1.1 del mismo tratado, en perjuicio de Emilio</w:t>
        <w:br/>
        <w:t>Moisés y Rafael Samuel Gómez Paquiyauri, en razón de que:</w:t>
        <w:br/>
        <w:br/>
        <w:t xml:space="preserve">      a)    una detención es arbitraria e ilegal cuando es practicada por</w:t>
        <w:br/>
        <w:t xml:space="preserve">      agentes estatales al margen de los motivos y formalidades que</w:t>
        <w:br/>
        <w:t xml:space="preserve">      establece la ley, cuando se ejecuta sin observar las normas exigidas</w:t>
        <w:br/>
        <w:t xml:space="preserve">      por ésta, y cuando se ha incurrido en desviación de las facultades de</w:t>
        <w:br/>
        <w:t xml:space="preserve">      detención, es decir, cuando se practica para fines distintos a los</w:t>
        <w:br/>
        <w:t xml:space="preserve">      previstos y requeridos por la ley;</w:t>
        <w:br/>
        <w:br/>
        <w:br/>
        <w:t xml:space="preserve">      b)    los hermanos Gómez Paquiyauri fueron detenidos ilegal y</w:t>
        <w:br/>
        <w:t xml:space="preserve">      arbitrariamente por miembros de la Policía Nacional del Perú, sin que</w:t>
        <w:br/>
        <w:t xml:space="preserve">      mediara orden de detención alguna o situación de flagrancia;</w:t>
        <w:br/>
        <w:br/>
        <w:br/>
        <w:t xml:space="preserve">      c)    no obstante haber sido decretado, en diversos departamentos, un</w:t>
        <w:br/>
        <w:t xml:space="preserve">      estado de emergencia que permitía la detención de una persona sin</w:t>
        <w:br/>
        <w:t xml:space="preserve">      orden judicial emanada de un juez competente y sin necesidad de la</w:t>
        <w:br/>
        <w:t xml:space="preserve">      existencia de una situación de flagrancia, la facultad de las</w:t>
        <w:br/>
        <w:t xml:space="preserve">      autoridades de realizar una detención no es ilimitada y, por ello, los</w:t>
        <w:br/>
        <w:t xml:space="preserve">      agentes del Estado no pueden obviar los presupuestos legales</w:t>
        <w:br/>
        <w:t xml:space="preserve">      necesarios para decretar legalmente tal medida, ni el ejercicio de</w:t>
        <w:br/>
        <w:t xml:space="preserve">      controles judiciales sobre la forma en que se ha realizado la</w:t>
        <w:br/>
        <w:t xml:space="preserve">      detención;</w:t>
        <w:br/>
        <w:br/>
        <w:br/>
        <w:t xml:space="preserve">      d)    toda persona privada de su libertad debe ser mantenida en</w:t>
        <w:br/>
        <w:t xml:space="preserve">      lugares de detención oficialmente reconocidos y presentada sin demora,</w:t>
        <w:br/>
        <w:t xml:space="preserve">      conforme a la legislación interna, a la autoridad judicial competente;</w:t>
        <w:br/>
        <w:t xml:space="preserve">      además, el Estado tiene la obligación de garantizar al detenido la</w:t>
        <w:br/>
        <w:t xml:space="preserve">      posibilidad de interponer un recurso judicial efectivo que permita el</w:t>
        <w:br/>
        <w:t xml:space="preserve">      control judicial sobre la legalidad de la detención;</w:t>
        <w:br/>
        <w:br/>
        <w:br/>
        <w:t xml:space="preserve">      e)    los hermanos Gómez Paquiyauri fueron privados arbitrariamente de</w:t>
        <w:br/>
        <w:t xml:space="preserve">      la libertad, no fueron informados sobre los motivos de su detención,</w:t>
        <w:br/>
        <w:t xml:space="preserve">      no fueron notificados de los cargos formulados contra ellos, no fueron</w:t>
        <w:br/>
        <w:t xml:space="preserve">      presentados inmediatamente ante un juez u otro funcionario autorizado</w:t>
        <w:br/>
        <w:t xml:space="preserve">      por la ley para ejercer funciones judiciales y no contaron con la</w:t>
        <w:br/>
        <w:t xml:space="preserve">      posibilidad de recurrir ante un juez o tribunal competente para</w:t>
        <w:br/>
        <w:t xml:space="preserve">      presentar un recurso con el fin de cuestionar la legalidad de su</w:t>
        <w:br/>
        <w:t xml:space="preserve">      detención; y</w:t>
        <w:br/>
        <w:br/>
        <w:br/>
        <w:t xml:space="preserve">      f)    aproximadamente una hora después de su detención, las presuntas</w:t>
        <w:br/>
        <w:t xml:space="preserve">      víctimas se encontraban muertas, lo cual evidencia que “[l]a detención</w:t>
        <w:br/>
        <w:t xml:space="preserve">      de los hermanos Gómez Paquiyauri tuvo como objetivo su asesinato[, lo</w:t>
        <w:br/>
        <w:t xml:space="preserve">      cual] por sí mismo la hace arbitraria e ilegal”.</w:t>
        <w:br/>
        <w:br/>
        <w:t>Alegatos de la representante de las presuntas víctimas y sus familiares</w:t>
        <w:br/>
        <w:br/>
        <w:t>78.   La representante de las presuntas víctimas y sus familiares consideró</w:t>
        <w:br/>
        <w:t>que el Estado violó el artículo 7 de la Convención Americana, en perjuicio</w:t>
        <w:br/>
        <w:t>de Emilio Moisés y Rafael Samuel Gómez Paquiyauri, en razón de que:</w:t>
        <w:br/>
        <w:br/>
        <w:br/>
        <w:t xml:space="preserve">      a)    aun en estado de emergencia, la suspensión de la garantía de la</w:t>
        <w:br/>
        <w:t xml:space="preserve">      libertad personal autorizada por el artículo 27 de la Convención nunca</w:t>
        <w:br/>
        <w:t xml:space="preserve">      puede llegar a ser total; los presupuestos legales para que proceda</w:t>
        <w:br/>
        <w:t xml:space="preserve">      una detención consagrados en el artículo 7 de la Convención Americana,</w:t>
        <w:br/>
        <w:t xml:space="preserve">      que ya forman parte de la noción del debido proceso, son inderogables</w:t>
        <w:br/>
        <w:t xml:space="preserve">      aun en circunstancias de conflicto armado;</w:t>
        <w:br/>
        <w:br/>
        <w:br/>
        <w:t xml:space="preserve">      b)    en la normativa interna del Estado no existe una “discreción</w:t>
        <w:br/>
        <w:t xml:space="preserve">      ilimitada” en la restricción de la facultad de detención en</w:t>
        <w:br/>
        <w:t xml:space="preserve">      situaciones de conflicto armado;</w:t>
        <w:br/>
        <w:br/>
        <w:br/>
        <w:t xml:space="preserve">      c)    la detención de las presuntas víctimas fue ilegal y se realizó</w:t>
        <w:br/>
        <w:t xml:space="preserve">      sin respetar sus garantías judiciales mínimas. La ilegalidad en el</w:t>
        <w:br/>
        <w:t xml:space="preserve">      proceso de detención se evidencia por el hecho de que los policías</w:t>
        <w:br/>
        <w:t xml:space="preserve">      involucrados nunca solicitaron documentos de identificación a los</w:t>
        <w:br/>
        <w:t xml:space="preserve">      hermanos Gómez Paquiyauri, documentación que ambos portaban y que</w:t>
        <w:br/>
        <w:t xml:space="preserve">      hubiera comprobado no sólo su condición de menores sino, además, que</w:t>
        <w:br/>
        <w:t xml:space="preserve">      ambos habitaban en la zona donde fueron detenidos. A los menores se</w:t>
        <w:br/>
        <w:t xml:space="preserve">      les privó de cualquier acción que pudiera cuestionar la legalidad de</w:t>
        <w:br/>
        <w:t xml:space="preserve">      su detención;</w:t>
        <w:br/>
        <w:br/>
        <w:br/>
        <w:t xml:space="preserve">      d)    la detención de las presuntas víctimas no tuvo como objetivo la</w:t>
        <w:br/>
        <w:t xml:space="preserve">      investigación ni ningún otro fin legal; por el contrario, su único fin</w:t>
        <w:br/>
        <w:t xml:space="preserve">      era “su asesinato”; y</w:t>
        <w:br/>
        <w:br/>
        <w:br/>
        <w:t xml:space="preserve">      e)    el testigo Víctor Chuquitaype Eguiluz confirmó que “no medió</w:t>
        <w:br/>
        <w:t xml:space="preserve">      flagrancia para las detenciones de los menores por cuanto [é]stos eran</w:t>
        <w:br/>
        <w:t xml:space="preserve">      del barrio y nada habían tenido que ver con crimen alguno para</w:t>
        <w:br/>
        <w:t xml:space="preserve">      justificar su detención e investigación así como que era evidente que</w:t>
        <w:br/>
        <w:t xml:space="preserve">      se trataba […] de menores de edad por su aspecto y contextura”.</w:t>
        <w:br/>
        <w:br/>
        <w:br/>
        <w:t>Alegatos del Estado</w:t>
        <w:br/>
        <w:br/>
        <w:t>79.   En relación con la supuesta violación del artículo 7 de la</w:t>
        <w:br/>
        <w:t>Convención, el Estado manifestó que “efectivamente los agentes [p]oliciales</w:t>
        <w:br/>
        <w:t>del Estado [p]eruano, violaron el derecho a la libertad individual de las</w:t>
        <w:br/>
        <w:t>[presuntas] víctimas, ya que se [las] detuvo sin mediar flagrancia ni orden</w:t>
        <w:br/>
        <w:t>judicial de por medio, y que por tanto, se actuó de manera arbitraria”.</w:t>
        <w:br/>
        <w:br/>
        <w:t>Consideraciones de la Corte</w:t>
        <w:br/>
        <w:br/>
        <w:t>80.   El artículo 7 de la Convención Americana establece que:</w:t>
        <w:br/>
        <w:br/>
        <w:t xml:space="preserve">      1.    Toda persona tiene derecho a la libertad y a la seguridad</w:t>
        <w:br/>
        <w:t xml:space="preserve">      personales.</w:t>
        <w:br/>
        <w:br/>
        <w:br/>
        <w:t xml:space="preserve">      2.    Nadie puede ser privado de su libertad física, salvo por las</w:t>
        <w:br/>
        <w:t xml:space="preserve">      causas y en las condiciones fijadas de antemano por las Constituciones</w:t>
        <w:br/>
        <w:t xml:space="preserve">      Políticas de los Estados Partes o por las leyes dictadas conforme a</w:t>
        <w:br/>
        <w:t xml:space="preserve">      ellas.</w:t>
        <w:br/>
        <w:br/>
        <w:br/>
        <w:t xml:space="preserve">      3.    Nadie puede ser sometido a detención o encarcelamiento</w:t>
        <w:br/>
        <w:t xml:space="preserve">      arbitrarios.</w:t>
        <w:br/>
        <w:br/>
        <w:br/>
        <w:t xml:space="preserve">      4.    Toda persona detenida o retenida debe ser informada de las</w:t>
        <w:br/>
        <w:t xml:space="preserve">      razones de su detención y notificada, sin demora, del cargo o cargos</w:t>
        <w:br/>
        <w:t xml:space="preserve">      formulados contra ella.</w:t>
        <w:br/>
        <w:br/>
        <w:br/>
        <w:t xml:space="preserve">      5.    Toda persona detenida o retenida debe ser llevada, sin demora,</w:t>
        <w:br/>
        <w:t xml:space="preserve">      ante un juez u otro funcionario autorizado por la ley para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Su libertad podrá estar condicionada a garantías que</w:t>
        <w:br/>
        <w:t xml:space="preserve">      aseguren su comparecencia en el juicio.</w:t>
        <w:br/>
        <w:br/>
        <w:br/>
        <w:t xml:space="preserve">      6.    Toda persona privada de libertad tiene derecho a recurrir ante</w:t>
        <w:br/>
        <w:t xml:space="preserve">      un juez o tribunal competente, a fin de que éste decida, sin demora,</w:t>
        <w:br/>
        <w:t xml:space="preserve">      sobre la legalidad de su arresto o detención y ordene su libertad si</w:t>
        <w:br/>
        <w:t xml:space="preserve">      el arresto o la detención fueran ilegales.  En los Estados Partes</w:t>
        <w:br/>
        <w:t xml:space="preserve">      cuyas leyes prevén que toda persona que se viera amenazada de ser</w:t>
        <w:br/>
        <w:t xml:space="preserve">      privada de su libertad tiene derecho a recurrir a un juez o tribunal</w:t>
        <w:br/>
        <w:t xml:space="preserve">      competente a fin de que éste decida sobre la legalidad de tal amenaza,</w:t>
        <w:br/>
        <w:t xml:space="preserve">      dicho recurso no puede ser restringido ni abolido.  Los recursos</w:t>
        <w:br/>
        <w:t xml:space="preserve">      podrán interponerse por sí o por otra persona.</w:t>
        <w:br/>
        <w:br/>
        <w:br/>
        <w:t xml:space="preserve">      […]</w:t>
        <w:br/>
        <w:br/>
        <w:t>81.   El Perú ha reconocido que, en el presente caso, “efectivamente los</w:t>
        <w:br/>
        <w:t>agentes [p]oliciales del Estado [p]eruano, violaron el derecho a la</w:t>
        <w:br/>
        <w:t>libertad individual de las [presuntas] víctimas, ya que se [las] detuvo sin</w:t>
        <w:br/>
        <w:t>mediar flagrancia ni orden judicial de por medio, y que por tanto, se actuó</w:t>
        <w:br/>
        <w:t>de manera arbitraria”.  En este sentido, está probado (supra párrs. 67.e a</w:t>
        <w:br/>
        <w:t>67.k) que Rafael Samuel y Emilio Moisés Gómez Paquiyauri fueron detenidos</w:t>
        <w:br/>
        <w:t>por agentes de la Policía Nacional del Perú, sin que les dieran a conocer</w:t>
        <w:br/>
        <w:t>los motivos de su detención o los cargos que se les imputaban, que no</w:t>
        <w:br/>
        <w:t>fueron conducidos ante una autoridad competente y que aproximadamente una</w:t>
        <w:br/>
        <w:t>hora después de haber sido detenidos sus cuerpos sin vida fueron ingresados</w:t>
        <w:br/>
        <w:t>en el Hospital San Juan.  El Tribunal procederá a determinar si dichos</w:t>
        <w:br/>
        <w:t>hechos son violatorios de las disposiciones establecidas en el artículo 7</w:t>
        <w:br/>
        <w:t>de la Convención.</w:t>
        <w:br/>
        <w:br/>
        <w:t>82.   Esta Corte ha indicado que la protección de  la  libertad  salvaguarda</w:t>
        <w:br/>
        <w:t>“tanto la libertad física de los individuos como la seguridad  personal,  en</w:t>
        <w:br/>
        <w:t>un contexto en el  que  la  ausencia  de  garantías  puede  resultar  de  la</w:t>
        <w:br/>
        <w:t>subversión de la regla de derecho y en la privación a los detenidos  de  las</w:t>
        <w:br/>
        <w:t>formas mínimas de protección legal”[73].</w:t>
        <w:br/>
        <w:br/>
        <w:t>83.   Con referencia a las detenciones, la Corte ha dicho, a propósito de</w:t>
        <w:br/>
        <w:t>los incisos 2 y 3 del artículo 7 de la Convención, sobre prohibición de</w:t>
        <w:br/>
        <w:t>detenciones o arrestos ilegales o arbitrarios, que:</w:t>
        <w:br/>
        <w:br/>
        <w:t xml:space="preserve">      [s]egún el primero de tales supuestos normativos,  nadie  puede  verse</w:t>
        <w:br/>
        <w:t xml:space="preserve">      privado de la libertad sino por las  causas,  casos  o  circunstancias</w:t>
        <w:br/>
        <w:t xml:space="preserve">      expresamente tipificadas en la ley (aspecto material),  pero,  además,</w:t>
        <w:br/>
        <w:t xml:space="preserve">      con estricta sujeción a los procedimientos objetivamente definidos  en</w:t>
        <w:br/>
        <w:t xml:space="preserve">      la misma (aspecto  formal).   En  el  segundo  supuesto,  se  está  en</w:t>
        <w:br/>
        <w:t xml:space="preserve">      presencia de una condición según la cual nadie puede  ser  sometido  a</w:t>
        <w:br/>
        <w:t xml:space="preserve">      detención o encarcelamiento por causas y métodos que -aún  calificados</w:t>
        <w:br/>
        <w:t xml:space="preserve">      de legales- puedan reputarse como incompatibles con el respeto  a  los</w:t>
        <w:br/>
        <w:t xml:space="preserve">      derechos fundamentales del  individuo  por  ser,  entre  otras  cosas,</w:t>
        <w:br/>
        <w:t xml:space="preserve">      irrazonables, imprevisibles o faltos de proporcionalidad[74].</w:t>
        <w:br/>
        <w:br/>
        <w:t>84.   El artículo 2.20.g de la Constitución Política del Estado del Perú de</w:t>
        <w:br/>
        <w:t>1979, vigente al momento de los hechos del presente caso, establecía que</w:t>
        <w:br/>
        <w:t>“[t]oda persona tiene derecho:  [… a] la libertad y seguridad personales.</w:t>
        <w:br/>
        <w:t>En consecuencia:  [… n]adie puede ser detenido sino por mandamiento escrito</w:t>
        <w:br/>
        <w:t>y motivado del Juez o por las autoridades policiales en flagrante delito”.</w:t>
        <w:br/>
        <w:br/>
        <w:t>85.   Aun cuando fue alegado que, en la época de  los  hechos,  imperaba  un</w:t>
        <w:br/>
        <w:t>estado de emergencia  en  la  Provincia  Constitucional  de  El  Callao,  de</w:t>
        <w:br/>
        <w:t>conformidad con el cual dicho derecho había quedado suspendido, la Corte  ha</w:t>
        <w:br/>
        <w:t>señalado con anterioridad que la suspensión de garantías no debe exceder  la</w:t>
        <w:br/>
        <w:t>medida de lo estrictamente necesario y que resulta  “ilegal  toda  actuación</w:t>
        <w:br/>
        <w:t>de los poderes públicos  que  desborde  aquellos  límites  que  deben  estar</w:t>
        <w:br/>
        <w:t>precisamente señalados en  las  disposiciones  que  decretan  el  estado  de</w:t>
        <w:br/>
        <w:t>excepción”[75].  En este sentido, las  limitaciones  que  se  imponen  a  la</w:t>
        <w:br/>
        <w:t>actuación del Estado responden a “la  necesidad  genérica  de  que  en  todo</w:t>
        <w:br/>
        <w:t>estado de  excepción  subsistan  medios  idóneos  para  el  control  de  las</w:t>
        <w:br/>
        <w:t>disposiciones que se dicten, a fin de que ellas se adecuen razonablemente  a</w:t>
        <w:br/>
        <w:t>las necesidades de la situación  y  no  excedan  de  los  límites  estrictos</w:t>
        <w:br/>
        <w:t>impuestos por la Convención o derivados de ella”[76].  Por  ello,  no  puede</w:t>
        <w:br/>
        <w:t>alegarse la emergencia como justificación frente al tipo de hechos como  los</w:t>
        <w:br/>
        <w:t>que aquí se examinan.</w:t>
        <w:br/>
        <w:br/>
        <w:t>86.   En el presente caso, Rafael Samuel y Emilio  Moisés  Gómez  Paquiyauri</w:t>
        <w:br/>
        <w:t>no fueron  sorprendidos  in  fraganti,  sino  que  fueron  detenidos  cuando</w:t>
        <w:br/>
        <w:t>caminaban por la calle,  sin  que  se  hubieran  configurado  las  causas  y</w:t>
        <w:br/>
        <w:t>condiciones  establecidas  en   el   ordenamiento   jurídico   peruano   que</w:t>
        <w:br/>
        <w:t>autorizaran una detención sin orden  judicial;  además,  no  fueron  puestos</w:t>
        <w:br/>
        <w:t>inmediatamente  a  la  orden  de  un  juez.   Esta  Corte  ha  señalado  que</w:t>
        <w:br/>
        <w:t>situaciones como la descrita contraviene la observancia del  debido  proceso</w:t>
        <w:br/>
        <w:t>legal[77], ya que se desconoce al detenido el derecho a la protección de  la</w:t>
        <w:br/>
        <w:t>ley y se omite el control judicial.</w:t>
        <w:br/>
        <w:br/>
        <w:t>87.   Por lo expuesto, la Corte considera que Rafael Samuel y Emilio Moisés</w:t>
        <w:br/>
        <w:t>Gómez Paquiyauri fueron detenidos ilegalmente, lo cual violó el artículo</w:t>
        <w:br/>
        <w:t>7.2 de la Convención Americana.</w:t>
        <w:br/>
        <w:br/>
        <w:t>88.   Asimismo, la Corte ha tenido por probado que la  detención  de  Rafael</w:t>
        <w:br/>
        <w:t>Samuel y Emilio Moisés Gómez Paquiyauri se enmarcó dentro  de  una  práctica</w:t>
        <w:br/>
        <w:t>sistemática de violaciones a los derechos humanos, entre  ellas  ejecuciones</w:t>
        <w:br/>
        <w:t>extrajudiciales de personas sospechosas  de  pertenecer  a  grupos  armados,</w:t>
        <w:br/>
        <w:t>realizadas por agentes estatales siguiendo  órdenes  de  jefes  militares  y</w:t>
        <w:br/>
        <w:t>policiales.  Este tipo de operativo es incompatible con  el  respeto  a  los</w:t>
        <w:br/>
        <w:t>derechos fundamentales, entre otros, de la presunción de  inocencia,  de  la</w:t>
        <w:br/>
        <w:t>existencia de orden judicial para llevar  a  cabo  una  detención  y  de  la</w:t>
        <w:br/>
        <w:t>obligación de poner a los detenidos a la orden  de  una  autoridad  judicial</w:t>
        <w:br/>
        <w:t>competente[78].</w:t>
        <w:br/>
        <w:br/>
        <w:t>89.   Igualmente, la Corte observa que, en el presente  caso,  la  detención</w:t>
        <w:br/>
        <w:t>de las presuntas víctimas  fue arbitraria.   Dicha  detención  fue  agravada</w:t>
        <w:br/>
        <w:t>por el hecho de que los detenidos fueron torturados y, finalmente,  muertos,</w:t>
        <w:br/>
        <w:t>en  el  marco  de  la  llamada  “lucha  antiterrorista”,  ante  los   hechos</w:t>
        <w:br/>
        <w:t>delictivos que se habían presentado ese día y en los  cuales  no  estuvieron</w:t>
        <w:br/>
        <w:t>involucrados los hermanos Gómez Paquiyauri (supra párr. 67.e a  67.k).   Por</w:t>
        <w:br/>
        <w:t>otro  lado,  las  presuntas  víctimas,  al  ser  detenidas,   torturadas   y</w:t>
        <w:br/>
        <w:t>ejecutadas extrajudicialmente se encontraban desarmadas, indefensas  y  eran</w:t>
        <w:br/>
        <w:t>menores de edad, lo cual constituye un elemento adicional de la gravedad  de</w:t>
        <w:br/>
        <w:t>la detención arbitraria en el presente caso.</w:t>
        <w:br/>
        <w:br/>
        <w:t>90.   Por lo expuesto, la detención arbitraria de Rafael Samuel y Emilio</w:t>
        <w:br/>
        <w:t>Moisés Gómez Paquiyauri constituye una violación del artículo 7.3 de la</w:t>
        <w:br/>
        <w:t>Convención Americana.</w:t>
        <w:br/>
        <w:br/>
        <w:t>91.   Los incisos 4, 5 y 6 del artículo 7 de la Convención Americana</w:t>
        <w:br/>
        <w:t>establecen obligaciones de carácter positivo que imponen exigencias</w:t>
        <w:br/>
        <w:t>específicas tanto a los agentes del Estado como a terceros que actúen con</w:t>
        <w:br/>
        <w:t>su tolerancia o anuencia y que sean responsables de la detención[79].</w:t>
        <w:br/>
        <w:br/>
        <w:t>92.   Esta Corte ha  establecido  que  el  artículo  7.4  de  la  Convención</w:t>
        <w:br/>
        <w:t>contempla un mecanismo para evitar conductas ilegales  o  arbitrarias  desde</w:t>
        <w:br/>
        <w:t>el acto mismo de privación de libertad y garantiza la defensa del  detenido,</w:t>
        <w:br/>
        <w:t>por lo que este último y quienes ejercen  representación  o  custodia  legal</w:t>
        <w:br/>
        <w:t>del mismo tienen derecho a ser informados de los motivos  y  razones  de  la</w:t>
        <w:br/>
        <w:t>detención cuando ésta se produce y de los derechos del detenido[80].</w:t>
        <w:br/>
        <w:br/>
        <w:t>93.   Por otra parte, el detenido  tiene  también  derecho  a  notificar  lo</w:t>
        <w:br/>
        <w:t>ocurrido a una tercera persona, por ejemplo a un familiar o  a  un  abogado.</w:t>
        <w:br/>
        <w:t>En este sentido, la Corte ya ha señalado que  “[e]l  derecho  de  establecer</w:t>
        <w:br/>
        <w:t>contacto con un familiar cobra especial importancia  cuando  se  trat[a]  de</w:t>
        <w:br/>
        <w:t>detenciones de menores de edad”[81].  Esta notificación debe ser  llevada  a</w:t>
        <w:br/>
        <w:t>cabo inmediatamente por  la  autoridad  que  practica  la  detención[82]  y,</w:t>
        <w:br/>
        <w:t>cuando  se  trate  de  menores  de  edad,  deben  adoptarse,   además,   las</w:t>
        <w:br/>
        <w:t>providencias necesarias para que efectivamente se haga la notificación[83].</w:t>
        <w:br/>
        <w:br/>
        <w:t>94.   En este caso, se probó que ni Rafael Samuel  ni  Emilio  Moisés  Gómez</w:t>
        <w:br/>
        <w:t>Paquiyauri,  al  momento  de  su  detención,  ni  sus   familiares,   fueron</w:t>
        <w:br/>
        <w:t>informados de los motivos de ésta, de las conductas delictivas  que  se  les</w:t>
        <w:br/>
        <w:t>imputaban y de sus derechos como detenidos,  todo  lo  cual  constituye  una</w:t>
        <w:br/>
        <w:t>violación del artículo 7.4 de la Convención, en perjuicio de  Rafael  Samuel</w:t>
        <w:br/>
        <w:t>y Emilio Moisés Gómez Paquiyauri.</w:t>
        <w:br/>
        <w:br/>
        <w:t>95.   El artículo 7.5 de la Convención dispone que la detención de una</w:t>
        <w:br/>
        <w:t>persona sea sometida sin demora a una revisión judicial, como medio de</w:t>
        <w:br/>
        <w:t>control idóneo para evitar las detenciones arbitrarias e ilegales[84].</w:t>
        <w:br/>
        <w:t>Quien es privado de libertad sin orden judicial debe ser liberado o puesto</w:t>
        <w:br/>
        <w:t>inmediatamente a disposición de un juez[85].</w:t>
        <w:br/>
        <w:br/>
        <w:t>96.   El control judicial inmediato es una  medida  tendiente  a  evitar  la</w:t>
        <w:br/>
        <w:t>arbitrariedad o ilegalidad de las detenciones, tomando en cuenta que  en  un</w:t>
        <w:br/>
        <w:t>Estado de derecho  corresponde  al  juzgador  garantizar  los  derechos  del</w:t>
        <w:br/>
        <w:t>detenido, autorizar la adopción de medidas cautelares o de coerción,  cuando</w:t>
        <w:br/>
        <w:t>sea estrictamente necesario y procurar, en  general,  un  trato  consecuente</w:t>
        <w:br/>
        <w:t>con la presunción de inocencia  que  ampara  al  inculpado  mientras  no  se</w:t>
        <w:br/>
        <w:t>establezca su responsabilidad[86].</w:t>
        <w:br/>
        <w:br/>
        <w:t>97.   En relación con el derecho de todo detenido a recurrir ante un juez  o</w:t>
        <w:br/>
        <w:t>tribunal competente, consagrado en el artículo  7.6  de  la  Convención,  la</w:t>
        <w:br/>
        <w:t>Corte ha considerado que “los procedimientos de hábeas corpus  y  de  amparo</w:t>
        <w:br/>
        <w:t>son aquellas garantías  judiciales  indispensables  para  la  protección  de</w:t>
        <w:br/>
        <w:t>varios derechos cuya suspensión está vedada por el artículo 27.2  y  sirven,</w:t>
        <w:br/>
        <w:t>además, para preservar la legalidad en  una  sociedad  democrática”[87].  En</w:t>
        <w:br/>
        <w:t>este sentido,</w:t>
        <w:br/>
        <w:br/>
        <w:t xml:space="preserve">      las garantías judiciales indispensables  para  la  protección  de  los</w:t>
        <w:br/>
        <w:t xml:space="preserve">      derechos humanos no susceptibles de suspensión, según lo dispuesto  en</w:t>
        <w:br/>
        <w:t xml:space="preserve">      el artículo 27.2 de la Convención, son aquéllas  a  las  que  ésta  se</w:t>
        <w:br/>
        <w:t xml:space="preserve">      refiere expresamente en los artículos 7.6 y 25.1, consideradas  dentro</w:t>
        <w:br/>
        <w:t xml:space="preserve">      del marco y según  los  principios  del  artículo  8,  y  también  las</w:t>
        <w:br/>
        <w:t xml:space="preserve">      inherentes a la preservación  del  Estado  de  Derecho,  aun  bajo  la</w:t>
        <w:br/>
        <w:t xml:space="preserve">      legalidad excepcional que resulta de la suspensión de garantías[88].</w:t>
        <w:br/>
        <w:br/>
        <w:t>98.   Estas garantías, que tienen como fin evitar la arbitrariedad y la</w:t>
        <w:br/>
        <w:t>ilegalidad de las detenciones practicadas por el Estado, se ven además</w:t>
        <w:br/>
        <w:t>reforzadas por la condición de garante del Estado, en virtud de la cual,</w:t>
        <w:br/>
        <w:t>como ya lo ha señalado anteriormente la Corte, “tiene tanto la</w:t>
        <w:br/>
        <w:t>responsabilidad de garantizar los derechos del individuo bajo su custodia</w:t>
        <w:br/>
        <w:t>como la de proveer la información y las pruebas relacionadas con lo que</w:t>
        <w:br/>
        <w:t>suceda al detenido”[89].</w:t>
        <w:br/>
        <w:br/>
        <w:t>99.   Rafael Samuel y Emilio Moisés Gómez Paquiyauri fueron detenidos por</w:t>
        <w:br/>
        <w:t>agentes de la Policía Nacional del Perú sin orden judicial y no se les puso</w:t>
        <w:br/>
        <w:t>a disposición de una autoridad competente; tampoco tuvieron la posibilidad</w:t>
        <w:br/>
        <w:t>de interponer, por sus propios medios, un recurso sencillo y efectivo</w:t>
        <w:br/>
        <w:t>contra ese acto.  Está demostrado que los agentes del Estado, al detener a</w:t>
        <w:br/>
        <w:t>Rafael Samuel y Emilio Moisés Gómez Paquiyauri, no tuvieron la intención de</w:t>
        <w:br/>
        <w:t>llevarlos ante el juez, sino que los ejecutaron extrajudicialmente en menos</w:t>
        <w:br/>
        <w:t>de una hora desde el momento en que fueron detenidos.  Asimismo, la Corte</w:t>
        <w:br/>
        <w:t>ha tenido por probado que los agentes policiales involucrados en estos</w:t>
        <w:br/>
        <w:t>hechos hicieron aparecer a Rafael Samuel y Emilio Moisés Gómez Paquiyauri</w:t>
        <w:br/>
        <w:t>como “terroristas” y que su muerte había ocurrido en un enfrentamiento</w:t>
        <w:br/>
        <w:t>armado, actitud ésta que contribuyó a agravar la arbitrariedad de la</w:t>
        <w:br/>
        <w:t>detención.  Por lo expuesto, la Corte considera que el Estado violó las</w:t>
        <w:br/>
        <w:t>disposiciones contenidas en el artículo 7.5 y 7.6 de la Convención</w:t>
        <w:br/>
        <w:t>Americana.</w:t>
        <w:br/>
        <w:br/>
        <w:t>100.  En razón de todo lo anteriormente expuesto, la Corte considera que el</w:t>
        <w:br/>
        <w:t>Estado violó el artículo 7 de la Convención Americana, en relación con el</w:t>
        <w:br/>
        <w:t>artículo 1.1 de la misma, en perjuicio de Rafael Samuel y Emilio Moisés</w:t>
        <w:br/>
        <w:t>Gómez Paquiyauri.</w:t>
        <w:br/>
        <w:br/>
        <w:br/>
        <w:br/>
        <w:t>X</w:t>
        <w:br/>
        <w:br/>
        <w:t xml:space="preserve">                      Derecho a la Integridad Personal</w:t>
        <w:br/>
        <w:t xml:space="preserve">                                 Artículo 5</w:t>
        <w:br/>
        <w:t>en relación con el artículo 1.1</w:t>
        <w:br/>
        <w:br/>
        <w:t xml:space="preserve">     artículos 1, 6 y 9 de la Convención Interamericana para Prevenir y</w:t>
        <w:br/>
        <w:t xml:space="preserve">                            Sancionar la Tortura</w:t>
        <w:br/>
        <w:br/>
        <w:t>Alegatos de la Comisión</w:t>
        <w:br/>
        <w:br/>
        <w:t>101.  La Comisión alegó que el Estado violó el artículo 5 de la Convención</w:t>
        <w:br/>
        <w:t>Americana en relación con el artículo 1.1 de dicho tratado, además de los</w:t>
        <w:br/>
        <w:t>artículos 1, 6 y 8 de la Convención Interamericana contra la Tortura, en</w:t>
        <w:br/>
        <w:t>perjuicio de Emilio Moisés Gómez Paquiyauri y Rafael Samuel Gómez</w:t>
        <w:br/>
        <w:t>Paquiyauri, en razón de que:</w:t>
        <w:br/>
        <w:br/>
        <w:t xml:space="preserve">      a)    el haber sido introducidos por agentes estatales en la maletera</w:t>
        <w:br/>
        <w:t xml:space="preserve">      de un vehículo constituye, por sí mismo, una violación al artículo 5</w:t>
        <w:br/>
        <w:t xml:space="preserve">      de la Convención Americana en perjuicio de las presuntas víctimas;</w:t>
        <w:br/>
        <w:br/>
        <w:br/>
        <w:t xml:space="preserve">      b)    en consideración a la existencia de una práctica estatal de</w:t>
        <w:br/>
        <w:t xml:space="preserve">      ejecuciones extrajudiciales, y “como lo dijo la perito [Inge Genefke]</w:t>
        <w:br/>
        <w:t xml:space="preserve">      en la […] audiencia [pública]”, es razonable asumir que los hermanos</w:t>
        <w:br/>
        <w:t xml:space="preserve">      Gómez Paquiyauri estaban conscientes del peligro que corrían durante</w:t>
        <w:br/>
        <w:t xml:space="preserve">      su detención, razón por la cual “tienen que haber experimentado miedo</w:t>
        <w:br/>
        <w:t xml:space="preserve">      y terror extremo al verse encerrados en la maletera de una patrulla</w:t>
        <w:br/>
        <w:t xml:space="preserve">      policial sin rumbo conocido”. Asimismo, “es razonable inferir que uno</w:t>
        <w:br/>
        <w:t xml:space="preserve">      de los hermanos Gómez Paquiyauri fue asesinado primero que el otro y</w:t>
        <w:br/>
        <w:t xml:space="preserve">      que el segundo en ser asesinado habrá sufrido, aunque fuera por breves</w:t>
        <w:br/>
        <w:t xml:space="preserve">      milésimas de segundos, al ver como le disparaban a su hermano y, a la</w:t>
        <w:br/>
        <w:t xml:space="preserve">      vez, tener la sensación inminente de que él mismo sería inmediatamente</w:t>
        <w:br/>
        <w:t xml:space="preserve">      asesinado”;</w:t>
        <w:br/>
        <w:br/>
        <w:br/>
        <w:t xml:space="preserve">      c)    los hechos del presente caso constituyen tortura, tal y como</w:t>
        <w:br/>
        <w:t xml:space="preserve">      está definida por el artículo 2 de la Convención Interamericana contra</w:t>
        <w:br/>
        <w:t xml:space="preserve">      la Tortura;  aunque dicho artículo deja cierto margen de</w:t>
        <w:br/>
        <w:t xml:space="preserve">      interpretación para definir si un hecho específico constituye tortura,</w:t>
        <w:br/>
        <w:t xml:space="preserve">      “en el caso de niños debe tenerse en cuenta un estándar más alto al</w:t>
        <w:br/>
        <w:t xml:space="preserve">      definir el grado de sufrimiento”, en el que debe tomarse en cuenta</w:t>
        <w:br/>
        <w:t xml:space="preserve">      factores como la edad, el sexo y “el efecto de la tensión y el miedo</w:t>
        <w:br/>
        <w:t xml:space="preserve">      que se haya experimentado”, el estado de salud y la madurez; y</w:t>
        <w:br/>
        <w:br/>
        <w:br/>
        <w:t xml:space="preserve">      d)    en el procedimiento ante la Comisión Interamericana, los</w:t>
        <w:br/>
        <w:t xml:space="preserve">      peticionarios alegaron que antes de dar muerte a los hermanos Gómez</w:t>
        <w:br/>
        <w:t xml:space="preserve">      Paquiyauri, “los policías los torturaron, golpeándolos con la culata</w:t>
        <w:br/>
        <w:t xml:space="preserve">      de sus ametralladoras”; alegatos que no fueron controvertidos por el</w:t>
        <w:br/>
        <w:t xml:space="preserve">      Estado, en razón de lo cual la Comisión encontró responsable al Estado</w:t>
        <w:br/>
        <w:t xml:space="preserve">      de haber violado el artículo 5 de la Convención.</w:t>
        <w:br/>
        <w:br/>
        <w:t>Alegatos de la representante de las presuntas víctimas y sus familiares</w:t>
        <w:br/>
        <w:br/>
        <w:t>102.  La representante de las presuntas víctimas y sus familiares solicitó</w:t>
        <w:br/>
        <w:t>a la Corte que declarara que el Estado ha violado el derecho a la</w:t>
        <w:br/>
        <w:t>integridad personal consagrado en el artículo 5 de la Convención Americana,</w:t>
        <w:br/>
        <w:t>además de los artículos 1, 6, 8 y 9 de la Convención Interamericana contra</w:t>
        <w:br/>
        <w:t>la Tortura, en perjuicio de Emilio Moisés Gómez Paquiyauri y Rafael Samuel</w:t>
        <w:br/>
        <w:t>Gómez, en razón de que:</w:t>
        <w:br/>
        <w:br/>
        <w:t xml:space="preserve">      a)    los hermanos Gómez Paquiyauri no sólo fueron introducidos en la</w:t>
        <w:br/>
        <w:t xml:space="preserve">      maletera de un vehículo cuando fueron detenidos, sino que, además,</w:t>
        <w:br/>
        <w:t xml:space="preserve">      fueron torturados física y psicológicamente antes de ser ejecutados;</w:t>
        <w:br/>
        <w:t xml:space="preserve">      por ejemplo, fueron golpeados, obligados a arrodillarse y forzados</w:t>
        <w:br/>
        <w:t xml:space="preserve">      contra el suelo, a la vez que un policía se paraba sobre sus espaldas,</w:t>
        <w:br/>
        <w:t xml:space="preserve">      entre otros;</w:t>
        <w:br/>
        <w:br/>
        <w:br/>
        <w:t xml:space="preserve">      b)    el Estado peruano falló en su deber de prevenir y sancionar la</w:t>
        <w:br/>
        <w:t xml:space="preserve">      tortura, pues ésta nunca fue parte de las investigaciones internas; y</w:t>
        <w:br/>
        <w:br/>
        <w:br/>
        <w:t xml:space="preserve">      c)    para el momento de la comisión de los hechos, el Estado no había</w:t>
        <w:br/>
        <w:t xml:space="preserve">      cumplido con la tipificación del delito de tortura dentro de su</w:t>
        <w:br/>
        <w:t xml:space="preserve">      legislación interna y, en consecuencia, tampoco contaba ésta con una</w:t>
        <w:br/>
        <w:t xml:space="preserve">      provisión para compensar a las víctimas de tortura.</w:t>
        <w:br/>
        <w:br/>
        <w:t>Alegatos del Estado</w:t>
        <w:br/>
        <w:br/>
        <w:t>103.  En relación con el artículo 5 de la Convención Americana y los</w:t>
        <w:br/>
        <w:t>artículos 1, 6 y 8 de la Convención Interamericana contra la Tortura, el</w:t>
        <w:br/>
        <w:t>Estado señaló que “condena toda clase de agresión a la integridad personal</w:t>
        <w:br/>
        <w:t>de los ciudadanos que se encuentran dentro de su territorio, y que por</w:t>
        <w:br/>
        <w:t>tanto en el caso de los [h]ermanos Gómez Paquiyauri, los tribunales</w:t>
        <w:br/>
        <w:t>peruanos se han encargado de sancionar a los responsables de[l] delito [δε</w:t>
        <w:br/>
        <w:t>agresión a la integridad personal], a través de un debido proceso”.</w:t>
        <w:br/>
        <w:t>Asimismo, en su escrito de alegatos finales, el Estado manifestó que en el</w:t>
        <w:br/>
        <w:t>presente caso “no ha existido delito de tortura porque al momento del</w:t>
        <w:br/>
        <w:t>juzgamiento[,] estos hechos no estaban catalogados como tal, […] si bien la</w:t>
        <w:br/>
        <w:t>Convención Interamericana para [P]revenir y [S]ancionar la [T]ortura estuvo</w:t>
        <w:br/>
        <w:t>vigente”.  En este sentido, el Estado consideró que lo que se presentaron</w:t>
        <w:br/>
        <w:t>fueron “tratamientos deshonrosos”, los cuales consistieron en “poner a</w:t>
        <w:br/>
        <w:t>[los] detenidos en la maletera de un patrullero por no contar con</w:t>
        <w:br/>
        <w:t>grilletes”.</w:t>
        <w:br/>
        <w:br/>
        <w:t>Consideraciones de la Corte</w:t>
        <w:br/>
        <w:br/>
        <w:t>104.  El artículo 5 de la Convención Americana dispone que:</w:t>
        <w:br/>
        <w:br/>
        <w:t xml:space="preserve">      1.    Toda persona tiene derecho a que se respete su integridad</w:t>
        <w:br/>
        <w:t xml:space="preserve">      física, psíquica y moral.</w:t>
        <w:br/>
        <w:br/>
        <w:br/>
        <w:t xml:space="preserve">      2.    Nadie debe ser sometido a torturas ni a penas o tratos crueles,</w:t>
        <w:br/>
        <w:t xml:space="preserve">      inhumanos o degradantes.  Toda persona privada de libertad será</w:t>
        <w:br/>
        <w:t xml:space="preserve">      tratada con el respeto debido a la dignidad inherente al ser humano.</w:t>
        <w:br/>
        <w:br/>
        <w:br/>
        <w:t xml:space="preserve">      […]</w:t>
        <w:br/>
        <w:br/>
        <w:t>105.  La Convención Interamericana contra la Tortura establece:</w:t>
        <w:br/>
        <w:br/>
        <w:t xml:space="preserve">                                 Artículo 1</w:t>
        <w:br/>
        <w:br/>
        <w:t xml:space="preserve">           Los Estados partes se obligan a prevenir y a sancionar la</w:t>
        <w:br/>
        <w:t xml:space="preserve">      tortura en los términos de la […] Convención [Interamericana contra la</w:t>
        <w:br/>
        <w:t xml:space="preserve">      Tortura].</w:t>
        <w:br/>
        <w:br/>
        <w:t xml:space="preserve">                                 Artículo 2</w:t>
        <w:br/>
        <w:br/>
        <w:br/>
        <w:t xml:space="preserve">      Para los efectos de la presente Convención se entenderá por tortura</w:t>
        <w:br/>
        <w:t>todo acto realizado intencionalmente por el cual se inflijan a una persona</w:t>
        <w:br/>
        <w:t>penas o sufrimientos físicos o mentales, con fines de investigación</w:t>
        <w:br/>
        <w:t>criminal, como medio intimidatorio, como castigo personal, como medida</w:t>
        <w:br/>
        <w:t>preventiva, como pena o con cualquier otro fin.  Se entenderá también como</w:t>
        <w:br/>
        <w:t>tortura la aplicación sobre una persona de métodos tendientes a anular la</w:t>
        <w:br/>
        <w:t>personalidad de la víctima o a disminuir su capacidad física o mental,</w:t>
        <w:br/>
        <w:t>aunque no causen dolor físico o angustia psíquica.</w:t>
        <w:br/>
        <w:br/>
        <w:t xml:space="preserve">                                 Artículo 6</w:t>
        <w:br/>
        <w:t xml:space="preserve">           De conformidad con lo dispuesto en el artículo 1 [de la</w:t>
        <w:br/>
        <w:t xml:space="preserve">      Convención Interamericana contra la Tortura], los Estados partes</w:t>
        <w:br/>
        <w:t xml:space="preserve">      tomarán medidas efectivas para prevenir y sancionar la tortura en el</w:t>
        <w:br/>
        <w:t xml:space="preserve">      ámbito de su jurisdicción.</w:t>
        <w:br/>
        <w:br/>
        <w:t xml:space="preserve">                                 Artículo 9</w:t>
        <w:br/>
        <w:br/>
        <w:t xml:space="preserve">           Los Estados partes se comprometen a incorporar en sus</w:t>
        <w:br/>
        <w:t xml:space="preserve">      legislaciones nacionales normas que garanticen una compensación</w:t>
        <w:br/>
        <w:t xml:space="preserve">      adecuada para las víctimas del delito de tortura.</w:t>
        <w:br/>
        <w:br/>
        <w:t>106.  En el capítulo anterior, la Corte concluyó  que  el  Estado  violó  el</w:t>
        <w:br/>
        <w:t>derecho a la libertad personal  de  Rafael  Samuel  y  Emilio  Moisés  Gómez</w:t>
        <w:br/>
        <w:t>Paquiyauri  al  haberlos  detenido  ilegal  y  arbitrariamente  y   haberlos</w:t>
        <w:br/>
        <w:t>mantenido fuera del control judicial  (supra párr. 100).  En este  capítulo,</w:t>
        <w:br/>
        <w:t>es preciso determinar  si  durante  el  período  que  ambos  hermanos  Gómez</w:t>
        <w:br/>
        <w:t>Paquiyauri estuvieron detenidos bajo custodia policial,  antes  de  que  sus</w:t>
        <w:br/>
        <w:t>cuerpos sin vida ingresaran al hospital San Juan, se conculcó su  derecho  a</w:t>
        <w:br/>
        <w:t>la integridad personal,  consagrado  en  el  artículo  5  de  la  Convención</w:t>
        <w:br/>
        <w:t>Americana y en los artículos 1,  6  y  9  de  la  Convención  Interamericana</w:t>
        <w:br/>
        <w:t>contra la Tortura.</w:t>
        <w:br/>
        <w:br/>
        <w:t>107.  En el presente caso, el Estado manifestó que “condena  toda  clase  de</w:t>
        <w:br/>
        <w:t>agresión a la integridad  personal  de  los  ciudadanos  que  se  encuentran</w:t>
        <w:br/>
        <w:t>dentro de su territorio, y que por tanto en el caso de los [h]ermanos  Gómez</w:t>
        <w:br/>
        <w:t>Paquiyauri, los tribunales peruanos se han  encargado  de  sancionar  a  los</w:t>
        <w:br/>
        <w:t>responsables de dicho delito, a través de un debido proceso”[90].</w:t>
        <w:br/>
        <w:br/>
        <w:t>108.  En otras oportunidades, este Tribunal ha establecido que una  “persona</w:t>
        <w:br/>
        <w:t>ilegalmente  detenida  se   encuentra   en   una   situación   agravada   de</w:t>
        <w:br/>
        <w:t>vulnerabilidad, de la cual surge un riesgo cierto  de  que  se  le  vulneren</w:t>
        <w:br/>
        <w:t>otros derechos, como el derecho a la integridad física y a ser  tratada  con</w:t>
        <w:br/>
        <w:t>dignidad”[91].  Igualmente, esta Corte ha señalado  que  basta  con  que  la</w:t>
        <w:br/>
        <w:t>detención ilegal haya durado breve tiempo para que se configure,  dentro  de</w:t>
        <w:br/>
        <w:t>los estándares del  Derecho  Internacional  de  los  Derechos  Humanos,  una</w:t>
        <w:br/>
        <w:t>conculcación  a  la  integridad  psíquica  y  moral[92],  y  que  cuando  se</w:t>
        <w:br/>
        <w:t>presentan dichas circunstancias es posible inferir, aun cuando  no  mediaran</w:t>
        <w:br/>
        <w:t>otras evidencias al respecto, que el trato que la  víctima  recibió  durante</w:t>
        <w:br/>
        <w:t>su  incomunicación  fue  inhumano  y  degradante[93].   En  este  caso,  los</w:t>
        <w:br/>
        <w:t>hermanos  Gómez  Paquiyauri  no  sólo  fueron   ilegal   y   arbitrariamente</w:t>
        <w:br/>
        <w:t>detenidos, sino que se les impidió que operaran en su  beneficio  todas  las</w:t>
        <w:br/>
        <w:t>salvaguardas establecidas en el artículo 7 de la Convención Americana.</w:t>
        <w:br/>
        <w:br/>
        <w:t>109.  Es pertinente además tener presente que la Corte ha dicho</w:t>
        <w:br/>
        <w:t>anteriormente que el mero hecho de ser introducido en la maletera de un</w:t>
        <w:br/>
        <w:t>vehículo</w:t>
        <w:br/>
        <w:br/>
        <w:t xml:space="preserve">      constituye una infracción al artículo 5 de la Convención que tutela la</w:t>
        <w:br/>
        <w:t xml:space="preserve">      integridad personal, ya que, aún cuando  no  hubiesen  existido  otros</w:t>
        <w:br/>
        <w:t xml:space="preserve">      maltratos físicos o de otra  índole,  esa  acción  por  sí  sola  debe</w:t>
        <w:br/>
        <w:t xml:space="preserve">      considerarse claramente contraria al  respeto  debido  a  la  dignidad</w:t>
        <w:br/>
        <w:t xml:space="preserve">      inherente al ser humano[94].</w:t>
        <w:br/>
        <w:br/>
        <w:br/>
        <w:t>110.  En el presente caso, las presuntas víctimas, durante  su  detención  y</w:t>
        <w:br/>
        <w:t>antes de su muerte, recibieron maltratos físicos  y  psíquicos  consistentes</w:t>
        <w:br/>
        <w:t>en: ser arrojadas al suelo, golpeadas a puntapiés, un policía se paró  sobre</w:t>
        <w:br/>
        <w:t>sus espaldas y otros policías les cubrieron la cabeza  (supra  párr.  67.f).</w:t>
        <w:br/>
        <w:t>Además fueron golpeadas a culatazos de escopeta y posteriormente  asesinadas</w:t>
        <w:br/>
        <w:t>mediante disparos con armas de fuego en la cabeza, tórax y otras partes  del</w:t>
        <w:br/>
        <w:t>cuerpo, presentando así evidencias de más lesiones y heridas de bala de  las</w:t>
        <w:br/>
        <w:t>que hubieran sido suficientes para causarles la muerte, si esa hubiera  sido</w:t>
        <w:br/>
        <w:t>la única intención de los agentes de la Policía Nacional del Perú.</w:t>
        <w:br/>
        <w:br/>
        <w:t>111.  La Corte ha indicado que la tortura está estrictamente  prohibida  por</w:t>
        <w:br/>
        <w:t>el Derecho Internacional de los Derechos Humanos[95].  La prohibición de  la</w:t>
        <w:br/>
        <w:t>tortura es absoluta e inderogable, aun en las circunstancias más  difíciles,</w:t>
        <w:br/>
        <w:t>tales como guerra,  amenaza  de  guerra,  “lucha  contra  el  terrorismo”  y</w:t>
        <w:br/>
        <w:t>cualesquiera otros delitos, estado de sitio o  de  emergencia,  conmoción  o</w:t>
        <w:br/>
        <w:t>conflicto interior, suspensión de garantías constitucionales,  inestabilidad</w:t>
        <w:br/>
        <w:t>política interna u otras emergencias o calamidades públicas[96].</w:t>
        <w:br/>
        <w:br/>
        <w:t>112.  Se ha conformado un  régimen  jurídico  internacional  de  prohibición</w:t>
        <w:br/>
        <w:t>absoluta de todas las formas de  tortura,  tanto  física  como  psicológica,</w:t>
        <w:br/>
        <w:t>régimen que pertenece hoy día al dominio de jus cogens internacional[97].</w:t>
        <w:br/>
        <w:br/>
        <w:t>113.  La Corte Europea ha señalado que el análisis de la gravedad de los</w:t>
        <w:br/>
        <w:t>actos que puedan constituir tratos crueles, inhumanos o degradantes o</w:t>
        <w:br/>
        <w:t>tortura, es relativo y depende de todas las circunstancias del caso, tales</w:t>
        <w:br/>
        <w:t>como la duración de los tratos, sus efectos físicos y mentales y, en</w:t>
        <w:br/>
        <w:t>algunos casos, el sexo, edad y estado de salud de la víctima, entre</w:t>
        <w:br/>
        <w:t>otros[98].</w:t>
        <w:br/>
        <w:br/>
        <w:t>114.  Este Tribunal ya ha tenido la oportunidad de aplicar y declarar la</w:t>
        <w:br/>
        <w:t>responsabilidad de un Estado por la violación de la Convención</w:t>
        <w:br/>
        <w:t>Interamericana contra la Tortura[99]. En el presente caso, ejercerá su</w:t>
        <w:br/>
        <w:t>competencia material para aplicar dicha Convención, que entró en vigor el</w:t>
        <w:br/>
        <w:t>28 de febrero de 1987, y fue ratificada por el Perú el 28 de marzo de 1991.</w:t>
        <w:br/>
        <w:t xml:space="preserve"> Los artículos 1, 6 y 9 de dicho tratado obligan a los Estados partes a</w:t>
        <w:br/>
        <w:t>tomar todas las medidas efectivas para prevenir y sancionar todos los actos</w:t>
        <w:br/>
        <w:t>de tortura dentro del ámbito de su jurisdicción.</w:t>
        <w:br/>
        <w:br/>
        <w:t>115.   Los  hechos  de  este  caso,  efectuados   de   manera   intencional,</w:t>
        <w:br/>
        <w:t>inflingieron graves sufrimiento físicos y mentales a las presuntas  víctimas</w:t>
        <w:br/>
        <w:t>(supra párrs. 67.e a 67.j).</w:t>
        <w:br/>
        <w:br/>
        <w:t>116.  Igualmente, entre los elementos de la noción de  tortura  establecidos</w:t>
        <w:br/>
        <w:t>en el artículo 2 de  la  Convención  Interamericana  contra  la  Tortura  se</w:t>
        <w:br/>
        <w:t>encuentra el infligir a una persona  sufrimientos  físicos  o  mentales  con</w:t>
        <w:br/>
        <w:t>cualquier fin[100]. En general, en las situaciones de violaciones masivas  a</w:t>
        <w:br/>
        <w:t>los derechos humanos, el uso  sistemático  de  tortura  tiene  como  fin  el</w:t>
        <w:br/>
        <w:t>intimidar a la población.</w:t>
        <w:br/>
        <w:br/>
        <w:t>117.  En  consecuencia,  la  Corte  considera  que  el  conjunto  de  hechos</w:t>
        <w:br/>
        <w:t>señalados, teniendo en particular consideración que las  presuntas  víctimas</w:t>
        <w:br/>
        <w:t>eran menores de edad, constituyen signos evidentes de tortura, a la  luz  de</w:t>
        <w:br/>
        <w:t>la definición del artículo 2  de  la  Convención  Interamericana  contra  la</w:t>
        <w:br/>
        <w:t>Tortura, en  violación  del  artículo  5  de  la  Convención  Americana,  en</w:t>
        <w:br/>
        <w:t>relación con el artículo 1.1 de la misma, y  las obligaciones  previstas  en</w:t>
        <w:br/>
        <w:t>los artículos 1, 6 y 9 de la Convención Interamericana  contra  la  Tortura,</w:t>
        <w:br/>
        <w:t>en perjuicio de Rafael Samuel y Emilio Moisés Gómez Paquiyauri.</w:t>
        <w:br/>
        <w:br/>
        <w:t>118.  En cuanto a los familiares de  las  víctimas  de  violaciones  de  los</w:t>
        <w:br/>
        <w:t>derechos humanos, esta Corte ha señalado, en otras oportunidades, que  éstos</w:t>
        <w:br/>
        <w:t>pueden ser, a su vez, víctimas[101]. En el caso sub judice,  la  vulneración</w:t>
        <w:br/>
        <w:t>del derecho a la integridad psíquica y moral de  los  familiares  de  Rafael</w:t>
        <w:br/>
        <w:t>Samuel y Emilio Moisés  Gómez  Paquiyauri  es  consecuencia  directa  de  la</w:t>
        <w:br/>
        <w:t>detención ilegal y arbitraria de éstos el día 21 de junio de  1991;  de  los</w:t>
        <w:br/>
        <w:t>malos tratos y torturas sufridos por éstos durante su  detención,  y  de  la</w:t>
        <w:br/>
        <w:t>muerte de ambos aproximadamente una hora después de  haber  sido  detenidos,</w:t>
        <w:br/>
        <w:t>así como de la presentación oficial de los hechos  como  “un  enfrentamiento</w:t>
        <w:br/>
        <w:t>con elementos subversivos”.  Todo  lo  señalado  generó  en  sus  familiares</w:t>
        <w:br/>
        <w:t>inmediatos sufrimientos e impotencia ante las autoridades  estatales,  razón</w:t>
        <w:br/>
        <w:t>por la cual, en este caso, los familiares pueden ser  considerados  víctimas</w:t>
        <w:br/>
        <w:t>de tratos crueles, inhumanos y degradantes[102], en violación  del  artículo</w:t>
        <w:br/>
        <w:t>5 de la Convención Americana.</w:t>
        <w:br/>
        <w:br/>
        <w:t>119.  Por lo anterior, la Corte considera que el Estado violó el artículo  5</w:t>
        <w:br/>
        <w:t>de la Convención Americana, en relación con el artículo 1.1 de la misma,  en</w:t>
        <w:br/>
        <w:t>perjuicio de Marcelina Paquiyauri Illanes de  Gómez;  Ricardo  Samuel  Gómez</w:t>
        <w:br/>
        <w:t>Quispe; Marcelina Haydée, Ricardo Emilio, Carlos Pedro, Lucy Rosa  y  Miguel</w:t>
        <w:br/>
        <w:t>Ángel, todos Gómez Paquiyauri; y Jacinta Peralta Allccarima.</w:t>
        <w:br/>
        <w:br/>
        <w:br/>
        <w:br/>
        <w:t xml:space="preserve">                                     XI</w:t>
        <w:br/>
        <w:br/>
        <w:t>Derecho a la Vida</w:t>
        <w:br/>
        <w:t>Artículo 4</w:t>
        <w:br/>
        <w:t>en relación con el artículo 1.1</w:t>
        <w:br/>
        <w:br/>
        <w:br/>
        <w:br/>
        <w:t>Alegatos de la Comisión</w:t>
        <w:br/>
        <w:br/>
        <w:br/>
        <w:t>120.  La Comisión solicitó a la Corte que declare que el Estado es</w:t>
        <w:br/>
        <w:t>responsable de la violación del artículo 4, en relación con el artículo</w:t>
        <w:br/>
        <w:t>1.1, todos de la Convención Americana, en perjuicio de Emilio Moisés y</w:t>
        <w:br/>
        <w:t>Rafael Samuel Gómez Paquiyauri, en razón de que:</w:t>
        <w:br/>
        <w:br/>
        <w:t xml:space="preserve">      a)    el derecho a la vida implica para los Estados la obligación no</w:t>
        <w:br/>
        <w:t xml:space="preserve">      sólo de respetarlo, sino también la de garantizarlo.  De conformidad</w:t>
        <w:br/>
        <w:t xml:space="preserve">      con el artículo 1.1 de la Convención Americana, el Estado tiene la</w:t>
        <w:br/>
        <w:t xml:space="preserve">      obligación de garantizar el derecho a la vida y, para ello, debe</w:t>
        <w:br/>
        <w:t xml:space="preserve">      prevenir las violaciones a tal derecho e investigar y sancionar a los</w:t>
        <w:br/>
        <w:t xml:space="preserve">      responsables y reparar a las víctimas o sus familiares, cuando los</w:t>
        <w:br/>
        <w:t xml:space="preserve">      responsables hayan sido agentes del Estado;</w:t>
        <w:br/>
        <w:br/>
        <w:br/>
        <w:t xml:space="preserve">      b)    en el presente caso el Estado “cumplió sólo parcialmente” sus</w:t>
        <w:br/>
        <w:t xml:space="preserve">      obligaciones internacionales ya que, aun cuando los autores materiales</w:t>
        <w:br/>
        <w:t xml:space="preserve">      de los hechos fueron sancionados, no investigó adecuadamente el</w:t>
        <w:br/>
        <w:t xml:space="preserve">      paradero del autor intelectual de los mismos ni indemnizó a los</w:t>
        <w:br/>
        <w:t xml:space="preserve">      familiares de las presuntas víctimas;</w:t>
        <w:br/>
        <w:br/>
        <w:t xml:space="preserve">      c)    la falta de una adecuada investigación del paradero del autor</w:t>
        <w:br/>
        <w:t xml:space="preserve">      intelectual tiene especial relevancia en el marco de una práctica de</w:t>
        <w:br/>
        <w:t xml:space="preserve">      ejecuciones extrajudiciales, pues constituye un medio para respaldar</w:t>
        <w:br/>
        <w:t xml:space="preserve">      la impunidad que generalmente existe en torno a dichas violaciones;</w:t>
        <w:br/>
        <w:br/>
        <w:br/>
        <w:t xml:space="preserve">      d)    en el marco de este esquema, cuando se trata de casos en torno a</w:t>
        <w:br/>
        <w:t xml:space="preserve">      los cuales “existe mucha presión pública y judicial”, las</w:t>
        <w:br/>
        <w:t xml:space="preserve">      instituciones armadas o policiales “entregan” a los agentes de más</w:t>
        <w:br/>
        <w:t xml:space="preserve">      bajo nivel quienes “se comprometen a no delatar a sus superiores” a</w:t>
        <w:br/>
        <w:t xml:space="preserve">      cambio de asesoría jurídica y otros beneficios, como, por ejemplo, el</w:t>
        <w:br/>
        <w:t xml:space="preserve">      reingreso a la institución donde trabajaban luego de obtenida la</w:t>
        <w:br/>
        <w:t xml:space="preserve">      libertad; y</w:t>
        <w:br/>
        <w:br/>
        <w:br/>
        <w:t xml:space="preserve">      e)    en el juicio a nivel interno “se determinó que diversos</w:t>
        <w:br/>
        <w:t xml:space="preserve">      integrantes de la Policía Nacional del Perú, incluyendo [al presunto</w:t>
        <w:br/>
        <w:t xml:space="preserve">      autor intelectual], coordinaron con los autores materiales la versión</w:t>
        <w:br/>
        <w:t xml:space="preserve">      que darían de los hechos, y la asistencia legal que se les prestaría a</w:t>
        <w:br/>
        <w:t xml:space="preserve">      los policías [implicados] en el proceso”.  Asimismo, cuando los</w:t>
        <w:br/>
        <w:t xml:space="preserve">      autores materiales estaban presos, el capitán César Augusto Santoyo</w:t>
        <w:br/>
        <w:t xml:space="preserve">      Castro, presunto autor intelectual, “les prestaba asistencia</w:t>
        <w:br/>
        <w:t xml:space="preserve">      económica”.</w:t>
        <w:br/>
        <w:br/>
        <w:br/>
        <w:t>Alegatos de la representante de las presuntas víctimas y sus familiares</w:t>
        <w:br/>
        <w:br/>
        <w:br/>
        <w:t>121.  La representante de las presuntas víctimas  y  sus  familiares  señaló</w:t>
        <w:br/>
        <w:t>que la violación al derecho a la vida en perjuicio  de  los  hermanos  Gómez</w:t>
        <w:br/>
        <w:t>Paquiyauri se produjo como consecuencia de la ejecución sumaria de  éstos  y</w:t>
        <w:br/>
        <w:t>las  circunstancias  que  la  caracterizaron.  Además,  se  remitió  a   los</w:t>
        <w:br/>
        <w:t>argumentos esgrimidos en relación con los demás derechos  que,  como  alegó,</w:t>
        <w:br/>
        <w:t>fueron violados.</w:t>
        <w:br/>
        <w:br/>
        <w:t>Alegatos del Estado</w:t>
        <w:br/>
        <w:br/>
        <w:t>122.  En relación con la alegada violación del artículo 4 de la Convención,</w:t>
        <w:br/>
        <w:t>el Estado señaló que “como Estado suscriptor de la Convención Americana</w:t>
        <w:br/>
        <w:t>sobre Derechos Humanos reconoce que efectivamente sus agentes policiales</w:t>
        <w:br/>
        <w:t>violaron el derecho a la vida de los [h]ermanos Gómez Paquiyauri, siendo</w:t>
        <w:br/>
        <w:t>estos sancionados, y por tanto asume la responsabilidad que le</w:t>
        <w:br/>
        <w:t>corresponde”.</w:t>
        <w:br/>
        <w:br/>
        <w:t>Consideraciones de la Corte</w:t>
        <w:br/>
        <w:br/>
        <w:t>123.  El artículo 4.1 de la Convención Americana establece que</w:t>
        <w:br/>
        <w:br/>
        <w:t xml:space="preserve">      [t]oda persona tiene derecho a que se respete su vida.  Este derecho</w:t>
        <w:br/>
        <w:t xml:space="preserve">      estará protegido por la ley y, en general, a partir del momento de la</w:t>
        <w:br/>
        <w:t xml:space="preserve">      concepción.  Nadie puede ser privado de la vida arbitrariamente.</w:t>
        <w:br/>
        <w:br/>
        <w:t>124.   El Estado debe respetar el derecho a la vida de toda persona bajo  su</w:t>
        <w:br/>
        <w:t>jurisdicción, consagrado en el artículo 4 de la Convención  Americana.  Esta</w:t>
        <w:br/>
        <w:t>obligación presenta modalidades especiales en el  caso  de  los  menores  de</w:t>
        <w:br/>
        <w:t>edad,  teniendo  en  cuenta  las  normas  sobre  protección  a   los   niños</w:t>
        <w:br/>
        <w:t>establecidas en la  Convención  Americana  y  en  la  Convención  sobre  los</w:t>
        <w:br/>
        <w:t>Derechos del Niño[103]. La condición de garante del Estado  con  respecto  a</w:t>
        <w:br/>
        <w:t>este derecho, le obliga a prevenir situaciones que  pudieran  conducir,  por</w:t>
        <w:br/>
        <w:t>acción u omisión, a la afectación de aquél.</w:t>
        <w:br/>
        <w:br/>
        <w:t>125.  El Estado ha reconocido que “efectivamente sus agentes policiales</w:t>
        <w:br/>
        <w:t>violaron el derecho a la vida de los [h]ermanos [Rafael Samuel y Emilio</w:t>
        <w:br/>
        <w:t>Moisés] Gómez Paquiyauri” (supra párr. 122).</w:t>
        <w:br/>
        <w:br/>
        <w:t>126.  En igual sentido, la sentencia de 9 de noviembre de 1993, dictada por</w:t>
        <w:br/>
        <w:t>la Tercera Sala Penal de El Callao (supra párr. 67.p), estableció que:</w:t>
        <w:br/>
        <w:br/>
        <w:t xml:space="preserve">      personal de la Policía General del patrullero diez ciento cincuent[a y</w:t>
        <w:br/>
        <w:t xml:space="preserve">      ]cinco, integrado por el acusado Sargento Segundo Francisco Antezano</w:t>
        <w:br/>
        <w:t xml:space="preserve">      Satillán y el Sub-Oficial de Tercera Angel del Rosario Vásquez Chumo,</w:t>
        <w:br/>
        <w:t xml:space="preserve">      se constituyó al lugar de los hechos, o sea, la calle Felipe Pinglo</w:t>
        <w:br/>
        <w:t xml:space="preserve">      Alva cuadra primera, a fin de prestar apoyo y patrullar por las</w:t>
        <w:br/>
        <w:t xml:space="preserve">      inmediaciones, circunstancias en las que se percataron de la presencia</w:t>
        <w:br/>
        <w:t xml:space="preserve">      de dos sujetos, a quienes intervinienen y detienen, siendo</w:t>
        <w:br/>
        <w:t xml:space="preserve">      introducidos a la maletera del patrullero, resultando ser los</w:t>
        <w:br/>
        <w:t xml:space="preserve">      agraviados hermanos Rafael Samuel y Emilio Moisés Gómez Paquiyauri, de</w:t>
        <w:br/>
        <w:t xml:space="preserve">      diecisiete y catorce años respectivamente, los mismos que fueron</w:t>
        <w:br/>
        <w:t xml:space="preserve">      ingresados al Hospital “Daniel Alcides Carrión” a las diez y treinta[</w:t>
        <w:br/>
        <w:t xml:space="preserve">      y ]cinco de la mañana aproximadamente, nosocomio donde se diagnosticó</w:t>
        <w:br/>
        <w:t xml:space="preserve">      que ambos menores habían llegado cadáveres, siendo la causa de sus</w:t>
        <w:br/>
        <w:t xml:space="preserve">      muertes […] ‘heridas de proyectil de arma de fuego de pequeño calibre</w:t>
        <w:br/>
        <w:t xml:space="preserve">      en cabeza y tórax, además de una en el abdomen para uno de ellos’[.]</w:t>
        <w:br/>
        <w:br/>
        <w:br/>
        <w:t xml:space="preserve">      […] es así que desde un inicio los miembros de la Policía General que</w:t>
        <w:br/>
        <w:t xml:space="preserve">      intervinieron en dicho enfrentamiento, como los que posteriormente</w:t>
        <w:br/>
        <w:t xml:space="preserve">      prestaron de alguna forma apoyo o seguridad, manejaban el criterio</w:t>
        <w:br/>
        <w:t xml:space="preserve">      errado de que de lo que se trataba era de un ataque terrorista,</w:t>
        <w:br/>
        <w:t xml:space="preserve">      criterio éste con el que se determinó dar muerte a los […] hermanos</w:t>
        <w:br/>
        <w:t xml:space="preserve">      Rafael Samuel y Emilio Moisés Gómez Paquiyauri, agraviados a quienes</w:t>
        <w:br/>
        <w:t xml:space="preserve">      se capturó vivos, sin presentar herida alguna, y sin haber verificado</w:t>
        <w:br/>
        <w:t xml:space="preserve">      siquiera si en realidad se trataba de delincuentes terroristas[.]</w:t>
        <w:br/>
        <w:br/>
        <w:t>127.  Además, desde ese entonces y  hasta  hoy  en  día,  en  el  caso,  los</w:t>
        <w:br/>
        <w:t>mecanismos judiciales existentes no han resultado del todo  efectivos,  para</w:t>
        <w:br/>
        <w:t>sancionar a todos los responsables, en particular al  autor  intelectual  de</w:t>
        <w:br/>
        <w:t>los hechos, situación que propicia un clima de impunidad[104].</w:t>
        <w:br/>
        <w:br/>
        <w:t>128.  Sobre el particular, la Corte ha señalado que cuando existe un  patrón</w:t>
        <w:br/>
        <w:t>de  violaciones  a   los   derechos   humanos,   entre   ellas   ejecuciones</w:t>
        <w:br/>
        <w:t>extrajudiciales impulsadas o toleradas por  el  Estado,  contrarias  al  jus</w:t>
        <w:br/>
        <w:t>cogens, se genera un clima incompatible  con  una  efectiva  protección  del</w:t>
        <w:br/>
        <w:t>derecho a la vida.  Este Tribunal ha establecido que el derecho  a  la  vida</w:t>
        <w:br/>
        <w:t>es fundamental en la Convención Americana,  por  cuanto  de  su  salvaguarda</w:t>
        <w:br/>
        <w:t>depende la realización de los demás derechos[105].  Al no ser  respetado  el</w:t>
        <w:br/>
        <w:t>derecho a la vida, todos los  derechos  carecen  de  sentido.   Los  Estados</w:t>
        <w:br/>
        <w:t>tienen la obligación de garantizar la creación de  las  condiciones  que  se</w:t>
        <w:br/>
        <w:t>requieran para que no se produzcan violaciones de  ese  derecho  inalienable</w:t>
        <w:br/>
        <w:t>y, en particular, el  deber  de  impedir  que  sus  agentes  atenten  contra</w:t>
        <w:br/>
        <w:t>él[106].</w:t>
        <w:br/>
        <w:br/>
        <w:t>129.   El  cumplimiento  del  artículo  4  de   la   Convención   Americana,</w:t>
        <w:br/>
        <w:t>relacionado con el artículo 1.1 de la misma, no sólo presupone  que  ninguna</w:t>
        <w:br/>
        <w:t>persona sea privada de su vida arbitrariamente (obligación  negativa),  sino</w:t>
        <w:br/>
        <w:t>que además requiere que los Estados tomen todas las medidas apropiadas  para</w:t>
        <w:br/>
        <w:t>proteger y preservar el derecho a la vida (obligación  positiva)[107],  bajo</w:t>
        <w:br/>
        <w:t>su deber de garantizar el pleno y libre ejercicio de los derechos  de  todas</w:t>
        <w:br/>
        <w:t>las personas  bajo  su  jurisdicción[108].   Esta  protección  integral  del</w:t>
        <w:br/>
        <w:t>derecho  a  la  vida  por  parte  del  Estado  no  sólo  involucra   a   sus</w:t>
        <w:br/>
        <w:t>legisladores, sino a toda institución estatal, y a quienes deben  resguardar</w:t>
        <w:br/>
        <w:t>la seguridad, sean éstas sus fuerzas de policía o sus fuerzas  armadas[109].</w:t>
        <w:br/>
        <w:t xml:space="preserve"> En razón de  lo  anterior,  los  Estados  deben  tomar  todas  las  medidas</w:t>
        <w:br/>
        <w:t>necesarias, no sólo para prevenir, juzgar y  castigar  la  privación  de  la</w:t>
        <w:br/>
        <w:t>vida como consecuencia de actos criminales, en general,  sino  también  para</w:t>
        <w:br/>
        <w:t>prevenir las ejecuciones arbitrarias por parte de  sus  propios  agentes  de</w:t>
        <w:br/>
        <w:t>seguridad[110].</w:t>
        <w:br/>
        <w:br/>
        <w:t>130.  La Corte ya ha señalado que</w:t>
        <w:br/>
        <w:br/>
        <w:t xml:space="preserve">      [e]n casos de  ejecuciones  extrajudiciales  es  fundamental  que  los</w:t>
        <w:br/>
        <w:t xml:space="preserve">      Estados investiguen efectivamente la privación del derecho a la vida y</w:t>
        <w:br/>
        <w:t xml:space="preserve">      castiguen  a  todos  sus  responsables,  especialmente  cuando   están</w:t>
        <w:br/>
        <w:t xml:space="preserve">      involucrados agentes estatales, ya que de  no  ser  así,  se  estarían</w:t>
        <w:br/>
        <w:t xml:space="preserve">      creando, dentro de un ambiente de impunidad, las condiciones para  que</w:t>
        <w:br/>
        <w:t xml:space="preserve">      este tipo de hechos vuelva a repetirse, lo que es contrario  al  deber</w:t>
        <w:br/>
        <w:t xml:space="preserve">      de respetar y garantizar el derecho a la vida[111].</w:t>
        <w:br/>
        <w:br/>
        <w:t>131.  En este sentido, la salvaguarda del derecho a la vida requiere que  se</w:t>
        <w:br/>
        <w:t>realice una investigación oficial efectiva cuando hay personas  que  pierden</w:t>
        <w:br/>
        <w:t>la vida como resultado del uso  de  la  fuerza  por  parte  de  agentes  del</w:t>
        <w:br/>
        <w:t>Estado[112].  Al respecto, la Corte Europea de Derechos Humanos ha  indicado</w:t>
        <w:br/>
        <w:t>que</w:t>
        <w:br/>
        <w:br/>
        <w:t xml:space="preserve">      [l]a prohibición general que tienen los agentes estatales de</w:t>
        <w:br/>
        <w:t xml:space="preserve">      abstenerse de privar arbitrariamente de la vida a un individuo [...]</w:t>
        <w:br/>
        <w:t xml:space="preserve">      sería inefectiva, en la práctica, si no existiera un procedimiento en</w:t>
        <w:br/>
        <w:t xml:space="preserve">      el que se revisara la legalidad del uso de la fuerza letal por parte</w:t>
        <w:br/>
        <w:t xml:space="preserve">      de dichas autoridades. La obligación que impone el artículo 2 respecto</w:t>
        <w:br/>
        <w:t xml:space="preserve">      a la protección del derecho a la vida, tomada en conjunto con la</w:t>
        <w:br/>
        <w:t xml:space="preserve">      obligación general [...] del Estado [...] de ‘asegurar a todos los</w:t>
        <w:br/>
        <w:t xml:space="preserve">      individuos bajo su jurisdicción el goce de los derechos y libertades</w:t>
        <w:br/>
        <w:t xml:space="preserve">      en [la] Convención’, requiere la realización de [...] una</w:t>
        <w:br/>
        <w:t xml:space="preserve">      investigación oficial efectiva, cuando algún individuo haya fallecido</w:t>
        <w:br/>
        <w:t xml:space="preserve">      como consecuencia del uso de la fuerza[113].</w:t>
        <w:br/>
        <w:br/>
        <w:t>132.  Al respecto, la Corte ha tenido por probado que en el caso sub judice</w:t>
        <w:br/>
        <w:t>se presentó un esquema de impunidad, de conformidad con el cual, dentro de</w:t>
        <w:br/>
        <w:t>un marco de presión pública, se procesó y condenó a  los autores</w:t>
        <w:br/>
        <w:t>materiales[114], de más bajo rango en la Policía Nacional del Perú (supra</w:t>
        <w:br/>
        <w:t>párr. 67.r), a la vez que el o los autores intelectuales aún no han sido</w:t>
        <w:br/>
        <w:t>procesados y sólo uno ha sido presuntamente identificado (supra párr.</w:t>
        <w:br/>
        <w:t>67.s). El referido esquema de impunidad reviste especial gravedad en los</w:t>
        <w:br/>
        <w:t>casos de vulneraciones al derecho a la vida en el marco de un patrón de</w:t>
        <w:br/>
        <w:t>violaciones sistemáticas a los derechos humanos, entre ellas ejecuciones</w:t>
        <w:br/>
        <w:t>extrajudiciales, como en el presente caso, ya que propicia un clima idóneo</w:t>
        <w:br/>
        <w:t>para la repetición crónica de tales infracciones[115].</w:t>
        <w:br/>
        <w:br/>
        <w:t>133.  En razón de todo lo expuesto, la Corte concluye que Rafael Samuel</w:t>
        <w:br/>
        <w:t>Gómez Paquiyauri y Emilio Moisés Gómez Paquiyauri fueron ejecutados</w:t>
        <w:br/>
        <w:t>extrajudicialmente, por lo que considera que el Perú violó el artículo 4 de</w:t>
        <w:br/>
        <w:t>la Convención Americana, en relación con el artículo 1.1 de la misma, en</w:t>
        <w:br/>
        <w:t>perjuicio de los mencionados Rafael Samuel y Emilio Moisés Gómez</w:t>
        <w:br/>
        <w:t>Paquiyauri.</w:t>
        <w:br/>
        <w:br/>
        <w:br/>
        <w:t xml:space="preserve">                                     XII</w:t>
        <w:br/>
        <w:t xml:space="preserve">        Derecho a las Garantías judiciales y a la Protección Judicial</w:t>
        <w:br/>
        <w:t xml:space="preserve">                              Artículos 8 y 25</w:t>
        <w:br/>
        <w:t>en relación con el artículo 1.1</w:t>
        <w:br/>
        <w:t>e Incumplimiento del Artículo 8 de</w:t>
        <w:br/>
        <w:t>la Convención Interamericana para Prevenir y Sancionar la Tortura</w:t>
        <w:br/>
        <w:br/>
        <w:br/>
        <w:t>Alegatos de la Comisión</w:t>
        <w:br/>
        <w:br/>
        <w:br/>
        <w:t>134.  La Comisión alegó que el Estado violó los  derechos  a  las  garantías</w:t>
        <w:br/>
        <w:t>judiciales y a la protección judicial, consagrados en los artículos 8 y  25,</w:t>
        <w:br/>
        <w:t>en relación con el artículo  1.1,  todos  de  la  Convención  Americana,  en</w:t>
        <w:br/>
        <w:t>perjuicio  de  Emilio  Moisés  Gómez  Paquiyauri  y  Rafael   Samuel   Gómez</w:t>
        <w:br/>
        <w:t>Paquiyauri, en razón de que:</w:t>
        <w:br/>
        <w:br/>
        <w:t>a)    los Estados tienen la obligación de investigar y sancionar a los</w:t>
        <w:br/>
        <w:t>responsables de las violaciones a derechos humanos que han consumado sus</w:t>
        <w:br/>
        <w:t>agentes, así como de reparar a las víctimas o sus familiares.  Esta</w:t>
        <w:br/>
        <w:t>obligación deriva principalmente del artículo 1.1 de la Convención</w:t>
        <w:br/>
        <w:t>Americana, ya que la investigación constituye “un medio para garantizar”</w:t>
        <w:br/>
        <w:t>los derechos contemplados en el mencionado instrumento y, por ello, debe</w:t>
        <w:br/>
        <w:t>ser cumplida de manera seria;</w:t>
        <w:br/>
        <w:br/>
        <w:t>b)    la obligación de investigar y sancionar requiere que se castigue no</w:t>
        <w:br/>
        <w:t>sólo a los autores materiales de los hechos violatorios de derechos</w:t>
        <w:br/>
        <w:t>humanos, sino también a los autores intelectuales de tales hechos, así como</w:t>
        <w:br/>
        <w:t>a los encubridores de los mismos;</w:t>
        <w:br/>
        <w:br/>
        <w:t>c)    en el presente caso, aunque los tribunales peruanos lograron</w:t>
        <w:br/>
        <w:t>identificar al autor intelectual del presunto asesinato de los hermanos</w:t>
        <w:br/>
        <w:t>Gómez Paquiyauri, las acciones que el Estado ha realizado posteriormente</w:t>
        <w:br/>
        <w:t>para dar con su paradero, con el fin de enjuiciarlo y sancionarlo, han sido</w:t>
        <w:br/>
        <w:t>insuficientes y no demuestran una debida diligencia;</w:t>
        <w:br/>
        <w:br/>
        <w:t>d)    el presunto autor intelectual ha presentado varios escritos ante los</w:t>
        <w:br/>
        <w:t>tribunales peruanos “que procuran se le exonere de responsabilidad respecto</w:t>
        <w:br/>
        <w:t>[de la muerte] de los hermanos [Rafael Samuel y Emilio Moisés] Gómez</w:t>
        <w:br/>
        <w:t>Paquiyauri”, lo cual implica, al menos, algunos indicios que podrían</w:t>
        <w:br/>
        <w:t>contribuir a encontrarlo;</w:t>
        <w:br/>
        <w:br/>
        <w:t>e)    tratándose de una estructura jerárquica como la de la Policía</w:t>
        <w:br/>
        <w:t>Nacional del Perú, y “ante la existencia de un asesinato ordenado por un</w:t>
        <w:br/>
        <w:t>capitán de dicha policía, en el marco de una [alegada] práctica sistemática</w:t>
        <w:br/>
        <w:t>de ejecuciones extrajudiciales”, el Estado debió haber investigado, además,</w:t>
        <w:br/>
        <w:t>quién autorizó al capitán de la Policía Nacional del Perú a presuntamente</w:t>
        <w:br/>
        <w:t>“ordenar a sus subalternos la ejecución extrajudicial de personas”;</w:t>
        <w:br/>
        <w:br/>
        <w:t>f)    en el presente caso, se ha constituido un típico esquema de</w:t>
        <w:br/>
        <w:t>impunidad, diseñado por la propia Policía Nacional del Perú, conforme al</w:t>
        <w:br/>
        <w:t>cual cuando existe mucha presión pública en un caso, las instituciones</w:t>
        <w:br/>
        <w:t>armadas o policiales “entregan” a los agentes de más bajo nivel, con la</w:t>
        <w:br/>
        <w:t>promesa de brindarles asesoría jurídica, seguridad en la cárcel, asistencia</w:t>
        <w:br/>
        <w:t>a sus familias, gestión de beneficios penitenciarios y, eventualmente, el</w:t>
        <w:br/>
        <w:t>reingreso a la institución luego de obtenida su libertad.  A cambio de</w:t>
        <w:br/>
        <w:t>ello, los agentes de más bajo nivel se comprometen a no delatar a sus</w:t>
        <w:br/>
        <w:t>superiores, quienes, como en este caso, suelen quedar en la impunidad; y</w:t>
        <w:br/>
        <w:br/>
        <w:t>g)    en el caso de estructuras jerárquicas, como las fuerzas de seguridad</w:t>
        <w:br/>
        <w:t>o armadas, la investigación y sanción de los responsables de emitir órdenes</w:t>
        <w:br/>
        <w:t>que conducen a la violación de derechos humanos adquiere una relevancia</w:t>
        <w:br/>
        <w:t>especial, ya que no solamente permite al Estado cumplir con su obligación</w:t>
        <w:br/>
        <w:t>de investigar y sancionar a todos los responsables, sino que representa</w:t>
        <w:br/>
        <w:t>“una de las medidas más eficaces para la prevención de [e]stos hechos”.</w:t>
        <w:br/>
        <w:br/>
        <w:t>Alegatos de la representante de las presuntas víctimas y sus familiares</w:t>
        <w:br/>
        <w:br/>
        <w:t>135.  La representante de las presuntas víctimas y sus familiares alegó que</w:t>
        <w:br/>
        <w:t>el Estado violó los artículos 8 y 25 de la Convención Americana en</w:t>
        <w:br/>
        <w:t>perjuicio de Emilio Moisés y Rafael Samuel Gómez Paquiyauri, así como de</w:t>
        <w:br/>
        <w:t>sus familiares, en razón de que:</w:t>
        <w:br/>
        <w:br/>
        <w:t xml:space="preserve">      a)    pese a que existían elementos para considerar que los hechos</w:t>
        <w:br/>
        <w:t xml:space="preserve">      formaron parte de una práctica de detenciones arbitrarias y</w:t>
        <w:br/>
        <w:t xml:space="preserve">      ejecuciones extrajudiciales en la época, los tribunales peruanos</w:t>
        <w:br/>
        <w:t xml:space="preserve">      presentaron las muertes de las presuntas víctimas como actos aislados</w:t>
        <w:br/>
        <w:t xml:space="preserve">      de “unos cu[a]ntos ‘malos efectivos de la Policía Nacional del Perú’”</w:t>
        <w:br/>
        <w:t xml:space="preserve">      y sólo condenaron a los tripulantes de los carros policiales a cargo</w:t>
        <w:br/>
        <w:t xml:space="preserve">      de la custodia de las presuntas víctimas y señalaron a un capitán,</w:t>
        <w:br/>
        <w:t xml:space="preserve">      César Augusto Santoyo Castro, como el único presunto autor intelectual</w:t>
        <w:br/>
        <w:t xml:space="preserve">      de los hechos; lo anterior pese a que uno de los acusados habría</w:t>
        <w:br/>
        <w:t xml:space="preserve">      reconocido que las órdenes emanaron de otros superiores también;</w:t>
        <w:br/>
        <w:br/>
        <w:br/>
        <w:t xml:space="preserve">      b)    hay evidencia de que los acusados en el proceso interno y sus</w:t>
        <w:br/>
        <w:t xml:space="preserve">      superiores se pusieron de acuerdo sobre cómo presentar los hechos, así</w:t>
        <w:br/>
        <w:t xml:space="preserve">      como de que los primeros recibieron ayuda a cambio de no delatar a sus</w:t>
        <w:br/>
        <w:t xml:space="preserve">      superiores;</w:t>
        <w:br/>
        <w:br/>
        <w:br/>
        <w:t xml:space="preserve">      c)    los mecanismos estatales actuaron de tal forma que entorpecieron</w:t>
        <w:br/>
        <w:t xml:space="preserve">      la investigación, por ejemplo, “presentando a la opinión pública  que</w:t>
        <w:br/>
        <w:t xml:space="preserve">      los menores habían perecido como resultado de un enfrentamiento armado</w:t>
        <w:br/>
        <w:t xml:space="preserve">      con la policía, fraguando pruebas y desapareciendo otras”;</w:t>
        <w:br/>
        <w:br/>
        <w:br/>
        <w:t xml:space="preserve">      d)    el poder judicial peruano falló en su responsabilidad de</w:t>
        <w:br/>
        <w:t xml:space="preserve">      investigar de manera independiente e imparcial los hechos del caso y</w:t>
        <w:br/>
        <w:t xml:space="preserve">      no proveyó justicia a los familiares de las presuntas víctimas, dado</w:t>
        <w:br/>
        <w:t xml:space="preserve">      que no dio la importancia debida a la presunta detención arbitraria y</w:t>
        <w:br/>
        <w:t xml:space="preserve">      presuntas torturas; eximió de responsabilidad a la mayoría de los</w:t>
        <w:br/>
        <w:t xml:space="preserve">      agentes que actuaron como autores intelectuales, así como otros</w:t>
        <w:br/>
        <w:t xml:space="preserve">      cómplices en el delito; y liberó al poco tiempo de encarcelados a los</w:t>
        <w:br/>
        <w:t xml:space="preserve">      únicos condenados;</w:t>
        <w:br/>
        <w:br/>
        <w:br/>
        <w:t xml:space="preserve">      e)    la indemnización decretada en el fuero interno no ha sido</w:t>
        <w:br/>
        <w:t xml:space="preserve">      recibida por los familiares de las presuntas víctimas; además, la</w:t>
        <w:br/>
        <w:t xml:space="preserve">      indemnización que recae sobre los individuos perpetradores del delito</w:t>
        <w:br/>
        <w:t xml:space="preserve">      como consecuencia de su responsabilidad individual no exime y es</w:t>
        <w:br/>
        <w:t xml:space="preserve">      independiente de la responsabilidad que tiene el Estado de reparar</w:t>
        <w:br/>
        <w:t xml:space="preserve">      directamente el daño causado; y</w:t>
        <w:br/>
        <w:br/>
        <w:br/>
        <w:t xml:space="preserve">      f)    al no existir en el Perú un fondo de ayuda social para familias</w:t>
        <w:br/>
        <w:t xml:space="preserve">      de bajos recursos que cubra los gastos esenciales de representación en</w:t>
        <w:br/>
        <w:t xml:space="preserve">      un litigio por violación de derechos humanos, el Estado falló en su</w:t>
        <w:br/>
        <w:t xml:space="preserve">      obligación de permitir el acceso a la justicia a las presuntas</w:t>
        <w:br/>
        <w:t xml:space="preserve">      víctimas.</w:t>
        <w:br/>
        <w:br/>
        <w:t>Alegatos del Estado</w:t>
        <w:br/>
        <w:br/>
        <w:t>136.  El Estado argumentó que:</w:t>
        <w:br/>
        <w:br/>
        <w:t xml:space="preserve">      a)    en el proceso penal seguido contra los autores y  cómplices  del</w:t>
        <w:br/>
        <w:t xml:space="preserve">      asesinato de los hermanos Gómez Paquiyarui, se  terminó  condenando  a</w:t>
        <w:br/>
        <w:t xml:space="preserve">      éstos a pena privativa de libertad y reparación civil a favor  de  los</w:t>
        <w:br/>
        <w:t xml:space="preserve">      familiares de las presuntas víctimas y se reservó proceso penal contra</w:t>
        <w:br/>
        <w:t xml:space="preserve">      el autor intelectual;</w:t>
        <w:br/>
        <w:br/>
        <w:br/>
        <w:t xml:space="preserve">      b)    en cuanto a la localización del  autor  intelectual,  el  Estado</w:t>
        <w:br/>
        <w:t xml:space="preserve">      afirmó que se agotaron todos los medios  de  investigación  necesarios</w:t>
        <w:br/>
        <w:t xml:space="preserve">      para su ubicación y captura; sin embargo, éstos no fueron  fructíferos</w:t>
        <w:br/>
        <w:t xml:space="preserve">      hasta  la  fecha.  Ante  esta  situación,  el  Estado,  atendiendo  al</w:t>
        <w:br/>
        <w:t xml:space="preserve">      principio  de  legalidad,  repudió  toda  forma   de   impunidad;   se</w:t>
        <w:br/>
        <w:t xml:space="preserve">      comprometió a replantear y realizar nuevos métodos  de  investigación,</w:t>
        <w:br/>
        <w:t xml:space="preserve">      para dar con el paradero del autor intelectual;  y  se  comprometió  a</w:t>
        <w:br/>
        <w:t xml:space="preserve">      enjuiciarlo conforme a las leyes peruanas;</w:t>
        <w:br/>
        <w:br/>
        <w:br/>
        <w:t xml:space="preserve">      c)    las violaciones a los derechos humanos cometidas por sus agentes</w:t>
        <w:br/>
        <w:t xml:space="preserve">      han sido debidamente sancionadas, es decir, “se han agotado todas  las</w:t>
        <w:br/>
        <w:t xml:space="preserve">      investigaciones del  caso  para  determinar  e  individualizar  a  los</w:t>
        <w:br/>
        <w:t xml:space="preserve">      autores y partícipes del crimen contra los hermanos Gómez Paquiyauri”;</w:t>
        <w:br/>
        <w:br/>
        <w:br/>
        <w:br/>
        <w:br/>
        <w:t xml:space="preserve">      d)    se llevó a cabo un proceso judicial observando los principios  y</w:t>
        <w:br/>
        <w:t xml:space="preserve">      garantías de un debido proceso, el  cual  terminó  con  una  sentencia</w:t>
        <w:br/>
        <w:t xml:space="preserve">      condenatoria a pena privativa de libertad y reparación  civil,  en  la</w:t>
        <w:br/>
        <w:t xml:space="preserve">      cual se reserva el proceso para el autor  intelectual  hasta  que  sea</w:t>
        <w:br/>
        <w:t xml:space="preserve">      localizado su paradero;</w:t>
        <w:br/>
        <w:br/>
        <w:br/>
        <w:t xml:space="preserve">      e)    como titular del ius puniendi en el caso, el Perú ha  actuado  a</w:t>
        <w:br/>
        <w:t xml:space="preserve">      través de sus órganos de investigación y  juzgamiento  con  la  debida</w:t>
        <w:br/>
        <w:t xml:space="preserve">      diligencia y eficacia, para investigar y sancionar  a  los  autores  y</w:t>
        <w:br/>
        <w:t xml:space="preserve">      partícipes del crimen de los hermanos;</w:t>
        <w:br/>
        <w:br/>
        <w:br/>
        <w:t xml:space="preserve">      f)    el Estado ha brindado tutela judicial efectiva a los familiares</w:t>
        <w:br/>
        <w:t xml:space="preserve">      de las presuntas víctimas, ya que se han agotado todos los medios</w:t>
        <w:br/>
        <w:t xml:space="preserve">      necesarios para que dicho crimen no quede en la impunidad y se les ha</w:t>
        <w:br/>
        <w:t xml:space="preserve">      dado la posibilidad real para que puedan coadyuvar a una efectiva</w:t>
        <w:br/>
        <w:t xml:space="preserve">      investigación y juzgamiento de los responsables de dicho crimen; y</w:t>
        <w:br/>
        <w:br/>
        <w:br/>
        <w:t xml:space="preserve">      g)    en los hechos, la reparación civil no se hizo efectiva, pero</w:t>
        <w:br/>
        <w:t xml:space="preserve">      ello no implica que sea por falta de instrumentos legales que la</w:t>
        <w:br/>
        <w:t xml:space="preserve">      legislación nacional establece para hacer efectivos los derechos que</w:t>
        <w:br/>
        <w:t xml:space="preserve">      las resoluciones judiciales les reconocen.</w:t>
        <w:br/>
        <w:br/>
        <w:br/>
        <w:t>Consideraciones de la Corte</w:t>
        <w:br/>
        <w:br/>
        <w:br/>
        <w:t>137.  El artículo 8 de la Convención Americana establece:</w:t>
        <w:br/>
        <w:br/>
        <w:t xml:space="preserve">      1.    Toda persona tiene derecho a ser oída, con las debidas garantías</w:t>
        <w:br/>
        <w:t xml:space="preserve">      y dentro de un plazo razonable, por un juez o tribunal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orden civil,</w:t>
        <w:br/>
        <w:t xml:space="preserve">      laboral, fiscal o de cualquier otro carácter.</w:t>
        <w:br/>
        <w:br/>
        <w:br/>
        <w:t xml:space="preserve">      2.    Toda persona inculpada de delito tiene derecho a que se presuma</w:t>
        <w:br/>
        <w:t xml:space="preserve">      su inocencia mientras no se establezca legalmente su culpabilidad.</w:t>
        <w:br/>
        <w:t xml:space="preserve">      Durante el proceso, toda persona tiene derecho, en plena igualdad, a</w:t>
        <w:br/>
        <w:t xml:space="preserve">      las siguientes garantías:</w:t>
        <w:br/>
        <w:br/>
        <w:br/>
        <w:t xml:space="preserve">           a)    derecho del inculpado de ser asistido gratuitamente por el</w:t>
        <w:br/>
        <w:t xml:space="preserve">           traductor o intérprete, si no comprende o no habla el idioma del</w:t>
        <w:br/>
        <w:t xml:space="preserve">           juzgado o tribunal;</w:t>
        <w:br/>
        <w:br/>
        <w:br/>
        <w:t xml:space="preserve">           b)    comunicación previa y detallada al inculpado de la</w:t>
        <w:br/>
        <w:t xml:space="preserve">           acusación formulada;</w:t>
        <w:br/>
        <w:br/>
        <w:br/>
        <w:t xml:space="preserve">           c)    concesión al inculpado del tiempo y de los medios</w:t>
        <w:br/>
        <w:t xml:space="preserve">           adecuados para la preparación de su defensa;</w:t>
        <w:br/>
        <w:br/>
        <w:br/>
        <w:t xml:space="preserve">           d)    derecho del inculpado de defenderse personalmente o de ser</w:t>
        <w:br/>
        <w:t xml:space="preserve">           asistido por un defensor de su elección y de comunicarse libre y</w:t>
        <w:br/>
        <w:t xml:space="preserve">           privadamente con su defensor;</w:t>
        <w:br/>
        <w:br/>
        <w:br/>
        <w:t xml:space="preserve">           e)    derecho irrenunciable de ser asistido por un defensor</w:t>
        <w:br/>
        <w:t xml:space="preserve">           proporcionado por el Estado, remunerado o no según la</w:t>
        <w:br/>
        <w:t xml:space="preserve">           legislación interna, si el inculpado no se defendiere por sí</w:t>
        <w:br/>
        <w:t xml:space="preserve">           mismo ni nombrare defensor dentro del plazo establecido por la</w:t>
        <w:br/>
        <w:t xml:space="preserve">           ley;</w:t>
        <w:br/>
        <w:br/>
        <w:br/>
        <w:t xml:space="preserve">           f)    derecho de la defensa de interrogar a los testigos</w:t>
        <w:br/>
        <w:t xml:space="preserve">           presentes en el tribunal y de obtener la comparecencia, como</w:t>
        <w:br/>
        <w:t xml:space="preserve">           testigos o peritos, de otras personas que puedan arrojar luz</w:t>
        <w:br/>
        <w:t xml:space="preserve">           sobre los hechos;</w:t>
        <w:br/>
        <w:br/>
        <w:br/>
        <w:t xml:space="preserve">           g)    derecho a no ser obligado a declarar contra sí mismo ni a</w:t>
        <w:br/>
        <w:t xml:space="preserve">           declararse culpable; y</w:t>
        <w:br/>
        <w:br/>
        <w:br/>
        <w:t xml:space="preserve">           h)    derecho a recurrir del fallo ante juez o tribunal</w:t>
        <w:br/>
        <w:t xml:space="preserve">           superior.</w:t>
        <w:br/>
        <w:br/>
        <w:br/>
        <w:t xml:space="preserve">      3.    La confesión del inculpado solamente es válida si es hecha sin</w:t>
        <w:br/>
        <w:t xml:space="preserve">      coacción de ninguna naturaleza.</w:t>
        <w:br/>
        <w:br/>
        <w:br/>
        <w:t xml:space="preserve">      4.    El inculpado absuelto por una sentencia firme no podrá ser</w:t>
        <w:br/>
        <w:t xml:space="preserve">      sometido a nuevo juicio por los mismos hechos.</w:t>
        <w:br/>
        <w:br/>
        <w:br/>
        <w:t xml:space="preserve">      5.    El proceso penal debe ser público, salvo en lo que sea necesario</w:t>
        <w:br/>
        <w:t xml:space="preserve">      para preservar los intereses de la justicia.</w:t>
        <w:br/>
        <w:br/>
        <w:t>138.  El artículo 25 de la Convención Americana dispone:</w:t>
        <w:br/>
        <w:br/>
        <w:t xml:space="preserve">      1.    Toda persona tiene derecho a un recurso sencillo y rápido o a</w:t>
        <w:br/>
        <w:t xml:space="preserve">      cualquier otro recurso efectivo ante los jueces o tribunales</w:t>
        <w:br/>
        <w:t xml:space="preserve">      competentes, que la ampare contra actos que violen sus derechos</w:t>
        <w:br/>
        <w:t xml:space="preserve">      fundamentales reconocidos por la Constitución, la ley o la […]</w:t>
        <w:br/>
        <w:t xml:space="preserve">      Convención, aun cuando tal violación sea cometida por personas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t xml:space="preserve">           a)    a garantizar que la autoridad competente prevista por el</w:t>
        <w:br/>
        <w:t xml:space="preserve">           sistema legal del Estado decidirá sobre los derechos de toda</w:t>
        <w:br/>
        <w:t xml:space="preserve">           persona que interponga tal recurso;</w:t>
        <w:br/>
        <w:t xml:space="preserve">           b)    a desarrollar las posibilidades de recurso judicial, y</w:t>
        <w:br/>
        <w:t xml:space="preserve">           c)    a garantizar el cumplimiento, por las autoridades</w:t>
        <w:br/>
        <w:t xml:space="preserve">           competentes, de toda decisión en que se haya estimado procedente</w:t>
        <w:br/>
        <w:t xml:space="preserve">           el recurso.</w:t>
        <w:br/>
        <w:br/>
        <w:t>139.  La Convención Interamericana contra la Tortura establece:</w:t>
        <w:br/>
        <w:br/>
        <w:t xml:space="preserve">                                 Artículo 8</w:t>
        <w:br/>
        <w:br/>
        <w:t xml:space="preserve">      Los Estados partes garantizarán a toda persona que denuncie haber sido</w:t>
        <w:br/>
        <w:t>sometida a tortura en el ámbito de su jurisdicción el derecho a que el caso</w:t>
        <w:br/>
        <w:t>sea examinado imparcialmente.</w:t>
        <w:br/>
        <w:br/>
        <w:br/>
        <w:t xml:space="preserve">      Asimismo, cuando exista denuncia o razón fundada para creer que se ha</w:t>
        <w:br/>
        <w:t>cometido un acto de tortura en el ámbito de su jurisdicción, los Estados</w:t>
        <w:br/>
        <w:t>partes garantizarán que sus respectivas autoridades procederán de oficio y</w:t>
        <w:br/>
        <w:t>de inmediato a realizar una investigación sobre el caso y a iniciar, cuando</w:t>
        <w:br/>
        <w:t>corresponda, el respectivo proceso penal.</w:t>
        <w:br/>
        <w:br/>
        <w:br/>
        <w:t xml:space="preserve">      Una vez agotado el ordenamiento jurídico interno del respectivo Estado</w:t>
        <w:br/>
        <w:t>y los recursos que éste prevé, el caso podrá ser sometido a instancias</w:t>
        <w:br/>
        <w:t>internacionales cuya competencia haya sido aceptada por ese Estado.</w:t>
        <w:br/>
        <w:br/>
        <w:t>140.  Los hechos que afectaron a Rafael Samuel y Emilio Moisés Gómez</w:t>
        <w:br/>
        <w:t>Paquiyauri fueron conocidos por la Tercera Sala Penal de El Callao, cuyas</w:t>
        <w:br/>
        <w:t>actuaciones se encuentran tramitadas en el expediente 227-92, con base en</w:t>
        <w:br/>
        <w:t>una denuncia formulada por los padres de los hermanos Gómez Paquiyauri y en</w:t>
        <w:br/>
        <w:t>el atestado policial No. 281-IC-H-DDCV.  Dicho proceso concluyó con la</w:t>
        <w:br/>
        <w:t>sentencia dictada el 9 de noviembre de 1993, la cual fue confirmada por la</w:t>
        <w:br/>
        <w:t>Sala Transitoria Penal de la Corte Suprema del Perú el 9 de junio de 1994</w:t>
        <w:br/>
        <w:t>(supra párr. 67.q), resultando en la condena a un autor material y un</w:t>
        <w:br/>
        <w:t>cómplice, y la identificación de un autor intelectual, a quien se le</w:t>
        <w:br/>
        <w:t>reservó el juicio.  El análisis del presente capítulo abarcará dicho</w:t>
        <w:br/>
        <w:t>proceso.</w:t>
        <w:br/>
        <w:br/>
        <w:t>141.  La sentencia dictada por la Tercera Sala Penal de El Callao  el  9  de</w:t>
        <w:br/>
        <w:t>noviembre de 1993 (supra párr. 67.p) estableció dos  tipos  de  responsables</w:t>
        <w:br/>
        <w:t>por los hechos  del  presente  caso.   En  primer  lugar,  dos  responsables</w:t>
        <w:br/>
        <w:t>materiales, en calidad de autor y  cómplice,  quienes  fueron  condenados  a</w:t>
        <w:br/>
        <w:t>dieciocho y seis años de prisión respectivamente.</w:t>
        <w:br/>
        <w:br/>
        <w:t>142.  Los autores materiales fueron  encontrados  culpables  del  delito  de</w:t>
        <w:br/>
        <w:t>homicidio calificado, para lo cual  la  Tercera  Sala  Penal  de  El  Callao</w:t>
        <w:br/>
        <w:t>consideró que:</w:t>
        <w:br/>
        <w:br/>
        <w:t xml:space="preserve">      para los efectos de la graduación de la pena a imponerse se debe tener</w:t>
        <w:br/>
        <w:t xml:space="preserve">      en cuenta que el evento reviste  extrema  gravedad,  por  tratarse  de</w:t>
        <w:br/>
        <w:t xml:space="preserve">      elementos pertenecientes a la Policía  Nacional  del  Perú[,]  quienes</w:t>
        <w:br/>
        <w:t xml:space="preserve">      contraviniendo los sagrados deberes de  que  están  investidos  y  sin</w:t>
        <w:br/>
        <w:t xml:space="preserve">      mostrar el menor respeto por  la  vida  humana,  con  premeditación  y</w:t>
        <w:br/>
        <w:t xml:space="preserve">      alevosía procedieron a victimar  a  jóvenes  estudiantes  que  estaban</w:t>
        <w:br/>
        <w:t xml:space="preserve">      imposibilitados de ejercer la menor defensa […] creando  un  clima  de</w:t>
        <w:br/>
        <w:t xml:space="preserve">      inseguridad, desconcierto y desconfianza en toda la población[.]</w:t>
        <w:br/>
        <w:br/>
        <w:t>143.  En segundo lugar, la sentencia de  9  de  noviembre  de  1993  también</w:t>
        <w:br/>
        <w:t>estableció la existencia de un autor intelectual, a quien, sin embargo,  “se</w:t>
        <w:br/>
        <w:t>reservó el juzgamiento”.  En cuanto a los  dos  primeros,  ambos  terminaron</w:t>
        <w:br/>
        <w:t>sus condenas de forma anticipada en virtud de beneficios carcelarios;  y  en</w:t>
        <w:br/>
        <w:t>cuanto al segundo, a la fecha de emisión de  la  presente  Sentencia,  trece</w:t>
        <w:br/>
        <w:t>años después de ocurridos  los  hechos,  éste  no  ha  sido  ni  juzgado  ni</w:t>
        <w:br/>
        <w:t>sancionado.   Finalmente,  la  referida  sentencia  también  estableció  una</w:t>
        <w:br/>
        <w:t>reparación civil de veinte mil nuevos soles a favor  de  los  familiares  de</w:t>
        <w:br/>
        <w:t>las presuntas víctimas, la cual todavía no ha sido pagada.</w:t>
        <w:br/>
        <w:br/>
        <w:t>144.  El autor material y el cómplice de los hechos, de conformidad con la</w:t>
        <w:br/>
        <w:t>sentencia dictada el 9 de noviembre de 1993, terminaron en forma anticipada</w:t>
        <w:br/>
        <w:t>su condena: el 10 de noviembre de 1995, el señor Francisco Antezano</w:t>
        <w:br/>
        <w:t>Santillán obtuvo el beneficio de semi-libertad y, el 18 de noviembre de</w:t>
        <w:br/>
        <w:t>1994, el señor Ángel del Rosario Vásquez Chumo obtuvo el beneficio de</w:t>
        <w:br/>
        <w:t>libertad condicional, en virtud de la aplicación de un régimen de</w:t>
        <w:br/>
        <w:t>beneficios penitenciarios establecidos en la legislación peruana.</w:t>
        <w:br/>
        <w:br/>
        <w:t>145.  El Tribunal no entrará a analizar los beneficios carcelarios</w:t>
        <w:br/>
        <w:t>establecidos en la legislación interna ni tampoco los otorgados a Francisco</w:t>
        <w:br/>
        <w:t>Antezano Santillán y Ángel del Rosario Vásquez Chumo. No obstante, la Corte</w:t>
        <w:br/>
        <w:t>considera, sin excluir ninguna categoría de condenados, que el Estado</w:t>
        <w:br/>
        <w:t>deberá ponderar la aplicación de estos beneficios cuando se trate de la</w:t>
        <w:br/>
        <w:t>comisión de violaciones graves de derechos humanos, como en el presente</w:t>
        <w:br/>
        <w:t>caso, pues su otorgamiento indebido puede eventualmente conducir a una</w:t>
        <w:br/>
        <w:t>forma de impunidad.</w:t>
        <w:br/>
        <w:br/>
        <w:t>146.  La Corte observa que, en el presente caso, el Estado ha debido</w:t>
        <w:br/>
        <w:t>realizar, a partir de la denuncia entablada por los familiares inmediatos</w:t>
        <w:br/>
        <w:t>de las presuntas víctimas, una investigación seria, imparcial y efectiva,</w:t>
        <w:br/>
        <w:t>sujeta a los requerimientos del debido proceso, para esclarecer los hechos</w:t>
        <w:br/>
        <w:t>relativos a la detención, torturas y ejecución extrajudicial de Rafael</w:t>
        <w:br/>
        <w:t>Samuel y Emilio Moisés Gómez Paquiyauri y, en particular, para identificar</w:t>
        <w:br/>
        <w:t>y sancionar a los responsables, en especial al o a los autores</w:t>
        <w:br/>
        <w:t>intelectuales de los hechos, en cumplimiento de su obligación establecida</w:t>
        <w:br/>
        <w:t>en el artículo 1.1 de la Convención, de garantizar los derechos a la vida y</w:t>
        <w:br/>
        <w:t>a la integridad personal.</w:t>
        <w:br/>
        <w:br/>
        <w:t>147.  A pesar de  haberse  llevado  a  cabo  un  proceso  judicial  a  nivel</w:t>
        <w:br/>
        <w:t>interno, en el cual se identificó a un presunto  autor  intelectual  de  los</w:t>
        <w:br/>
        <w:t>hechos, hasta la fecha de emisión de la presente  Sentencia,  más  de  trece</w:t>
        <w:br/>
        <w:t>años después de ocurridos  éstos,  el  mismo  no  ha  sido  sancionado  como</w:t>
        <w:br/>
        <w:t>responsable, a pesar de que continúa presentando escritos  a  través  de  su</w:t>
        <w:br/>
        <w:t>apoderado en la causa que  se  encuentra  abierta  al  respecto,  ni  se  ha</w:t>
        <w:br/>
        <w:t>investigado la posible existencia de más autores o responsables.</w:t>
        <w:br/>
        <w:br/>
        <w:t>148. Lo anterior  ha  configurado  una  situación  de  grave  impunidad.  Al</w:t>
        <w:br/>
        <w:t>respecto, la Corte entiende como impunidad</w:t>
        <w:br/>
        <w:br/>
        <w:t xml:space="preserve">      la falta en su conjunto de investigación, persecución, captura,</w:t>
        <w:br/>
        <w:t xml:space="preserve">      enjuiciamiento y condena de los responsables de las violaciones de los</w:t>
        <w:br/>
        <w:t xml:space="preserve">      derecho protegidos por la Convención Americana, toda vez que el Estado</w:t>
        <w:br/>
        <w:t xml:space="preserve">      tiene la obligación de combatir tal situación por todos los medios</w:t>
        <w:br/>
        <w:t xml:space="preserve">      legales disponibles ya que la impunidad propicia la repetición crónica</w:t>
        <w:br/>
        <w:t xml:space="preserve">      de las violaciones de derechos humanos y la total indefensión de las</w:t>
        <w:br/>
        <w:t xml:space="preserve">      víctimas y de sus familiares[116].</w:t>
        <w:br/>
        <w:br/>
        <w:t>149.  Durante la audiencia pública celebrada (supra párr. 28),  el agente</w:t>
        <w:br/>
        <w:t>del Estado manifestó que el presunto autor intelectual de los hechos ha</w:t>
        <w:br/>
        <w:t>realizado diversas gestiones en el proceso iniciado en su contra, con el</w:t>
        <w:br/>
        <w:t>fin de excluir su responsabilidad en virtud de disposiciones como leyes de</w:t>
        <w:br/>
        <w:t>amnistía y otras y, particularmente, pretende beneficiarse de la</w:t>
        <w:br/>
        <w:t>prescripción que pudiera operar en la causa que se le sigue por los hechos</w:t>
        <w:br/>
        <w:t>del presente caso.</w:t>
        <w:br/>
        <w:br/>
        <w:t>150.  En cuanto a la posible prescripción en la causa pendiente a  nivel  de</w:t>
        <w:br/>
        <w:t>derecho interno, la Corte recuerda lo que señaló  en  el  caso  Bulacio  vs.</w:t>
        <w:br/>
        <w:t>Argentina, en el sentido  de  que  son  inadmisibles  las  disposiciones  de</w:t>
        <w:br/>
        <w:t>prescripción o cualquier obstáculo de derecho interno mediante  el  cual  se</w:t>
        <w:br/>
        <w:t>pretenda impedir la investigación y  sanción  de  los  responsables  de  las</w:t>
        <w:br/>
        <w:t>violaciones  de  derechos  humanos[117].  La   Corte   considera   que   las</w:t>
        <w:br/>
        <w:t>obligaciones  generales  consagradas  en  los  artículos  1.1  y  2  de   la</w:t>
        <w:br/>
        <w:t>Convención Americana requieren de los Estados Partes la pronta  adopción  de</w:t>
        <w:br/>
        <w:t>providencias de toda índole para que nadie sea sustraído del  derecho  a  la</w:t>
        <w:br/>
        <w:t>protección judicial[118], consagrado en el  artículo  25  de  la  Convención</w:t>
        <w:br/>
        <w:t>Americana.</w:t>
        <w:br/>
        <w:br/>
        <w:t>151.  De acuerdo  con  las  obligaciones  convencionales  asumidas  por  los</w:t>
        <w:br/>
        <w:t>Estados, ninguna disposición o instituto de derecho interno, entre ellos  la</w:t>
        <w:br/>
        <w:t>prescripción, podría oponerse al cumplimiento de las decisiones de la  Corte</w:t>
        <w:br/>
        <w:t>en  cuanto  a  la  investigación  y  sanción  de  los  responsables  de  las</w:t>
        <w:br/>
        <w:t>violaciones  de  los  derechos  humanos.  Si  así  no  fuera,  los  derechos</w:t>
        <w:br/>
        <w:t>consagrados  en  la  Convención  Americana  estarían  desprovistos  de   una</w:t>
        <w:br/>
        <w:t>protección efectiva. Este entendimiento de  la  Corte  está  conforme  a  la</w:t>
        <w:br/>
        <w:t>letra y al espíritu de la Convención, así como a  los  principios  generales</w:t>
        <w:br/>
        <w:t>del derecho internacional; uno de estos  principios  es  el  de  pacta  sunt</w:t>
        <w:br/>
        <w:t>servanda, el cual requiere que a las disposiciones de  un  tratado  les  sea</w:t>
        <w:br/>
        <w:t>asegurado un efecto útil en el plano del  derecho  interno  de  los  Estados</w:t>
        <w:br/>
        <w:t>Partes[119].</w:t>
        <w:br/>
        <w:br/>
        <w:t>152.  De conformidad con los principios generales del derecho internacional</w:t>
        <w:br/>
        <w:t>y tal como se desprende del artículo 27 de la Convención de Viena sobre el</w:t>
        <w:br/>
        <w:t>Derecho de los Tratados de 1969, las decisiones de los órganos de</w:t>
        <w:br/>
        <w:t>protección internacional de derechos humanos no pueden encontrar obstáculo</w:t>
        <w:br/>
        <w:t>alguno para su plena aplicación en las reglas o institutos de derecho</w:t>
        <w:br/>
        <w:t>interno[120].</w:t>
        <w:br/>
        <w:br/>
        <w:t>153.  Sin perjuicio de lo  anteriormente  dicho,  en  el  presente  caso  se</w:t>
        <w:br/>
        <w:t>comprobó  que  Rafael  Samuel  y  Emilio  Moisés  Gómez  Paquiyauri   fueron</w:t>
        <w:br/>
        <w:t>torturados (supra párr. 117), situación que  impone  un  deber  especial  de</w:t>
        <w:br/>
        <w:t>investigación  por  parte  del  Estado.   Al   respecto,   las   autoridades</w:t>
        <w:br/>
        <w:t>administrativas y judiciales  se  abstuvieron  de  iniciar  formalmente  una</w:t>
        <w:br/>
        <w:t>investigación penal en torno a la comisión de tortura.</w:t>
        <w:br/>
        <w:br/>
        <w:t>154.  El artículo 8 de la Convención Interamericana contra la Tortura</w:t>
        <w:br/>
        <w:t>establece en forma expresa la obligación del Estado de proceder de oficio y</w:t>
        <w:br/>
        <w:t>en forma inmediata en casos como el presente, independientemente de la</w:t>
        <w:br/>
        <w:t>inactividad de la víctima.  En este sentido, la Corte ha sostenido que “en</w:t>
        <w:br/>
        <w:t>los procesos sobre violaciones de los derechos humanos, la defensa del</w:t>
        <w:br/>
        <w:t>Estado no puede descansar sobre la imposibilidad del demandante de allegar</w:t>
        <w:br/>
        <w:t>pruebas que, en muchos casos, no pueden obtenerse sin la cooperación del</w:t>
        <w:br/>
        <w:t>Estado”[121].  En el presente caso, el Estado no actuó con arreglo a esas</w:t>
        <w:br/>
        <w:t>previsiones.</w:t>
        <w:br/>
        <w:br/>
        <w:t>155.  El hecho de  no  investigar  efectivamente  los  actos  de  tortura  y</w:t>
        <w:br/>
        <w:t>dejarlos  impunes,  significa  que  el  Estado  omitió  tomar  las   medidas</w:t>
        <w:br/>
        <w:t>efectivas para evitar que actos de esa naturaleza vuelvan a  ocurrir  en  su</w:t>
        <w:br/>
        <w:t>jurisdicción, desconociendo lo previsto en el artículo 6  de  la  Convención</w:t>
        <w:br/>
        <w:t>Interamericana contra la Tortura.</w:t>
        <w:br/>
        <w:br/>
        <w:t>156.  Por lo expuesto, la Corte considera que el Estado violó  los  derechos</w:t>
        <w:br/>
        <w:t>consagrados en los artículos 8 y 25 de la Convención Americana, en  relación</w:t>
        <w:br/>
        <w:t>con el artículo 1.1 de la misma y las obligaciones previstas en el  artículo</w:t>
        <w:br/>
        <w:t>8 de la Convención Interamericana contra la Tortura, en perjuicio de  Rafael</w:t>
        <w:br/>
        <w:t>Samuel y Emilio Moisés Gómez  Paquiyauri.  Asimismo,  el  Estado  violó  los</w:t>
        <w:br/>
        <w:t>derechos consagrados en los artículos 8 y 25 de la Convención Americana,  en</w:t>
        <w:br/>
        <w:t>relación con el artículo 1.1 de la misma, en perjuicio  de  sus  familiares,</w:t>
        <w:br/>
        <w:t>los señores Ricardo Samuel Gómez Quispe,  Marcelina  Paquiyauri  Illanes  de</w:t>
        <w:br/>
        <w:t>Gómez, Ricardo Emilio  Gómez  Paquiyauri,  Carlos  Pedro  Gómez  Paquiyauri,</w:t>
        <w:br/>
        <w:t>Marcelina Haydeé Gómez Paquiyauri, Lucy  Rosa  Gómez  Paquiyauri,  y  Miguel</w:t>
        <w:br/>
        <w:t>Ángel Gómez Paquiyauri.</w:t>
        <w:br/>
        <w:br/>
        <w:br/>
        <w:br/>
        <w:t xml:space="preserve">                                    XIII</w:t>
        <w:br/>
        <w:br/>
        <w:t>Derechos del Niño</w:t>
        <w:br/>
        <w:t>Artículo 19</w:t>
        <w:br/>
        <w:t>en relación con el artículo 1.1</w:t>
        <w:br/>
        <w:br/>
        <w:t>Alegatos de la Comisión</w:t>
        <w:br/>
        <w:br/>
        <w:t>157.  La Comisión alegó que el Estado violó el artículo 19 de la Convención</w:t>
        <w:br/>
        <w:t>Americana, en relación con el artículo 1.1 de dicho tratado, el cual</w:t>
        <w:br/>
        <w:t>establece que todo niño tiene derecho a medidas especiales de protección,</w:t>
        <w:br/>
        <w:t>en perjuicio de Rafael Samuel y Emilio Moisés Gómez Paquiyauri, en razón de</w:t>
        <w:br/>
        <w:t>que:</w:t>
        <w:br/>
        <w:br/>
        <w:t xml:space="preserve">      a)    el respeto a los derechos del niño implica reconocer, respetar y</w:t>
        <w:br/>
        <w:t xml:space="preserve">      garantizar la personalidad individual del niño, en tanto titular de</w:t>
        <w:br/>
        <w:t xml:space="preserve">      derechos y obligaciones; y</w:t>
        <w:br/>
        <w:br/>
        <w:br/>
        <w:t xml:space="preserve">      b)    el Perú, en vez de brindar dicha protección a los hermanos Gómez</w:t>
        <w:br/>
        <w:t xml:space="preserve">      Paquiyauri, les dio muerte a través de sus agentes policiales.</w:t>
        <w:br/>
        <w:br/>
        <w:t>Alegatos de la representante de las presuntas víctimas y sus familiares</w:t>
        <w:br/>
        <w:br/>
        <w:t>158.  La representante de las presuntas víctimas y sus familiares consideró</w:t>
        <w:br/>
        <w:t>que el Estado violó el artículo 19 de la Convención Americana en perjuicio</w:t>
        <w:br/>
        <w:t>de Emilio Moisés y Rafael Samuel Gómez Paquiyauri, en razón de que:</w:t>
        <w:br/>
        <w:br/>
        <w:t xml:space="preserve">      a)    el niño requiere de especial protección y cuidado, debido a su</w:t>
        <w:br/>
        <w:t xml:space="preserve">      inmadurez física y psíquica, incluyendo protección legal adecuada,</w:t>
        <w:br/>
        <w:t xml:space="preserve">      especialmente en el contexto de un conflicto armado;</w:t>
        <w:br/>
        <w:br/>
        <w:br/>
        <w:t xml:space="preserve">      b)    además de haber violado los derechos fundamentales de los</w:t>
        <w:br/>
        <w:t xml:space="preserve">      hermanos Gómez Paquiyauri, propios de cualquier ser humano, el Estado</w:t>
        <w:br/>
        <w:t xml:space="preserve">      falló en brindarles la protección adicional que merecían en su</w:t>
        <w:br/>
        <w:t xml:space="preserve">      condición de menores;</w:t>
        <w:br/>
        <w:br/>
        <w:br/>
        <w:t xml:space="preserve">      c)    en el caso del Perú, el Comité de Derechos del Niño ya había</w:t>
        <w:br/>
        <w:t xml:space="preserve">      expresado su preocupación por la violencia hacia los niños por parte</w:t>
        <w:br/>
        <w:t xml:space="preserve">      de las fuerzas de seguridad y de la policía;</w:t>
        <w:br/>
        <w:br/>
        <w:br/>
        <w:t xml:space="preserve">      d)    el Estado tenía el deber de poner especial cuidado en las</w:t>
        <w:br/>
        <w:t xml:space="preserve">      medidas de protección para la niñez al tiempo de los hechos, más aun</w:t>
        <w:br/>
        <w:t xml:space="preserve">      en el contexto del “conflicto armado interno” que se desarrollaba.  En</w:t>
        <w:br/>
        <w:t xml:space="preserve">      ese sentido, el artículo 38 de la Convención sobre los Derechos del</w:t>
        <w:br/>
        <w:t xml:space="preserve">      Niño requiere medidas especiales de protección para los niños</w:t>
        <w:br/>
        <w:t xml:space="preserve">      afectados por conflictos armados.  Al respecto, el Comité de los</w:t>
        <w:br/>
        <w:t xml:space="preserve">      Derechos del Niño ha indicado que el derecho internacional humanitario</w:t>
        <w:br/>
        <w:t xml:space="preserve">      relevante incluye la Convención de Ginebra y los Dos Protocolos</w:t>
        <w:br/>
        <w:t xml:space="preserve">      Adicionales; y</w:t>
        <w:br/>
        <w:br/>
        <w:br/>
        <w:t xml:space="preserve">      e)    el Estado peruano, además, incumplió el deber de instruir a sus</w:t>
        <w:br/>
        <w:t xml:space="preserve">      oficiales de policía sobre las obligaciones y cuidados especiales que</w:t>
        <w:br/>
        <w:t xml:space="preserve">      deben adoptar con respecto a su trato con los menores.</w:t>
        <w:br/>
        <w:br/>
        <w:t>Alegatos del Estado</w:t>
        <w:br/>
        <w:br/>
        <w:t>159.  En relación con la disposición contenida en el artículo 19 de la</w:t>
        <w:br/>
        <w:t>Convención Americana, el Estado manifestó que “en el caso concreto[,] los</w:t>
        <w:br/>
        <w:t>agentes del Estado en vez de velar y proteger los derechos de los hermanos</w:t>
        <w:br/>
        <w:t>Gómez Paquiyauri, han violado sus derechos fundamentales”.</w:t>
        <w:br/>
        <w:br/>
        <w:t>Consideraciones de la Corte</w:t>
        <w:br/>
        <w:br/>
        <w:t>160.  El artículo 19 de la Convención Americana dispone que</w:t>
        <w:br/>
        <w:br/>
        <w:t xml:space="preserve">      [t]odo niño tiene derecho a las medidas de protección que su condición</w:t>
        <w:br/>
        <w:t xml:space="preserve">      de menor requieren por parte de su familia, de la sociedad y del</w:t>
        <w:br/>
        <w:t xml:space="preserve">      Estado.</w:t>
        <w:br/>
        <w:br/>
        <w:t>161.  En relación con el mencionado artículo, el Estado señaló que</w:t>
        <w:br/>
        <w:t>“efectivamente [est[á] en la obligación de garantizar medidas de protección</w:t>
        <w:br/>
        <w:t>al menor y adolescente, en cuanto a salvaguardar sus derechos y libertades</w:t>
        <w:br/>
        <w:t>que se le garantiza por el s[ó]lo [hecho] de ser sujeto de derecho.  Y</w:t>
        <w:br/>
        <w:t>que[,] por tanto[,] en el caso concreto los agentes del Estado en vez de</w:t>
        <w:br/>
        <w:t>velar y proteger los derechos de los hermanos Gómez Paquiyauri, han violado</w:t>
        <w:br/>
        <w:t>sus derechos fundamentales”.</w:t>
        <w:br/>
        <w:br/>
        <w:t>162.        Rafael Samuel y Emilio Moisés Gómez Paquiyauri eran niños de  14</w:t>
        <w:br/>
        <w:t>y   17   años,   respectivamente,   cuando   fueron   detenidos   ilegal   y</w:t>
        <w:br/>
        <w:t>arbitrariamente, torturados y ejecutados extrajudicialmente por  agentes  de</w:t>
        <w:br/>
        <w:t>la Policía Nacional del  Perú[122].   El  Tribunal  considera  que  revisten</w:t>
        <w:br/>
        <w:t>especial gravedad los casos en los cuales las víctimas de violaciones a  los</w:t>
        <w:br/>
        <w:t>derechos humanos son niños, ya que sus derechos se encuentran  recogidos  no</w:t>
        <w:br/>
        <w:t>sólo en la Convención Americana,  sino  también  en  numerosos  instrumentos</w:t>
        <w:br/>
        <w:t>internacionales,  ampliamente  aceptados  por  la  comunidad  internacional,</w:t>
        <w:br/>
        <w:t>entre los cuales se destaca la Convención sobre los Derechos del Niño de  la</w:t>
        <w:br/>
        <w:t>Organización de las Naciones Unidas, “que  hacen  recaer  en  el  Estado  el</w:t>
        <w:br/>
        <w:t>deber de adoptar medidas especiales de protección y asistencia en  favor  de</w:t>
        <w:br/>
        <w:t>los niños bajo su jurisdicción”[123].</w:t>
        <w:br/>
        <w:br/>
        <w:t>163.  En esta materia, cuando se trata de la protección de los derechos  del</w:t>
        <w:br/>
        <w:t>niño y de la adopción de medidas  para  lograr  dicha  protección,  rige  el</w:t>
        <w:br/>
        <w:t>principio del interés superior del niño, que se funda “en la dignidad  misma</w:t>
        <w:br/>
        <w:t>del ser humano, en  las  características  propias  de  los  niños  y  en  la</w:t>
        <w:br/>
        <w:t>necesidad de propiciar el desarrollo de éstos, con pleno aprovechamiento  de</w:t>
        <w:br/>
        <w:t>sus potencialidades”[124].</w:t>
        <w:br/>
        <w:br/>
        <w:t>164.  El artículo 19 de la Convención Americana  impone  a  los  Estados  la</w:t>
        <w:br/>
        <w:t>obligación de adoptar “medidas de protección” requeridas  por  su  condición</w:t>
        <w:br/>
        <w:t>de niños.  El  concepto  “medidas  de  protección”  puede  ser  interpretado</w:t>
        <w:br/>
        <w:t>tomando en cuenta otras disposiciones.  Esta Corte  ha  dicho  que  “al  dar</w:t>
        <w:br/>
        <w:t>interpretación a un tratado no sólo  se  toman  en  cuenta  los  acuerdos  e</w:t>
        <w:br/>
        <w:t>instrumentos formalmente relacionados con éste (inciso segundo del  artículo</w:t>
        <w:br/>
        <w:t>31 de la Convención de Viena), sino también el sistema dentro  del  cual  se</w:t>
        <w:br/>
        <w:t>inscribe (inciso tercero del artículo 31)”[125].</w:t>
        <w:br/>
        <w:br/>
        <w:t>165.  El Tribunal ha  señalado  anteriormente  que  esta  orientación  tiene</w:t>
        <w:br/>
        <w:t>particular  importancia  para  el  Derecho  Internacional  de  los  Derechos</w:t>
        <w:br/>
        <w:t>Humanos, el que  ha  avanzado  sustancialmente  mediante  la  interpretación</w:t>
        <w:br/>
        <w:t>evolutiva de los instrumentos internacionales de protección[126].  Sobre  el</w:t>
        <w:br/>
        <w:t>particular, esta Corte ha entendido que</w:t>
        <w:br/>
        <w:br/>
        <w:t xml:space="preserve">      [t]al interpretación evolutiva es consecuente con las reglas generales</w:t>
        <w:br/>
        <w:t xml:space="preserve">      de interpretación de los tratados  consagradas  en  la  Convención  de</w:t>
        <w:br/>
        <w:t xml:space="preserve">      Viena de 1969. Tanto esta Corte […] como la Corte Europea  [...],  han</w:t>
        <w:br/>
        <w:t xml:space="preserve">      señalado que los tratados de derechos humanos son instrumentos  vivos,</w:t>
        <w:br/>
        <w:t xml:space="preserve">      cuya interpretación tiene que acompañar la evolución de los tiempos  y</w:t>
        <w:br/>
        <w:t xml:space="preserve">      las condiciones de vida actuales[127].</w:t>
        <w:br/>
        <w:br/>
        <w:t>166.  Tanto la Convención Americana como la Convención  sobre  los  Derechos</w:t>
        <w:br/>
        <w:t>del Niño forman parte de un amplio corpus juris internacional de  protección</w:t>
        <w:br/>
        <w:t>de los niños que sirve a esta Corte para fijar el contenido y  los  alcances</w:t>
        <w:br/>
        <w:t>de la disposición general definida  en  el  artículo  19  de  la  Convención</w:t>
        <w:br/>
        <w:t>Americana[128].</w:t>
        <w:br/>
        <w:br/>
        <w:t>167.  La Convención sobre los Derechos del Niño, la cual ha sido  ratificada</w:t>
        <w:br/>
        <w:t>de forma prácticamente universal, contiene  diversas  disposiciones  que  se</w:t>
        <w:br/>
        <w:t>refieren a las obligaciones del Estado en relación con los  menores  que  se</w:t>
        <w:br/>
        <w:t>encuentren en supuestos fácticos similares a los que  se  examinan  en  este</w:t>
        <w:br/>
        <w:t>caso y pueden arrojar luz, en relación con el artículo 19 de  la  Convención</w:t>
        <w:br/>
        <w:t>Americana, sobre la conducta que el Estado debió  haber  observado  ante  la</w:t>
        <w:br/>
        <w:t>misma.  Dichas disposiciones son transcritas a continuación:</w:t>
        <w:br/>
        <w:br/>
        <w:br/>
        <w:t xml:space="preserve">                                 Artículo 2</w:t>
        <w:br/>
        <w:br/>
        <w:br/>
        <w:t xml:space="preserve">      1.    Los Estados Partes respetarán  los  derechos  enunciados  en  la</w:t>
        <w:br/>
        <w:t xml:space="preserve">      presente Convención y asegurarán su aplicación a cada niño sujeto a su</w:t>
        <w:br/>
        <w:t xml:space="preserve">      jurisdicción, sin distinción alguna, independientemente de la raza, el</w:t>
        <w:br/>
        <w:t xml:space="preserve">      color, el sexo, el idioma, la religión, la opinión política o de  otra</w:t>
        <w:br/>
        <w:t xml:space="preserve">      índole, el origen nacional, étnico o social,  la  posición  económica,</w:t>
        <w:br/>
        <w:t xml:space="preserve">      los impedimentos físicos, el nacimiento o cualquier otra condición del</w:t>
        <w:br/>
        <w:t xml:space="preserve">      niño, de sus padres o de sus representantes legales.</w:t>
        <w:br/>
        <w:br/>
        <w:br/>
        <w:t xml:space="preserve">      2.    Los Estados Partes tomarán todas  las  medidas  apropiadas  para</w:t>
        <w:br/>
        <w:t xml:space="preserve">      garantizar  que  el  niño  se  vea  protegido  contra  toda  forma  de</w:t>
        <w:br/>
        <w:t xml:space="preserve">      discriminación o castigo por causa de la condición,  las  actividades,</w:t>
        <w:br/>
        <w:t xml:space="preserve">      las opiniones expresadas o las creencias de sus padres, o sus  tutores</w:t>
        <w:br/>
        <w:t xml:space="preserve">      o de sus familiares.</w:t>
        <w:br/>
        <w:br/>
        <w:br/>
        <w:t xml:space="preserve">                                 Artículo 6</w:t>
        <w:br/>
        <w:br/>
        <w:br/>
        <w:t xml:space="preserve">      1.    Los Estados Partes reconocen que  todo  niño  tiene  el  derecho</w:t>
        <w:br/>
        <w:t xml:space="preserve">      intrínseco a la vida.</w:t>
        <w:br/>
        <w:br/>
        <w:br/>
        <w:t xml:space="preserve">      2.    Los Estados Partes garantizarán en la máxima medida  posible  la</w:t>
        <w:br/>
        <w:t xml:space="preserve">      supervivencia y el desarrollo del niño.</w:t>
        <w:br/>
        <w:br/>
        <w:br/>
        <w:t xml:space="preserve">                                 Artículo 37</w:t>
        <w:br/>
        <w:br/>
        <w:br/>
        <w:t xml:space="preserve">      Los Estados Partes velarán por que:</w:t>
        <w:br/>
        <w:br/>
        <w:br/>
        <w:t xml:space="preserve">        a)  Ningún niño sea sometido a torturas ni a otros  tratos  o  penas</w:t>
        <w:br/>
        <w:t xml:space="preserve">      crueles, inhumanos o degradantes.[…];</w:t>
        <w:br/>
        <w:t xml:space="preserve">        b)  Ningún niño sea privado de su libertad ilegal o arbitrariamente.</w:t>
        <w:br/>
        <w:t xml:space="preserve">       La detención, el encarcelamiento o la prisión de un niño se llevará a</w:t>
        <w:br/>
        <w:t xml:space="preserve">      cabo de conformidad con la ley y se utilizará tan sólo como medida  de</w:t>
        <w:br/>
        <w:t xml:space="preserve">      último recurso y durante el período más breve que proceda;</w:t>
        <w:br/>
        <w:t xml:space="preserve">        c)  Todo niño privado de libertad sea tratado con la humanidad y  el</w:t>
        <w:br/>
        <w:t xml:space="preserve">      respeto que merece la dignidad inherente a la  persona  humana,  y  de</w:t>
        <w:br/>
        <w:t xml:space="preserve">      manera que se tengan en cuenta las necesidades de las personas  de  su</w:t>
        <w:br/>
        <w:t xml:space="preserve">      edad.  En particular, todo niño privado de libertad estará separado de</w:t>
        <w:br/>
        <w:t xml:space="preserve">      los adultos, a menos  que  ello  se  considere  contrario  al  interés</w:t>
        <w:br/>
        <w:t xml:space="preserve">      superior del niño, y tendrá derecho a mantener contacto con su familia</w:t>
        <w:br/>
        <w:t xml:space="preserve">      por medio de correspondencia y de  visitas,  salvo  en  circunstancias</w:t>
        <w:br/>
        <w:t xml:space="preserve">      excepcionales;</w:t>
        <w:br/>
        <w:t xml:space="preserve">        d)  Todo niño privado de su libertad  tendrá  derecho  a  un  pronto</w:t>
        <w:br/>
        <w:t xml:space="preserve">      acceso a la asistencia jurídica y otra asistencia adecuada,  así  como</w:t>
        <w:br/>
        <w:t xml:space="preserve">      derecho a impugnar la legalidad de la privación de su libertad ante un</w:t>
        <w:br/>
        <w:t xml:space="preserve">      tribunal u otra autoridad competente, independiente e  imparcial  y  a</w:t>
        <w:br/>
        <w:t xml:space="preserve">      una pronta decisión sobre dicha acción.</w:t>
        <w:br/>
        <w:br/>
        <w:br/>
        <w:t>168.  Las normas transcritas permiten  precisar,  en  variadas  direcciones,</w:t>
        <w:br/>
        <w:t>los alcances de las “medidas de protección” a que alude el  artículo  19  de</w:t>
        <w:br/>
        <w:t>la  Convención  Americana.   Entre  ellas,  merecen   ser   destacadas   las</w:t>
        <w:br/>
        <w:t>referentes a la no discriminación, a la prohibición de la tortura  y  a  las</w:t>
        <w:br/>
        <w:t>condiciones que deben observarse en casos de privación  de  la  libertad  de</w:t>
        <w:br/>
        <w:t>niños.</w:t>
        <w:br/>
        <w:br/>
        <w:t>169.  Por otro lado, a la luz de estas disposiciones y en  relación  con  la</w:t>
        <w:br/>
        <w:t>detención de menores, como  lo  ha  señalado  la  Corte  y  se  reconoce  en</w:t>
        <w:br/>
        <w:t>diversos instrumentos internacionales, la misma debe ser excepcional  y  por</w:t>
        <w:br/>
        <w:t>el período más breve posible[129].</w:t>
        <w:br/>
        <w:br/>
        <w:t>170.  Asimismo, como la Corte lo analizó en el capítulo correspondiente a</w:t>
        <w:br/>
        <w:t>la violación del artículo 5 de la Convención y las disposiciones de la</w:t>
        <w:br/>
        <w:t>Convención Interamericana contra la Tortura (supra párr. 117), el hecho de</w:t>
        <w:br/>
        <w:t>que las presuntas víctimas fueran niños obliga a la aplicación de un</w:t>
        <w:br/>
        <w:t>estándar más alto para la calificación de acciones que atenten contra su</w:t>
        <w:br/>
        <w:t>integridad personal.</w:t>
        <w:br/>
        <w:br/>
        <w:t>171.  Finalmente, como ya lo señaló la Corte en un capítulo anterior  (supra</w:t>
        <w:br/>
        <w:t>párr. 124), la obligación del Estado de respetar el derecho  a  la  vida  de</w:t>
        <w:br/>
        <w:t>toda persona bajo su jurisdicción  presenta  modalidades  especiales  en  el</w:t>
        <w:br/>
        <w:t>caso de los  menores  de  edad,  como  se  desprende  de  las  normas  sobre</w:t>
        <w:br/>
        <w:t>protección a los niños establecidas en  la  Convención  Americana  y  en  la</w:t>
        <w:br/>
        <w:t>Convención sobre los Derechos del Niño; y se transforma  en  una  obligación</w:t>
        <w:br/>
        <w:t>de “prevenir situaciones que pudieran conducir, por acción u omisión,  a  la</w:t>
        <w:br/>
        <w:t>afectación de aquél”[130].</w:t>
        <w:br/>
        <w:br/>
        <w:t>172.  Es claro para esta Corte  que  los  actos  perpetrados  contra  Rafael</w:t>
        <w:br/>
        <w:t>Samuel y Emilio Moisés Gómez Paquiyauri en el presente caso, en los  que  se</w:t>
        <w:br/>
        <w:t>vieron involucrados agentes del Estado, contravienen estas  previsiones,  de</w:t>
        <w:br/>
        <w:t>conformidad con lo expuesto en los capítulos precedentes (supra párrs.  100,</w:t>
        <w:br/>
        <w:t>117, 133 y 156).</w:t>
        <w:br/>
        <w:br/>
        <w:t>173.  Por lo expuesto, la Corte considera que el Estado violó el derecho a</w:t>
        <w:br/>
        <w:t>medidas especiales de protección para los menores consagrado en el artículo</w:t>
        <w:br/>
        <w:t>19 de la Convención Americana, en perjuicio de Rafael Samuel y Emilio</w:t>
        <w:br/>
        <w:t>Moisés Gómez Paquiyauri.</w:t>
        <w:br/>
        <w:br/>
        <w:br/>
        <w:br/>
        <w:t xml:space="preserve">                                     XIV</w:t>
        <w:br/>
        <w:br/>
        <w:t>Protección de la Honra y de la Dignidad y Protección a la Familia</w:t>
        <w:br/>
        <w:t>Artículos 11 y 17</w:t>
        <w:br/>
        <w:br/>
        <w:t>Alegatos de la Comisión</w:t>
        <w:br/>
        <w:br/>
        <w:t>174.  La Comisión no alegó ni la violación del artículo 11 ni la del</w:t>
        <w:br/>
        <w:t>artículo 17 de la Convención Americana en el presente caso. Por el</w:t>
        <w:br/>
        <w:t>contrario, consideró que los alegatos de la representante de las presuntas</w:t>
        <w:br/>
        <w:t>víctimas y sus familiares “trascienden el objeto del presente proceso”, en</w:t>
        <w:br/>
        <w:t>razón de que:</w:t>
        <w:br/>
        <w:br/>
        <w:t xml:space="preserve">      a)    el objeto del presente caso está establecido en la demanda</w:t>
        <w:br/>
        <w:t xml:space="preserve">      presentada por la Comisión;</w:t>
        <w:br/>
        <w:br/>
        <w:br/>
        <w:t xml:space="preserve">      b)    lo anterior sin perjuicio de que, en definitiva, es la Corte la</w:t>
        <w:br/>
        <w:t xml:space="preserve">      que determina el alcance de su propia competencia (compétence de la</w:t>
        <w:br/>
        <w:t xml:space="preserve">      compétence/Kompetenz-Kompetenz) y que, en virtud del principio iura</w:t>
        <w:br/>
        <w:t xml:space="preserve">      novit curia, la Corte posee la facultad de aplicar las disposiciones</w:t>
        <w:br/>
        <w:t xml:space="preserve">      jurídicas pertinentes en una causa, aun cuando las partes no las</w:t>
        <w:br/>
        <w:t xml:space="preserve">      invoquen expresamente;</w:t>
        <w:br/>
        <w:br/>
        <w:br/>
        <w:t xml:space="preserve">      c)    de conformidad con los artículos 61.1 y 51.1 de la Convención</w:t>
        <w:br/>
        <w:t xml:space="preserve">      Americana, solamente los Estados y la Comisión Interamericana pueden</w:t>
        <w:br/>
        <w:t xml:space="preserve">      iniciar un proceso ante la Corte, quienes determinan, al hacerlo, el</w:t>
        <w:br/>
        <w:t xml:space="preserve">      contenido jurídico del mismo, es decir, qué hechos deben ser probados</w:t>
        <w:br/>
        <w:t xml:space="preserve">      por las partes y analizados por  la Corte, así como la Corte está</w:t>
        <w:br/>
        <w:t xml:space="preserve">      llamada a determinar qué derechos han sido violados;</w:t>
        <w:br/>
        <w:br/>
        <w:br/>
        <w:t xml:space="preserve">      d)    el informe de la Comisión, emitido de conformidad con el</w:t>
        <w:br/>
        <w:t xml:space="preserve">      artículo 50 de la Convención Americana, o su demanda, son los límites</w:t>
        <w:br/>
        <w:t xml:space="preserve">      de las pretensiones en los casos que son presentados ante la Corte;</w:t>
        <w:br/>
        <w:br/>
        <w:br/>
        <w:t xml:space="preserve">      e)    tomando en cuenta las disposiciones convencionales señaladas, y</w:t>
        <w:br/>
        <w:t xml:space="preserve">      razones relacionadas con el derecho a la defensa y al debido proceso,</w:t>
        <w:br/>
        <w:t xml:space="preserve">      la equidad procesal y la certeza jurídica, el proceso ante la Corte</w:t>
        <w:br/>
        <w:t xml:space="preserve">      debe circunscribirse a los límites contenidos en el informe emitido</w:t>
        <w:br/>
        <w:t xml:space="preserve">      por la Comisión de conformidad con el artículo 50 de la Convención y</w:t>
        <w:br/>
        <w:t xml:space="preserve">      en la demanda presentada ante la Corte;</w:t>
        <w:br/>
        <w:br/>
        <w:br/>
        <w:t xml:space="preserve">      f)    en el escrito de solicitudes, argumentos y pruebas se alegan</w:t>
        <w:br/>
        <w:t xml:space="preserve">      algunos hechos nuevos a los cuales se acompaña nueva evidencia,</w:t>
        <w:br/>
        <w:t xml:space="preserve">      relacionados con hechos posteriores a la muerte de las presuntas</w:t>
        <w:br/>
        <w:t xml:space="preserve">      víctimas, que habrían afectado a su familia y, con respecto a tales</w:t>
        <w:br/>
        <w:t xml:space="preserve">      hechos, se alega la violación de los artículos 17 y 11 de la</w:t>
        <w:br/>
        <w:t xml:space="preserve">      Convención Americana; y</w:t>
        <w:br/>
        <w:br/>
        <w:br/>
        <w:t xml:space="preserve">      g)    tales aspectos de hecho y de derecho trascienden el objeto del</w:t>
        <w:br/>
        <w:t xml:space="preserve">      presente proceso.</w:t>
        <w:br/>
        <w:br/>
        <w:t>Alegatos de la representante de las presuntas víctimas y sus familiares</w:t>
        <w:br/>
        <w:br/>
        <w:t>175.  La representante de las presuntas víctimas y sus familiares consideró</w:t>
        <w:br/>
        <w:t>que el Perú violó el artículo 11.2 de la Convención Americana, en razón de</w:t>
        <w:br/>
        <w:t>que el Estado intentó convencer al público de que los menores murieron en</w:t>
        <w:br/>
        <w:t>un “enfrentamiento terrorista” contra la policía y los presentó como</w:t>
        <w:br/>
        <w:t>delincuentes; estigmatizó el nombre de los hermanos Gómez Paquiyauri, lo</w:t>
        <w:br/>
        <w:t>cual constituyó un ataque ilegal contra su honra y reputación; además,</w:t>
        <w:br/>
        <w:t>realizó injerencias abusivas en el hogar y en la vida privada de la familia</w:t>
        <w:br/>
        <w:t>Gómez Paquiyauri, perpetrados por miembros de la policía y de la Dirección</w:t>
        <w:br/>
        <w:t>Contra el Terrorismo (DINCOTE) inmediatamente después de los hechos y</w:t>
        <w:br/>
        <w:t>durante todo el tiempo que duró el proceso judicial interno.</w:t>
        <w:br/>
        <w:br/>
        <w:t>176.  Asimismo,  la representante de las presuntas víctimas y sus</w:t>
        <w:br/>
        <w:t>familiares consideró que el Estado violó el artículo 17 de la Convención</w:t>
        <w:br/>
        <w:t>Americana en perjuicio de los familiares de las presuntas víctimas, en</w:t>
        <w:br/>
        <w:t>razón de que el Estado, en vez de proteger la institución de la familia,</w:t>
        <w:br/>
        <w:t>eliminó a dos miembros de la familia Gómez Paquiyauri, hostigó y persiguió</w:t>
        <w:br/>
        <w:t>a los miembros sobrevivientes que denunciaron los hechos, y dejó sin su</w:t>
        <w:br/>
        <w:t>padre a la hija de Rafael Samuel Gómez Paquiyauri y su pareja.</w:t>
        <w:br/>
        <w:br/>
        <w:t>Alegatos del Estado</w:t>
        <w:br/>
        <w:br/>
        <w:t>177.  El Estado no se refirió ni a la alegada violación del artículo 11 de</w:t>
        <w:br/>
        <w:t>la Convención Americana, ni a la del artículo 17 del mismo tratado en el</w:t>
        <w:br/>
        <w:t>presente caso.</w:t>
        <w:br/>
        <w:br/>
        <w:t>Consideraciones de la Corte</w:t>
        <w:br/>
        <w:br/>
        <w:t>178.  En primer lugar, la Corte se referirá  a  la  posibilidad  de  que  se</w:t>
        <w:br/>
        <w:t>aleguen otros hechos o derechos que no estén incluidos en  la  demanda.   En</w:t>
        <w:br/>
        <w:t>relación con los hechos objeto del proceso, el Tribunal  ya  ha  establecido</w:t>
        <w:br/>
        <w:t>que “no es admisible alegar nuevos hechos distintos de los planteados en  la</w:t>
        <w:br/>
        <w:t>demanda, sin perjuicio de exponer aquellos que permitan explicar, aclarar  o</w:t>
        <w:br/>
        <w:t>desestimar los que han sido mencionados en la demanda, o bien,  responder  a</w:t>
        <w:br/>
        <w:t>las pretensiones del demandante”[131].  Sin  embargo,  en  el  caso  de  los</w:t>
        <w:br/>
        <w:t>hechos supervinientes, los cuales se dan después de que  se  han  presentado</w:t>
        <w:br/>
        <w:t>cualquiera de los principales escritos  del  proceso  (demanda;  escrito  de</w:t>
        <w:br/>
        <w:t>solicitudes, argumentos y pruebas, y  contestación  de  la  demanda),  éstos</w:t>
        <w:br/>
        <w:t>pueden ser alegados en cualquier estado del proceso, antes  de  ser  dictada</w:t>
        <w:br/>
        <w:t>la sentencia[132].</w:t>
        <w:br/>
        <w:br/>
        <w:t>179.  Por otro lado, la Corte ya ha admitido que los representantes  de  las</w:t>
        <w:br/>
        <w:t>presuntas víctimas y/o sus  familiares  aleguen  derechos  distintos  a  los</w:t>
        <w:br/>
        <w:t>reclamados por la Comisión en su demanda[133].  Al respecto, el Tribunal  ha</w:t>
        <w:br/>
        <w:t>considerado que presuntas víctimas son “los titulares de todos los  derechos</w:t>
        <w:br/>
        <w:t>consagrados en la Convención Americana, y no admitir[…] [que aleguen  nuevos</w:t>
        <w:br/>
        <w:t>derechos] sería una restricción indebida  a  su  condición  de  sujetos  del</w:t>
        <w:br/>
        <w:t>Derecho Internacional de los Derechos Humanos”[134].  Sin embargo, la  Corte</w:t>
        <w:br/>
        <w:t>ha hecho la salvedad de que, en lo relativo a derechos alegados por  primera</w:t>
        <w:br/>
        <w:t>vez por los representantes de las presuntas  víctimas  y/o  sus  familiares,</w:t>
        <w:br/>
        <w:t>“se [deben] at[ener] a los hechos ya contenidos  en  la  demanda”[135].   Al</w:t>
        <w:br/>
        <w:t>respecto, el Tribunal ha aplicado además  el  principio  iura  novit  curia,</w:t>
        <w:br/>
        <w:t>“del cual  se  ha  valido  reiteradamente  la  jurisprudencia  internacional</w:t>
        <w:br/>
        <w:t>[entendiéndolo] en el sentido  de  que  el  juzgador  posee  la  facultad  e</w:t>
        <w:br/>
        <w:t>inclusive el deber de aplicar las  disposiciones  jurídicas  pertinentes  en</w:t>
        <w:br/>
        <w:t>una causa, aun cuando las partes no las invoquen expresamente”[136].</w:t>
        <w:br/>
        <w:br/>
        <w:t>180.  El artículo 11 de la Convención Americana establece que:</w:t>
        <w:br/>
        <w:br/>
        <w:t xml:space="preserve">      1.    Toda persona tiene derecho al respeto de su honra y al</w:t>
        <w:br/>
        <w:t xml:space="preserve">      reconocimiento de su dignidad.</w:t>
        <w:br/>
        <w:br/>
        <w:br/>
        <w:t xml:space="preserve">      2.    Nadie puede ser objeto de injerencias arbitrarias o abusivas en</w:t>
        <w:br/>
        <w:t xml:space="preserve">      su vida privada, en la de su familia, en su domicilio o en su</w:t>
        <w:br/>
        <w:t xml:space="preserve">      correspondencia, ni de ataques ilegales a su honra o reputación.</w:t>
        <w:br/>
        <w:br/>
        <w:br/>
        <w:t xml:space="preserve">      […]</w:t>
        <w:br/>
        <w:br/>
        <w:t>181.  El artículo 17.1 de la Convención Americana dispone:</w:t>
        <w:br/>
        <w:br/>
        <w:t>1.    La familia es el elemento natural y fundamental de la sociedad y debe</w:t>
        <w:br/>
        <w:t>ser protegida por la sociedad y el Estado.</w:t>
        <w:br/>
        <w:t>[…]</w:t>
        <w:br/>
        <w:br/>
        <w:t>182.  En lo que respecta al artículo 11 de la Convención, está  probado  que</w:t>
        <w:br/>
        <w:t>las presuntas víctimas fueron tratadas como “terroristas”,  sometiéndolas  a</w:t>
        <w:br/>
        <w:t>ellas y a su  familia  al  odio,  desprecio  público,  persecución  y  a  la</w:t>
        <w:br/>
        <w:t>discriminación, por lo cual se ha conformado una violación del  artículo  11</w:t>
        <w:br/>
        <w:t>de la Convención Americana, en relación con el artículo 1.1 de la misma,  en</w:t>
        <w:br/>
        <w:t>perjuicio de los miembros de la familia mencionados en los párrafos  67.t  y</w:t>
        <w:br/>
        <w:t>67.u de la presente Sentencia.</w:t>
        <w:br/>
        <w:br/>
        <w:t>183.  En cuanto al artículo 17 de la  Convención  Americana,  este  Tribunal</w:t>
        <w:br/>
        <w:t>considera que los hechos alegados en el presente caso no se  encuadran  bajo</w:t>
        <w:br/>
        <w:t>el mismo, por lo cual la Corte no se pronunciará sobre ello.</w:t>
        <w:br/>
        <w:br/>
        <w:br/>
        <w:t xml:space="preserve">                                     XV</w:t>
        <w:br/>
        <w:t xml:space="preserve">                                Reparaciones</w:t>
        <w:br/>
        <w:t xml:space="preserve">               (Aplicación del artículo 63.1 de la Convención)</w:t>
        <w:br/>
        <w:br/>
        <w:t>Obligación de Reparar</w:t>
        <w:br/>
        <w:br/>
        <w:t>Alegatos de la Comisión</w:t>
        <w:br/>
        <w:br/>
        <w:t>184.  En relación con las reparaciones que pueda dictar la Corte como</w:t>
        <w:br/>
        <w:t>consecuencia de las violaciones declaradas, la Comisión alegó que:</w:t>
        <w:br/>
        <w:br/>
        <w:t xml:space="preserve">      a)    la condena efectuada por los tribunales peruanos a los autores</w:t>
        <w:br/>
        <w:t xml:space="preserve">      materiales de los hechos, en relación con el pago de una indemnización</w:t>
        <w:br/>
        <w:t xml:space="preserve">      civil a sus familiares, en tanto no sea fijada de acuerdo con los</w:t>
        <w:br/>
        <w:t xml:space="preserve">      estándares interamericanos y cumplida, no libera el Estado de su</w:t>
        <w:br/>
        <w:t xml:space="preserve">      obligación internacional de reparar a los familiares de las víctimas,</w:t>
        <w:br/>
        <w:t xml:space="preserve">      en relación con los hechos cometidos por agentes estatales;</w:t>
        <w:br/>
        <w:br/>
        <w:br/>
        <w:t xml:space="preserve">      b)    la reparación civil “fue decretada por un monto insuficiente”,</w:t>
        <w:br/>
        <w:t xml:space="preserve">      en contra de policías de rangos inferiores, que generalmente carecen</w:t>
        <w:br/>
        <w:t xml:space="preserve">      en el Perú de bienes materiales suficientes para afrontar el pago de</w:t>
        <w:br/>
        <w:t xml:space="preserve">      una indemnización y, además, los familiares de las víctimas no han</w:t>
        <w:br/>
        <w:t xml:space="preserve">      recibido importe alguno de tal reparación civil; el Estado no ha</w:t>
        <w:br/>
        <w:t xml:space="preserve">      pagado ni ha realizado ningún esfuerzo para hacer que los familiares</w:t>
        <w:br/>
        <w:t xml:space="preserve">      de las víctimas reciban la reparación civil;</w:t>
        <w:br/>
        <w:br/>
        <w:br/>
        <w:t xml:space="preserve">      c)    dado que los responsables de los hechos pertenecían a una</w:t>
        <w:br/>
        <w:t xml:space="preserve">      institución estatal, la Policía Nacional del Perú, el Estado está</w:t>
        <w:br/>
        <w:t xml:space="preserve">      “obligado a asumir la responsabilidad patrimonial de pagar la</w:t>
        <w:br/>
        <w:t xml:space="preserve">      indemnización a los familiares de las víctimas”; posteriormente, el</w:t>
        <w:br/>
        <w:t xml:space="preserve">      Estado puede intentar, conforme a su legislación interna, una acción</w:t>
        <w:br/>
        <w:t xml:space="preserve">      de regreso para recuperar de los autores materiales las</w:t>
        <w:br/>
        <w:t xml:space="preserve">      indemnizaciones que haya tenido que pagar; y</w:t>
        <w:br/>
        <w:br/>
        <w:br/>
        <w:t xml:space="preserve">      d)    la Comisión solicitó a la Corte que concluyera que el Estado</w:t>
        <w:br/>
        <w:t xml:space="preserve">      tiene la obligación internacional de reparar a los familiares de los</w:t>
        <w:br/>
        <w:t xml:space="preserve">      hermanos Gómez Paquiyauri por las violaciones declaradas, mediante una</w:t>
        <w:br/>
        <w:t xml:space="preserve">      indemnización que sea pagada por el Estado, calculada conforme a los</w:t>
        <w:br/>
        <w:t xml:space="preserve">      parámetros internacionales y por un monto suficiente para resarcir</w:t>
        <w:br/>
        <w:t xml:space="preserve">      tanto los daños materiales como los daños morales sufridos.</w:t>
        <w:br/>
        <w:br/>
        <w:t>Alegatos de la representante de las víctimas y sus familiares</w:t>
        <w:br/>
        <w:br/>
        <w:t>185.  La representante de las víctimas y sus familiares solicitó a la Corte</w:t>
        <w:br/>
        <w:t>que ordene al Estado que reconozca su responsabilidad por la política de</w:t>
        <w:br/>
        <w:t>ejecuciones extrajudiciales contra la población civil, en cuyo contexto</w:t>
        <w:br/>
        <w:t>fueron torturados y asesinados los hermanos Gómez Paquiyauri; reconozca los</w:t>
        <w:br/>
        <w:t>mecanismos de encubrimiento que se emplearon para “esconder dichos crímenes</w:t>
        <w:br/>
        <w:t>dentro de ese contexto sistemático y las responsabilidades individuales que</w:t>
        <w:br/>
        <w:t>se ocultaron”; y restaure los derechos conculcados.</w:t>
        <w:br/>
        <w:br/>
        <w:t>Alegatos del Estado</w:t>
        <w:br/>
        <w:br/>
        <w:t>186.  En relación con el alegato de la Comisión de que el Estado tiene la</w:t>
        <w:br/>
        <w:t>obligación internacional de reparar a los familiares de los hermanos Gómez</w:t>
        <w:br/>
        <w:t>Paquiyauri por las presuntas violaciones a sus derechos humanos, el Estado</w:t>
        <w:br/>
        <w:t>manifestó que “asum[e] responsabilidad por el delito cometido por [sus]</w:t>
        <w:br/>
        <w:t>agentes [p]oliciales, y que por tanto, solidariamente concurr[e] a reparar</w:t>
        <w:br/>
        <w:t>los perjuicios que se han cometido”</w:t>
        <w:br/>
        <w:br/>
        <w:t>Consideraciones de la Corte</w:t>
        <w:br/>
        <w:br/>
        <w:t>187.  De acuerdo con lo expuesto en los capítulos anteriores, la Corte ha</w:t>
        <w:br/>
        <w:t>encontrado que con ocasión de los hechos de este caso se violaron los</w:t>
        <w:br/>
        <w:t>artículos 4, 5, 7, 8, 19 y 25 de la Convención Americana, todos ellos en</w:t>
        <w:br/>
        <w:t>relación con el artículo 1.1 de la misma, así como los artículos 1, 6, 8 y</w:t>
        <w:br/>
        <w:t>9 de la Convención Interamericana contra la Tortura, en perjuicio de Rafael</w:t>
        <w:br/>
        <w:t>Samuel y Emilio Moisés Gómez Paquiyauri; los artículos 5, 8, 11 y 25 de la</w:t>
        <w:br/>
        <w:t>Convención Americana, todos ellos en relación con el artículo 1.1 de la</w:t>
        <w:br/>
        <w:t>misma, en perjuicio de Ricardo Samuel Gómez Quispe, Marcelina Paquiyauri</w:t>
        <w:br/>
        <w:t>Illanes de Gómez, Ricardo Emilio Gómez Paquiyauri, Carlos Pedro Gómez</w:t>
        <w:br/>
        <w:t>Paquiyauri, Marcelina Haydeé Gómez Paquiyauri, Lucy Rosa Gómez Paquiyauri y</w:t>
        <w:br/>
        <w:t>Miguel Ángel Gómez Paquiyauri; los artículos 5 y 11 de la Convención</w:t>
        <w:br/>
        <w:t>Americana, en relación con el artículo 1.1 de la misma, en perjuicio de</w:t>
        <w:br/>
        <w:t>Jacinta Peralta Allccarima; y el artículo 11 de la Convención, en relación</w:t>
        <w:br/>
        <w:t>con el artículo 1.1 de la misma, en perjuicio de Nora Emely Gómez Peralta.</w:t>
        <w:br/>
        <w:t>Este Tribunal ha señalado, en su jurisprudencia en reiteradas ocasiones,</w:t>
        <w:br/>
        <w:t>que es un principio de Derecho Internacional que toda violación a una</w:t>
        <w:br/>
        <w:t>obligación internacional que haya causado un daño, genera una obligación de</w:t>
        <w:br/>
        <w:t>proporcionar una reparación adecuada de dicho daño[137].  A tales efectos,</w:t>
        <w:br/>
        <w:t>la Corte se ha basado en el artículo 63.1 de la Convención Americana, según</w:t>
        <w:br/>
        <w:t>el cual,</w:t>
        <w:br/>
        <w:br/>
        <w:t xml:space="preserve">      [c]uando decida que hubo violación de un derecho o libertad protegidos</w:t>
        <w:br/>
        <w:t xml:space="preserve">      en [la] Convención, la Corte dispondrá que se garantice al lesionado</w:t>
        <w:br/>
        <w:t xml:space="preserve">      en el goce de su derecho o libertad conculcados.  Dispondrá asimismo,</w:t>
        <w:br/>
        <w:t xml:space="preserve">      si ello fuera procedente, que se reparen las consecuencias de la</w:t>
        <w:br/>
        <w:t xml:space="preserve">      medida o situación que ha configurado la vulneración de esos derechos</w:t>
        <w:br/>
        <w:t xml:space="preserve">      y el pago de una justa indemnización a la parte lesionada.</w:t>
        <w:br/>
        <w:br/>
        <w:t>188.  Como lo ha señalado la Corte, el artículo 63.1 de la Convención</w:t>
        <w:br/>
        <w:t>Americana recoge una norma consuetudinaria que constituye uno de los</w:t>
        <w:br/>
        <w:t>principios fundamentales del derecho internacional contemporáneo sobre la</w:t>
        <w:br/>
        <w:t>responsabilidad de los Estados.  De esta manera, al producirse un hecho</w:t>
        <w:br/>
        <w:t>ilícito imputable a un Estado, surge de inmediato la responsabilidad</w:t>
        <w:br/>
        <w:t>internacional de éste por la violación de una norma internacional, con el</w:t>
        <w:br/>
        <w:t>consecuente deber de reparación y de hacer cesar las consecuencias de la</w:t>
        <w:br/>
        <w:t>violación[138].</w:t>
        <w:br/>
        <w:br/>
        <w:t>189.  La reparación del daño ocasionado por la infracción de una obligación</w:t>
        <w:br/>
        <w:t>internacional requiere, siempre que sea posible, la plena restitución</w:t>
        <w:br/>
        <w:t>(restitutio in integrum), la cual consiste en el restablecimiento de la</w:t>
        <w:br/>
        <w:t>situación anterior a la violación.  De no ser esto posible, como en el</w:t>
        <w:br/>
        <w:t>presente caso, le corresponde a este Tribunal Internacional ordenar que se</w:t>
        <w:br/>
        <w:t>adopten una serie de medidas para que, además de garantizarse el respeto de</w:t>
        <w:br/>
        <w:t>los derechos conculcados, se reparen las consecuencias que produjeron las</w:t>
        <w:br/>
        <w:t>infracciones y se efectúe el pago de una indemnización como compensación</w:t>
        <w:br/>
        <w:t>por los daños ocasionados en el caso pertinente[139].  Es necesario añadir</w:t>
        <w:br/>
        <w:t>las medidas de carácter positivo que el Estado debe adoptar para asegurar</w:t>
        <w:br/>
        <w:t>que hechos lesivos como los del presente caso no se repitan[140].  La</w:t>
        <w:br/>
        <w:t>obligación de reparar, que se regula en todos los aspectos (alcance,</w:t>
        <w:br/>
        <w:t>naturaleza, modalidades y determinación de los beneficiarios) por el</w:t>
        <w:br/>
        <w:t>derecho internacional, no puede ser modificada o incumplida por el Estado</w:t>
        <w:br/>
        <w:t>obligado invocando disposiciones de su derecho interno[141].</w:t>
        <w:br/>
        <w:br/>
        <w:t>190.  Las reparaciones, como el término lo indica, consisten en las medidas</w:t>
        <w:br/>
        <w:t>que tienden a hacer desaparecer o mitigar los efectos de las violaciones</w:t>
        <w:br/>
        <w:t>cometidas.  Su naturaleza y su monto dependen del daño ocasionado en los</w:t>
        <w:br/>
        <w:t>planos tanto material como inmaterial[142].  En este sentido, las</w:t>
        <w:br/>
        <w:t>reparaciones que se establezcan, deben guardar relación con las violaciones</w:t>
        <w:br/>
        <w:t>declaradas en los capítulos anteriores en esta Sentencia.</w:t>
        <w:br/>
        <w:br/>
        <w:t xml:space="preserve">                              a) Beneficiarios</w:t>
        <w:br/>
        <w:br/>
        <w:t>191.  La Corte resume ahora los argumentos de la Comisión Interamericana,</w:t>
        <w:br/>
        <w:t>de la representante de las víctimas y sus familiares y del Estado sobre</w:t>
        <w:br/>
        <w:t>quiénes deben ser considerados beneficiarios de las reparaciones que la</w:t>
        <w:br/>
        <w:t>Corte dicte.</w:t>
        <w:br/>
        <w:br/>
        <w:t>Alegatos de la Comisión</w:t>
        <w:br/>
        <w:br/>
        <w:t>192.  La Comisión señaló que, en atención a la naturaleza del presente</w:t>
        <w:br/>
        <w:t>caso, los beneficiarios de las reparaciones que ordene la Corte como</w:t>
        <w:br/>
        <w:t>consecuencia de las violaciones declaradas son: Marcelina Paquiyauri</w:t>
        <w:br/>
        <w:t>Illanes de Gómez, madre de las víctimas; Ricardo Samuel Gómez Quispe, padre</w:t>
        <w:br/>
        <w:t>de las víctimas; Marcelina Haydée, Ricardo Emilio, Carlos Pedro, Lucy Rosa</w:t>
        <w:br/>
        <w:t>y Miguel Ángel, todos Gómez Paquiyauri y hermanos de las víctimas.</w:t>
        <w:br/>
        <w:br/>
        <w:t>Alegatos de la representante de las víctimas y sus familiares</w:t>
        <w:br/>
        <w:br/>
        <w:t>193.  Además de los beneficiarios mencionados por la Comisión, la</w:t>
        <w:br/>
        <w:t>representante de las víctimas y sus familiares solicitó a la Corte que</w:t>
        <w:br/>
        <w:t>considerara como beneficiaria de las reparaciones que dicte a Nora Emely</w:t>
        <w:br/>
        <w:t>Gómez Peralta, hija de Rafael Samuel Gómez Paquiyauri.</w:t>
        <w:br/>
        <w:br/>
        <w:t>Alegatos del Estado</w:t>
        <w:br/>
        <w:br/>
        <w:t>194.  En su escrito de contestación de la demanda, el Estado no se refirió</w:t>
        <w:br/>
        <w:t>al tema de los beneficiarios de las reparaciones.</w:t>
        <w:br/>
        <w:br/>
        <w:t>Consideraciones de la Corte</w:t>
        <w:br/>
        <w:br/>
        <w:t>195.  La Corte procederá ahora a determinar la o las personas que</w:t>
        <w:br/>
        <w:t>constituyen en el presente caso la “parte lesionada”, en los términos del</w:t>
        <w:br/>
        <w:t>artículo 63.1 de la Convención Americana.</w:t>
        <w:br/>
        <w:br/>
        <w:t>196.  En primer término, la Corte considera como “parte lesionada” a Rafael</w:t>
        <w:br/>
        <w:t>Samuel y Emilio Moisés Gómez Paquiyauri, en su carácter de víctimas</w:t>
        <w:br/>
        <w:t>directas de las violaciones a los derechos consagrados en los artículos 4,</w:t>
        <w:br/>
        <w:t>5, 7, 8, 19 y 25 de la Convención Americana, en relación con el artículo</w:t>
        <w:br/>
        <w:t>1.1 del mismo tratado, así como en los artículos 1, 6, 8 y 9 de la</w:t>
        <w:br/>
        <w:t>Convención Interamericana contra la Tortura, por lo que serán acreedores de</w:t>
        <w:br/>
        <w:t>las reparaciones que fije el Tribunal, tanto por concepto de daño material,</w:t>
        <w:br/>
        <w:t>como de daño inmaterial.</w:t>
        <w:br/>
        <w:br/>
        <w:t>197.  Por otro lado, los familiares de las víctimas, Ricardo Samuel Gómez</w:t>
        <w:br/>
        <w:t>Quispe, su padre; Marcelina Paquiyauri Illanes de Gómez, su madre; Ricardo</w:t>
        <w:br/>
        <w:t>Emilio Gómez Paquiyauri, Carlos Pedro Gómez Paquiyauri, Marcelina Haydeé</w:t>
        <w:br/>
        <w:t>Gómez Paquiyauri, Lucy Rosa Gómez Paquiyauri, Miguel Ángel Gómez</w:t>
        <w:br/>
        <w:t>Paquiyauri, sus hermanos, serán acreedores de las reparaciones que</w:t>
        <w:br/>
        <w:t>determine el Tribunal en su carácter de víctimas directas de las</w:t>
        <w:br/>
        <w:t>violaciones a los derechos consagrados en los artículos 5, 8, 11 y 25 de la</w:t>
        <w:br/>
        <w:t>Convención, en relación con el artículo 1.1 de la misma. Por su parte,</w:t>
        <w:br/>
        <w:t>Jacinta Peralta Allccarima, novia de Rafael Samuel Gómez Paquiyauri, será</w:t>
        <w:br/>
        <w:t>acreedora de las reparaciones que determine el Tribunal en su carácter de</w:t>
        <w:br/>
        <w:t>víctima directa de las violaciones a los derechos consagrados en los</w:t>
        <w:br/>
        <w:t>artículos 5 y 11 de la Convención.  En la misma forma, Nora Emely Gómez</w:t>
        <w:br/>
        <w:t>Peralta será acreedora de las reparaciones que determine el Tribunal en su</w:t>
        <w:br/>
        <w:t>carácter de víctima directa de las violaciones a los derechos consagrados</w:t>
        <w:br/>
        <w:t>en el referido artículo 11 de la Convención. Asimismo, dichos familiares</w:t>
        <w:br/>
        <w:t>serán acreedores de las reparaciones que el Tribunal fije en su carácter de</w:t>
        <w:br/>
        <w:t>lesionados como consecuencia directa de la muerte de Rafael Samuel y Emilio</w:t>
        <w:br/>
        <w:t>Moisés Gómez Paquiyauri.  Al respecto, la Corte presume que los</w:t>
        <w:br/>
        <w:t>sufrimientos y la muerte de una persona ocasionan a sus hijos[143], cónyuge</w:t>
        <w:br/>
        <w:t>o compañera[144], padres y hermanos un daño inmaterial[145], por lo cual no</w:t>
        <w:br/>
        <w:t>es necesario demostrarlo[146].</w:t>
        <w:br/>
        <w:br/>
        <w:t>198.  La Corte ha señalado, y lo reitera, que el derecho a la indemnización</w:t>
        <w:br/>
        <w:t>por los daños sufridos por las víctimas hasta el momento de su muerte se</w:t>
        <w:br/>
        <w:t>transmite por sucesión a sus herederos.  En este sentido, el Tribunal ha</w:t>
        <w:br/>
        <w:t>afirmado que</w:t>
        <w:br/>
        <w:br/>
        <w:t xml:space="preserve">      [e]s una regla común en la mayoría de las legislaciones que los</w:t>
        <w:br/>
        <w:t xml:space="preserve">      sucesores de una persona son sus hijos.  Se acepta también</w:t>
        <w:br/>
        <w:t xml:space="preserve">      generalmente que el cónyuge participa de los bienes adquiridos durante</w:t>
        <w:br/>
        <w:t xml:space="preserve">      el matrimonio y algunas legislaciones le otorgan además un derecho</w:t>
        <w:br/>
        <w:t xml:space="preserve">      sucesorio junto con los hijos.  Si no existen hijos ni cónyuge, el</w:t>
        <w:br/>
        <w:t xml:space="preserve">      derecho privado común reconoce como herederos a los ascendientes.</w:t>
        <w:br/>
        <w:t xml:space="preserve">      Estas reglas generalmente admitidas en el concierto de las naciones</w:t>
        <w:br/>
        <w:t xml:space="preserve">      deben ser aplicadas, a criterio de la Corte, en el presente litigio a</w:t>
        <w:br/>
        <w:t xml:space="preserve">      fin de determinar los sucesores de las víctimas en lo relativo a la</w:t>
        <w:br/>
        <w:t xml:space="preserve">      indemnización[147].</w:t>
        <w:br/>
        <w:br/>
        <w:t>199.  En el caso de Emilio Moisés Gómez Paquiyauri, éste no tenía ni</w:t>
        <w:br/>
        <w:t>cónyuge, ni compañera, ni hijos, por lo que la indemnización que le</w:t>
        <w:br/>
        <w:t>corresponde deberá ser entregada, en partes iguales, a sus padres, Ricardo</w:t>
        <w:br/>
        <w:t>Samuel Gómez Quispe y Marcelina Paquiyauri Illanes de Gómez, en su carácter</w:t>
        <w:br/>
        <w:t>de derechohabientes de Emilio Moisés Gómez Paquiyauri.</w:t>
        <w:br/>
        <w:br/>
        <w:t>200.  En el caso de Rafael Samuel Gómez Paquiyauri, la Corte ha tenido por</w:t>
        <w:br/>
        <w:t>probado (supra párr. 67.u) que éste procreó una hija, Nora Emely Gómez</w:t>
        <w:br/>
        <w:t>Peralta.  Al respecto, la indemnización que le corresponda deberá ser</w:t>
        <w:br/>
        <w:t>repartida entre sus padres, Ricardo Samuel Gómez Quispe y Marcelina</w:t>
        <w:br/>
        <w:t>Paquiyauri Illanes de Gómez, y su hija, Nora Emely Gómez Peralta, de la</w:t>
        <w:br/>
        <w:t>siguiente manera:</w:t>
        <w:br/>
        <w:br/>
        <w:t xml:space="preserve">      a)    el treinta por ciento (30%) de la indemnización se repartirá por</w:t>
        <w:br/>
        <w:t xml:space="preserve">      partes iguales entre los padres de la víctima; y</w:t>
        <w:br/>
        <w:br/>
        <w:br/>
        <w:t xml:space="preserve">      b)    el setenta por ciento (70%) de la indemnización deberá ser</w:t>
        <w:br/>
        <w:t xml:space="preserve">      entregado a su hija.</w:t>
        <w:br/>
        <w:br/>
        <w:br/>
        <w:t xml:space="preserve">                              B) Daño Material</w:t>
        <w:br/>
        <w:br/>
        <w:t>201.  De conformidad con los elementos probatorios recogidos durante las</w:t>
        <w:br/>
        <w:t>diversas etapas del proceso y a la luz de los criterios establecidos por</w:t>
        <w:br/>
        <w:t>este Tribunal en su jurisprudencia, a continuación la Corte procede a</w:t>
        <w:br/>
        <w:t>analizar las pretensiones presentadas por la Comisión Interamericana, la</w:t>
        <w:br/>
        <w:t>representante de las víctimas y sus familiares y el Estado, con el objeto</w:t>
        <w:br/>
        <w:t>de determinar las medidas de reparación relativas al daño material.</w:t>
        <w:br/>
        <w:br/>
        <w:t>Alegatos de la Comisión</w:t>
        <w:br/>
        <w:br/>
        <w:t>202.  La Comisión solicitó a la Corte que ordene al Estado el pago de una</w:t>
        <w:br/>
        <w:t>indemnización por concepto de daño material, en relación con la cual señaló</w:t>
        <w:br/>
        <w:t>lo siguiente:</w:t>
        <w:br/>
        <w:br/>
        <w:t xml:space="preserve">      a)    los familiares de las víctimas incurrieron en diversos gastos</w:t>
        <w:br/>
        <w:t xml:space="preserve">      como consecuencia directa de los hechos; entre ellos, gastos</w:t>
        <w:br/>
        <w:t xml:space="preserve">      funerarios ocasionados por la muerte de las víctimas, gastos de</w:t>
        <w:br/>
        <w:t xml:space="preserve">      movilización de los padres y de los hermanos de las víctimas a las</w:t>
        <w:br/>
        <w:t xml:space="preserve">      delegaciones policiales y centros hospitalarios para ubicar a las</w:t>
        <w:br/>
        <w:t xml:space="preserve">      víctimas, e ingresos dejados de percibir por los padres de las</w:t>
        <w:br/>
        <w:t xml:space="preserve">      víctimas, quienes con motivo del duelo no trabajaron la semana</w:t>
        <w:br/>
        <w:t xml:space="preserve">      posterior a la muerte de sus hijos;</w:t>
        <w:br/>
        <w:br/>
        <w:br/>
        <w:t xml:space="preserve">      b)    los gastos anteriormente detallados ascienden a US$ 4.230,00</w:t>
        <w:br/>
        <w:t xml:space="preserve">      (cuatro mil doscientos treinta dólares de los Estados Unidos de</w:t>
        <w:br/>
        <w:t xml:space="preserve">      América);</w:t>
        <w:br/>
        <w:br/>
        <w:br/>
        <w:t xml:space="preserve">      c)    para determinar la pérdida de ingresos con ocasión de la muerte</w:t>
        <w:br/>
        <w:t xml:space="preserve">      de las presuntas víctimas, se debe tomar en cuenta las edades de las</w:t>
        <w:br/>
        <w:t xml:space="preserve">      víctimas al momento de su deceso, el número de años que faltaban hasta</w:t>
        <w:br/>
        <w:t xml:space="preserve">      llegar a la esperanza de vida media en el Estado y una estimación de</w:t>
        <w:br/>
        <w:t xml:space="preserve">      los salarios que se pagan por el tipo de trabajo que estarían</w:t>
        <w:br/>
        <w:t xml:space="preserve">      realizando;</w:t>
        <w:br/>
        <w:br/>
        <w:br/>
        <w:t xml:space="preserve">      d)    Emilio Moisés Gómez Paquiyauri tenía 14 años al momento de su</w:t>
        <w:br/>
        <w:t xml:space="preserve">      muerte y se encontraba estudiando el tercer año de la escuela</w:t>
        <w:br/>
        <w:t xml:space="preserve">      secundaria;</w:t>
        <w:br/>
        <w:br/>
        <w:br/>
        <w:t xml:space="preserve">      e)    Rafael Samuel Gómez Paquiyauri tenía 17 años al momento de su</w:t>
        <w:br/>
        <w:t xml:space="preserve">      muerte, había terminado sus estudios secundarios el año anterior,</w:t>
        <w:br/>
        <w:t xml:space="preserve">      tenía previsto postularse a la Universidad Nacional de Ingeniería y</w:t>
        <w:br/>
        <w:t xml:space="preserve">      trabajaba en una empresa de calderería para naves.  En relación con</w:t>
        <w:br/>
        <w:t xml:space="preserve">      este trabajo, los peticionarios manifestaron que, de haberlo</w:t>
        <w:br/>
        <w:t xml:space="preserve">      mantenido, Rafael Samuel Gómez Paquiyauri habría percibido un ingreso</w:t>
        <w:br/>
        <w:t xml:space="preserve">      anual equivalente aproximadamente a US$ 7.480,00 (siete mil</w:t>
        <w:br/>
        <w:t xml:space="preserve">      cuatrocientos ochenta dólares de los Estados Unidos de América);</w:t>
        <w:br/>
        <w:br/>
        <w:br/>
        <w:t xml:space="preserve">      f)    tanto Emilio Moisés como Rafael Samuel Gómez Paquiyauri se</w:t>
        <w:br/>
        <w:t xml:space="preserve">      habían propuesto ser profesionales y tenían grandes posibilidades de</w:t>
        <w:br/>
        <w:t xml:space="preserve">      ingresar a la universidad, tal como lo pudieron hacer sus hermanos; y</w:t>
        <w:br/>
        <w:br/>
        <w:br/>
        <w:t xml:space="preserve">      g)    una adecuada indemnización por pérdida de ingresos debe ser</w:t>
        <w:br/>
        <w:t xml:space="preserve">      pagada a los padres de las presuntas víctimas, escuchando previamente</w:t>
        <w:br/>
        <w:t xml:space="preserve">      a la representante de las víctimas y sus familiares.</w:t>
        <w:br/>
        <w:br/>
        <w:t>Alegatos de la representante de las víctimas y sus familiares</w:t>
        <w:br/>
        <w:br/>
        <w:t>203.  La representante de las víctimas y sus familiares solicitó a la Corte</w:t>
        <w:br/>
        <w:t>que ordene al Estado resarcir los daños materiales causados tomando en</w:t>
        <w:br/>
        <w:t>cuenta los siguientes criterios:</w:t>
        <w:br/>
        <w:br/>
        <w:t xml:space="preserve">      a)    por concepto de daño emergente, el Estado debe cubrir los costos</w:t>
        <w:br/>
        <w:t xml:space="preserve">      de las cosas de las cuales fueron despojados los hermanos: relojes,</w:t>
        <w:br/>
        <w:t xml:space="preserve">      zapatos de cuero y, uno de ellos, su pantalón; los gastos realizados</w:t>
        <w:br/>
        <w:t xml:space="preserve">      el día de los hechos  y el día siguiente para la recuperación de los</w:t>
        <w:br/>
        <w:t xml:space="preserve">      cuerpos; los gastos funerarios; los gastos ocasionados por la búsqueda</w:t>
        <w:br/>
        <w:t xml:space="preserve">      de justicia y denuncia de los hechos; los gastos médicos, en virtud de</w:t>
        <w:br/>
        <w:t xml:space="preserve">      que Lucy Rosa y Miguel Ángel Gómez Paquiyauri, hermanos de las</w:t>
        <w:br/>
        <w:t xml:space="preserve">      víctimas sufrieron “afecciones nerviosas”; Marcelina Paquiyauri</w:t>
        <w:br/>
        <w:t xml:space="preserve">      Illanes de Gómez, madre de la víctimas, padeció tuberculosis y un</w:t>
        <w:br/>
        <w:t xml:space="preserve">      derrame pleural.  También se solicitó una compensación en equidad por</w:t>
        <w:br/>
        <w:t xml:space="preserve">      los destrozos causados por el Estado en su vivienda;</w:t>
        <w:br/>
        <w:br/>
        <w:br/>
        <w:t xml:space="preserve">      b)    los gastos realizados el día de los hechos y al día siguiente</w:t>
        <w:br/>
        <w:t xml:space="preserve">      ascienden a US$ 22,94 (veintidós dólares de los Estados Unidos de</w:t>
        <w:br/>
        <w:t xml:space="preserve">      América con noventa y cuatro centavos); los gastos funerarios</w:t>
        <w:br/>
        <w:t xml:space="preserve">      ascienden a US$ 4.000,00 (cuatro mil dólares de los Estados Unidos de</w:t>
        <w:br/>
        <w:t xml:space="preserve">      América) y los gastos ocasionados por la búsqueda de justicia y</w:t>
        <w:br/>
        <w:t xml:space="preserve">      denuncia de los hechos ascienden a US$ 299,71 (doscientos noventa y</w:t>
        <w:br/>
        <w:t xml:space="preserve">      nueve dólares de los Estados Unidos de América con setenta y un</w:t>
        <w:br/>
        <w:t xml:space="preserve">      centavos);</w:t>
        <w:br/>
        <w:br/>
        <w:br/>
        <w:t xml:space="preserve">      c)    las indemnizaciones por los demás rubros pueden ser fijadas en</w:t>
        <w:br/>
        <w:t xml:space="preserve">      equidad;</w:t>
        <w:br/>
        <w:br/>
        <w:br/>
        <w:t xml:space="preserve">      d)    en relación con la pérdida de ingresos, el proyecto de vida de</w:t>
        <w:br/>
        <w:t xml:space="preserve">      la familia Gómez Paquiyauri estaba cimentado en la promesa de lo que</w:t>
        <w:br/>
        <w:t xml:space="preserve">      podían lograr los hijos. Emilio quería ser técnico de aviones y Rafael</w:t>
        <w:br/>
        <w:t xml:space="preserve">      “mecánico de producción”, para lo cual éste último ya se estaba</w:t>
        <w:br/>
        <w:t xml:space="preserve">      preparando;</w:t>
        <w:br/>
        <w:br/>
        <w:br/>
        <w:t xml:space="preserve">      e)    el proyecto de vida de los hermanos estaba íntimamente ligado</w:t>
        <w:br/>
        <w:t xml:space="preserve">      con el de la familia, ya que los padres eran inmigrantes de la zona de</w:t>
        <w:br/>
        <w:t xml:space="preserve">      la sierra central del Perú, en donde la familia es concebida como una</w:t>
        <w:br/>
        <w:t xml:space="preserve">      unidad económica en la que todos los miembros aportan en el</w:t>
        <w:br/>
        <w:t xml:space="preserve">      desenvolvimiento de la vida familiar y su sustento;</w:t>
        <w:br/>
        <w:br/>
        <w:br/>
        <w:t xml:space="preserve">      f)    tomando en cuenta que Rafael Samuel  Gómez  Paquiyauri  “era  un</w:t>
        <w:br/>
        <w:t xml:space="preserve">      joven con inteligencia excepcional”, lo cual está  demostrado  por  su</w:t>
        <w:br/>
        <w:t xml:space="preserve">      rendimiento académico, se  puede  calcular,  considerando  también  la</w:t>
        <w:br/>
        <w:t xml:space="preserve">      esperanza de vida promedio en el Perú, que la pérdida de  ingresos  en</w:t>
        <w:br/>
        <w:t xml:space="preserve">      su caso asciende a US$ 507.350,10 (quinientos  siete  mil  trescientos</w:t>
        <w:br/>
        <w:t xml:space="preserve">      cincuenta dólares de los Estados Unidos de América con diez centavos);</w:t>
        <w:br/>
        <w:br/>
        <w:br/>
        <w:t xml:space="preserve">      g)    tomando en cuenta que Emilio Moisés  Gómez  Paquiyauri  “era  un</w:t>
        <w:br/>
        <w:t xml:space="preserve">      niño que tenía una madurez precoz para entender las necesidades de  su</w:t>
        <w:br/>
        <w:t xml:space="preserve">      hogar [y] con un sentido de responsabilidad bastante desarrollado para</w:t>
        <w:br/>
        <w:t xml:space="preserve">      su tierna edad”, se puede calcular, considerando también la  esperanza</w:t>
        <w:br/>
        <w:t xml:space="preserve">      de vida promedio en el Perú, que la pérdida de  ingresos  en  su  caso</w:t>
        <w:br/>
        <w:t xml:space="preserve">      asciende  a  US$  518.379,45  (quinientos  dieciocho  mil  trescientos</w:t>
        <w:br/>
        <w:t xml:space="preserve">      setenta y nueve dólares de los Estados Unidos de América con  cuarenta</w:t>
        <w:br/>
        <w:t xml:space="preserve">      y cinco centavos);</w:t>
        <w:br/>
        <w:br/>
        <w:br/>
        <w:t xml:space="preserve">      h)    en el caso de los familiares de las víctimas, varios de ellos</w:t>
        <w:br/>
        <w:t xml:space="preserve">      tuvieron que dejar de trabajar, al menos temporalmente, a raíz de los</w:t>
        <w:br/>
        <w:t xml:space="preserve">      hechos; en consecuencia, la representante solicitó una indemnización</w:t>
        <w:br/>
        <w:t xml:space="preserve">      por concepto de pérdida de ingresos de US$ 1.120,00 (mil ciento veinte</w:t>
        <w:br/>
        <w:t xml:space="preserve">      dólares de los Estados Unidos de América) en el caso de la madre; US$</w:t>
        <w:br/>
        <w:t xml:space="preserve">      450 (cuatrocientos cincuenta dólares de los Estados Unidos de América)</w:t>
        <w:br/>
        <w:t xml:space="preserve">      en el caso del padre; y US$ 375,00 (trescientos setenta y cinco</w:t>
        <w:br/>
        <w:t xml:space="preserve">      dólares de los Estados Unidos de América) en el caso de Lucy Rosa</w:t>
        <w:br/>
        <w:t xml:space="preserve">      Gómez Paquiyauri; e</w:t>
        <w:br/>
        <w:br/>
        <w:br/>
        <w:t xml:space="preserve">      i)    al total correspondiente por los rubros de daño emergente y</w:t>
        <w:br/>
        <w:t xml:space="preserve">      pérdida de ingresos habría que agregar los intereses corrientes para</w:t>
        <w:br/>
        <w:t xml:space="preserve">      proteger el valor de dicha suma al tiempo de su pago.</w:t>
        <w:br/>
        <w:br/>
        <w:t>Alegatos del Estado</w:t>
        <w:br/>
        <w:br/>
        <w:t>204.  En relación con las pretensiones sobre reparaciones esgrimidas por la</w:t>
        <w:br/>
        <w:t>Comisión, el Estado manifestó, de manera general, que “asum[e]</w:t>
        <w:br/>
        <w:t>responsabilidad por el delito cometido por [sus] agentes [p]oliciales, y</w:t>
        <w:br/>
        <w:t>que por tanto, solidariamente concurr[e] a reparar los perjuicios que se</w:t>
        <w:br/>
        <w:t>han cometido”.</w:t>
        <w:br/>
        <w:br/>
        <w:t>Consideraciones de la Corte</w:t>
        <w:br/>
        <w:br/>
        <w:t>205.  La Corte determinará en este acápite lo correspondiente al daño</w:t>
        <w:br/>
        <w:t>material, el cual supone la pérdida o detrimento de los ingresos de las</w:t>
        <w:br/>
        <w:t>víctimas y, en su caso, de sus familiares y los gastos efectuados por estos</w:t>
        <w:br/>
        <w:t>últimos como consecuencia de los hechos del presente caso[148].</w:t>
        <w:br/>
        <w:br/>
        <w:t>a) Pérdida de ingresos</w:t>
        <w:br/>
        <w:br/>
        <w:t>206.  En el presente caso, el Tribunal ha tenido por probado que Rafael</w:t>
        <w:br/>
        <w:t>Samuel y Emilio Moisés Gómez Paquiyauri eran estudiantes en la época de los</w:t>
        <w:br/>
        <w:t>hechos.  A pesar de que ha sido alegado que tanto Rafael Samuel como Emilio</w:t>
        <w:br/>
        <w:t>Moisés Gómez Paquiyauri realizaban algunos trabajos ocasionales en</w:t>
        <w:br/>
        <w:t>reparación de buques, la Corte no cuenta con suficientes elementos</w:t>
        <w:br/>
        <w:t>probatorios para calcular exactamente a cuánto ascendían sus ingresos.  Sin</w:t>
        <w:br/>
        <w:t>embargo, el Tribunal estima presumible y razonable suponer que ambos se</w:t>
        <w:br/>
        <w:t>hubieran incorporado al mercado laboral en forma activa al concluir sus</w:t>
        <w:br/>
        <w:t>estudios.  En razón de lo anterior, la Corte decide fijar en equidad la</w:t>
        <w:br/>
        <w:t>cantidad de US$ 100.000,00 (cien mil dólares de los Estados Unidos de</w:t>
        <w:br/>
        <w:t>América) como compensación por la pérdida de ingresos de Rafael Samuel</w:t>
        <w:br/>
        <w:t>Gómez Paquiyauri, y la cantidad de US$ 100.000,00 (cien mil dólares de los</w:t>
        <w:br/>
        <w:t>Estados Unidos de América) como compensación por la pérdida de ingresos de</w:t>
        <w:br/>
        <w:t>Emilio Moisés Gómez Paquiyauri. Estas cantidades deberán ser repartidas de</w:t>
        <w:br/>
        <w:t>conformidad con lo establecido en los párrafos 199 y 200 de la presente</w:t>
        <w:br/>
        <w:t>Sentencia.</w:t>
        <w:br/>
        <w:br/>
        <w:t>b) Daño emergente</w:t>
        <w:br/>
        <w:br/>
        <w:t>207.  Una vez analizada la información recibida, así como la jurisprudencia</w:t>
        <w:br/>
        <w:t>establecida por la Corte y los hechos del caso, el Tribunal considera que</w:t>
        <w:br/>
        <w:t>la indemnización por daño material debe comprender también una suma de</w:t>
        <w:br/>
        <w:t>dinero correspondiente a los gastos realizados por los familiares de Rafael</w:t>
        <w:br/>
        <w:t>Samuel y Emilio Moisés Gómez Paquiyauri, con motivo de la muerte de éstos,</w:t>
        <w:br/>
        <w:t>entre otros, los gastos funerarios de ambas víctimas; el tratamiento médico</w:t>
        <w:br/>
        <w:t>que requirieron los hermanos de las víctimas, Lucy Rosa y Miguel Ángel</w:t>
        <w:br/>
        <w:t>Gómez Paquiyauri, así como la madre de los mismos, Marcelina Paquiyauri</w:t>
        <w:br/>
        <w:t>Illanes de Gómez; y cualquier gasto por tratamiento psicológico en que</w:t>
        <w:br/>
        <w:t>hubieren incurrido o en que incurran los familiares por los daños sufridos</w:t>
        <w:br/>
        <w:t>como consecuencia de las violaciones cometidas por el Estado.</w:t>
        <w:br/>
        <w:br/>
        <w:t>208.  A este respecto, la Corte estima pertinente fijar, en equidad, la</w:t>
        <w:br/>
        <w:t>cantidad de US$ 40.500,00 (cuarenta mil quinientos dólares de los Estados</w:t>
        <w:br/>
        <w:t>Unidos de América) como indemnización por concepto de daño emergente. Esta</w:t>
        <w:br/>
        <w:t>cantidad deberá ser entregada a los señores Ricardo Samuel Gómez Quispe y</w:t>
        <w:br/>
        <w:t>Marcelina Paquiyauri Illanes de Gómez, padres de las víctimas.</w:t>
        <w:br/>
        <w:br/>
        <w:t>209.  Con base en todo lo anterior, la Corte resume a continuación las</w:t>
        <w:br/>
        <w:t>cantidades fijadas como indemnización de los daños materiales por las</w:t>
        <w:br/>
        <w:t>violaciones declaradas:</w:t>
        <w:br/>
        <w:br/>
        <w:t>|Reparación por Concepto de Daño Material                                     |</w:t>
        <w:br/>
        <w:t>|                     |Pérdida de ingresos |Daño        |                     |</w:t>
        <w:br/>
        <w:t>|                     |                    |emergente   |Total                |</w:t>
        <w:br/>
        <w:t>|Rafael Samuel Gómez  |US$100.000,00       |            |US$100.000,00        |</w:t>
        <w:br/>
        <w:t>|Paquiyauri (víctima) |                    |            |                     |</w:t>
        <w:br/>
        <w:t>|Emilio Moisés Gómez  |US$100.000,00       |            |US$100.000,00        |</w:t>
        <w:br/>
        <w:t>|Paquiyauri (víctima) |                    |            |                     |</w:t>
        <w:br/>
        <w:t>|Ricardo Samuel Gómez |                    |US$40.500,00|US$40.500,00         |</w:t>
        <w:br/>
        <w:t>|Quispe y Marcelina   |                    |            |                     |</w:t>
        <w:br/>
        <w:t>|Paquiyauri Illanes de|                    |            |                     |</w:t>
        <w:br/>
        <w:t>|Gómez (padres de las |                    |            |                     |</w:t>
        <w:br/>
        <w:t>|víctimas)            |                    |            |                     |</w:t>
        <w:br/>
        <w:t>|TOTAL                |US$240.500,00                                          |</w:t>
        <w:br/>
        <w:br/>
        <w:t>210.  La indemnización determinada a favor de Rafael Samuel y Emilio Moisés</w:t>
        <w:br/>
        <w:t>Gómez Paquiyauri por concepto de daño material deberá ser distribuida en</w:t>
        <w:br/>
        <w:t>los términos de los párrafos 199 y 200 de la presente Sentencia.</w:t>
        <w:br/>
        <w:br/>
        <w:br/>
        <w:t xml:space="preserve">                             C) Daño Inmaterial</w:t>
        <w:br/>
        <w:br/>
        <w:t>211.  La Corte pasa a considerar aquellos efectos lesivos de los hechos del</w:t>
        <w:br/>
        <w:t>caso que no tienen carácter económico o patrimonial.  El daño inmaterial</w:t>
        <w:br/>
        <w:t>puede comprender tanto los sufrimientos y las aflicciones causados a las</w:t>
        <w:br/>
        <w:t>víctimas directas y a sus allegados, el menoscabo de valores muy</w:t>
        <w:br/>
        <w:t>significativos para las personas, así como las alteraciones, de carácter no</w:t>
        <w:br/>
        <w:t>pecuniario, en las condiciones de existencia de la víctima o su familia.</w:t>
        <w:br/>
        <w:t>No siendo posible asignar al daño inmaterial un preciso equivalente</w:t>
        <w:br/>
        <w:t>monetario, sólo puede, para los fines de las reparación integral a las</w:t>
        <w:br/>
        <w:t>víctimas, ser objeto de compensación, y ello de dos maneras.  En primer</w:t>
        <w:br/>
        <w:t>lugar, mediante el pago de una cantidad de dinero o la entrega de bienes o</w:t>
        <w:br/>
        <w:t>servicios apreciables en dinero, que el Tribunal determine en aplicación</w:t>
        <w:br/>
        <w:t>razonable del arbitrio judicial y en términos de equidad.  Y, en segundo</w:t>
        <w:br/>
        <w:t>lugar, mediante la realización de actos u obras de alcance o repercusión</w:t>
        <w:br/>
        <w:t>públicos, tales como la transmisión de un  mensaje de reprobación oficial a</w:t>
        <w:br/>
        <w:t>las violaciones de los derechos humanos de que se trata y de compromiso con</w:t>
        <w:br/>
        <w:t>los esfuerzos tendientes a que no vuelvan a ocurrir y que tengan como</w:t>
        <w:br/>
        <w:t>efecto la recuperación de la memoria de las víctimas, el reconocimiento de</w:t>
        <w:br/>
        <w:t>su dignidad o el consuelo de sus deudos[149].  El primer aspecto de la</w:t>
        <w:br/>
        <w:t>reparación de los daños inmateriales se analizará en esta sección y el</w:t>
        <w:br/>
        <w:t>segundo en la siguiente.</w:t>
        <w:br/>
        <w:br/>
        <w:t>Alegatos de la Comisión</w:t>
        <w:br/>
        <w:br/>
        <w:t>212.  En relación con la determinación de la indemnización por concepto de</w:t>
        <w:br/>
        <w:t>daño inmaterial la Comisión señaló que:</w:t>
        <w:br/>
        <w:br/>
        <w:t xml:space="preserve">      a)    debe tenerse en cuenta factores como la gravedad de las</w:t>
        <w:br/>
        <w:t xml:space="preserve">      violaciones y el sufrimiento emocional de los familiares de las</w:t>
        <w:br/>
        <w:t xml:space="preserve">      víctimas;</w:t>
        <w:br/>
        <w:br/>
        <w:br/>
        <w:t xml:space="preserve">      b)    en el presente caso, los padres y los hermanos de las víctimas</w:t>
        <w:br/>
        <w:t xml:space="preserve">      padecieron un gran sufrimiento, que se vio agravado por la</w:t>
        <w:br/>
        <w:t xml:space="preserve">      circunstancia de que simultáneamente dos miembros de la familia</w:t>
        <w:br/>
        <w:t xml:space="preserve">      estuvieron involucrados en los hechos; y</w:t>
        <w:br/>
        <w:br/>
        <w:br/>
        <w:t xml:space="preserve">      c)    la Comisión solicitó a la Corte que ordene al Estado pagarle a</w:t>
        <w:br/>
        <w:t xml:space="preserve">      los padres y hermanos de las víctimas una suma en equidad que sea</w:t>
        <w:br/>
        <w:t xml:space="preserve">      dispuesta por la Corte.</w:t>
        <w:br/>
        <w:br/>
        <w:t>Alegatos de la representante de las víctimas y sus familiares</w:t>
        <w:br/>
        <w:br/>
        <w:t>213.  La representante de las víctimas y sus familiares solicitó a la Corte</w:t>
        <w:br/>
        <w:t>que ordenara al Estado que indemnice a los derechohabientes de las víctimas</w:t>
        <w:br/>
        <w:t>por el sufrimiento infligido en ambos; asimismo solicitó una indemnización</w:t>
        <w:br/>
        <w:t>por el daño moral directamente sufrido por los familiares de las presuntas</w:t>
        <w:br/>
        <w:t>víctimas. Finalmente, la representante dejó a la discreción de la Corte el</w:t>
        <w:br/>
        <w:t>otorgarle a Jacinta Peralta Allccarima, madre de Nora Emely Gómez Peralta y</w:t>
        <w:br/>
        <w:t>novia de Rafael Samuel Gómez Paquiyauri al momento de los sucesos, una</w:t>
        <w:br/>
        <w:t>compensación por el daño moral sufrido, fijada en equidad, debido a los</w:t>
        <w:br/>
        <w:t>sufrimientos por la muerte de Rafael Samuel Gómez Paquiyauri en momentos en</w:t>
        <w:br/>
        <w:t>que ella se encontraba embarazada de él.</w:t>
        <w:br/>
        <w:br/>
        <w:t>Alegatos del Estado</w:t>
        <w:br/>
        <w:br/>
        <w:t>214.  En relación con las pretensiones sobre reparaciones esgrimidas por la</w:t>
        <w:br/>
        <w:t>Comisión, el Estado manifestó, de manera general, que “asum[e]</w:t>
        <w:br/>
        <w:t>responsabilidad por el delito cometido por [sus] agentes [p]oliciales, y</w:t>
        <w:br/>
        <w:t>que por tanto, solidariamente concurr[e] a reparar los perjuicios que se</w:t>
        <w:br/>
        <w:t>han cometido”.</w:t>
        <w:br/>
        <w:br/>
        <w:t>Consideraciones de la Corte</w:t>
        <w:br/>
        <w:br/>
        <w:t>215.  La jurisprudencia internacional ha señalado en reiteradas ocasiones</w:t>
        <w:br/>
        <w:t>que la sentencia constituye per se una forma de reparación.  No obstante,</w:t>
        <w:br/>
        <w:t>por las circunstancias del presente caso, los sufrimientos que los hechos</w:t>
        <w:br/>
        <w:t>causaron a las víctimas y a sus familiares, el cambio en las condiciones de</w:t>
        <w:br/>
        <w:t>existencia de sus familiares y las demás consecuencias de orden no material</w:t>
        <w:br/>
        <w:t>o no pecuniario que sufrieron éstos, la Corte estima pertinente el pago de</w:t>
        <w:br/>
        <w:t>una compensación, conforme a la equidad, por concepto de daños</w:t>
        <w:br/>
        <w:t>inmateriales[150].</w:t>
        <w:br/>
        <w:br/>
        <w:t>216.  Al considerar y fijar las reparaciones por concepto de daño</w:t>
        <w:br/>
        <w:t>inmaterial, la Corte ha tomado en consideración las diversas clases de</w:t>
        <w:br/>
        <w:t>daños inmateriales a los que la representante de las víctimas y sus</w:t>
        <w:br/>
        <w:t>familiares y la Comisión han hecho referencia: la angustia de las víctimas</w:t>
        <w:br/>
        <w:t>antes de morir como consecuencia de su detención ilegal y arbitraria y la</w:t>
        <w:br/>
        <w:t>tortura de la que fueron objeto; el sufrimiento de los familiares de las</w:t>
        <w:br/>
        <w:t>víctimas por la “gravedad de las violaciones”, así como por haber sido</w:t>
        <w:br/>
        <w:t>cometidas éstas en perjuicio de dos de los miembros de la familia; las</w:t>
        <w:br/>
        <w:t>consecuencias “devastadoras” de los hechos del presente caso en la familia</w:t>
        <w:br/>
        <w:t>en su conjunto, y en cada uno de sus miembros en forma individual, incluida</w:t>
        <w:br/>
        <w:t>la pérdida del hijo de Marcelina Haydeé Gómez Paquiyauri; el dolor causado</w:t>
        <w:br/>
        <w:t>por presentar a las víctimas como delincuentes que murieron en un</w:t>
        <w:br/>
        <w:t>enfrentamiento armado; la angustia ante la subsistencia de una situación de</w:t>
        <w:br/>
        <w:t>impunidad por no declarar la responsabilidad de todos quienes ordenaron y</w:t>
        <w:br/>
        <w:t>encubrieron los hechos; y la estigmatización por la asociación de los</w:t>
        <w:br/>
        <w:t>nombres de las víctimas con la calidad de “terroristas”, lo que incluso ha</w:t>
        <w:br/>
        <w:t>provocado que la hija de Rafael Samuel Gómez Paquiyauri no esté legalmente</w:t>
        <w:br/>
        <w:t>inscrita como tal.</w:t>
        <w:br/>
        <w:br/>
        <w:t>217.  Tal como lo ha señalado la Corte, el daño inmaterial infligido a las</w:t>
        <w:br/>
        <w:t>víctimas resulta evidente, pues es propio de la naturaleza humana que toda</w:t>
        <w:br/>
        <w:t>persona sometida a agresiones y vejámenes como los que se cometieron contra</w:t>
        <w:br/>
        <w:t>Rafael Samuel y Emilio Moisés Gómez Paquiyauri (detención ilegal y</w:t>
        <w:br/>
        <w:t>arbitraria, torturas y muerte) experimente un profundo sufrimiento</w:t>
        <w:br/>
        <w:t>moral[151].  Por esto, la Corte considera que este daño inmaterial debe ser</w:t>
        <w:br/>
        <w:t>compensado en equidad, a cuyo efecto este Tribunal fija la cantidad de US$</w:t>
        <w:br/>
        <w:t>100.000,00 (cien mil dólares de los Estados Unidos de América), para cada</w:t>
        <w:br/>
        <w:t>una de las víctimas, Rafael Samuel y Emilio Moisés Gómez Paquiyauri, que</w:t>
        <w:br/>
        <w:t>serán entregadas a sus beneficiarios en los términos de los párrafos 199 y</w:t>
        <w:br/>
        <w:t>200 de la presente Sentencia.</w:t>
        <w:br/>
        <w:br/>
        <w:t>218.  En el caso de los familiares inmediatos de Rafael Samuel y Emilio</w:t>
        <w:br/>
        <w:t>Moisés Gómez Paquiyauri, es razonable concluir que las aflicciones sufridas</w:t>
        <w:br/>
        <w:t>por las víctimas se extienden a los miembros más cercanos de la familia,</w:t>
        <w:br/>
        <w:t>particularmente a aquéllos que tenían un contacto afectivo estrecho con</w:t>
        <w:br/>
        <w:t>ellos.  Al respecto, la Corte considera que no se requiere prueba para</w:t>
        <w:br/>
        <w:t>llegar a esa conclusión[152].</w:t>
        <w:br/>
        <w:br/>
        <w:t>219.  Dadas las circunstancias particulares del presente caso, que no</w:t>
        <w:br/>
        <w:t>permiten establecer fehacientemente el grado de padecimiento o aflicción</w:t>
        <w:br/>
        <w:t>que puedan haber sufrido cada uno de los integrantes de la familia de las</w:t>
        <w:br/>
        <w:t>víctimas, la Corte fija en equidad la cantidad de US$ 200.000,00</w:t>
        <w:br/>
        <w:t>(doscientos mil dólares de los Estados Unidos de América) por concepto de</w:t>
        <w:br/>
        <w:t>daño inmaterial.  Esta cantidad será entregada por el Estado a los señores</w:t>
        <w:br/>
        <w:t>Ricardo Samuel Gómez Quispe y Marcelina Paquiyauri Illanes de Gómez, padres</w:t>
        <w:br/>
        <w:t>de las víctimas, quienes decidirán de acuerdo a su prudente arbitrio lo</w:t>
        <w:br/>
        <w:t>referente a la utilización o distribución de dicha cantidad entre ellos y</w:t>
        <w:br/>
        <w:t>los demás miembros de la familia.</w:t>
        <w:br/>
        <w:br/>
        <w:t>220.  Asimismo, para la reparación del daño inmaterial sufrido por Jacinta</w:t>
        <w:br/>
        <w:t>Peralta Allccarima y su hija Nora Emely Gómez Peralta, la Corte fija en</w:t>
        <w:br/>
        <w:t>equidad, en beneficio de éstas, las cantidades de US$ 40.000,00 (cuarenta</w:t>
        <w:br/>
        <w:t>mil dólares de los Estados Unidos de América) y US$ 60.000,00 (sesenta mil</w:t>
        <w:br/>
        <w:t>dólares de los Estados Unidos de América), respectivamente.</w:t>
        <w:br/>
        <w:br/>
        <w:t>221.  Con base en lo anterior, la Corte resume a continuación las</w:t>
        <w:br/>
        <w:t>cantidades fijadas como indemnización de los daños inmateriales por las</w:t>
        <w:br/>
        <w:t>violaciones declaradas:</w:t>
        <w:br/>
        <w:br/>
        <w:t>|Reparación por Concepto de Daño Inmaterial                                |</w:t>
        <w:br/>
        <w:t>|Víctimas y familiares                    |Daño Inmaterial                |</w:t>
        <w:br/>
        <w:t>|Rafael Samuel Gómez Paquiyauri (víctima) |US$  100.000,00                |</w:t>
        <w:br/>
        <w:t>|Emilio Moisés Gómez Paquiyauri (víctima) |US$  100.000,00                |</w:t>
        <w:br/>
        <w:t>|Ricardo Samuel Gómez Quispe (padre) y    |US$  200.000,00                |</w:t>
        <w:br/>
        <w:t>|Marcelina Paquiyauri Illanes de Gómez    |                               |</w:t>
        <w:br/>
        <w:t>|(madre)                                  |                               |</w:t>
        <w:br/>
        <w:t>|Jacinta Peralta Allccarima (novia de     |US$ 40.000,00                  |</w:t>
        <w:br/>
        <w:t>|Rafael Samuel Gómez Paquiyauri)          |                               |</w:t>
        <w:br/>
        <w:t>|Nora Emely Gómez Peralta (hija de Rafael |US$ 60.000,00                  |</w:t>
        <w:br/>
        <w:t>|Samuel Gómez Paquiyauri)                 |                               |</w:t>
        <w:br/>
        <w:t>|TOTAL                                    |US$ 500.000,00                 |</w:t>
        <w:br/>
        <w:br/>
        <w:t>222.  La indemnización determinada a favor de Rafael Samuel y Emilio Moisés</w:t>
        <w:br/>
        <w:t>Gómez Paquiyauri por concepto de daño inmaterial deberá ser distribuida en</w:t>
        <w:br/>
        <w:t>los términos de los párrafos 199 y 200 de la presente Sentencia.</w:t>
        <w:br/>
        <w:br/>
        <w:br/>
        <w:t xml:space="preserve">                        D) Otras Formas de Reparación</w:t>
        <w:br/>
        <w:t xml:space="preserve">           (Medidas de Satisfacción y Garantías de no Repetición)</w:t>
        <w:br/>
        <w:br/>
        <w:t>223.  En este apartado el Tribunal entrará a determinar aquellas medidas de</w:t>
        <w:br/>
        <w:t>satisfacción que buscan reparar el daño inmaterial, que no tienen alcance</w:t>
        <w:br/>
        <w:t>pecuniario, así como también dispondrá medidas de alcance o repercusión</w:t>
        <w:br/>
        <w:t>pública.  Estas medidas buscan, inter alia, recuperar la memoria de las</w:t>
        <w:br/>
        <w:t>víctimas, el reconocimiento de su dignidad, el consuelo de sus deudos o</w:t>
        <w:br/>
        <w:t>transmitir un mensaje de reprobación oficial de las violaciones de los</w:t>
        <w:br/>
        <w:t>derechos humanos de que se trata, así como evitar que se repitan</w:t>
        <w:br/>
        <w:t>violaciones como las del presente caso[153].</w:t>
        <w:br/>
        <w:br/>
        <w:t>Alegatos de la Comisión</w:t>
        <w:br/>
        <w:br/>
        <w:t>224.  La Comisión solicitó como medida de satisfacción y garantía de no</w:t>
        <w:br/>
        <w:t>repetición la investigación seria del paradero de los autores intelectuales</w:t>
        <w:br/>
        <w:t>de la muerte de los hermanos Gómez Paquiyauri, así como su enjuiciamiento y</w:t>
        <w:br/>
        <w:t>sanción.  Asimismo, solicitó a la Corte ordenar al Estado que pida perdón</w:t>
        <w:br/>
        <w:t>públicamente y “reconozca el error y las violaciones a los derechos humanos</w:t>
        <w:br/>
        <w:t>de la familia Gómez Paquiyauri”.</w:t>
        <w:br/>
        <w:br/>
        <w:t>Alegatos de la representante de las víctimas y sus familiares</w:t>
        <w:br/>
        <w:br/>
        <w:br/>
        <w:t>225.  La representante de las presuntas víctimas solicitó  a  la  Corte  que</w:t>
        <w:br/>
        <w:t>ordenara  al  Estado  adoptar  las  siguientes  acciones  como  medidas   de</w:t>
        <w:br/>
        <w:t>satisfacción y garantías de no repetición:</w:t>
        <w:br/>
        <w:br/>
        <w:br/>
        <w:t xml:space="preserve">      a)    realizar un acto de desagravio público de las víctimas y de</w:t>
        <w:br/>
        <w:t xml:space="preserve">      reconocimiento de su responsabilidad;</w:t>
        <w:br/>
        <w:br/>
        <w:br/>
        <w:t xml:space="preserve">      b)    capturar,  encausar  y  sancionar  a  los  responsables  de  las</w:t>
        <w:br/>
        <w:t xml:space="preserve">      detenciones arbitrarias, torturas y ejecuciones extrajudiciales de los</w:t>
        <w:br/>
        <w:t xml:space="preserve">      hermanos Rafael Samuel y Emilio Moisés Gómez Paquiyauri;</w:t>
        <w:br/>
        <w:br/>
        <w:br/>
        <w:t xml:space="preserve">      c)    reparar a Nora Emely Gómez Peralta el daño moral ocasionado, por</w:t>
        <w:br/>
        <w:t xml:space="preserve">      la falta de reconocimiento legal como hija de Rafael Samuel Gómez</w:t>
        <w:br/>
        <w:t xml:space="preserve">      Paquiyauri;</w:t>
        <w:br/>
        <w:br/>
        <w:br/>
        <w:t xml:space="preserve">      d)    restaurar de alguna manera  la  unidad  familiar  de  los  Gómez</w:t>
        <w:br/>
        <w:t xml:space="preserve">      Paquiyauri, al otorgar la libertad a Carlos  Pedro  y  Ricardo  Emilio</w:t>
        <w:br/>
        <w:t xml:space="preserve">      Gómez Paquiyauri, quienes  se  encuentran  privados  de  libertad  por</w:t>
        <w:br/>
        <w:t xml:space="preserve">      hechos independientes a los del presente caso, a través de un  indulto</w:t>
        <w:br/>
        <w:t xml:space="preserve">      por parte  del  Estado  en  reconocimiento  de  su  responsabilidad  y</w:t>
        <w:br/>
        <w:t xml:space="preserve">      satisfacción de la parte lesionada;</w:t>
        <w:br/>
        <w:br/>
        <w:br/>
        <w:t xml:space="preserve">      e)    facilitar y solventar el establecimiento por parte de la familia</w:t>
        <w:br/>
        <w:t xml:space="preserve">      Gómez Paquiyauri de una Fundación cuyo mandato sea la protección de</w:t>
        <w:br/>
        <w:t xml:space="preserve">      los niños en el Perú que lleve el nombre de Emilio Moisés y Rafael</w:t>
        <w:br/>
        <w:t xml:space="preserve">      Samuel Gómez Paquiyauri;</w:t>
        <w:br/>
        <w:br/>
        <w:br/>
        <w:t xml:space="preserve">      f)    ordenar, alternativamente, que  un  colegio  de  El  Callao,  de</w:t>
        <w:br/>
        <w:t xml:space="preserve">      preferencia en el cual estudiaron los  menores,  lleve  el  nombre  de</w:t>
        <w:br/>
        <w:t xml:space="preserve">      ambos;</w:t>
        <w:br/>
        <w:br/>
        <w:br/>
        <w:t xml:space="preserve">      g)    establecer un fondo de ayuda legal para personas indigentes;</w:t>
        <w:br/>
        <w:br/>
        <w:br/>
        <w:t xml:space="preserve">      h)    prohibir en su legislación de  manera  absoluta  el  uso  de  la</w:t>
        <w:br/>
        <w:t xml:space="preserve">      incomunicación de menores durante su investigación; e</w:t>
        <w:br/>
        <w:br/>
        <w:br/>
        <w:t xml:space="preserve">      i)    adoptar legislación que  introduzca  normas  reflejadas  en  los</w:t>
        <w:br/>
        <w:t xml:space="preserve">      Convenios  de  Ginebra  y  Protocolos  Adicionales  relativos   a   la</w:t>
        <w:br/>
        <w:t xml:space="preserve">      protección de la población civil, y del niño,  en  caso  de  conflicto</w:t>
        <w:br/>
        <w:t xml:space="preserve">      armado interno  y  dar  a  conocer  dichas  leyes  a  sus  fuerzas  de</w:t>
        <w:br/>
        <w:t xml:space="preserve">      seguridad.</w:t>
        <w:br/>
        <w:br/>
        <w:t>Alegatos del Estado</w:t>
        <w:br/>
        <w:br/>
        <w:t>226.  En relación con las pretensiones sobre reparaciones esgrimidas por la</w:t>
        <w:br/>
        <w:t>Comisión, el Estado manifestó, de manera general, que “asum[e]</w:t>
        <w:br/>
        <w:t>responsabilidad por el delito cometido por [sus] agentes [p]oliciales, y</w:t>
        <w:br/>
        <w:t>que por tanto, solidariamente concurr[e] a reparar los perjuicios que se</w:t>
        <w:br/>
        <w:t>han cometido”.</w:t>
        <w:br/>
        <w:br/>
        <w:t>Consideraciones de la Corte</w:t>
        <w:br/>
        <w:br/>
        <w:t>a)    Obligación de investigar los hechos que generaron las violaciones,</w:t>
        <w:br/>
        <w:t>identificar y sancionar a los responsables</w:t>
        <w:br/>
        <w:br/>
        <w:t>227.  La Corte ha declarado, entre otros, que el Estado violó los artículos</w:t>
        <w:br/>
        <w:t>8 y 25, en relación con el artículo 1.1 de la Convención, en perjuicio de</w:t>
        <w:br/>
        <w:t>los familiares de la víctima, por la impunidad en la que se encuentran el o</w:t>
        <w:br/>
        <w:t>los autores intelectuales de los hechos, lo que ha generado en éstos de las</w:t>
        <w:br/>
        <w:t>víctimas sentimientos de inseguridad, indefensión y angustia (supra párr.</w:t>
        <w:br/>
        <w:t>118).</w:t>
        <w:br/>
        <w:br/>
        <w:t>228.  La Corte reconoce que en el presente caso la impunidad de los</w:t>
        <w:br/>
        <w:t>responsables no ha sido total, puesto que dos autores materiales han sido</w:t>
        <w:br/>
        <w:t>juzgados y declarados culpables por los hechos (supra párr. 67.p).  No</w:t>
        <w:br/>
        <w:t>obstante, a la fecha de la presente Sentencia, después de más de trece</w:t>
        <w:br/>
        <w:t>años, el o los autores intelectuales de los hechos aún no han sido juzgados</w:t>
        <w:br/>
        <w:t>ni sancionados.  Por lo tanto, se ha configurado una situación de grave</w:t>
        <w:br/>
        <w:t>impunidad, que constituye una infracción del deber del Estado de investigar</w:t>
        <w:br/>
        <w:t>y sancionar a los responsables de los hechos violatorios de los derechos</w:t>
        <w:br/>
        <w:t>humanos en el presente caso, que lesiona a los familiares de las víctimas y</w:t>
        <w:br/>
        <w:t>que propicia la repetición crónica de las violaciones de los derechos</w:t>
        <w:br/>
        <w:t>humanos de que se trata[154].</w:t>
        <w:br/>
        <w:br/>
        <w:t>229.  Este Tribunal se ha referido en reiteradas ocasiones al derecho que</w:t>
        <w:br/>
        <w:t>asiste a lo familiares de las víctimas de conocer lo que sucedió y de saber</w:t>
        <w:br/>
        <w:t>quiénes fueron los agentes del Estado responsables de los hechos[155].  Tal</w:t>
        <w:br/>
        <w:t>como lo ha señalado la Corte, “la investigación de los hechos y la sanción</w:t>
        <w:br/>
        <w:t>de las personas responsables, […] es una obligación que corresponde al</w:t>
        <w:br/>
        <w:t>Estado siempre que haya ocurrido una violación de los derechos humanos y</w:t>
        <w:br/>
        <w:t>[…] debe ser cumplida seriamente y no como una mera formalidad”[156].</w:t>
        <w:br/>
        <w:br/>
        <w:t>230.  La Corte considera que las víctimas de graves violaciones de derechos</w:t>
        <w:br/>
        <w:t xml:space="preserve"> humanos y sus familiares, en su caso, tienen el derecho a conocer la</w:t>
        <w:br/>
        <w:t>verdad.  En consecuencia, los familiares de las víctimas en el presente</w:t>
        <w:br/>
        <w:t>caso tienen el derecho a ser informados de todo lo sucedido en relación con</w:t>
        <w:br/>
        <w:t>dichas violaciones.  Este derecho a la verdad ha venido siendo desarrollado</w:t>
        <w:br/>
        <w:t>por el Derecho Internacional de los Derechos Humanos[157]; al ser</w:t>
        <w:br/>
        <w:t>reconocido y ejercido en una situación concreta, ello constituye un medio</w:t>
        <w:br/>
        <w:t>importante de reparación. Por lo tanto, da lugar a una expectativa que el</w:t>
        <w:br/>
        <w:t>Estado debe satisfacer a los familiares de la víctima[158].</w:t>
        <w:br/>
        <w:br/>
        <w:t>231.  A la luz de lo anterior, para reparar este aspecto de las violaciones</w:t>
        <w:br/>
        <w:t>cometidas, el Estado debe investigar efectivamente los hechos del presente</w:t>
        <w:br/>
        <w:t>caso, con el fin de identificar, juzgar y sancionar a todos los autores</w:t>
        <w:br/>
        <w:t>intelectuales y demás responsables de la detención, torturas, y ejecución</w:t>
        <w:br/>
        <w:t>extrajudicial de Rafael Samuel y Emilio Moisés Gómez Paquiyauri.  A tal</w:t>
        <w:br/>
        <w:t>efecto, deberá adoptar todas las medidas judiciales y administrativas</w:t>
        <w:br/>
        <w:t>necesarias con el fin de reabrir la investigación por los hechos del</w:t>
        <w:br/>
        <w:t>presente caso y localizar, juzgar y sancionar al o los autores</w:t>
        <w:br/>
        <w:t>intelectuales de los mismos.  Los familiares de las víctimas deberán tener</w:t>
        <w:br/>
        <w:t>pleno acceso y capacidad de actuar en todas las etapas e instancias de</w:t>
        <w:br/>
        <w:t>dichas investigaciones, de acuerdo con la ley interna y las normas de la</w:t>
        <w:br/>
        <w:t>Convención Americana. Asimismo, el Estado debe asegurar el cumplimiento</w:t>
        <w:br/>
        <w:t>efectivo de la decisión que adopten los tribunales internos, en acatamiento</w:t>
        <w:br/>
        <w:t>de esta obligación.  El resultado del proceso deberá ser públicamente</w:t>
        <w:br/>
        <w:t>divulgado, para que la sociedad peruana conozca la verdad.</w:t>
        <w:br/>
        <w:br/>
        <w:t>232.  La Corte advierte que el Estado debe garantizar que el proceso</w:t>
        <w:br/>
        <w:t>interno tendiente a investigar y sancionar a los responsables de los hechos</w:t>
        <w:br/>
        <w:t>de este caso surta sus debidos efectos. Además, el Estado deberá abstenerse</w:t>
        <w:br/>
        <w:t>de recurrir a figuras como la amnistía, la prescripción y el</w:t>
        <w:br/>
        <w:t>establecimiento de excluyentes de responsabilidad, así como medidas que</w:t>
        <w:br/>
        <w:t>pretendan impedir la persecución penal o suprimir los efectos de la</w:t>
        <w:br/>
        <w:t>sentencia condenatoria.</w:t>
        <w:br/>
        <w:br/>
        <w:t>233.  En cuanto al cumplimiento de esta obligación de investigar y</w:t>
        <w:br/>
        <w:t>sancionar, la Corte ha establecido que:</w:t>
        <w:br/>
        <w:br/>
        <w:t xml:space="preserve">      […] son inadmisibles las disposiciones de amnistía, las  disposiciones</w:t>
        <w:br/>
        <w:t xml:space="preserve">      de prescripción y el establecimiento de excluyentes de responsabilidad</w:t>
        <w:br/>
        <w:t xml:space="preserve">      que pretendan impedir la investigación y sanción de  los  responsables</w:t>
        <w:br/>
        <w:t xml:space="preserve">      de las violaciones graves  de  los  derechos  humanos  tales  como  la</w:t>
        <w:br/>
        <w:t xml:space="preserve">      tortura, las ejecuciones sumarias, extralegales o  arbitrarias  y  las</w:t>
        <w:br/>
        <w:t xml:space="preserve">      desapariciones  forzadas,  todas  ellas  prohibidas  por   contravenir</w:t>
        <w:br/>
        <w:t xml:space="preserve">      derechos inderogables reconocidos por el Derecho Internacional de  los</w:t>
        <w:br/>
        <w:t xml:space="preserve">      Derechos Humanos[159].</w:t>
        <w:br/>
        <w:br/>
        <w:t>b)    Acto público de reconocimiento de responsabilidad internacional y de</w:t>
        <w:br/>
        <w:t>desagravio a los familiares de Rafael Samuel y Emilio Moisés Gómez</w:t>
        <w:br/>
        <w:t>Paquiyauri</w:t>
        <w:br/>
        <w:br/>
        <w:t>234.  Como consecuencia de las violaciones establecidas en el caso sub</w:t>
        <w:br/>
        <w:t>judice, la Corte considera que el Estado debe realizar un acto público de</w:t>
        <w:br/>
        <w:t>reconocimiento de su responsabilidad en relación con los hechos de este</w:t>
        <w:br/>
        <w:t>caso y de desagravio a las víctimas.  Este acto deberá realizarse en</w:t>
        <w:br/>
        <w:t>presencia de los familiares de las víctimas y también deberán participar</w:t>
        <w:br/>
        <w:t>miembros de las más altas autoridades del Estado[160].</w:t>
        <w:br/>
        <w:br/>
        <w:t>c)    Publicación de las partes pertinentes de la Sentencia de la Corte</w:t>
        <w:br/>
        <w:br/>
        <w:t>235.  Asimismo, la Corte estima que como medida de satisfacción, el Estado</w:t>
        <w:br/>
        <w:t>debe publicar en el Diario Oficial y en otro diario de circulación</w:t>
        <w:br/>
        <w:t>nacional, por una sola vez, el capítulo relativo a los hechos probados de</w:t>
        <w:br/>
        <w:t>esta Sentencia, sin las notas al pie de página correspondientes, y la parte</w:t>
        <w:br/>
        <w:t>resolutiva de la misma.</w:t>
        <w:br/>
        <w:br/>
        <w:t>d)    Dar oficialmente el nombre de Rafael Samuel y Emilio Moisés Gómez</w:t>
        <w:br/>
        <w:t>Paquiyauri a un colegio</w:t>
        <w:br/>
        <w:br/>
        <w:t>236.  Además, el Estado debe dar oficialmente el nombre de Rafael Samuel</w:t>
        <w:br/>
        <w:t>Gómez Paquiyauri y Emilio Moisés Gómez Paquiyauri a un centro educativo de</w:t>
        <w:br/>
        <w:t>la provincia de El Callao, mediante una ceremonia pública y en presencia de</w:t>
        <w:br/>
        <w:t>los familiares de las víctimas.  Ello contribuiría a despertar la</w:t>
        <w:br/>
        <w:t>conciencia pública sobre la necesidad de evitar la repetición de hechos</w:t>
        <w:br/>
        <w:t>lesivos como los ocurridos en el presente caso y a conservar viva la</w:t>
        <w:br/>
        <w:t>memoria de las víctimas[161].</w:t>
        <w:br/>
        <w:br/>
        <w:t>e)    Otras formas de reparación a favor de Nora Emely Gómez Peralta</w:t>
        <w:br/>
        <w:br/>
        <w:t>237.  Por otro lado, como medida de satisfacción, el Estado deberá</w:t>
        <w:br/>
        <w:t>establecer una beca de estudios hasta el nivel universitario, a favor de</w:t>
        <w:br/>
        <w:t>Nora Emely Gómez Peralta, la cual incluirá, además, materiales educativos,</w:t>
        <w:br/>
        <w:t>textos de estudio, uniformes y útiles escolares.</w:t>
        <w:br/>
        <w:br/>
        <w:t>238.  Asimismo, el  Estado deberá facilitar la inscripción de Nora Emely</w:t>
        <w:br/>
        <w:t>Gómez Peralta, a solicitud de su madre, Jacinta Peralta Allccarima, como</w:t>
        <w:br/>
        <w:t>hija de Rafael Samuel Gómez Paquiyauri.</w:t>
        <w:br/>
        <w:br/>
        <w:br/>
        <w:t xml:space="preserve">                                     XVI</w:t>
        <w:br/>
        <w:t xml:space="preserve">                               Costas y Gastos</w:t>
        <w:br/>
        <w:br/>
        <w:t>Alegatos de la Comisión</w:t>
        <w:br/>
        <w:br/>
        <w:t>239.  La Comisión solicitó a la Corte que, escuchando a los familiares de</w:t>
        <w:br/>
        <w:t>las víctimas, ordenara al Estado el pago de las costas originadas a nivel</w:t>
        <w:br/>
        <w:t>nacional en la tramitación de los procesos judiciales seguidos en el fuero</w:t>
        <w:br/>
        <w:t>interno, así como las originadas a nivel internacional en la tramitación</w:t>
        <w:br/>
        <w:t>del caso ante la Comisión y las que se originen como consecuencia de la</w:t>
        <w:br/>
        <w:t>tramitación del caso ante la Corte.</w:t>
        <w:br/>
        <w:br/>
        <w:t>Alegatos de la representante de las víctimas y sus familiares</w:t>
        <w:br/>
        <w:br/>
        <w:t>240.  La representante de las víctimas y sus familiares solicitó la</w:t>
        <w:br/>
        <w:t>determinación de una suma por los gastos incurridos con ocasión de la</w:t>
        <w:br/>
        <w:t>búsqueda de justicia y denuncia de los hechos por parte de los familiares</w:t>
        <w:br/>
        <w:t>de Rafael Samuel y Emilio Gómez Paquiyauri.  Asimismo, solicitó la cantidad</w:t>
        <w:br/>
        <w:t>de US$ 367.658,70  (trescientos sesenta y siete mil seiscientos cincuenta y</w:t>
        <w:br/>
        <w:t>ocho dólares de los Estados Unidos de América con setenta centavos), por</w:t>
        <w:br/>
        <w:t>concepto de costas y gastos efectuados a nivel internacional, la cual</w:t>
        <w:br/>
        <w:t>incluye:  los gastos concernientes al período de febrero de 2002 al 8 de</w:t>
        <w:br/>
        <w:t>enero de 2003; gastos incurridos por trámites en Lima, Perú, durante el año</w:t>
        <w:br/>
        <w:t>2002; gastos relativos a la preparación de la audiencia y representaciones</w:t>
        <w:br/>
        <w:t>durante 2003 y 2004; y los gastos de la audiencia pública.</w:t>
        <w:br/>
        <w:br/>
        <w:t>Alegatos del Estado</w:t>
        <w:br/>
        <w:br/>
        <w:t>241.  En relación con las pretensiones sobre reparaciones esgrimidas por la</w:t>
        <w:br/>
        <w:t>Comisión, el Estado manifestó, de manera general, que “asum[e]</w:t>
        <w:br/>
        <w:t>responsabilidad por el delito cometido por [sus] agentes [p]oliciales, y</w:t>
        <w:br/>
        <w:t>que por tanto, solidariamente concurr[e] a reparar los perjuicios que se</w:t>
        <w:br/>
        <w:t>han cometido”.</w:t>
        <w:br/>
        <w:br/>
        <w:t>Consideraciones de la Corte</w:t>
        <w:br/>
        <w:br/>
        <w:t>242.  Como ya lo ha señalado la Corte en oportunidades anteriores[162], las</w:t>
        <w:br/>
        <w:t>costas y gastos están comprendidos dentro del concepto de reparación</w:t>
        <w:br/>
        <w:t>consagrado en el artículo 63.1 de la Convención Americana, en razón de que</w:t>
        <w:br/>
        <w:t>la actividad desplegada por los familiares de las víctimas con el fin de</w:t>
        <w:br/>
        <w:t>obtener justicia, tanto a nivel nacional como internacional, implica</w:t>
        <w:br/>
        <w:t>erogaciones que deben ser compensadas cuando la responsabilidad</w:t>
        <w:br/>
        <w:t>internacional del Estado es declarada mediante una sentencia condenatoria.</w:t>
        <w:br/>
        <w:t>En cuanto a su reembolso, corresponde al Tribunal apreciar prudentemente su</w:t>
        <w:br/>
        <w:t>alcance, que comprende los gastos generados ante las autoridades de la</w:t>
        <w:br/>
        <w:t>jurisdicción interna, así como los generados en el curso del proceso ante</w:t>
        <w:br/>
        <w:t>el sistema interamericano, teniendo en cuenta las circunstancias del caso</w:t>
        <w:br/>
        <w:t>concreto y la naturaleza de la jurisdicción internacional de la protección</w:t>
        <w:br/>
        <w:t>de los derechos humanos.  Esta apreciación puede ser realizada con base en</w:t>
        <w:br/>
        <w:t>el principio de equidad y tomando en cuenta los gastos señalados por las</w:t>
        <w:br/>
        <w:t>partes, siempre que su quantum sea razonable.</w:t>
        <w:br/>
        <w:br/>
        <w:t>243.  La Corte toma en cuenta que los familiares de las víctimas actuaron a</w:t>
        <w:br/>
        <w:t>través de representantes tanto ante la Comisión como ante la Corte. Por</w:t>
        <w:br/>
        <w:t>ello, la Corte estima equitativo ordenar el pago de la cantidad total de</w:t>
        <w:br/>
        <w:t>US$ 30.000,00 (treinta mil dólares de los Estados Unidos de América), la</w:t>
        <w:br/>
        <w:t>cual deberá ser entregada a los señores Ricardo Samuel Gómez Quispe y</w:t>
        <w:br/>
        <w:t>Marcelina Paquiyauri Illanes de Gómez, padres de las víctimas, para</w:t>
        <w:br/>
        <w:t>sufragar las costas y gastos en los procesos internos y en el procedimiento</w:t>
        <w:br/>
        <w:t>internacional ante el sistema interamericana de protección de los derechos</w:t>
        <w:br/>
        <w:t>humanos.</w:t>
        <w:br/>
        <w:br/>
        <w:br/>
        <w:t xml:space="preserve">                                    XVII</w:t>
        <w:br/>
        <w:t xml:space="preserve">                          Modalidad de Cumplimiento</w:t>
        <w:br/>
        <w:br/>
        <w:t>244.  Para dar cumplimiento  a  la  presente  Sentencia,  el  Estado  deberá</w:t>
        <w:br/>
        <w:t>efectuar el pago de las indemnizaciones (supra párrs. 206, 208, 217,  219  y</w:t>
        <w:br/>
        <w:t>220), el reintegro de costas y gastos (supra párr. 243)  y  la  adopción  de</w:t>
        <w:br/>
        <w:t>las medidas ordenadas en los párrafos 234, 235, 236, 237 y 238,  dentro  del</w:t>
        <w:br/>
        <w:t>plazo de un año contado a partir de la notificación de  esta  Sentencia.  En</w:t>
        <w:br/>
        <w:t>el caso de las otras reparaciones ordenadas (supra párrs.  227  a  233),  el</w:t>
        <w:br/>
        <w:t>Estado deberá dar cumplimiento a las medidas dentro de un plazo razonable.</w:t>
        <w:br/>
        <w:br/>
        <w:t>245.  El pago de las indemnizaciones establecidas a favor de las víctimas  o</w:t>
        <w:br/>
        <w:t>de sus familiares, según sea el caso, será hecho directamente a  éstos.   Si</w:t>
        <w:br/>
        <w:t>alguno de ellos hubiere fallecido, el pago se hará a sus herederos.</w:t>
        <w:br/>
        <w:br/>
        <w:t>246.  Los pagos destinados a solventar las costas  y  gastos  generados  por</w:t>
        <w:br/>
        <w:t>las  gestiones  realizadas  por  los  familiares  de  las  víctimas  y   sus</w:t>
        <w:br/>
        <w:t>representantes en el proceso interno y en el proceso internacional  ante  el</w:t>
        <w:br/>
        <w:t>sistema  interamericano  de  protección  de  los  derechos  humanos,   serán</w:t>
        <w:br/>
        <w:t>efectuados a favor de los familiares (supra párr. 243).</w:t>
        <w:br/>
        <w:br/>
        <w:t>247.  Si por causas atribuibles a los beneficiarios de las indemnizaciones</w:t>
        <w:br/>
        <w:t>no fuese posible que éstos las reciban dentro del indicado plazo de un año,</w:t>
        <w:br/>
        <w:t>el Estado consignará dichos montos a favor de los beneficiarios en una</w:t>
        <w:br/>
        <w:t>cuenta o certificado de depósito en una institución bancaria peruana</w:t>
        <w:br/>
        <w:t>solvente, en dólares estadounidenses o su equivalente en moneda peruana y</w:t>
        <w:br/>
        <w:t>en las condiciones financieras más favorables que permitan la legislación y</w:t>
        <w:br/>
        <w:t>la práctica bancaria.  Si al cabo de diez años las indemnizaciones no han</w:t>
        <w:br/>
        <w:t>sido reclamadas, las cantidades serán devueltas, con los intereses</w:t>
        <w:br/>
        <w:t>devengados, al Estado.</w:t>
        <w:br/>
        <w:br/>
        <w:t>248.  En el caso de la indemnización ordenada  en  favor  de  la  niña  Nora</w:t>
        <w:br/>
        <w:t>Emely Gómez  Peralta,  el  Estado  deberá  depositarla  en  una  institución</w:t>
        <w:br/>
        <w:t>peruana solvente, en dólares estadounidenses.  La inversión se  hará  dentro</w:t>
        <w:br/>
        <w:t>del plazo de un año, en  las  condiciones  financieras  más  favorables  que</w:t>
        <w:br/>
        <w:t>permitan la legislación y la práctica bancaria mientras sea menor  de  edad.</w:t>
        <w:br/>
        <w:t>Podrá ser retirado por la beneficiaria cuando alcance la mayoría de  edad  o</w:t>
        <w:br/>
        <w:t>cuando, de acuerdo al interés superior del niño y por determinación  de  una</w:t>
        <w:br/>
        <w:t>autoridad judicial competente, así se disponga.  Si transcurridos diez  años</w:t>
        <w:br/>
        <w:t>contados a partir de la adquisición de la mayoría de edad  no  es  reclamada</w:t>
        <w:br/>
        <w:t>dicha indemnización, la suma será  devuelta  al  Estado  con  los  intereses</w:t>
        <w:br/>
        <w:t>devengados.</w:t>
        <w:br/>
        <w:br/>
        <w:t>249.  El Estado puede cumplir sus obligaciones mediante el pago en dólares</w:t>
        <w:br/>
        <w:t>de los Estados Unidos de América o en una cantidad equivalente en moneda</w:t>
        <w:br/>
        <w:t>peruana, utilizando para el cálculo respectivo el tipo de cambio entre</w:t>
        <w:br/>
        <w:t>ambas monedas que esté vigente en la plaza de Nueva York, Estados Unidos de</w:t>
        <w:br/>
        <w:t>América, el día anterior al pago.</w:t>
        <w:br/>
        <w:br/>
        <w:t>250.  Los pagos ordenados en la presente Sentencia estarán exentos  de  todo</w:t>
        <w:br/>
        <w:t>impuesto actualmente existente o que pueda decretarse en el futuro.</w:t>
        <w:br/>
        <w:br/>
        <w:t>251.  En caso de que el Estado incurra en mora, pagará un interés  sobre  el</w:t>
        <w:br/>
        <w:t>monto adeudado, correspondiente al interés bancario moratorio en el Perú.</w:t>
        <w:br/>
        <w:br/>
        <w:t>252.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e íntegro cumplimiento a lo dispuesto en el  fallo.   Dentro</w:t>
        <w:br/>
        <w:t>del plazo de un año a partir  de  la  notificación  de  esta  Sentencia,  el</w:t>
        <w:br/>
        <w:t>Estado deberá rendir a la Corte un primer informe sobre las medidas  tomadas</w:t>
        <w:br/>
        <w:t>para darle cumplimiento a esta Sentencia.</w:t>
        <w:br/>
        <w:br/>
        <w:br/>
        <w:t xml:space="preserve">                                    XVIII</w:t>
        <w:br/>
        <w:t xml:space="preserve">                             Puntos Resolutivos</w:t>
        <w:br/>
        <w:br/>
        <w:t>253.  Por tanto,</w:t>
        <w:br/>
        <w:br/>
        <w:t xml:space="preserve">      LA CORTE,</w:t>
        <w:br/>
        <w:br/>
        <w:t>DECLARA QUE:</w:t>
        <w:br/>
        <w:br/>
        <w:t>Por unanimidad,</w:t>
        <w:br/>
        <w:br/>
        <w:t>1.    el Estado violó el Derecho a la Vida consagrado en el artículo 4.1 de</w:t>
        <w:br/>
        <w:t>la Convención Americana sobre Derechos Humanos, en relación con el artículo</w:t>
        <w:br/>
        <w:t>1.1 de la misma, en perjuicio de Rafael Samuel y Emilio Moisés Gómez</w:t>
        <w:br/>
        <w:t>Paquiyauri, en los términos de los párrafos 124 a 133 de la presente</w:t>
        <w:br/>
        <w:t>Sentencia.</w:t>
        <w:br/>
        <w:br/>
        <w:t>Por unanimidad,</w:t>
        <w:br/>
        <w:br/>
        <w:t>2.    el Estado violó el Derecho a la Libertad  Personal  consagrado  en  el</w:t>
        <w:br/>
        <w:t>artículo 7 de la Convención Americana sobre Derechos  Humanos,  en  relación</w:t>
        <w:br/>
        <w:t>con el artículo 1.1 de la misma, en perjuicio  de  Rafael  Samuel  y  Emilio</w:t>
        <w:br/>
        <w:t>Moisés Gómez Paquiyauri, en los términos de los párrafos  81  a  100  de  la</w:t>
        <w:br/>
        <w:t>presente Sentencia.</w:t>
        <w:br/>
        <w:br/>
        <w:t>Por unanimidad,</w:t>
        <w:br/>
        <w:br/>
        <w:t>3.    el Estado violó el Derecho a la Integridad Personal consagrado en el</w:t>
        <w:br/>
        <w:t>artículo 5 de la Convención Americana sobre Derechos Humanos, en relación</w:t>
        <w:br/>
        <w:t>con el artículo 1.1. de la misma, y las obligaciones previstas en los</w:t>
        <w:br/>
        <w:t>artículos 1, 6 y 9 de la Convención Interamericana para Prevenir y</w:t>
        <w:br/>
        <w:t>Sancionar la Tortura, en perjuicio de Rafael Samuel y Emilio Moisés Gómez</w:t>
        <w:br/>
        <w:t>Paquiyauri. Asimismo, el Estado violó el artículo 5 de la Convención</w:t>
        <w:br/>
        <w:t>Americana sobre Derechos Humanos, en relación con el artículo 1.1. de la</w:t>
        <w:br/>
        <w:t>misma, en perjuicio de Marcelina Paquiyauri Illanes de Gómez, Ricardo</w:t>
        <w:br/>
        <w:t>Samuel Gómez Quispe, Marcelina Haydée Gómez Paquiyauri, Ricardo Emilio</w:t>
        <w:br/>
        <w:t>Gómez Paquiyauri, Carlos Pedro Gómez Paquiyauri, Lucy Rosa Gómez</w:t>
        <w:br/>
        <w:t>Paquiyauri, Miguel Ángel Gómez Paquiyauri y Jacinta Peralta Allccarima, en</w:t>
        <w:br/>
        <w:t>los términos de los párrafos 106 a 119 de la presente Sentencia.</w:t>
        <w:br/>
        <w:br/>
        <w:t>Por seis votos contra uno,</w:t>
        <w:br/>
        <w:br/>
        <w:t>4.    el Estado violó los Derechos a las Garantías Judiciales y a la</w:t>
        <w:br/>
        <w:t>Protección Judicial consagrados en los artículos 8 y 25, respectivamente,</w:t>
        <w:br/>
        <w:t>de la Convención Americana sobre Derechos Humanos, en relación con el</w:t>
        <w:br/>
        <w:t>artículo 1.1. de la misma, en perjuicio de Rafael Samuel y Emilio Moisés</w:t>
        <w:br/>
        <w:t>Gómez Paquiyauri, Ricardo Samuel Gómez Quispe, Marcelina Paquiyauri Illanes</w:t>
        <w:br/>
        <w:t>de Gómez, Ricardo Emilio Gómez Paquiyauri, Carlos Pedro Gómez Paquiyauri,</w:t>
        <w:br/>
        <w:t>Marcelina Haydeé Gómez Paquiyauri, Lucy Rosa Gómez Paquiyauri, y Miguel</w:t>
        <w:br/>
        <w:t>Ángel Gómez Paquiyauri, en los términos de los párrafos 140 a 156 de la</w:t>
        <w:br/>
        <w:t>presente Sentencia.</w:t>
        <w:br/>
        <w:br/>
        <w:t>Parcialmente disidente la Jueza Medina Quiroga.</w:t>
        <w:br/>
        <w:br/>
        <w:t>Por unanimidad,</w:t>
        <w:br/>
        <w:br/>
        <w:t>5.    el Estado violó las obligaciones previstas en el artículo 8 de la</w:t>
        <w:br/>
        <w:t>Convención Interamericana para Prevenir y Sancionar la Tortura, en</w:t>
        <w:br/>
        <w:t>perjuicio de Rafael Samuel y Emilio Moisés Gómez Paquiyauri, en los</w:t>
        <w:br/>
        <w:t>términos de los párrafos 153 a 156 de la presente Sentencia.</w:t>
        <w:br/>
        <w:br/>
        <w:t>Por unanimidad,</w:t>
        <w:br/>
        <w:br/>
        <w:t>6.    el Estado violó el artículo 19 de la Convención Americana sobre</w:t>
        <w:br/>
        <w:t>Derechos Humanos, en relación con el artículo 1.1 de la misma, en perjuicio</w:t>
        <w:br/>
        <w:t>de Rafael Samuel y Emilio Moisés Gómez Paquiyauri en los términos de los</w:t>
        <w:br/>
        <w:t>párrafos 161 a 173 de la presente Sentencia.</w:t>
        <w:br/>
        <w:br/>
        <w:t>Por unanimidad,</w:t>
        <w:br/>
        <w:br/>
        <w:t>7.    el Estado violó el artículo 11 de la Convención Americana sobre</w:t>
        <w:br/>
        <w:t>Derechos Humanos, en relación con el artículo 1.1. de la misma, en</w:t>
        <w:br/>
        <w:t>perjuicio de los miembros de la familia de Rafael Samuel Gómez Paquiyauri y</w:t>
        <w:br/>
        <w:t>Emilio Mosiés Gómez Paquiyauri, mencionados en los párrafos 67.t y 67.u de</w:t>
        <w:br/>
        <w:t>este fallo, en los términos de los párrafos 178 a 182 de la presente</w:t>
        <w:br/>
        <w:t>Sentencia.</w:t>
        <w:br/>
        <w:br/>
        <w:t>Por unanimidad,</w:t>
        <w:br/>
        <w:br/>
        <w:t>8.    esta Sentencia constituye per se una forma de reparación, en los</w:t>
        <w:br/>
        <w:t>términos del párrafo 215 de la presente Sentencia.</w:t>
        <w:br/>
        <w:br/>
        <w:br/>
        <w:t>Y, POR UNANIMIDAD, DISPONE QUE:</w:t>
        <w:br/>
        <w:br/>
        <w:t>9.    El Estado debe, en un plazo razonable,  investigar  efectivamente  los</w:t>
        <w:br/>
        <w:t>hechos del presente caso, con el fin de identificar, juzgar  y  sancionar  a</w:t>
        <w:br/>
        <w:t>todos los autores de  las  violaciones  cometidas  en  perjuicio  de  Rafael</w:t>
        <w:br/>
        <w:t>Samuel y Emilio Moisés Gómez  Paquiyauri.   El  resultado  de  este  proceso</w:t>
        <w:br/>
        <w:t>deberá ser públicamente divulgado, en los términos de  los  párrafos  227  a</w:t>
        <w:br/>
        <w:t>233 de la presente Sentencia.</w:t>
        <w:br/>
        <w:br/>
        <w:t>10.   El Estado debe realizar  un  acto  público  de  reconocimiento  de  su</w:t>
        <w:br/>
        <w:t>responsabilidad en relación con los hechos de este caso y de  desagravio  de</w:t>
        <w:br/>
        <w:t>las víctimas, en los términos del párrafo 234 de la presente Sentencia.</w:t>
        <w:br/>
        <w:br/>
        <w:t>11.   El Estado deberá publicar en el Diario Oficial y  en  otro  diario  de</w:t>
        <w:br/>
        <w:t>circulación nacional, por una sola vez, el capítulo relativo  a  los  hechos</w:t>
        <w:br/>
        <w:t>probados  de  esta   Sentencia,   sin   las   notas   al   pie   de   página</w:t>
        <w:br/>
        <w:t>correspondientes, y la parte resolutiva de la misma,  en  los  términos  del</w:t>
        <w:br/>
        <w:t>párrafo 235 de la presente Sentencia.</w:t>
        <w:br/>
        <w:br/>
        <w:t>12.   El Estado debe dar oficialmente  el  nombre  de  Rafael  Samuel  Gómez</w:t>
        <w:br/>
        <w:t>Paquiyauri y Emilio Moisés Gómez Paquiyauri a  un  centro  educativo  de  la</w:t>
        <w:br/>
        <w:t>provincia de El Callao, mediante una ceremonia pública  y  en  presencia  de</w:t>
        <w:br/>
        <w:t>los familiares de las víctimas, en  los  términos  del  párrafo  236  de  la</w:t>
        <w:br/>
        <w:t>presente Sentencia.</w:t>
        <w:br/>
        <w:br/>
        <w:t>13.   El Estado deberá establecer  una  beca  de  estudios  hasta  el  nivel</w:t>
        <w:br/>
        <w:t>universitario,  a  favor  de  Nora  Emely  Gómez  Peralta  y  facilitar   su</w:t>
        <w:br/>
        <w:t>inscripción como hija de Rafael Samuel Gómez Paquiyauri, en los términos  de</w:t>
        <w:br/>
        <w:t>los párrafos 237 y 238 de la presente Sentencia.</w:t>
        <w:br/>
        <w:br/>
        <w:t>14.   El Estado debe pagar la cantidad total  de  US$240.500,00  (doscientos</w:t>
        <w:br/>
        <w:t>cuarenta mil quinientos dólares de los  Estados  Unidos  de  América)  o  su</w:t>
        <w:br/>
        <w:t>equivalente en moneda  peruana,  por  concepto  de  daño  material,  en  los</w:t>
        <w:br/>
        <w:t>términos  de  los  párrafos  206,  208  y  210  de  la  presente  Sentencia,</w:t>
        <w:br/>
        <w:t>distribuida de la siguiente manera:</w:t>
        <w:br/>
        <w:br/>
        <w:t xml:space="preserve">      a)    a Ricardo Samuel Gómez Quispe y Marcelina Paquiyauri Illanes  de</w:t>
        <w:br/>
        <w:t xml:space="preserve">      Gómez, en su condición de padres de Emilio Moisés Gómez Paquiyauri, la</w:t>
        <w:br/>
        <w:t xml:space="preserve">      cantidad de US$ 100.000,00 (cien mil dólares de los Estados Unidos  de</w:t>
        <w:br/>
        <w:t xml:space="preserve">      América) o su equivalente en moneda peruana, en los  términos  de  los</w:t>
        <w:br/>
        <w:t xml:space="preserve">      párrafo 206 y 199 de la presente Sentencia;</w:t>
        <w:br/>
        <w:br/>
        <w:br/>
        <w:t xml:space="preserve">      b)    a Ricardo Samuel Gómez Quispe y Marcelina Paquiyauri Illanes  de</w:t>
        <w:br/>
        <w:t xml:space="preserve">      Gómez, en su condición de padres de Rafael Samuel Gómez Paquiyauri;  y</w:t>
        <w:br/>
        <w:t xml:space="preserve">      a Nora Emely Gómez Peralta, en su condición de hija de  Rafael  Samuel</w:t>
        <w:br/>
        <w:t xml:space="preserve">      Gómez Paquiyauri, la cantidad de US$ 100.000,00 (cien mil  dólares  de</w:t>
        <w:br/>
        <w:t xml:space="preserve">      los Estados Unidos de América) o su equivalente en moneda peruana,  en</w:t>
        <w:br/>
        <w:t xml:space="preserve">      los términos de los párrafos 206 y 200 de la presente Sentencia; y</w:t>
        <w:br/>
        <w:br/>
        <w:br/>
        <w:t xml:space="preserve">      c)    a Ricardo Samuel Gómez Quispe y Marcelina Paquiyauri Illanes  de</w:t>
        <w:br/>
        <w:t xml:space="preserve">      Gómez, la cantidad de US$ 40.500,00 (cuarenta mil  quinientos  dólares</w:t>
        <w:br/>
        <w:t xml:space="preserve">      de los Estados Unidos de América) o su equivalente en moneda  peruana,</w:t>
        <w:br/>
        <w:t xml:space="preserve">      en los términos del párrafo 208 de la presente Sentencia.</w:t>
        <w:br/>
        <w:br/>
        <w:br/>
        <w:t>15.   El Estado debe pagar la  cantidad  de  US$500.000,00  (quinientos  mil</w:t>
        <w:br/>
        <w:t>dólares de los Estados  Unidos  de  América)  o  su  equivalente  en  moneda</w:t>
        <w:br/>
        <w:t>peruana, por concepto de indemnización del daño inmaterial, en los  términos</w:t>
        <w:br/>
        <w:t>de los párrafos 217, 219 y 220 de la presente Sentencia, distribuida  de  la</w:t>
        <w:br/>
        <w:t>siguiente manera:</w:t>
        <w:br/>
        <w:br/>
        <w:t xml:space="preserve">      a)    a Ricardo Samuel Gómez Quispe y Marcelina Paquiyauri Illanes  de</w:t>
        <w:br/>
        <w:t xml:space="preserve">      Gómez, en su condición de padres de Emilio Moisés Gómez Paquiyauri, la</w:t>
        <w:br/>
        <w:t xml:space="preserve">      cantidad de US$ 100.000,00 (cien mil dólares de los Estados Unidos  de</w:t>
        <w:br/>
        <w:t xml:space="preserve">      América) o su equivalente en moneda peruana, en los  términos  de  los</w:t>
        <w:br/>
        <w:t xml:space="preserve">      párrafos 217 y 199 de la presente Sentencia;</w:t>
        <w:br/>
        <w:br/>
        <w:br/>
        <w:t xml:space="preserve">      b)    a Ricardo Samuel Gómez Quispe y Marcelina Paquiyauri Illanes  de</w:t>
        <w:br/>
        <w:t xml:space="preserve">      Gómez, en su condición de padres de Rafael Samuel Gómez Paquiyauri;  y</w:t>
        <w:br/>
        <w:t xml:space="preserve">      a Nora Emely Gómez Peralta, en su condición de hija de  Rafael  Samuel</w:t>
        <w:br/>
        <w:t xml:space="preserve">      Gómez Paquiyauri, la cantidad de US$ 100.000,00 (cien mil  dólares  de</w:t>
        <w:br/>
        <w:t xml:space="preserve">      los Estados Unidos de América) o su equivalente en moneda peruana,  en</w:t>
        <w:br/>
        <w:t xml:space="preserve">      los términos de los párrafos 217 y 200 de la presente Sentencia;</w:t>
        <w:br/>
        <w:br/>
        <w:br/>
        <w:t xml:space="preserve">      c)    a Ricardo Samuel Gómez Quispe y Marcelina Paquiyauri Illanes  de</w:t>
        <w:br/>
        <w:t xml:space="preserve">      Gómez, la cantidad de US$ 200.000,00 (doscientos mil  dólares  de  los</w:t>
        <w:br/>
        <w:t xml:space="preserve">      Estados Unidos de América) o su equivalente en moneda peruana, en  los</w:t>
        <w:br/>
        <w:t xml:space="preserve">      términos del párrafo 219 de la presente Sentencia;</w:t>
        <w:br/>
        <w:br/>
        <w:br/>
        <w:t xml:space="preserve">      d)    a Jacinta Peralta  Allccarima,  la  cantidad  de  US$  40.000,00</w:t>
        <w:br/>
        <w:t xml:space="preserve">      (cuarenta  mil  dólares  de  los  Estados  Unidos  de  América)  o  su</w:t>
        <w:br/>
        <w:t xml:space="preserve">      equivalente en moneda peruana, en los términos del párrafo 220  de  la</w:t>
        <w:br/>
        <w:t xml:space="preserve">      presente Sentencia; y</w:t>
        <w:br/>
        <w:br/>
        <w:br/>
        <w:t xml:space="preserve">      e)    a Nora  Emely  Gómez  Peralta,  la  cantidad  de  US$  60.000,00</w:t>
        <w:br/>
        <w:t xml:space="preserve">      (sesenta  mil  dólares  de  los  Estados  Unidos  de  América)  o   su</w:t>
        <w:br/>
        <w:t xml:space="preserve">      equivalente en moneda peruana, en los términos del párrafo 220  de  la</w:t>
        <w:br/>
        <w:t xml:space="preserve">      presente Sentencia.</w:t>
        <w:br/>
        <w:br/>
        <w:t>16.   El Estado deberá  pagar  la  cantidad  de  US$30.000,00  (treinta  mil</w:t>
        <w:br/>
        <w:t>dólares de los Estados  Unidos  de  América)  o  su  equivalente  en  moneda</w:t>
        <w:br/>
        <w:t>peruana, la cual deberá ser entregada a los  señores  Ricardo  Samuel  Gómez</w:t>
        <w:br/>
        <w:t>Quispe y Marcelina Paquiyauri Illanes de Gómez, por  concepto  de  gastos  y</w:t>
        <w:br/>
        <w:t>costas en el proceso interno y en el  procedimiento  internacional  ante  el</w:t>
        <w:br/>
        <w:t>sistema interamericano  de  protección  de  los  derechos  humanos,  en  los</w:t>
        <w:br/>
        <w:t>términos del párrafo 243 de la presente Sentencia.</w:t>
        <w:br/>
        <w:br/>
        <w:t>17.   El Estado deberá consignar la indemnización ordenada  a  favor  de  la</w:t>
        <w:br/>
        <w:t>niña Nora Emely Gómez Peralta en una inversión bancaria a nombre de ésta  en</w:t>
        <w:br/>
        <w:t>una institución peruana solvente, en  dólares  estadounidenses,  dentro  del</w:t>
        <w:br/>
        <w:t>plazo de un  año  y  en  las  condiciones  financieras  más  favorables  que</w:t>
        <w:br/>
        <w:t>permitan la legislación y la práctica bancaria mientras sea menor  de  edad,</w:t>
        <w:br/>
        <w:t>en los términos del párrafo 248 de la presente Sentencia.</w:t>
        <w:br/>
        <w:br/>
        <w:t>18.   El Estado debe pagar la cantidad total de  la  indemnización  ordenada</w:t>
        <w:br/>
        <w:t>por  concepto  de  daño  material,  daño   inmaterial,   costas   y   gastos</w:t>
        <w:br/>
        <w:t>establecidos en la presente Sentencia, sin que ninguno de los rubros que  la</w:t>
        <w:br/>
        <w:t>componen  pueda  ser  objeto  de  impuesto,  gravamen  o  tasa   actualmente</w:t>
        <w:br/>
        <w:t>existente o que pudiera decretarse en el futuro.</w:t>
        <w:br/>
        <w:br/>
        <w:t>19.   El Estado deberá cumplir las medidas de reparación y de  reembolso  de</w:t>
        <w:br/>
        <w:t>gastos dispuestas en  los  puntos  resolutivos  10  al  17  de  la  presente</w:t>
        <w:br/>
        <w:t>Sentencia dentro del plazo de un año, contado a partir  de  la  notificación</w:t>
        <w:br/>
        <w:t>de ésta, en los términos del párrafo 244 de la presente Sentencia.</w:t>
        <w:br/>
        <w:br/>
        <w:t>20.   En caso de que el Estado incurriese en mora, deberá pagar  un  interés</w:t>
        <w:br/>
        <w:t>sobre la cantidad adeudada que corresponderá al interés  bancario  moratorio</w:t>
        <w:br/>
        <w:t>en el Perú, en los términos del párrafo 251 de la presente Sentencia.</w:t>
        <w:br/>
        <w:br/>
        <w:t>21.   Si por causas atribuibles a los beneficiarios de  las  indemnizaciones</w:t>
        <w:br/>
        <w:t>no fuese posible que éstos las reciban dentro del indicado plazo de un  año,</w:t>
        <w:br/>
        <w:t>contado a partir de la notificación de  la  presente  Sentencia,  el  Estado</w:t>
        <w:br/>
        <w:t>consignará dichos montos a favor  de  los  beneficiarios  en  una  cuenta  o</w:t>
        <w:br/>
        <w:t>certificado de depósito de una institución  bancaria  peruana  solvente,  en</w:t>
        <w:br/>
        <w:t>los términos del párrafo 247 de la presente Sentencia.</w:t>
        <w:br/>
        <w:br/>
        <w:t>22.   La Corte supervisará el cumplimiento de  esta  Sentencia  y  dará  por</w:t>
        <w:br/>
        <w:t>concluido el presente caso una vez que el Estado haya dado cabal  aplicación</w:t>
        <w:br/>
        <w:t>a lo dispuesto en la misma.  Dentro del plazo de un año contado a partir  de</w:t>
        <w:br/>
        <w:t>la notificación de esta Sentencia, el Estado deberá rendir  a  la  Corte  un</w:t>
        <w:br/>
        <w:t>informe sobre las medidas tomadas para darle cumplimiento, en  los  términos</w:t>
        <w:br/>
        <w:t>del párrafo 252 de la misma.</w:t>
        <w:br/>
        <w:br/>
        <w:t>El Juez Cançado Trindade hizo conocer a la Corte su Voto Razonado, la  Jueza</w:t>
        <w:br/>
        <w:t>Medina Quiroga hizo conocer a la Corte su Voto Parcialmente Disidente  y  el</w:t>
        <w:br/>
        <w:t>Juez Eguiguren Praeli hizo conocer a la Corte su Voto Razonado,  los  cuales</w:t>
        <w:br/>
        <w:t>acompañan a la presente sentencia.</w:t>
        <w:br/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|Sergio García Ramírez                                               |</w:t>
        <w:br/>
        <w:t>|Presidente                         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|Alirio Abreu Burelli             |Oliver Jackman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|Antônio A. Cançado Trindade      |Cecilia Medina Quiroga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|Manuel E. Ventura Robles         |Francisco José Eguiguren Praeli  |</w:t>
        <w:br/>
        <w:t>|                                 |Juez ad hoc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|Pablo Saavedra Alessandri                                           |</w:t>
        <w:br/>
        <w:t>|Secretario                                                          |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|Sergio García Ramírez            |</w:t>
        <w:br/>
        <w:t>|                                 |Presidente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|Pablo Saavedra Alessandri        |                                 |</w:t>
        <w:br/>
        <w:t>|Secretario                       |                                 |</w:t>
        <w:br/>
        <w:br/>
        <w:br/>
        <w:t>VOTO RAZONADO DEL JUEZ A.A. CANÇADO TRINDADE</w:t>
        <w:br/>
        <w:br/>
        <w:br/>
        <w:br/>
        <w:br/>
        <w:t>1.    He concurrido con mi voto  a  favor  de  la  adopción,  por  la  Corte</w:t>
        <w:br/>
        <w:t>Interamericana de Derechos Humanos, de la presente Sentencia en el  caso  de</w:t>
        <w:br/>
        <w:t>los Hermanos Gómez Paquiyauri versus Perú. Las cuestiones planteadas por  el</w:t>
        <w:br/>
        <w:t>cas d'espèce y tratadas por la Corte en la Sentencia que  viene  de  adoptar</w:t>
        <w:br/>
        <w:t>me han suscitado algunas  reflexiones,  que  me  veo  en  la  obligación  de</w:t>
        <w:br/>
        <w:t>consignar en este Voto Razonado,  como  fundamentación  de  mi  posición  al</w:t>
        <w:br/>
        <w:t>respecto. Me referiré,  en  particular,  a  los  siguientes  puntos:  a)  la</w:t>
        <w:br/>
        <w:t>trágica vulnerabilidad de la condición humana, tal como se desprende de  los</w:t>
        <w:br/>
        <w:t>hechos del  presente  caso;  b)  la  determinación  del  surgimiento  de  la</w:t>
        <w:br/>
        <w:t>responsabilidad  internacional  del  Estado;  c)  la  interacción  entre  el</w:t>
        <w:br/>
        <w:t>derecho internacional y  el  derecho  interno  en  el  presente  dominio  de</w:t>
        <w:br/>
        <w:t>protección, transcendiendo el llamado "principio de la  subsidiariedad";  d)</w:t>
        <w:br/>
        <w:t>la  emancipación  del  individuo  vis-à-vis  su   propio   Estado;   e)   la</w:t>
        <w:br/>
        <w:t>implementación  de  la  responsabilidad   internacional   del   Estado   por</w:t>
        <w:br/>
        <w:t>iniciativa del individuo como sujeto del  derecho  internacional;  y  f)  el</w:t>
        <w:br/>
        <w:t>derecho imperativo (jus cogens) y la  determinación  de  la  responsabilidad</w:t>
        <w:br/>
        <w:t>internacional agravada del Estado.</w:t>
        <w:br/>
        <w:br/>
        <w:br/>
        <w:t xml:space="preserve">      I.    La Trágica Vulnerabilidad de la Condición Humana.</w:t>
        <w:br/>
        <w:br/>
        <w:br/>
        <w:t>2.    Los hechos del presente caso traen a colación  ante  esta  Corte,  una</w:t>
        <w:br/>
        <w:t>vez más, la cuestión recurrente de la vulnerabilidad e  inseguridad  propias</w:t>
        <w:br/>
        <w:t>de la condición humana. La  inevitabilidad  del  sufrimiento  humano  parece</w:t>
        <w:br/>
        <w:t>demonstrada a lo largo de los siglos, y la frágil condición humana  ha  sido</w:t>
        <w:br/>
        <w:t>siempre objeto de reflexión,  inclusive  en  nuestros  tiempos[163].  De  la</w:t>
        <w:br/>
        <w:t>época de Ésquilo, Sófocles y Eurípides a  nuestros  días,  la  perennidad  y</w:t>
        <w:br/>
        <w:t>actualidad de la tragedia se han hecho manifiestas en la vida de millones  y</w:t>
        <w:br/>
        <w:t>millones de seres humanos de sucesivas generaciones.  Es  difícil  encontrar</w:t>
        <w:br/>
        <w:t>quien no la haya de algún modo experimentado o de ella  tenido  noticia.  La</w:t>
        <w:br/>
        <w:t>tragedia, hoy día como  en  el  siglo  V  a.C.,  encuéntrase  cotidianamente</w:t>
        <w:br/>
        <w:t>presente en el cotidiano  de  millones  de  seres  humanos,  de  lo  que  da</w:t>
        <w:br/>
        <w:t>testimonio el ejemplo de los hechos del presente caso de los Hermanos  Gómez</w:t>
        <w:br/>
        <w:t>Paquiyauri, víctimas de la brutalidad humana como tantas otras,  de  quienes</w:t>
        <w:br/>
        <w:t>uno ni siquiera tiene noticia, en todas partes, a lo largo de  los  tiempos.</w:t>
        <w:br/>
        <w:br/>
        <w:br/>
        <w:t>3.    En el presente caso de los Hermanos Gómez  Paquiyauri,  coinciden  los</w:t>
        <w:br/>
        <w:t>testimonios,  prestados  ante  esta  Corte  y  constantes  de  la   presente</w:t>
        <w:br/>
        <w:t>Sentencia, de los familiares inmediatos de las  dos  víctimas,  en  que,  al</w:t>
        <w:br/>
        <w:t>encontrar sus cuerpos en la morgue, con un letrero  de  "no  identificados",</w:t>
        <w:br/>
        <w:t>estaban ambos mojados, sucios, llenos de tierra y sangre en las  ropas,  con</w:t>
        <w:br/>
        <w:t>una expresión de "dolor horrible", y con  sus  rostros  destrozados;  tenían</w:t>
        <w:br/>
        <w:t>ambos hermanos muertos  sus  ojos  vaciados,  con  masa  encefálica  en  sus</w:t>
        <w:br/>
        <w:t>cabellos; el dedo pulgar  de  uno  de  ellos  (Rafael)  había  sido  volado,</w:t>
        <w:br/>
        <w:t>estando las palmas de las manos huecas, como  si  lo  hubieran  quemado;  el</w:t>
        <w:br/>
        <w:t>otro hermano muerto (Emilio) tenía su boca  entreabierta,  con  sus  dientes</w:t>
        <w:br/>
        <w:t>llenos de tierra. Uno de  los  hermanos  sobrevivientes  (Sr.  Miguel  Ángel</w:t>
        <w:br/>
        <w:t>Gómez Paquiyauri) afirmó  ante  la  Corte  Interamericana  que  "no  ten[ía]</w:t>
        <w:br/>
        <w:t>palabras para describir" lo que vió.  El  padre  de  los  dos  jóvenes  (Sr.</w:t>
        <w:br/>
        <w:t>Ricardo Samuel Gómez Paquiyauri) agregó que "sus hijos, de  14  y  17  años,</w:t>
        <w:br/>
        <w:t>fueron cruelmente torturados y asesinados"[164].</w:t>
        <w:br/>
        <w:br/>
        <w:t>4.    En su  testimonio  ante  la  Corte  Interamericana,  en  la  audiencia</w:t>
        <w:br/>
        <w:t>pública del día 05  de  mayo  de  2004,  la  madre  de  los  hermanos  Gómez</w:t>
        <w:br/>
        <w:t>Paquiyauri (Sra. Marcelina Paquiyauri Illanes  de  Gómez)  declaró  que,  al</w:t>
        <w:br/>
        <w:t>llegar a la morgue para identificar los cuerpos de sus dos hijos,</w:t>
        <w:br/>
        <w:br/>
        <w:t xml:space="preserve">            "cuando ingresamos [en] la sala, en una mesa, que más parecía de</w:t>
        <w:br/>
        <w:t xml:space="preserve">      lata, (...) estaban mis hijos, Rafael y Emilio, atravesados,  pero  no</w:t>
        <w:br/>
        <w:t xml:space="preserve">      como los dejé, sanos, sonriendo, alegres, sino destrozados su  carita,</w:t>
        <w:br/>
        <w:t xml:space="preserve">      los habían volado uno de la vista y el otro estaba moreteado;  Emilio,</w:t>
        <w:br/>
        <w:t xml:space="preserve">      su boca entreabierta, sus  dientes  llenos  de  tierra,  su  ropa  con</w:t>
        <w:br/>
        <w:t xml:space="preserve">      tierra, mojados (...). De igual manera Rafael, estaba igual, a  Rafael</w:t>
        <w:br/>
        <w:t xml:space="preserve">      le faltaba la vista, su dedo pulgar había sido volado (...).  No  supe</w:t>
        <w:br/>
        <w:t xml:space="preserve">      qué hacer, pero al mirar en [el] pecho de  Rafael  había  un  papel  o</w:t>
        <w:br/>
        <w:t xml:space="preserve">      trapo blanco que decía `aproximadamente 27  años,  [no  identificado],</w:t>
        <w:br/>
        <w:t xml:space="preserve">      llegó cadáver'; de Emilio también decía `aproximadamente 24  años,  no</w:t>
        <w:br/>
        <w:t xml:space="preserve">      identificado, llegó cadáver'. Yo me desesperé, (...) comencé a  gritar</w:t>
        <w:br/>
        <w:t xml:space="preserve">      porqué le[s] ponían esa edad, porqué hay que ser,  la  vista  es  para</w:t>
        <w:br/>
        <w:t xml:space="preserve">      ver, distinguimos lo que es mayor, lo que es menor, ahí se veían niños</w:t>
        <w:br/>
        <w:t xml:space="preserve">      y le[s] ponían esa edad. (...) Entonces (...) grité, ¿cómo es  posible</w:t>
        <w:br/>
        <w:t xml:space="preserve">      que le[s] pongan esa edad, sabiendo  que  son  niños?  (...)  Entonces</w:t>
        <w:br/>
        <w:t xml:space="preserve">      (...) comencé a llorar y a decir porqué le[s] habían puesto esa  edad,</w:t>
        <w:br/>
        <w:t xml:space="preserve">      ni respeto tienen porque [son] niños (...)"[165].</w:t>
        <w:br/>
        <w:br/>
        <w:t>5.     A  su  vez,  la  hermana  de  las  víctimas  (Sra.  Lucy  Rosa  Gómez</w:t>
        <w:br/>
        <w:t>Paquiyauri), en su testimonio ante  la  Corte  del  mismo  día  05  de  mayo</w:t>
        <w:br/>
        <w:t>último, declaró  que,  al  encontrar  los  cadáveres  descompuestos  de  sus</w:t>
        <w:br/>
        <w:t>hermanos en la morgue,</w:t>
        <w:br/>
        <w:br/>
        <w:t xml:space="preserve">            "no podía creer lo que veían mis ojos. (...)  Para  mí  fue  muy</w:t>
        <w:br/>
        <w:t xml:space="preserve">      chocante, (...) no puedo describir con palabras lo que  sentí  en  ese</w:t>
        <w:br/>
        <w:t xml:space="preserve">      momento, sentí que mi vida se caía en pedazos. (...) Cualquier persona</w:t>
        <w:br/>
        <w:t xml:space="preserve">      ignorante podía darse cuenta que mis hermanos eran unos niños; lo  que</w:t>
        <w:br/>
        <w:t xml:space="preserve">      hicieron con mis hermanos no tiene nombre, eran niños, no tenían  nada</w:t>
        <w:br/>
        <w:t xml:space="preserve">      que ver con lo que había sucedido (...).</w:t>
        <w:br/>
        <w:t xml:space="preserve">            (...) Nosotros tenemos derecho a la verdad, a  que  se  sepa  la</w:t>
        <w:br/>
        <w:t xml:space="preserve">      verdad (...). ¿Acaso nosotros no tenemos derecho  a  reclamar  por  la</w:t>
        <w:br/>
        <w:t xml:space="preserve">      vida de mis hermanos? Yo amaba a mis hermanos, no hay día en  mi  vida</w:t>
        <w:br/>
        <w:t xml:space="preserve">      que nos los recuerde, no hay día en mi vida que  no  estén  presentes,</w:t>
        <w:br/>
        <w:t xml:space="preserve">      ellos eran todo para mí; (...) jamás antes que de que  sucediera  esto</w:t>
        <w:br/>
        <w:t xml:space="preserve">      me sentí sóla, jamás; ellos siempre estaban a mi lado. (...). Por  más</w:t>
        <w:br/>
        <w:t xml:space="preserve">      años que pasen, siempre me van a hacer falta, siempre voy a sentir  su</w:t>
        <w:br/>
        <w:t xml:space="preserve">      ausencia. Nosotros queremos que se conozca  la  verdad,  queremos  que</w:t>
        <w:br/>
        <w:t xml:space="preserve">      esto que sucedió con mi familia, que sucedió  con  mis  hermanos,  los</w:t>
        <w:br/>
        <w:t xml:space="preserve">      abusos cometidos contra ellos no se vuelvan a repetir"[166].</w:t>
        <w:br/>
        <w:br/>
        <w:t>6.     Nada  será  como  antes.  Los  sobrevivientes  de  la  familia  Gómez</w:t>
        <w:br/>
        <w:t>Paquiyauri tienen hoy  el  recuerdo  del  paraíso  perdido.  Juntamente  con</w:t>
        <w:br/>
        <w:t>Rafael y Emilio, brutalmente arrancados de este mundo  por  sus  semejantes,</w:t>
        <w:br/>
        <w:t>también se fue la felicidad irrecuperable de la  vida  familiar  sencilla  y</w:t>
        <w:br/>
        <w:t>armónica. El espacio vacío  fue  ocupado  por  un  sentimiento  de  profunda</w:t>
        <w:br/>
        <w:t>tristeza y rebeldía, con su efecto corrosivo. Los daños sufridos y  narrados</w:t>
        <w:br/>
        <w:t>por los familiares inmediatos de los dos  jóvenes  hermanos  asesinados  son</w:t>
        <w:br/>
        <w:t>verdaderamente irreparables, y las reparaciones ordenadas por  la  Corte  en</w:t>
        <w:br/>
        <w:t>la presente  Sentencia  pueden  tan  sólo  mitigar  su  dolor[167],  que  ha</w:t>
        <w:br/>
        <w:t>resistido a la erosión del tiempo.</w:t>
        <w:br/>
        <w:br/>
        <w:t>7.    Lo ocurrido en el presente caso efectivamente  suscita  una  reflexión</w:t>
        <w:br/>
        <w:t>sobre la precariedad de la condición humana. Ha sido  así,  desde  la  caída</w:t>
        <w:br/>
        <w:t>del ser humano en el Edén, la cual ha dado  origen  al  "trágico  y  agorero</w:t>
        <w:br/>
        <w:t>destino" del género humano[168]; el germen del bien y del mal se instaló  en</w:t>
        <w:br/>
        <w:t>todos, a lo largo de la sucesión humana, la cual  "estaba  destinada  a  los</w:t>
        <w:br/>
        <w:t>calamitosos acontecimientos de  la  vida"[169].  Como  fue  narrado  por  J.</w:t>
        <w:br/>
        <w:t>Milton en su obra universal El Paraíso Perdido (1667),</w:t>
        <w:br/>
        <w:br/>
        <w:t xml:space="preserve">            "(...) El hombre conoce a la vez</w:t>
        <w:br/>
        <w:t xml:space="preserve">      El bien y el mal, desde que ha gustado</w:t>
        <w:br/>
        <w:t xml:space="preserve">      El fruto prohibido; pero sólo puede vanagloriarse</w:t>
        <w:br/>
        <w:t xml:space="preserve">      De conocer el bien perdido y el mal ganado:</w:t>
        <w:br/>
        <w:t xml:space="preserve">      Mucho más feliz sería si le hubiera bastado conocer</w:t>
        <w:br/>
        <w:t xml:space="preserve">      El bien por sí mismo, y de ningún modo el mal"[170].</w:t>
        <w:br/>
        <w:br/>
        <w:t>8.    No hay quien no haya conocido o experimentado alguna manifestación  de</w:t>
        <w:br/>
        <w:t>la violencia que el ser humano trae dentro de sí. No hay quien  pueda  negar</w:t>
        <w:br/>
        <w:t>la finitud del ser humano, realzada por su sentimiento  de  impotencia  ante</w:t>
        <w:br/>
        <w:t>la brutalidad y  la  injusticia,  y  el  sufrimiento  que  de  ahí  adviene,</w:t>
        <w:br/>
        <w:t>retratados por la tragedia a lo largo de los  siglos[171].  En  la  era  del</w:t>
        <w:br/>
        <w:t>moderno Estado-nación, en nombre de la pretendida "seguridad del Estado"  se</w:t>
        <w:br/>
        <w:t>han cometido crímenes abominables, y se han lanzado  los  gobernados  en  la</w:t>
        <w:br/>
        <w:t>más despiadada inseguridad humana. La seguridad  del  Estado  (originalmente</w:t>
        <w:br/>
        <w:t>concebido para la realización del bien común) y la de la persona  humana  no</w:t>
        <w:br/>
        <w:t>se han  acompañado  pari  pasu;  todo  lo  contrario,  la  primera  ha  sido</w:t>
        <w:br/>
        <w:t>frecuentemente invocada  como  pretexto  para  restringir  indebidamente  la</w:t>
        <w:br/>
        <w:t>segunda. Los  hechos  del  presente  caso  dan  muestra  elocuente  de  esta</w:t>
        <w:br/>
        <w:t>distorsión histórica.</w:t>
        <w:br/>
        <w:br/>
        <w:t>9.    En la presente Sentencia en el caso de los Hermanos Gómez  Paquiyauri,</w:t>
        <w:br/>
        <w:t>la Corte, en resumen, ha dado como uno de los hechos probados que</w:t>
        <w:br/>
        <w:br/>
        <w:t xml:space="preserve">            "En la morgue los cuerpos de Rafael Samuel y Emilio Moisés Gómez</w:t>
        <w:br/>
        <w:t xml:space="preserve">      Paquiyauri estaban llenos de sangre y tierra, sucios,  mojados;  había</w:t>
        <w:br/>
        <w:t xml:space="preserve">      masa encefálica en sus cabellos  y  Emilio  tenía  uno  de  sus  dedos</w:t>
        <w:br/>
        <w:t xml:space="preserve">      desprendidos. Ambos tenían los ojos vaciados" (párr. 67(j)).</w:t>
        <w:br/>
        <w:br/>
        <w:t>10.   En definitiva, trabajar en pro de los  derechos  humanos  es  convivir</w:t>
        <w:br/>
        <w:t>con el más profundo sufrimiento humano, es convivir con el mal que cada  uno</w:t>
        <w:br/>
        <w:t>trae dentro de sí desde la caída de los dos primeros  seres  humanos  en  el</w:t>
        <w:br/>
        <w:t>Edén. Trabajar con eficacia en pro de los derechos humanos,  con  resultados</w:t>
        <w:br/>
        <w:t>concretos, es reencontrarse con  el  bien,  que  cada  uno  igualmente  trae</w:t>
        <w:br/>
        <w:t>dentro de sí, y  contribuir  a  alcanzar,  mediante  la  realización  de  la</w:t>
        <w:br/>
        <w:t>justicia, la redención. El  primer  paso,  en  la  difícil  búsqueda  de  la</w:t>
        <w:br/>
        <w:t>justicia, reside en la identificación del origen de la  responsabilidad  del</w:t>
        <w:br/>
        <w:t>Estado,  o   sea,   en   la   determinación   del   surgimiento   de   dicha</w:t>
        <w:br/>
        <w:t>responsabilidad.</w:t>
        <w:br/>
        <w:br/>
        <w:br/>
        <w:t xml:space="preserve">      II.   La Determinación del Surgimiento de la Responsabilidad</w:t>
        <w:br/>
        <w:t>Internacional del Estado.</w:t>
        <w:br/>
        <w:br/>
        <w:br/>
        <w:t>11.   De inicio, cabe señalar que la inclusión, en la presente Sentencia  de</w:t>
        <w:br/>
        <w:t>la Corte Interamericana, de un  capítulo  (VIII)  sobre  la  Responsabilidad</w:t>
        <w:br/>
        <w:t>Internacional del Estado, tal como ha sido abordada  en  el  correspondiente</w:t>
        <w:br/>
        <w:t>procedimiento contencioso, da testimonio de la necesidad, en  la  aplicación</w:t>
        <w:br/>
        <w:t>de un tratado como la Convención Americana sobre Derechos Humanos, de  tomar</w:t>
        <w:br/>
        <w:t>en  cuenta,  juntamente  con  la  normativa  de  ésta,  también  el  derecho</w:t>
        <w:br/>
        <w:t>internacional   general,   y   los   principios   generales   del    derecho</w:t>
        <w:br/>
        <w:t>internacional. En efecto, la teoría general del agotamiento de los  recursos</w:t>
        <w:br/>
        <w:t>de derecho interno en el derecho internacional, en  particular,  ha  tenido,</w:t>
        <w:br/>
        <w:t>hace  mucho,  que  enfrentar  precisamente  la  referida  cuestión   de   la</w:t>
        <w:br/>
        <w:t>determinación  del   momento   del   surgimiento   de   la   responsabilidad</w:t>
        <w:br/>
        <w:t>internacional del Estado.</w:t>
        <w:br/>
        <w:br/>
        <w:t>12.   Tal como me permití señalar en un estudio  al  respecto  publicado  en</w:t>
        <w:br/>
        <w:t>Ginebra en 1978,  a  lo  largo  de  las  últimas  décadas  los  intentos  de</w:t>
        <w:br/>
        <w:t>codificación de la materia, la jurisprudencia internacional, la  doctrina  y</w:t>
        <w:br/>
        <w:t>la práctica internacionales han testimoniado una clara  división  entre  dos</w:t>
        <w:br/>
        <w:t>tesis, la sustantiva y la procesal  (según  las  cuales  la  responsabilidad</w:t>
        <w:br/>
        <w:t>estatal es contingente, o  no,  respectivamente,  de  la  reparación  en  el</w:t>
        <w:br/>
        <w:t>derecho  interno).  Combinaciones  de  estas  dos  tesis,  y  otras  teorías</w:t>
        <w:br/>
        <w:t>explicadoras  (tales  como  las  del  delito  internacional  complejo,   del</w:t>
        <w:br/>
        <w:t>dédoublement fonctionnel, de la regla de conflicto y de la regla de  policy)</w:t>
        <w:br/>
        <w:t>tienden en última instancia a convergir hacia la  dicotomía  básica  de  las</w:t>
        <w:br/>
        <w:t>tesis sustantiva y procesal[172].</w:t>
        <w:br/>
        <w:br/>
        <w:t>13.   Tanto en aquel estudio, como en otros,  he  insistido  siempre  en  la</w:t>
        <w:br/>
        <w:t>necesidad de trazar una distinción entre el surgimiento y la  implementación</w:t>
        <w:br/>
        <w:t>(enforcement,  mise-en-oeuvre)  de  la  responsabilidad  internacional   del</w:t>
        <w:br/>
        <w:t>Estado. En el ámbito de la responsabilidad del Estado por daños  causados  a</w:t>
        <w:br/>
        <w:t>extranjeros, se ha frecuentemente atribuído  a  la  regla  de  los  recursos</w:t>
        <w:br/>
        <w:t>internos un carácter  sustantivo  (sobre  todo  en  la  práctica  de  varios</w:t>
        <w:br/>
        <w:t>Estados), quizás en razón de su carácter preventivo vis-à-vis  el  ejercicio</w:t>
        <w:br/>
        <w:t>discrecional de la protección diplomática; en cambio, en el  dominio  de  la</w:t>
        <w:br/>
        <w:t>protección internacional de los  derechos  humanos,  la  formulación  de  la</w:t>
        <w:br/>
        <w:t>referida regla asume la forma de una condición procesal de admisibilidad  de</w:t>
        <w:br/>
        <w:t>peticiones o reclamaciones  internacionales[173]  (integrando  los  recursos</w:t>
        <w:br/>
        <w:t>internos el propio proceso internacional de reparación  de  las  violaciones</w:t>
        <w:br/>
        <w:t>de derechos humanos).</w:t>
        <w:br/>
        <w:br/>
        <w:t>14.   Siendo así, a mi juicio no puede haber duda  de  que,  en  el  Derecho</w:t>
        <w:br/>
        <w:t>Internacional de los Derechos Humanos, la responsabilidad internacional  del</w:t>
        <w:br/>
        <w:t>Estado surge en el momento mismo de la  violación  de  los  derechos  de  la</w:t>
        <w:br/>
        <w:t>persona  humana,  o  sea,  tan  pronto  ocurra  el   ilícito   internacional</w:t>
        <w:br/>
        <w:t>atribuible al Estado. En el marco de la Convención Americana sobre  Derechos</w:t>
        <w:br/>
        <w:t>Humanos, la responsabilidad internacional del  Estado  puede  generarse  por</w:t>
        <w:br/>
        <w:t>actos  u  omisiones  de  cualquier  poder  u  órgano  o  agente   de   éste,</w:t>
        <w:br/>
        <w:t>independientemente de su jerarquía, que violen los derechos  protegidos  por</w:t>
        <w:br/>
        <w:t>la Convención[174].  Este  ha  sido  el  claro  entendimiento  de  la  Corte</w:t>
        <w:br/>
        <w:t>Interamericana,   que   conforma   hoy   su   jurisprudence   constante   al</w:t>
        <w:br/>
        <w:t>respecto[175].</w:t>
        <w:br/>
        <w:br/>
        <w:t>15.   Pero a pesar de la claridad que reviste  la  materia,  lamentablemente</w:t>
        <w:br/>
        <w:t>han persistido controversias, como me permití advertir en mi  Voto  Razonado</w:t>
        <w:br/>
        <w:t>(párr. 4) en el caso Myrna Mack versus Guatemala (2003), acerca del  momento</w:t>
        <w:br/>
        <w:t>del propio surgimiento de la responsabilidad del Estado (quizás en razón  de</w:t>
        <w:br/>
        <w:t>los distintos contextos en que ha sido invocada la  regla  de  los  recursos</w:t>
        <w:br/>
        <w:t>internos[176]), - y las distintas  posturas  asumidas  al  respecto  por  la</w:t>
        <w:br/>
        <w:t>Comisión Interamericana de Derechos Humanos y por la representación  de  las</w:t>
        <w:br/>
        <w:t>víctimas en el presente caso de los Hermanos Gómez  Paquiyauri  versus  Perú</w:t>
        <w:br/>
        <w:t>(2003) dan testimonio de ésto.</w:t>
        <w:br/>
        <w:br/>
        <w:t>16.    Cabe,  pues,  insistir  en  el  presente   caso   en   la   precisión</w:t>
        <w:br/>
        <w:t>anteriormente  formulada.  Tal  como  señalé,  con  énfasis,  en   mi   Voto</w:t>
        <w:br/>
        <w:t>Concurrente en el caso de "La Última Tentación de Cristo"  (2001),  relativo</w:t>
        <w:br/>
        <w:t>a Chile,</w:t>
        <w:br/>
        <w:br/>
        <w:t xml:space="preserve">            "(...) En el presente contexto de la protección internacional de</w:t>
        <w:br/>
        <w:t xml:space="preserve">      los derechos humanos, - fundamentalmente distinto del de la protección</w:t>
        <w:br/>
        <w:t xml:space="preserve">      diplomática discrecional a nivel interestatal[177] - la regla  de  los</w:t>
        <w:br/>
        <w:t xml:space="preserve">      recursos internos se reviste  de  naturaleza  más  bien  procesal  que</w:t>
        <w:br/>
        <w:t xml:space="preserve">      sustantiva. Condiciona,  de  ese  modo,  la  implementación  (mise-en-</w:t>
        <w:br/>
        <w:t xml:space="preserve">      oeuvre)  de  la  responsabilidad  del  Estado   (como   requisito   de</w:t>
        <w:br/>
        <w:t xml:space="preserve">      admisibilidad de una petición o reclamación internacional), pero no el</w:t>
        <w:br/>
        <w:t xml:space="preserve">      surgimiento de dicha responsabilidad.</w:t>
        <w:br/>
        <w:t xml:space="preserve">            Es la tesis que vengo  constantemente  sosteniendo  por  más  de</w:t>
        <w:br/>
        <w:t xml:space="preserve">      veinte años (...)[178]. (...) He mantenido siempre que el  surgimiento</w:t>
        <w:br/>
        <w:t xml:space="preserve">      y la implementación de la  responsabilidad  internacional  del  Estado</w:t>
        <w:br/>
        <w:t xml:space="preserve">      corresponden a dos momentos distintos; en el presente contexto  de  la</w:t>
        <w:br/>
        <w:t xml:space="preserve">      protección internacional de los derechos  humanos,  el  requisito  del</w:t>
        <w:br/>
        <w:t xml:space="preserve">      previo agotamiento de los recursos de derecho  interno  condiciona  la</w:t>
        <w:br/>
        <w:t xml:space="preserve">      implementación, pero no el surgimiento, de aquella responsabilidad, la</w:t>
        <w:br/>
        <w:t xml:space="preserve">      cual se configura a partir de la ocurrencia de  un  acto  (u  omisión)</w:t>
        <w:br/>
        <w:t xml:space="preserve">      internacionalmente ilícito (...)" (párrs. 33-34).</w:t>
        <w:br/>
        <w:br/>
        <w:t>17.   Y, en dos de mis conclusiones[179] en aquel Voto Concurrente,  que  me</w:t>
        <w:br/>
        <w:t>permito aquí reiterar, sostuve precisamente, en resumen, que</w:t>
        <w:br/>
        <w:br/>
        <w:t xml:space="preserve">            - "(...) la responsabilidad internacional de un Estado Parte  en</w:t>
        <w:br/>
        <w:t xml:space="preserve">      un tratado de derechos humanos surge al momento de la ocurrencia de un</w:t>
        <w:br/>
        <w:t xml:space="preserve">      hecho -  acto  u  omisión  -  ilícito  internacional  (tempus  commisi</w:t>
        <w:br/>
        <w:t xml:space="preserve">      delicti), imputable a  dicho  Estado,  en  violación  del  tratado  en</w:t>
        <w:br/>
        <w:t xml:space="preserve">      cuestión;</w:t>
        <w:br/>
        <w:t xml:space="preserve">            - (...) en el contexto de la  protección  internacional  de  los</w:t>
        <w:br/>
        <w:t xml:space="preserve">      derechos humanos, la regla del agotamiento de los recursos de  derecho</w:t>
        <w:br/>
        <w:t xml:space="preserve">      interno se reviste de naturaleza  más  bien  procesal  que  sustantiva</w:t>
        <w:br/>
        <w:t xml:space="preserve">      (como condición de admisibilidad de una  petición  o  denuncia  a  ser</w:t>
        <w:br/>
        <w:t xml:space="preserve">      resuelta in limine litis), condicionando así la implementación pero no</w:t>
        <w:br/>
        <w:t xml:space="preserve">      el surgimiento de la responsabilidad internacional de un Estado  Parte</w:t>
        <w:br/>
        <w:t xml:space="preserve">      en un tratado de derechos humanos" (párr. 40).</w:t>
        <w:br/>
        <w:br/>
        <w:t>18.   En este mismo sentido ha argumentado, correctamente,  ante  la  Corte,</w:t>
        <w:br/>
        <w:t>en el presente caso de los Hermanos Gómez Paquiyauri,  la  representante  de</w:t>
        <w:br/>
        <w:t>las presuntas víctimas y sus familiares (Sra. Mónica Feria Tinta), tanto  en</w:t>
        <w:br/>
        <w:t>sus alegatos escritos del 17 de abril de 2002 (pp. 13-14,  párr.  25),  como</w:t>
        <w:br/>
        <w:t>en su argumento oral en la audiencia pública en la sede del Tribunal el  día</w:t>
        <w:br/>
        <w:t>07 de mayo de 2004[180]. A la Comisión Interamericana de  Derechos  Humanos,</w:t>
        <w:br/>
        <w:t>a su vez, le escapó esta precisión conceptual importante, lo  que  la  llevó</w:t>
        <w:br/>
        <w:t>inclusive a mezclar  inadecuadamente  la  cuestión  del  surgimiento  de  la</w:t>
        <w:br/>
        <w:t>responsabilidad internacional del Estado con el  llamado  "principio  de  la</w:t>
        <w:br/>
        <w:t>subsidiaridad" (cf. infra).</w:t>
        <w:br/>
        <w:br/>
        <w:br/>
        <w:br/>
        <w:t xml:space="preserve">      III.  Mas Allá de la Subsidiariedad: La Interacción entre el Derecho</w:t>
        <w:br/>
        <w:t>Internacional y el Derecho Interno en el Presente Dominio de Protección.</w:t>
        <w:br/>
        <w:br/>
        <w:br/>
        <w:t>19.   Ante este malentendu,  me  veo  en  la  obligación  de  formular  otra</w:t>
        <w:br/>
        <w:t>precisión, para aclarar esta cuestión conceptual y  proporcionar  quizás  un</w:t>
        <w:br/>
        <w:t>mejor entendimiento de la materia en aprecio. En su Informe  del  11.10.2001</w:t>
        <w:br/>
        <w:t>(bajo el artículo 50 de la Convención Americana) sobre el presente caso,  la</w:t>
        <w:br/>
        <w:t>Comisión Interamericana sostuvo, un tanto sorprendentemente,  que  "no  toda</w:t>
        <w:br/>
        <w:t>violación" de los derechos humanos  cometida  por  los  agentes  del  Estado</w:t>
        <w:br/>
        <w:t>acarrea la responsabilidad internacional estatal; según  el  Informe  de  la</w:t>
        <w:br/>
        <w:t>Comisión, el Estado no incurre en responsabilidad si investiga  los  hechos,</w:t>
        <w:br/>
        <w:t>sanciona los responsables y provee las reparaciones debidas. En el  entender</w:t>
        <w:br/>
        <w:t>de la Comisión, "lo anterior se explica en función del carácter  subsidiario</w:t>
        <w:br/>
        <w:t>que tiene el sistema interamericano de derechos humanos"[181]. Aún según  la</w:t>
        <w:br/>
        <w:t>Comisión, en el presente caso,  por  no  haber  ocurrido  una  investigación</w:t>
        <w:br/>
        <w:t>completa  y  adecuada,  ni  juzgamiento  ni  sanción  de  los  responsables,</w:t>
        <w:br/>
        <w:t>subsistió la responsabilidad internacional del Estado[182].</w:t>
        <w:br/>
        <w:br/>
        <w:t>20.    En  su  argumento  oral  en  la  mencionada  audiencia  pública   del</w:t>
        <w:br/>
        <w:t>07.05.2004 ante esta Corte, la Comisión[183], como ha sido  relatado  en  la</w:t>
        <w:br/>
        <w:t>presente Sentencia de la Corte (párr. 68), volvió a mezclar  inadecuadamente</w:t>
        <w:br/>
        <w:t>la cuestión del origen de la responsabilidad internacional  del  Estado  con</w:t>
        <w:br/>
        <w:t>la "subsidiariedad" de la jurisdicción  internacional  en  relación  con  la</w:t>
        <w:br/>
        <w:t>interna o nacional. En mi entendimiento, cualquier violación de  un  derecho</w:t>
        <w:br/>
        <w:t>protegido  por  la  Convención  Americana   compromete   de   inmediato   la</w:t>
        <w:br/>
        <w:t>responsabilidad  del  Estado;  el  tempus  commissi  delicti  es  el  de  la</w:t>
        <w:br/>
        <w:t>ocurrencia del ilícito internacional. De ahí advienen -  como  consecuencias</w:t>
        <w:br/>
        <w:t>de la violación original - las obligaciones  convencionales  del  Estado  de</w:t>
        <w:br/>
        <w:t>investigación de los hechos, sanción de los responsables y reparación a  las</w:t>
        <w:br/>
        <w:t>víctimas; si no las cumple, incurre el  Estado  en  violaciones  adicionales</w:t>
        <w:br/>
        <w:t>del derecho internacional aplicable.</w:t>
        <w:br/>
        <w:br/>
        <w:t>21.   Un proceso internacional de derechos humanos en curso no  es  afectado</w:t>
        <w:br/>
        <w:t>por medidas de derecho interno tomadas independientemente del mismo y  a  la</w:t>
        <w:br/>
        <w:t>luz de un derecho aplicable distinto (el interno o nacional); tales  medidas</w:t>
        <w:br/>
        <w:t>no logran, por lo tanto, "descargar", o hacer  "desaparecer",  como  por  un</w:t>
        <w:br/>
        <w:t>toque mágico, la responsabilidad internacional ya comprometida  del  Estado.</w:t>
        <w:br/>
        <w:t>La implementación de dicha responsabilidad (en un momento  distinto  del  de</w:t>
        <w:br/>
        <w:t>su surgimiento) se efectúa necesariamente a  la  luz  de  la  normativa  del</w:t>
        <w:br/>
        <w:t>tratado de derechos  humanos  en  cuestión,  directamente  aplicable  en  el</w:t>
        <w:br/>
        <w:t>derecho interno del Estado infractor.</w:t>
        <w:br/>
        <w:br/>
        <w:t>22.   A un  tribunal  como  la  Corte  Interamericana  cabe  proceder  a  la</w:t>
        <w:br/>
        <w:t>determinación de  la  responsabilidad  internacional  del  Estado  en  casos</w:t>
        <w:br/>
        <w:t>sometidos a su conocimiento, sin contemplar un renvoi de  la  cuestión  bajo</w:t>
        <w:br/>
        <w:t>su jurisdicción a tribunales nacionales; es esta una prerrogativa que le  es</w:t>
        <w:br/>
        <w:t>propia, y es además su deber.  Y  como  la  responsabilidad  del  Estado  en</w:t>
        <w:br/>
        <w:t>derecho  interno  no  coincide  necesariamente  con  su  responsabilidad  en</w:t>
        <w:br/>
        <w:t>derecho internacional, y las partes y la materia de la  controversia  en  la</w:t>
        <w:br/>
        <w:t>jurisdicción internacional no son necesariamente las mismas  de  las  de  la</w:t>
        <w:br/>
        <w:t>jurisdicción interna[184],</w:t>
        <w:br/>
        <w:br/>
        <w:t xml:space="preserve">            "La Corte [Interamericana] no puede abdicar de proceder  a  esta</w:t>
        <w:br/>
        <w:t xml:space="preserve">      determinación, ni siquiera en la hipótesis en que la  decisión  de  un</w:t>
        <w:br/>
        <w:t xml:space="preserve">      tribunal nacional sea enteramente coincidente con la suya en cuanto al</w:t>
        <w:br/>
        <w:t xml:space="preserve">      fondo. De otro modo, esto conduciría a un total relativismo  jurídico,</w:t>
        <w:br/>
        <w:t xml:space="preserve">      ilustrado por la  "convalidación"  de  una  decisión  de  un  tribunal</w:t>
        <w:br/>
        <w:t xml:space="preserve">      nacional  cuando  es  considerada  conforme  a  la  Convención,  o  la</w:t>
        <w:br/>
        <w:t xml:space="preserve">      determinación de que no genera, o no debe generar,  efectos  jurídicos</w:t>
        <w:br/>
        <w:t xml:space="preserve">      (...)  cuando  es   considerada   incompatible   con   la   Convención</w:t>
        <w:br/>
        <w:t xml:space="preserve">      Americana"[185].</w:t>
        <w:br/>
        <w:br/>
        <w:t>23.   Además de ésto, las condiciones de admisibilidad  de  reclamaciones  o</w:t>
        <w:br/>
        <w:t>peticiones bajo la Convención Americana se refieren a la  implementación  de</w:t>
        <w:br/>
        <w:t>la responsabilidad, no a su origen o surgimiento. Aquellas  condiciones  son</w:t>
        <w:br/>
        <w:t>de naturaleza procesal, mientras que la determinación de la  responsabilidad</w:t>
        <w:br/>
        <w:t>del Estado recae en el ámbito del derecho  sustantivo  o  material.  Tampoco</w:t>
        <w:br/>
        <w:t>veo cómo relacionar dicha determinación con  el  llamado  "principio  de  la</w:t>
        <w:br/>
        <w:t>subsidiaridad",  el  cual  se  refiere  directa  y  específicamente  a   los</w:t>
        <w:br/>
        <w:t>mecanismos  de  protección,  a  niveles  nacional  e  internacional,  -  los</w:t>
        <w:br/>
        <w:t>internacionales siendo considerados como "subsidiarios" de los nacionales.</w:t>
        <w:br/>
        <w:br/>
        <w:t>24.   La referida subsidiariedad no alcanza el derecho material,  es  decir,</w:t>
        <w:br/>
        <w:t>no puede ser invocada en cuanto a las normas  sustantivas  atinentes  a  los</w:t>
        <w:br/>
        <w:t>derechos protegidos, ni tampoco en cuanto al  contenido  y  alcance  de  las</w:t>
        <w:br/>
        <w:t>obligaciones correspondientes. A mi juicio, no se  puede  atribuir  a  dicha</w:t>
        <w:br/>
        <w:t>subsidiaridad una  dimensión  que  efectivamente  no  tiene  y  nunca  tuvo.</w:t>
        <w:br/>
        <w:t>Además, la visión  de  las  relaciones  entre  los  ordenamientos  jurídicos</w:t>
        <w:br/>
        <w:t>internacional  y  nacional,  desde  la  perspectiva  del  "principio  de  la</w:t>
        <w:br/>
        <w:t>subsidiaridad",  es  esencialmente  estática.  Por  consiguiente,  deja   de</w:t>
        <w:br/>
        <w:t>retratar con fidelidad la dinámica y el estado actual de la evolución de  la</w:t>
        <w:br/>
        <w:t>interacción entre el derecho internacional  y  el  derecho  interno  de  los</w:t>
        <w:br/>
        <w:t>Estados en el presente dominio de protección,  en  beneficio  de  los  seres</w:t>
        <w:br/>
        <w:t>humanos protegidos.</w:t>
        <w:br/>
        <w:br/>
        <w:t>25.   Tal como lo señalé, al respecto, en mi Voto Concurrente en el caso  de</w:t>
        <w:br/>
        <w:t>"La  Última  Tentación  de  Cristo"  (2001),  el  derecho  internacional  se</w:t>
        <w:br/>
        <w:t>perfeccionará y fortalecerá el día en que la conciencia  humana  alcance  un</w:t>
        <w:br/>
        <w:t>grado de evolución que no más admita la  adopción  de  leyes  nacionales  (o</w:t>
        <w:br/>
        <w:t>actos administrativos o sentencias judiciales) que obstruyan  la  aplicación</w:t>
        <w:br/>
        <w:t>de las normas internacionales de protección integradas a  la  normativa  del</w:t>
        <w:br/>
        <w:t>derecho interno (párr. 10). Y, mucho antes de mi citado Voto, en  un  ensayo</w:t>
        <w:br/>
        <w:t>publicado en Alemania en  1977-1978,  ponderé  que,  como  los  tratados  de</w:t>
        <w:br/>
        <w:t>derechos humanos atribuyen funciones de protección a los propios  tribunales</w:t>
        <w:br/>
        <w:t>nacionales en la aplicación de la regla de  los  recursos  internos,  dichos</w:t>
        <w:br/>
        <w:t>recursos  integran  los  procedimientos  de  protección  internacional;   la</w:t>
        <w:br/>
        <w:t>interacción  de   ahí   resultante   entre   los   ordenamientos   jurídicos</w:t>
        <w:br/>
        <w:t>internacional y nacional en el presente contexto  de  protección  tiene  por</w:t>
        <w:br/>
        <w:t>propósito y efecto  el  perfeccionamiento  de  los  sistemas  nacionales  de</w:t>
        <w:br/>
        <w:t>protección  judicial,  tal  como   es   requerido   por   los   instrumentos</w:t>
        <w:br/>
        <w:t>internacionales de salvaguardia de los derechos humanos[186].</w:t>
        <w:br/>
        <w:br/>
        <w:br/>
        <w:t xml:space="preserve">      III.  La Emancipación del Individuo vis-à-vis su Propio Estado.</w:t>
        <w:br/>
        <w:br/>
        <w:br/>
        <w:t>26.   No es esta la primera vez en que ésto ocurre.  Anteriormente,  también</w:t>
        <w:br/>
        <w:t>en el caso de los Cinco Pensionistas versus Perú (2003),  los  peticionarios</w:t>
        <w:br/>
        <w:t>y  la  Comisión  siguieron  líneas  distintas  de  razonamiento   sobre   un</w:t>
        <w:br/>
        <w:t>determinado  aspecto  de  sus  respectivos  alegatos.  Ésto  es  natural,  y</w:t>
        <w:br/>
        <w:t>alentador, pues contribuye a poner de relieve los  distintos  roles  de  los</w:t>
        <w:br/>
        <w:t>peticionarios (la verdadera parte sustantiva demandante ante  la  Corte),  y</w:t>
        <w:br/>
        <w:t>la Comisión (como órgano auxiliar de la Corte  en  el  contencioso  bajo  la</w:t>
        <w:br/>
        <w:t>Convención Americana, y defensora del interés  público  y  guardiana  de  la</w:t>
        <w:br/>
        <w:t>Convención).</w:t>
        <w:br/>
        <w:br/>
        <w:t>27.   En mi Voto Concurrente en aquel caso de los Cinco Pensionistas  (párr.</w:t>
        <w:br/>
        <w:t>16), señalé que este desarrollo  refleja  la  necesaria  prevalencia  de  la</w:t>
        <w:br/>
        <w:t>titularidad de los individuos  de  todos  los  derechos  protegidos  por  la</w:t>
        <w:br/>
        <w:t>Convención sobre cualesquiera otras consideraciones, como  sujetos  que  son</w:t>
        <w:br/>
        <w:t>del Derecho Internacional de los  Derechos  Humanos.  Dicho  desarrollo  es,</w:t>
        <w:br/>
        <w:t>además una consecuencia directa del paso adelante dado por  la  Corte  desde</w:t>
        <w:br/>
        <w:t>la adopción de su actual Reglamento, el cuarto  de  su  historia,  otorgando</w:t>
        <w:br/>
        <w:t>locus standi in judicio a los individuos peticionarios en todas  las  etapas</w:t>
        <w:br/>
        <w:t>del procedimiento ante la Corte. Tal como ponderé en mi referido Voto en  el</w:t>
        <w:br/>
        <w:t>caso de los Cinco Pensionistas (párr. 19), y tal como fue confirmado  en  el</w:t>
        <w:br/>
        <w:t>procedimiento contencioso ante  esta  Corte  en  el  presente  caso  de  los</w:t>
        <w:br/>
        <w:t>Hermanos Gómez Paquiyauri,</w:t>
        <w:br/>
        <w:br/>
        <w:t xml:space="preserve">            "Son los propios peticionarios quien, mejor  que  nadie,  pueden</w:t>
        <w:br/>
        <w:t xml:space="preserve">      evaluar qué derechos  han  sido  presumiblemente  violados.  Pretender</w:t>
        <w:br/>
        <w:t xml:space="preserve">      limitarles esta facultad iría en contra del derecho  de  acceso  a  la</w:t>
        <w:br/>
        <w:t xml:space="preserve">      justicia bajo la Convención Americana".</w:t>
        <w:br/>
        <w:br/>
        <w:t>28.   Además, tal como he venido sosteniendo  a  lo  largo  de  los  últimos</w:t>
        <w:br/>
        <w:t>años,  estamos  en  medio  al  proceso  histórico  de  consolidación  de  la</w:t>
        <w:br/>
        <w:t>emancipación del individuo vis-à-vis su propio Estado. Hace  seis  años,  en</w:t>
        <w:br/>
        <w:t>mi Voto Concurrente en  el  caso  Castillo  Petruzzi  y  Otros  versus  Perú</w:t>
        <w:br/>
        <w:t>(Excepciones Preliminares, 1998) ante  esta  Corte,  así  resumí  el  "salto</w:t>
        <w:br/>
        <w:t>cualitativo" que habría que darse bajo la Convención Americana:</w:t>
        <w:br/>
        <w:br/>
        <w:t xml:space="preserve">            "Trátase de  buscar  asegurar,  ya  no  sólo  la  representación</w:t>
        <w:br/>
        <w:t xml:space="preserve">      directa de las víctimas o de  sus  familiares  (locus  standi)  en  el</w:t>
        <w:br/>
        <w:t xml:space="preserve">      procedimiento ante la Corte Interamericana en casos ya enviados a ésta</w:t>
        <w:br/>
        <w:t xml:space="preserve">      por la Comisión (en todas las etapas del proceso y no apenas en la  de</w:t>
        <w:br/>
        <w:t xml:space="preserve">      reparaciones[187]), sino más bien el derecho de acceso directo de  los</w:t>
        <w:br/>
        <w:t xml:space="preserve">      individuos ante la propia Corte  (jus  standi),  para  traer  un  caso</w:t>
        <w:br/>
        <w:t xml:space="preserve">      directamente ante ella, como futuro órgano jurisdiccional  único  para</w:t>
        <w:br/>
        <w:t xml:space="preserve">      la solución de casos concretos  bajo  la  Convención  Americana.  Para</w:t>
        <w:br/>
        <w:t xml:space="preserve">      ésto, prescindirían los individuos de la Comisión  Interamericana,  la</w:t>
        <w:br/>
        <w:t xml:space="preserve">      cual, sin embargo, retendría funciones otras que la  contenciosa[188],</w:t>
        <w:br/>
        <w:t xml:space="preserve">      prerrogativa de la futura Corte Interamericana permanente[189].</w:t>
        <w:br/>
        <w:t xml:space="preserve">            (...) Más que todo, este salto calitativo atendería, a  mi  modo</w:t>
        <w:br/>
        <w:t xml:space="preserve">      de ver, a un imperativo de justicia. El jus standi  -  no  más  apenas</w:t>
        <w:br/>
        <w:t xml:space="preserve">      locus standi in judicio, - irrestricto, de  los  individuos,  ante  la</w:t>
        <w:br/>
        <w:t xml:space="preserve">      propia Corte Interamericana, representa, - como  he  señalado  en  mis</w:t>
        <w:br/>
        <w:t xml:space="preserve">      Votos en otros casos ante la Corte[190], - la consecuencia  lógica  de</w:t>
        <w:br/>
        <w:t xml:space="preserve">      la concepción y formulación de  derechos  a  ser  protegidos  bajo  la</w:t>
        <w:br/>
        <w:t xml:space="preserve">      Convención Americana en el plano  internacional,  a  las  cuales  debe</w:t>
        <w:br/>
        <w:t xml:space="preserve">      necesariamente  corresponder  la  capacidad  jurídica  plena  de   los</w:t>
        <w:br/>
        <w:t xml:space="preserve">      individuos peticionarios de vindicarlos" (párrs. 42-43).</w:t>
        <w:br/>
        <w:br/>
        <w:t>29.   Más recientemente, en mi Voto Concurrente en el ya citado caso de  los</w:t>
        <w:br/>
        <w:t>Cinco Pensionistas (2003), ponderé que "ni siempre la demanda  originalmente</w:t>
        <w:br/>
        <w:t>presentada por los  peticionarios  ante  la  Comisión  (artículo  44  de  la</w:t>
        <w:br/>
        <w:t>Convención)  es  necesariamente  la  misma  que  la  demanda  posteriormente</w:t>
        <w:br/>
        <w:t>interpuesta  por  la  Comisión  ante  la  Corte  (artículo   61(1)   de   la</w:t>
        <w:br/>
        <w:t>Convención). Si se exige de los Estados, de conformidad  con  la  Convención</w:t>
        <w:br/>
        <w:t>(artículo 25), el respeto al  derecho  de  acceso  a  la  justicia,  con  la</w:t>
        <w:br/>
        <w:t>preservación de la facultad de los individuos demandantes de sustanciar  sus</w:t>
        <w:br/>
        <w:t>acciones legales ante los tribunales nacionales,  ¿cómo  pretender  negarles</w:t>
        <w:br/>
        <w:t>esta misma facultad en sus alegatos ante un tribunal internacional  como  la</w:t>
        <w:br/>
        <w:t>Corte  Interamericana?  (...)  No  se  puede  coartar  el  derecho  de   los</w:t>
        <w:br/>
        <w:t>peticionarios de acceso  a  la  justicia  en  el  plano  internacional,  que</w:t>
        <w:br/>
        <w:t>encuentra expresión en su facultad de indicar los  derechos  que  consideran</w:t>
        <w:br/>
        <w:t>violados" (párrs. 20-21). Lo mismo se aplica en cuanto  a  los  alegados  de</w:t>
        <w:br/>
        <w:t>los  peticionarios  sobre  el   surgimiento   o   comprometimiento   de   la</w:t>
        <w:br/>
        <w:t>responsabilidad internacional del Estado demandado.</w:t>
        <w:br/>
        <w:br/>
        <w:br/>
        <w:br/>
        <w:t xml:space="preserve">      IV.   La Implementación de la Responsabilidad Internacional del</w:t>
        <w:br/>
        <w:t>Estado por Iniciativa del Individuo como Sujeto del Derecho Internacional.</w:t>
        <w:br/>
        <w:br/>
        <w:br/>
        <w:t>30.   Es precisamente lo que ha ocurrido en el  presente  caso,  en  que  la</w:t>
        <w:br/>
        <w:t>representante de las víctimas y  sus  familiares  ha  presentado  su  propio</w:t>
        <w:br/>
        <w:t>entendimiento del origen de la responsabilidad del Estado, distinto  del  de</w:t>
        <w:br/>
        <w:t>la Comisión Interamericana. En esta materia, no hay cómo dejar de  tomar  en</w:t>
        <w:br/>
        <w:t>cuenta  el  derecho  internacional  general,  a  la  par  de  la  Convención</w:t>
        <w:br/>
        <w:t>Americana y conjuntamente con ésta. No hay que olvidarse que, de  todos  los</w:t>
        <w:br/>
        <w:t>métodos utilizados en  los  sistemas  de  protección  internacional  de  los</w:t>
        <w:br/>
        <w:t>derechos humanos, el único que es accionado por los propios  individuos  (en</w:t>
        <w:br/>
        <w:t>lugar de movido ex officio por los órganos de supervisión) es el derecho  de</w:t>
        <w:br/>
        <w:t>petición individual. Es por su ejercicio que los individuos, emancipados  de</w:t>
        <w:br/>
        <w:t>su propio Estado, logran poner en marcha el proceso de implementación de  la</w:t>
        <w:br/>
        <w:t>responsabilidad internacional del Estado.</w:t>
        <w:br/>
        <w:br/>
        <w:t>31.   Intentar impedir el jus standi de los individuos ante la  jurisdicción</w:t>
        <w:br/>
        <w:t>internacional en el presente dominio  de  protección  es  un  artificialismo</w:t>
        <w:br/>
        <w:t>inconvincente, preso a  dogmas  del  pasado,  incapaz  de  entender  que  la</w:t>
        <w:br/>
        <w:t>afirmación de la personalidad y capacidad jurídicas  internacionales  de  la</w:t>
        <w:br/>
        <w:t>persona humana atienden a una verdadera necesidad  del  propio  ordenamiento</w:t>
        <w:br/>
        <w:t>jurídico internacional[191]. Como he observado en mi Voto Concurrente en  el</w:t>
        <w:br/>
        <w:t>supracitado  caso  de  los  Cinco  Pensionistas,  si  "ante  los  tribunales</w:t>
        <w:br/>
        <w:t>nacionales  se  asegura  la  facultad  de  los  individuos  demandantes   de</w:t>
        <w:br/>
        <w:t>sustanciar sus propios  alegatos  de  violaciones  de  sus  derechos,  ¿cómo</w:t>
        <w:br/>
        <w:t>justificar la denegación o restricción de dicha facultad de  los  individuos</w:t>
        <w:br/>
        <w:t>peticionarios ante los  tribunales  internacionales  de  derechos  humanos?"</w:t>
        <w:br/>
        <w:t>(párr. 23). Y concluí:</w:t>
        <w:br/>
        <w:br/>
        <w:t xml:space="preserve">            "En efecto, la afirmación de  dichas  personalidad  y  capacidad</w:t>
        <w:br/>
        <w:t xml:space="preserve">      jurídicas constituye el legado  verdaderamente  revolucionario  de  la</w:t>
        <w:br/>
        <w:t xml:space="preserve">      evolución de la doctrina jurídica internacional en la segunda mitad el</w:t>
        <w:br/>
        <w:t xml:space="preserve">      siglo XX. (..) Un rol importante está  aquí  siendo  ejercido  por  el</w:t>
        <w:br/>
        <w:t xml:space="preserve">      impacto de la consagración de los derechos humanos en el  ordenamiento</w:t>
        <w:br/>
        <w:t xml:space="preserve">      jurídico internacional, en el sentido de humanizar este último:  tales</w:t>
        <w:br/>
        <w:t xml:space="preserve">      derechos  fueron  proclamados  como  inherentes  a  todo  ser  humano,</w:t>
        <w:br/>
        <w:t xml:space="preserve">      independientemente de cualesquiera circunstancias[192].  El  individuo</w:t>
        <w:br/>
        <w:t xml:space="preserve">      es sujeto jure suo del Derecho Internacional, y al  reconocimiento  de</w:t>
        <w:br/>
        <w:t xml:space="preserve">      los derechos que le son  inherentes  corresponde  ineluctablemente  la</w:t>
        <w:br/>
        <w:t xml:space="preserve">      capacidad procesal de vindicarlos, en los planos tanto  nacional  como</w:t>
        <w:br/>
        <w:t xml:space="preserve">      internacional" (párr. 24).</w:t>
        <w:br/>
        <w:br/>
        <w:br/>
        <w:t>32.   En el ejercicio de esta capacidad procesal, el individuo  hoy  acciona</w:t>
        <w:br/>
        <w:t>el mecanismo de  implementación  de  la  responsabilidad  internacional  del</w:t>
        <w:br/>
        <w:t>Estado por violación de los derechos humanos. El individuo  peticionario  es</w:t>
        <w:br/>
        <w:t>hoy capaz, como ha sido demostrado en  el  presente  caso  de  los  Hermanos</w:t>
        <w:br/>
        <w:t>Gómez Paquiyauri, de exponer - correctamente - su  entendimento  del  origen</w:t>
        <w:br/>
        <w:t>de  la  responsabilidad  del  Estado,  para  los  efectos  de  su   ulterior</w:t>
        <w:br/>
        <w:t>implementación a nivel internacional. El presente procedimiento  contencioso</w:t>
        <w:br/>
        <w:t>ha demostrado a cabalidad que la plena participación de los individuos -  la</w:t>
        <w:br/>
        <w:t>víctima  o  sus  familiares  y  sus  representantes  legales  -   en   dicho</w:t>
        <w:br/>
        <w:t>procedimiento ante la Corte contribuye efectivamente  a  mejor  instruir  el</w:t>
        <w:br/>
        <w:t>proceso[193], en cuestiones tanto de hecho como de derecho[194].</w:t>
        <w:br/>
        <w:br/>
        <w:t>33.    El  individuo  no  sólo  toma  la  iniciativa  de   desencadenar   la</w:t>
        <w:br/>
        <w:t>implementación de la responsabilidad  internacional  del  Estado  infractor,</w:t>
        <w:br/>
        <w:t>sino  además  avanza  su  entendimiento  de  las  propias  bases  de   dicha</w:t>
        <w:br/>
        <w:t>responsabilidad internacional. El individuo contribuye, de ese  modo,  a  la</w:t>
        <w:br/>
        <w:t>evolución y humanización del derecho internacional, tanto convencional  como</w:t>
        <w:br/>
        <w:t>general. No sólo es sujeto de éste[195], sino igualmente participante en  el</w:t>
        <w:br/>
        <w:t>proceso de su formación y evolución. Es este un  trazo  marcante  del  nuevo</w:t>
        <w:br/>
        <w:t>jus gentium, en el inicio del siglo XXI.</w:t>
        <w:br/>
        <w:br/>
        <w:t>34.   En la consideración del caso de los  Hermanos  Gómez  Paquiyauri,   no</w:t>
        <w:br/>
        <w:t>hay que pasar desapercibido un  último  aspecto,  que  no  podría  dejar  de</w:t>
        <w:br/>
        <w:t>consignar en este Voto Razonado, igualmente significativo.  Los  hechos  del</w:t>
        <w:br/>
        <w:t>presente caso, a pesar de haber ocurrido hace 13 años, a mediados  de  1991,</w:t>
        <w:br/>
        <w:t>siguen indeleblemente grabados, con las marcas de la brutalidad  humana,  en</w:t>
        <w:br/>
        <w:t>la memoria de los familiares de las víctimas. La hermana de los dos  jóvenes</w:t>
        <w:br/>
        <w:t>asesinados, en testimonio rendido ante esta  Corte,  confesó  que  "amaba  a</w:t>
        <w:br/>
        <w:t>[sus] hermanos", que "no hay día en [su] vida que nos los recuerde,  no  hay</w:t>
        <w:br/>
        <w:t>día en [su] vida que no estén presentes" en su memoria (cf. supra).</w:t>
        <w:br/>
        <w:br/>
        <w:t>35.   La imagen de la crueldad que circundó el  asesinato  de  los  hermanos</w:t>
        <w:br/>
        <w:t>Rafael  y  Emilio  Gómez  Paquiyauri,  de  sus  rostros  destrozados  y  sus</w:t>
        <w:br/>
        <w:t>cadáveres descompuestos, se instaló definitivamente en  la  memoria  de  sus</w:t>
        <w:br/>
        <w:t>familiares queridos, y ahí permanecerá para el resto de sus  vidas.  No  hay</w:t>
        <w:br/>
        <w:t>olvido. Como ponderaba Cicerón, en el año 45,  en  su  tratado  Del  Supremo</w:t>
        <w:br/>
        <w:t>Bien y del Supremo Mal (más conocido como De Finibus),</w:t>
        <w:br/>
        <w:br/>
        <w:t xml:space="preserve">            "(...)  ,¿está  en  nuestro  poder  elegir  nuestros  recuerdos?</w:t>
        <w:br/>
        <w:t xml:space="preserve">      Temístocles, en todo caso, cuando Simónides o algún otro  le  prometía</w:t>
        <w:br/>
        <w:t xml:space="preserve">      enseñarle el arte de la memoria, respondió: `Preferiría el del olvido,</w:t>
        <w:br/>
        <w:t xml:space="preserve">      pues recuerdo incluso lo que no quiero, y no puedo olvidarme de lo que</w:t>
        <w:br/>
        <w:t xml:space="preserve">      quiero'. (...) Parece propio  de  un  filósofo  demasiado  autoritario</w:t>
        <w:br/>
        <w:t xml:space="preserve">      prohibir que recordemos"[196].</w:t>
        <w:br/>
        <w:br/>
        <w:br/>
        <w:t>En medio de la trágica vulnerabilidad de la condición humana, el  dolor  del</w:t>
        <w:br/>
        <w:t>recuerdo de la brutalidad y la impunidad suele mitigarse con el lenitivo  de</w:t>
        <w:br/>
        <w:t>la justicia, aunque tardía, cuya fiel observancia,  -  agregaba  Cicerón  en</w:t>
        <w:br/>
        <w:t>sus días, - se revierte en pro del bien común de la sociedad humana[197].</w:t>
        <w:br/>
        <w:br/>
        <w:t>36.   Los familiares de  los  hermanos  asesinados  Rafael  y  Emilio  Gómez</w:t>
        <w:br/>
        <w:t>Paquiyauri  encontraron  hoy,  al  fin,  la  justicia  humana,  mediante  la</w:t>
        <w:br/>
        <w:t>Sentencia que  viene  de  adoptar  la  Corte  Interamericana.  Se  afirmó  y</w:t>
        <w:br/>
        <w:t>determinó la implementación de la responsabilidad internacional  del  Estado</w:t>
        <w:br/>
        <w:t>demandado al final de un procedimiento  contencioso  movido  por  individuos</w:t>
        <w:br/>
        <w:t>como sujetos del Derecho Internacional de los Derechos Humanos,  dotados  de</w:t>
        <w:br/>
        <w:t>capacidad jurídico-procesal. Hechos como los del presente  caso  han,  pues,</w:t>
        <w:br/>
        <w:t>generado una reacción de la conciencia humana, que ha  producido  resultados</w:t>
        <w:br/>
        <w:t>concretos. Y el grado de  evolución  que  hoy  día  hemos  alcanzado  en  el</w:t>
        <w:br/>
        <w:t>presente  dominio  de  protección  revela  que,  a  pesar  de   la   trágica</w:t>
        <w:br/>
        <w:t>inevitabilidad del sufrimiento humano, la conciencia humana ha impulsado  el</w:t>
        <w:br/>
        <w:t>Derecho (como su fuente material última) en el sentido de divisar y  aplicar</w:t>
        <w:br/>
        <w:t>medios para mitigar este sufrimiento, propio de la  trágicamente  vulnerable</w:t>
        <w:br/>
        <w:t>condición humana.</w:t>
        <w:br/>
        <w:br/>
        <w:br/>
        <w:t xml:space="preserve">      V.    El Derecho Imperativo (Jus Cogens)  y  la  Determinación  de  la</w:t>
        <w:br/>
        <w:t xml:space="preserve">           Responsabilidad Internacional Agravada del Estado.</w:t>
        <w:br/>
        <w:br/>
        <w:br/>
        <w:t>37.    Es  altamente  significativo  que,  en   la   determinación   de   la</w:t>
        <w:br/>
        <w:t>responsabilidad  internacional  del  Estado  en  el  presente  caso  de  los</w:t>
        <w:br/>
        <w:t>Hermanos Gómez  Paquiyauri,  la  Corte  Interamericana,  al  establecer  las</w:t>
        <w:br/>
        <w:t>violaciones de los  artículos  5  y  4  de  la  Convención  Americana,  haya</w:t>
        <w:br/>
        <w:t>expresamente admitido que se ha  conformado  en  nuestros  días  un  régimen</w:t>
        <w:br/>
        <w:t>jurídico internacional de  prohibición  absoluta  de  todas  las  formas  de</w:t>
        <w:br/>
        <w:t>tortura y de ejecuciones extrajudiciales,  prohibición  ésta  que  pertenece</w:t>
        <w:br/>
        <w:t>hoy día al dominio del jus  cogens  internacional  (párrs.  111-112  y  128,</w:t>
        <w:br/>
        <w:t>respectivamente).  Por  consiguiente,  se  configura   una   responsabilidad</w:t>
        <w:br/>
        <w:t>internacional agravada[198] (por  los  ilícitos  cometidos  y  las  personas</w:t>
        <w:br/>
        <w:t>victimadas, dos niños), con consecuencias directas para las reparaciones.</w:t>
        <w:br/>
        <w:br/>
        <w:t>38.   Dicha responsabilidad acarrea para el Estado  demandado,  v.g.,  inter</w:t>
        <w:br/>
        <w:t>alia,  la  obligación  de  impartir  justicia   en   su   derecho   interno,</w:t>
        <w:br/>
        <w:t>investigando los hechos y sancionando a los responsables[199]. Tal  como  lo</w:t>
        <w:br/>
        <w:t>señala la  presente  Sentencia  de  la  Corte  Interamericana,  la  "extrema</w:t>
        <w:br/>
        <w:t>gravedad" del presente caso fue subrayada,  en  el  plano  del  ordenamiento</w:t>
        <w:br/>
        <w:t>jurídico interno peruano, por la propia Tercera  Sala  Penal  de  El  Callao</w:t>
        <w:br/>
        <w:t>(párr. 142).  En  el  plano  del  ordenamiento  jurídico  internacional,  la</w:t>
        <w:br/>
        <w:t>particular gravedad de  determinadas  violaciones  de  los  derechos  de  la</w:t>
        <w:br/>
        <w:t>persona humana es determinada por algunos instrumentos internacionales.</w:t>
        <w:br/>
        <w:br/>
        <w:t>39.   Recuérdese, por ejemplo, que las cuatro  Convenciones  de  Ginebra  de</w:t>
        <w:br/>
        <w:t>1949 singularizan las  "infracciones  graves"[200],  y  los  dos  Protocolos</w:t>
        <w:br/>
        <w:t>Adicionales  de  1977   a   aquellas   Convenciones   consagran   "garantías</w:t>
        <w:br/>
        <w:t>fundamentales"[201], las cuales contienen  la  prohibición  absoluta,  inter</w:t>
        <w:br/>
        <w:t>alia, del homicidio y de cualquier  forma  de  tortura  (tanto  física  como</w:t>
        <w:br/>
        <w:t>mental)[202]. Ha sido precisamente la  búsqueda  de  una  jerarquía  en  los</w:t>
        <w:br/>
        <w:t>planos tanto normativo (jus  cogens)  cuanto  operativo  (obligaciones  erga</w:t>
        <w:br/>
        <w:t>omnes de protección), así  como  en  cuanto  a  la  caracterización  de  los</w:t>
        <w:br/>
        <w:t>ilícitos internacionales (violaciones graves de los  derechos  humanos)  que</w:t>
        <w:br/>
        <w:t>ha conformado en la actualidad  la  responsabilidad  internacional  agravada</w:t>
        <w:br/>
        <w:t>del Estado.</w:t>
        <w:br/>
        <w:br/>
        <w:t>40.   En la presente Sentencia, en  el  capítulo  sobre  la  responsabilidad</w:t>
        <w:br/>
        <w:t>internacional  del  Estado,  la  Corte  Interamericana  recuerda  que  dicha</w:t>
        <w:br/>
        <w:t>responsabilidad "se  genera  de  inmediato  con  el  ilícito  internacional"</w:t>
        <w:br/>
        <w:t>atribuído al Estado, y cualquier actuación  en  el  derecho  interno  no  la</w:t>
        <w:br/>
        <w:t>inhibe para seguir conociendo un caso, en un proceso ha iniciado ante  ella,</w:t>
        <w:br/>
        <w:t>por cuanto  es  su  rol  asegurar  la  debida  protección  de  los  derechos</w:t>
        <w:br/>
        <w:t>consagrados  en  la  Convención  Americana  y  las   reparaciones   de   las</w:t>
        <w:br/>
        <w:t>violaciones conmetidas (párrs. 75-76). Y agrega que, en el presente caso,</w:t>
        <w:br/>
        <w:br/>
        <w:t xml:space="preserve">            "la responsabilidad del Estado se ve agravada por existir en  el</w:t>
        <w:br/>
        <w:t xml:space="preserve">      Perú en la época de los hechos una práctica sistemática de violaciones</w:t>
        <w:br/>
        <w:t xml:space="preserve">      de derechos  humanos,  entre  ellas  ejecuciones  extrajudiciales,  de</w:t>
        <w:br/>
        <w:t xml:space="preserve">      personas sospechosas de pertenecer a grupos  armados,  realizadas  por</w:t>
        <w:br/>
        <w:t xml:space="preserve">      agentes estatales siguiendo órdenes de jefes militares  y  policiales.</w:t>
        <w:br/>
        <w:t xml:space="preserve">      Dichas violaciones  graves  infringen  el  jus  cogens  internacional.</w:t>
        <w:br/>
        <w:t xml:space="preserve">      Asimismo, para la determinación de  la  responsabilidad  agravada,  se</w:t>
        <w:br/>
        <w:t xml:space="preserve">      debe tomar en cuenta que las víctimas de este caso eran niños"  (párr.</w:t>
        <w:br/>
        <w:t xml:space="preserve">      76).</w:t>
        <w:br/>
        <w:br/>
        <w:t>41.   La Corte, asimismo, expresa su preocupación con  la  configuración  de</w:t>
        <w:br/>
        <w:t>una "situación de grave impunidad"  en  el  presente  caso  (párr.  148),  y</w:t>
        <w:br/>
        <w:t>agrega la advertencia  -  que  hoy  día  forma  parte  de  su  jurisprudence</w:t>
        <w:br/>
        <w:t>constante -  en  el  sentido  de  que,  "de  acuerdo  con  las  obligaciones</w:t>
        <w:br/>
        <w:t>convencionales asumidas por los Estados, ninguna disposición o instituto  de</w:t>
        <w:br/>
        <w:t>derecho  interno,  entre  ellos  la   prescripción,   podría   oponerse   al</w:t>
        <w:br/>
        <w:t>cumplimiento de las decisiones de la Corte en cuanto a  la  investigación  y</w:t>
        <w:br/>
        <w:t>sanción de los responsables de las  violaciones  de  los  derechos  humanos"</w:t>
        <w:br/>
        <w:t>(párr.151).</w:t>
        <w:br/>
        <w:br/>
        <w:t>42.   En otros casos ante esta Corte, además de destacar  la  emergencia  de</w:t>
        <w:br/>
        <w:t>un "verdadero régimen internacional contra las  violaciones  graves  de  los</w:t>
        <w:br/>
        <w:t>derechos humanos", para el cual han  contribuído  decisivamente  las  normas</w:t>
        <w:br/>
        <w:t>perentorias del derecho internacional (el jus  cogens)  y  las  obligaciones</w:t>
        <w:br/>
        <w:t>erga omnes de protección[203], he ponderado que</w:t>
        <w:br/>
        <w:br/>
        <w:t xml:space="preserve">            "no se puede negar la estrecha vinculación entre la reparación y</w:t>
        <w:br/>
        <w:t xml:space="preserve">      el combate a la impunidad, así como la garantía  de  no-repetición  de</w:t>
        <w:br/>
        <w:t xml:space="preserve">      los hechos lesivos, siempre y necesariamente desde la  perspectiva  de</w:t>
        <w:br/>
        <w:t xml:space="preserve">      las víctimas. La verdadera reparatio, vinculada a la realización de la</w:t>
        <w:br/>
        <w:t xml:space="preserve">      justicia, requiere la superación de la obstaculización de los  deberes</w:t>
        <w:br/>
        <w:t xml:space="preserve">      de investigación y sanción  de  los  responsables,  y  el  fin  de  la</w:t>
        <w:br/>
        <w:t xml:space="preserve">      impunidad"[204].</w:t>
        <w:br/>
        <w:br/>
        <w:t>43.   La búsqueda de la verdad, - me he permitido agregar, - "constituye  el</w:t>
        <w:br/>
        <w:t>punto de partida para la libertación así como la protección del ser  humano;</w:t>
        <w:br/>
        <w:t>sin la verdad (por más insoportable que ésta venga  a  ser)  no  es  posible</w:t>
        <w:br/>
        <w:t>libertarse del tormento de la incertidumbre, y tampoco  es  posible  ejercer</w:t>
        <w:br/>
        <w:t>los derechos protegidos"[205]. La cristalización del derecho  a  la  verdad,</w:t>
        <w:br/>
        <w:t>en cuya construcción jurisprudencial ha estado empeñada esta  Corte,  es  un</w:t>
        <w:br/>
        <w:t>imperativo para la preservación de "los  vínculos  y  lazos  de  solidaridad</w:t>
        <w:br/>
        <w:t>entre los muertos y los vivos, formando la unidad del género humano, con  el</w:t>
        <w:br/>
        <w:t>respeto debido a unos y a otros"[206].</w:t>
        <w:br/>
        <w:br/>
        <w:t>44.   No podría concluir este Voto Razonado  en  el  presente  caso  de  los</w:t>
        <w:br/>
        <w:t>Hermanos Gómez Paquiyauri sin hacer  mención  de  un  punto  que  me  parece</w:t>
        <w:br/>
        <w:t>igualmente significativo y digno de atención.  No  veo  cómo  negar  que  la</w:t>
        <w:br/>
        <w:t>responsabilidad  internacional  agravada  del  Estado  afecta  los   valores</w:t>
        <w:br/>
        <w:t>básicos de la comunidad internacional  contemporánea.  La  consagración  del</w:t>
        <w:br/>
        <w:t>jus cogens, en constante expansión[207], a su vez,  revela  precisamente  la</w:t>
        <w:br/>
        <w:t>alentadora  apertura  del  derecho  internacional  contemporáneo  a  valores</w:t>
        <w:br/>
        <w:t>superiores y fundamentales, al mismo tiempo  en  que  se  vislumbra,  en  un</w:t>
        <w:br/>
        <w:t>horizonte cada vez más  cercano,  la  aurora  de  un  derecho  internacional</w:t>
        <w:br/>
        <w:t>verdaderamente universal.</w:t>
        <w:br/>
        <w:br/>
        <w:br/>
        <w:br/>
        <w:br/>
        <w:br/>
        <w:br/>
        <w:t xml:space="preserve">                                            Antônio Augusto Cançado Trindade</w:t>
        <w:br/>
        <w:br/>
        <w:t xml:space="preserve">      Juez</w:t>
        <w:br/>
        <w:br/>
        <w:br/>
        <w:br/>
        <w:br/>
        <w:br/>
        <w:t>Pablo Saavedra Alessandri</w:t>
        <w:br/>
        <w:t xml:space="preserve">      Secretario</w:t>
        <w:br/>
        <w:t xml:space="preserve">          VOTO PARCIALMENTE DISIDENTE DE LA JUEZA C. MEDINA QUIROGA</w:t>
        <w:br/>
        <w:br/>
        <w:br/>
        <w:br/>
        <w:br/>
        <w:t xml:space="preserve">      Estoy de acuerdo con la sentencia de esta Corte,  excepto  en  lo  que</w:t>
        <w:br/>
        <w:t>respecta  a  la  decisión  de  considerar  violado  el  artículo  25  de  la</w:t>
        <w:br/>
        <w:t>Convención. Repito aquí mi disidencia en el caso  19  comerciantes,  fallado</w:t>
        <w:br/>
        <w:t>recientemente por la Corte:</w:t>
        <w:br/>
        <w:br/>
        <w:t>1. El artículo 25 consagra el derecho  del  individuo  a  que  sus  derechos</w:t>
        <w:br/>
        <w:t>humanos sean protegidos en el  ámbito  nacional,  de  una  manera  sencilla,</w:t>
        <w:br/>
        <w:t>rápida y efectiva, lo que se conoce en nuestro continente  como  el  derecho</w:t>
        <w:br/>
        <w:t>al recurso de amparo[208]. Tanto es así, que  la  primera  versión  de  esta</w:t>
        <w:br/>
        <w:t>disposición consagraba el derecho sólo para los derechos establecidos en  la</w:t>
        <w:br/>
        <w:t>Constitución y las leyes del país respectivo[209].  Su  posterior  enmienda,</w:t>
        <w:br/>
        <w:t>incorporando  la  formulación  del  artículo  2,   párrafo   3   del   Pacto</w:t>
        <w:br/>
        <w:t>Internacional de Derechos Civiles y Políticos, agregó la idea  de  que  este</w:t>
        <w:br/>
        <w:t>recurso de amparo debería proteger también los derechos humanos  consagrados</w:t>
        <w:br/>
        <w:t>en la Convención Americana[210].</w:t>
        <w:br/>
        <w:br/>
        <w:t xml:space="preserve">      En la Convención Americana,  el  artículo  25  se  titula  “protección</w:t>
        <w:br/>
        <w:t>judicial”, lo que podría llevar  a  sostener  que  es  una  disposición  que</w:t>
        <w:br/>
        <w:t>consagra “el derecho  de  acceso  a  la  justicia”.  Habría  que  decir,  al</w:t>
        <w:br/>
        <w:t>respecto, que ese  título  hace  alusión  a  que,  a  diferencia  del  Pacto</w:t>
        <w:br/>
        <w:t>Internacional de Derechos Civiles y Políticos (artículo 2.3.), los  recursos</w:t>
        <w:br/>
        <w:t>a que se refiere deben ser judiciales. El posible acceso a la  justicia  que</w:t>
        <w:br/>
        <w:t>concede el artículo 25 alcanzaría sólo a los recursos rápidos,  sencillos  y</w:t>
        <w:br/>
        <w:t>efectivos, es decir, sólo al recurso de amparo.</w:t>
        <w:br/>
        <w:br/>
        <w:t>2. El artículo 8, por su parte, sobre “garantías judiciales”,  no  establece</w:t>
        <w:br/>
        <w:t>el derecho a un  recurso, sino el debido proceso, es decir, el  conjunto  de</w:t>
        <w:br/>
        <w:t>requisitos que deben observarse en las instancias procesales con el  fin  de</w:t>
        <w:br/>
        <w:t>proteger el derecho de los individuos a  que  se  resuelvan  con  la  máxima</w:t>
        <w:br/>
        <w:t>justicia posible, por un lado, las controversias que se susciten  entre  dos</w:t>
        <w:br/>
        <w:t>partes- sean ellas particulares u órganos del Estado y sea que  se  refieran</w:t>
        <w:br/>
        <w:t>a materias que estén o no en el ámbito de los  derechos  humanos  -  y,  por</w:t>
        <w:br/>
        <w:t>otro,  la culpabilidad o inocencia de una persona.</w:t>
        <w:br/>
        <w:br/>
        <w:t xml:space="preserve">   El artículo 8 establece, así, un amplio derecho al acceso a  la  justicia</w:t>
        <w:br/>
        <w:t>para todos  estos  efectos  y  regula  la  manera  cómo  esa  justicia  debe</w:t>
        <w:br/>
        <w:t>impartirse.</w:t>
        <w:br/>
        <w:br/>
        <w:t>3. Siendo esto así, ambos derechos son de distinta naturaleza y su  relación</w:t>
        <w:br/>
        <w:t>es una de substancia a forma,  como  lo  dice  esta  Corte,  por  cuanto  el</w:t>
        <w:br/>
        <w:t>artículo 25 consagra el derecho  a  un  recurso  judicial  mientras  que  el</w:t>
        <w:br/>
        <w:t>artículo 8 establece la manera como éste se tramita[211].</w:t>
        <w:br/>
        <w:br/>
        <w:t xml:space="preserve">      Estimo de la mayor importancia preservar  la  distinción  entre  ambos</w:t>
        <w:br/>
        <w:t>artículos. Si se analiza el artículo 25 con los parámetros del artículo 8  -</w:t>
        <w:br/>
        <w:t>por ejemplo, el plazo razonable - se desvirtúa el sentido del  primero,  que</w:t>
        <w:br/>
        <w:t>requiere no un plazo razonable  que  puede  fácilmente  superar  un  año  en</w:t>
        <w:br/>
        <w:t>términos  del  artículo  8,  sino  rapidez,  es  decir,   probablemente   su</w:t>
        <w:br/>
        <w:t>resolución en términos de días.</w:t>
        <w:br/>
        <w:br/>
        <w:br/>
        <w:br/>
        <w:br/>
        <w:br/>
        <w:br/>
        <w:br/>
        <w:br/>
        <w:t xml:space="preserve">                                       Cecilia Medina Quiroga</w:t>
        <w:br/>
        <w:t xml:space="preserve">                                                Jueza</w:t>
        <w:br/>
        <w:br/>
        <w:br/>
        <w:br/>
        <w:br/>
        <w:br/>
        <w:br/>
        <w:t>Pablo Saavedra Alessandri</w:t>
        <w:br/>
        <w:br/>
        <w:t xml:space="preserve">        Secretario</w:t>
        <w:br/>
        <w:t xml:space="preserve">          VOTO RAZONADO DEL JUEZ AD HOC FRANCISCO EGUIGUREN PRAELI</w:t>
        <w:br/>
        <w:br/>
        <w:br/>
        <w:br/>
        <w:t>He  votado de manera conjunta compartiendo la  sentencia  de  la  Corte  que</w:t>
        <w:br/>
        <w:t>declara la responsabilidad del Estado del  Perú  por  la  violación  de  los</w:t>
        <w:br/>
        <w:t>derechos de los hermanos  Rafael  y  Emilio  Gómez  Paquiyauri  a  la  vida,</w:t>
        <w:br/>
        <w:t>libertad personal, integridad personal, garantías  judiciales  y  otros.  No</w:t>
        <w:br/>
        <w:t>obstante, estimo necesario expresar algunas reflexiones personales  respecto</w:t>
        <w:br/>
        <w:t>a la naturaleza y circunstancias particulares de este caso, así  como  a  la</w:t>
        <w:br/>
        <w:t>forma en que, considero, debería abordarse el tema de la  reparación  a  las</w:t>
        <w:br/>
        <w:t>víctimas, especialmente cuando se trata  del  asesinato  de  un  niño  y  un</w:t>
        <w:br/>
        <w:t>adolescente.</w:t>
        <w:br/>
        <w:br/>
        <w:t>1.- Los hermanos Rafael y Emilio Gómez  Paquiyauri,  tenían  14  y  17  años</w:t>
        <w:br/>
        <w:t>respectivamente. Eran, pues, dos menores de  edad,  que  fueron  indebida  y</w:t>
        <w:br/>
        <w:t>arbitrariamente  privados  de  su  libertad  por  personal  de  la   Policía</w:t>
        <w:br/>
        <w:t>Nacional, sin que estuvieran incursos en mandato judicial  de  detención  ni</w:t>
        <w:br/>
        <w:t>en situación de flagrante delito. Ni siquiera  realizaban  actividad  alguna</w:t>
        <w:br/>
        <w:t>que hubiera justificado  su  detención,  incluso  dentro  de  un  estado  de</w:t>
        <w:br/>
        <w:t>emergencia. Al momento de su detención fueron sometidos a maltratos por  los</w:t>
        <w:br/>
        <w:t>efectivos policiales; no se les condujo a un  centro  de  detención,  siendo</w:t>
        <w:br/>
        <w:t>trasladados a un paraje apartado donde se les sometió  a  tortura  y  tratos</w:t>
        <w:br/>
        <w:t>crueles poco antes de ejecutarlos en forma vil y alevosa.</w:t>
        <w:br/>
        <w:br/>
        <w:t>Tales  hechos  han  sido  plenamente  probados  en  este  proceso  ante   la</w:t>
        <w:br/>
        <w:t>jurisdicción internacional, pero también  quedaron  previamente  acreditados</w:t>
        <w:br/>
        <w:t>en el proceso penal ante el Poder  Judicial  nacional,  que  condenó  a  los</w:t>
        <w:br/>
        <w:t>autores directos de estas violaciones graves. También han  sido  reconocidos</w:t>
        <w:br/>
        <w:t>y aceptados por el  propio  Estado.  La  responsabilidad  internacional  del</w:t>
        <w:br/>
        <w:t>Estado del Perú, a consecuencia de las violaciones a  los  derechos  humanos</w:t>
        <w:br/>
        <w:t>cometidas por personal policial, no admite pues dudas. De  allí  la  condena</w:t>
        <w:br/>
        <w:t>que le impone la sentencia de la Corte y su  obligación  de  reparar  a  las</w:t>
        <w:br/>
        <w:t>víctimas.</w:t>
        <w:br/>
        <w:br/>
        <w:t>2.- Si bien los dos autores directos de estos  crímenes  fueron  juzgados  y</w:t>
        <w:br/>
        <w:t>sancionados en la jurisdicción interna, recibiendo condenas de 18 y  6  años</w:t>
        <w:br/>
        <w:t>de prisión  respectivamente,  diversos  aspectos  del  caso  son  seriamente</w:t>
        <w:br/>
        <w:t>cuestionables.</w:t>
        <w:br/>
        <w:br/>
        <w:t>En primer lugar, los condenados recuperaron la libertad poco tiempo  después</w:t>
        <w:br/>
        <w:t>de la sentencia, sin haber cumplido  siquiera  un  tercio  de  la  pena  con</w:t>
        <w:br/>
        <w:t>prisión efectiva, acogiéndose a beneficios penitenciarios. Aunque  no  puede</w:t>
        <w:br/>
        <w:t>negarse  la  existencia   y  aplicación  de  estos  beneficios,  cuando  nos</w:t>
        <w:br/>
        <w:t>encontramos ante una rehabilitación social del delincuente, su  otorgamiento</w:t>
        <w:br/>
        <w:t>por el Estado –como ha señalado la  Corte  en  esta  sentencia--   debe  ser</w:t>
        <w:br/>
        <w:t>debidamente ponderado  y  analizado.  Sobre  si  nos  encontramos  frente  a</w:t>
        <w:br/>
        <w:t>violaciones graves de los derechos humanos, perpetradas  en  agravio  de  un</w:t>
        <w:br/>
        <w:t>niño y un adolescente inocentes,  a  fin  de  evitar  que  tales  beneficios</w:t>
        <w:br/>
        <w:t>puedan constituir una forma encubierta de impunidad.</w:t>
        <w:br/>
        <w:br/>
        <w:t>En segundo lugar, las indemnizaciones impuestas como reparación a pagar  por</w:t>
        <w:br/>
        <w:t>los condenados en el proceso penal, no han sido pagadas a los deudos de  los</w:t>
        <w:br/>
        <w:t>hermanos Gómez Paquiyauri, dado los escasos ingresos y  recursos  económicos</w:t>
        <w:br/>
        <w:t>de que disponen estos ex  policías. Y dado que la Policía  o  el  Estado  no</w:t>
        <w:br/>
        <w:t>fueron emplazados ni condenados en el proceso ante la jurisdicción  interna,</w:t>
        <w:br/>
        <w:t>tampoco se les impuso el pago solidario de alguna indemnización en favor  de</w:t>
        <w:br/>
        <w:t>las víctimas, lo que ha impedido hacer efectivo cualquier cobro.</w:t>
        <w:br/>
        <w:br/>
        <w:t>En tercer lugar, el capitán de  la  Policía,  sindicado,  por   los  autores</w:t>
        <w:br/>
        <w:t>materiales de los crímenes, como  autor  intelectual  y  responsable  de  la</w:t>
        <w:br/>
        <w:t>orden de ejecución de los  hermanos  Gómez  Paquiyauri,  no  ha  podido  ser</w:t>
        <w:br/>
        <w:t>juzgado ni condenado hasta la fecha por encontrarse prófugo de la  justicia,</w:t>
        <w:br/>
        <w:t>quedando el proceso reservado y en riesgo de prescribir la acción penal.  Es</w:t>
        <w:br/>
        <w:t>grave que, a pesar de haber transcurrido 13 años desde  los  crímenes,  este</w:t>
        <w:br/>
        <w:t>prófugo no haya sido capturado, lo que  pone  en  tela  de  juicio  la  real</w:t>
        <w:br/>
        <w:t>voluntad de las autoridades nacionales de realizar su búsqueda y  detención.</w:t>
        <w:br/>
        <w:t>Más aún si tal prófugo ha presentado recursos dentro del proceso, por  medio</w:t>
        <w:br/>
        <w:t>de su abogado.</w:t>
        <w:br/>
        <w:br/>
        <w:t>Ello no sólo configura una evidente situación de impunidad,  sino  que  abre</w:t>
        <w:br/>
        <w:t>legítimas   dudas,   pendientes   de   investigación,   sobre   la   posible</w:t>
        <w:br/>
        <w:t>participación de algunos otros autores intelectuales o  responsables  de  la</w:t>
        <w:br/>
        <w:t>orden de ejecución de los hermanos Gómez Paquiyauri,  a nivel  de  oficiales</w:t>
        <w:br/>
        <w:t>superiores de la Policía o de las autoridades políticas. Como  ha  dispuesto</w:t>
        <w:br/>
        <w:t>la sentencia de la Corte, se impone que el  Estado  realice  la  captura  de</w:t>
        <w:br/>
        <w:t>este  prófugo,  sin  dejar  prescribir  los  delitos,   procediendo   a   la</w:t>
        <w:br/>
        <w:t>investigación cabal de los hechos y a la condena  y  sanción  de  todos  los</w:t>
        <w:br/>
        <w:t>responsables.</w:t>
        <w:br/>
        <w:br/>
        <w:t>3.- Respecto al tema  de  las  reparaciones,   considero  que  hubiera  sido</w:t>
        <w:br/>
        <w:t>preferible establecer como criterio predominante la reparación del  daño  al</w:t>
        <w:br/>
        <w:t>proyecto de vida, ocasionado por  la  ejecución  de  ambos  niños.  Ello  lo</w:t>
        <w:br/>
        <w:t>encuentro preferible y más adecuado que haber considerado  dentro  del  daño</w:t>
        <w:br/>
        <w:t>material la pérdida de ingresos, como  se  ha  he  hecho  en  ésta  y  otras</w:t>
        <w:br/>
        <w:t>sentencias de la Corte. El daño al proyecto de vida, conforme señalaron  los</w:t>
        <w:br/>
        <w:t>jueces Cançado Trindade y Abreu Burelli en su voto razonado conjunto  en  el</w:t>
        <w:br/>
        <w:t>caso Loayza Tamayo, resulta un concepto  más  apropiado  tratándose  de  una</w:t>
        <w:br/>
        <w:t>reparación por violaciones graves a  los  derechos  humanos.  Permite  tomar</w:t>
        <w:br/>
        <w:t>distancia de criterios  propios  del  Derecho  Civil  Patrimonial,  como  la</w:t>
        <w:br/>
        <w:t>pérdida de ingresos, el daño emergente, el daño al patrimonio familiar o  el</w:t>
        <w:br/>
        <w:t xml:space="preserve"> lucro cesante.</w:t>
        <w:br/>
        <w:br/>
        <w:t>El daño al  proyecto  de  vida  involucra  tanto  aspectos  materiales  como</w:t>
        <w:br/>
        <w:t>inmateriales en la violación de este  derecho  fundamental  de  la  persona;</w:t>
        <w:br/>
        <w:t>comprende así  no  sólo  una  reparación  indemnizatoria  por  la  privación</w:t>
        <w:br/>
        <w:t>arbitraria de la vida, sino  por  la  afectación  y  truncamiento  al  libre</w:t>
        <w:br/>
        <w:t>desarrollo de la personalidad, la interrupción de las acciones que  pudieron</w:t>
        <w:br/>
        <w:t>realizar ambos niños no sólo  en  lo  laboral  (pérdida  de  ingresos)  sino</w:t>
        <w:br/>
        <w:t>también en aspectos espirituales, la realización  personal  y  familiar,  la</w:t>
        <w:br/>
        <w:t>consecución de planes y metas.  Valorar  el  daño  material  estimándolo  en</w:t>
        <w:br/>
        <w:t>pérdida de ingresos, resulta poco satisfactorio sobre  todo   tratándose  de</w:t>
        <w:br/>
        <w:t>niños o adolescentes que no han  adquirido  aún  propiamente  una  inserción</w:t>
        <w:br/>
        <w:t>laboral o realización profesional,  ni  una  incorporación  efectiva  en  el</w:t>
        <w:br/>
        <w:t>mercado de trabajo. El reconocimiento  de  un  daño  al  proyecto  de  vida,</w:t>
        <w:br/>
        <w:t>resulta así más integral y consistente desde una perspectiva  de  protección</w:t>
        <w:br/>
        <w:t>a  los   derechos   humanos,   apartándose   de   corrientes   esencialmente</w:t>
        <w:br/>
        <w:t>patrimonialistas. Además incluye  la  dimensión  inmaterial,  lo  que   hace</w:t>
        <w:br/>
        <w:t>innecesario tener que contemplar por separado un daño moral a  las  víctimas</w:t>
        <w:br/>
        <w:t>directas cuando éstas han muerto.. Considero,  pues,  que  la  Corte  podría</w:t>
        <w:br/>
        <w:t>revisar los criterios para establecer las  reparaciones  en  casos  futuros,</w:t>
        <w:br/>
        <w:t>con mayor razón cuando se trata de  niños  o  adolescentes  privados  de  la</w:t>
        <w:br/>
        <w:t>vida.</w:t>
        <w:br/>
        <w:br/>
        <w:t>4.-   Aunque  tampoco  comparo  del  todo  el  uso  del  criterio  del  daño</w:t>
        <w:br/>
        <w:t>emergente, encuentro positivo que, finalmente, la Corte haya  agrupado  bajo</w:t>
        <w:br/>
        <w:t>este concepto  un  conjunto  de  gastos  efectuados  por  la  familia  Gómez</w:t>
        <w:br/>
        <w:t>Paquiyauri a consecuencia de la muerte de sus hijos Rafael y  Emilio,  tales</w:t>
        <w:br/>
        <w:t>como  gastos  funerarios  y  de  tratamiento  médico  para  algunos  de  los</w:t>
        <w:br/>
        <w:t>familiares. También encuentro adecuado que se haya  optado  por  incluir  en</w:t>
        <w:br/>
        <w:t>este rubro los recursos  destinados  para  el  tratamiento  psicológico  que</w:t>
        <w:br/>
        <w:t>puedan haber requerido o que requieran en el futuro  los  miembros  de  esta</w:t>
        <w:br/>
        <w:t>familia, como consecuencia del  sufrimiento  padecido  y  de  los  actos  de</w:t>
        <w:br/>
        <w:t>hostigamiento y segregación a que fueron  injustamente  expuestos.  De  este</w:t>
        <w:br/>
        <w:t>modo, se evita consignar los gastos  por  tratamiento  psicológico  como  un</w:t>
        <w:br/>
        <w:t>rubro específico de la  reparación  por  daño  inmaterial,  conforme  se  ha</w:t>
        <w:br/>
        <w:t>establecido en otros casos, reconociendo –más bien-- que realmente se  trata</w:t>
        <w:br/>
        <w:t>de un gasto a consecuencia de  la  violación  a  los  derechos  sufrida,  es</w:t>
        <w:br/>
        <w:t>decir, una suerte de “daño emergente”. Dado que el grueso  de  estos  gastos</w:t>
        <w:br/>
        <w:t>fueron afrontados por los padres, parece razonable que  esta  reparación  se</w:t>
        <w:br/>
        <w:t>entregue a ellos  y no individualmente a cada integrante de la familia.</w:t>
        <w:br/>
        <w:br/>
        <w:t>5.-  Debe  resaltarse  la  decisión  de  la  Corte  que,  además  de   haber</w:t>
        <w:br/>
        <w:t>considerado a los hermanos Rafael y Emilio Gómez  Paquiyauri  como  víctimas</w:t>
        <w:br/>
        <w:t>directas, resolvió incluir a los miembros de su familia (padres y  hermanos)</w:t>
        <w:br/>
        <w:t>como  víctimas  indirectas  (parágrafos  118  y  119),   atendiendo  a   los</w:t>
        <w:br/>
        <w:t>padecimientos ulteriores que  han  tenido  que  soportar  en  su  integridad</w:t>
        <w:br/>
        <w:t>personal y dignidad. En tal sentido, se justifica su  condición  de  sujetos</w:t>
        <w:br/>
        <w:t>de reparación por daño inmaterial o moral.</w:t>
        <w:br/>
        <w:br/>
        <w:t>Comparto lo expuesto por la Corte,  en  los  parágrafos  218  y  219  de  la</w:t>
        <w:br/>
        <w:t>sentencia, respecto a que debe admitirse, sin necesidad de  mayor  probanza,</w:t>
        <w:br/>
        <w:t>el padecimiento y aflicción que  causa  la  muerte  de  un  familiar  a  los</w:t>
        <w:br/>
        <w:t>miembros de la familia ligados por un estrecho contacto afectivo   o  físico</w:t>
        <w:br/>
        <w:t>con los fallecidos. Con mayor razón cuando se  trata  del  asesinato  de  un</w:t>
        <w:br/>
        <w:t>niño.  También comparto la aseveración de que, no obstante, resulta  difícil</w:t>
        <w:br/>
        <w:t>en este caso determinar o individualizar el distinto grado de sufrimiento  o</w:t>
        <w:br/>
        <w:t>afectación padecido por cada miembro del entorno familiar.  Por  ello,  dado</w:t>
        <w:br/>
        <w:t>que a lo  largo  del  proceso  ante  la  jurisdicción  internacional  se  ha</w:t>
        <w:br/>
        <w:t>evidenciado que ha sido la familia Gómez Paquiyauri la que  ha  padecido  en</w:t>
        <w:br/>
        <w:t>su conjunto no sólo la muerte  de  sus  hijos  Rafael  y  Emilio,  sino  los</w:t>
        <w:br/>
        <w:t>hostigamientos  y  afectaciones  ulteriores,   parece   razonable   que   la</w:t>
        <w:br/>
        <w:t>reparación por  daño  moral  se  entregue  a  los  padres  de  las  víctimas</w:t>
        <w:br/>
        <w:t>directas, para que éstos decidan sobre  la  utilización  o  distribución  de</w:t>
        <w:br/>
        <w:t>este monto en favor del conjunto del núcleo familiar.</w:t>
        <w:br/>
        <w:br/>
        <w:t>También está plenamente justificado que se haya incorporado  como  víctimas,</w:t>
        <w:br/>
        <w:t>sujetas a reparación por daño moral, a la niña  Nora  Emely  Gómez  Peralta,</w:t>
        <w:br/>
        <w:t>hija de Rafael Gómez Paquiyauri, nacida después de su fallecimiento, y a  su</w:t>
        <w:br/>
        <w:t>madre Jacinta Peralta. Ambas han sufrido especial padecimiento  y  aflicción</w:t>
        <w:br/>
        <w:t>por la pérdida abrupta de Rafael en pleno embarazo de  Jacinta,  privando  a</w:t>
        <w:br/>
        <w:t>su vez a la niña de la presencia de su padre.</w:t>
        <w:br/>
        <w:br/>
        <w:t>6.-   Siendo que la reparación  no  debe  limitarse  únicamente  a  aspectos</w:t>
        <w:br/>
        <w:t>patrimoniales o de indemnización, resulta  fundamental  que  la  Corte  haya</w:t>
        <w:br/>
        <w:t>incluido como  parte  de  la  reparación  actos  públicos  de  satisfacción,</w:t>
        <w:br/>
        <w:t>resarcimiento y desagravio a los hermanos Gómez  Paquiyauri  y  su  familia.</w:t>
        <w:br/>
        <w:t>Puede así mencionarse los mandatos de la Corte  para que se haga un  público</w:t>
        <w:br/>
        <w:t>reconocimiento  de  la  responsabilidad  del  Estado  en   este   caso,   la</w:t>
        <w:br/>
        <w:t>publicación de las partes pertinentes de la sentencia que prueban la  verdad</w:t>
        <w:br/>
        <w:t>de lo sucedido,  que se asigne el nombre de los  hermanos  Rafael  y  Emilio</w:t>
        <w:br/>
        <w:t>Gómez Paquiyauri a un colegio de El Callao, o que se  otorgue  una  beca  de</w:t>
        <w:br/>
        <w:t>estudios para la niña Nora Emely.</w:t>
        <w:br/>
        <w:br/>
        <w:t>7.- Considero que el caso de los hermanos Gómez Paquiyauri  es  emblemático,</w:t>
        <w:br/>
        <w:t>pues ilustra sobre violaciones graves a los derechos  humanos  sucedidas  en</w:t>
        <w:br/>
        <w:t>el Perú a consecuencia  de  una  política  represiva  y  antisubversiva  que</w:t>
        <w:br/>
        <w:t>desconoció los derechos fundamentales y el  respeto  a  la  dignidad  de  la</w:t>
        <w:br/>
        <w:t>persona.  La responsabilidad del Estado es  pues  nítida  y  manifiesta.  De</w:t>
        <w:br/>
        <w:t>allí que, además de la reparación a las víctimas, es  importante  el  aporte</w:t>
        <w:br/>
        <w:t>de la sentencia al esclarecimiento de la verdad y a la realización de  actos</w:t>
        <w:br/>
        <w:t>y medidas que hagan que se tome conciencia social de la  magnitud  del  daño</w:t>
        <w:br/>
        <w:t>causado, así como  a  la  necesidad  de  evitar  que  estas  situaciones  se</w:t>
        <w:br/>
        <w:t>repitan.</w:t>
        <w:br/>
        <w:br/>
        <w:t>El Estado y la sociedad peruana deben asumir y comprender que  el  asesinato</w:t>
        <w:br/>
        <w:t>cruel y absurdo de un niño y un  adolescente,  no  puede  quedar  impune  ni</w:t>
        <w:br/>
        <w:t>exento de  sanción  y  reparación.  Pero  no  se  trata  de  circunscribirse</w:t>
        <w:br/>
        <w:t>únicamente a aprobar o cuestionar el  monto  de  la  reparación  patrimonial</w:t>
        <w:br/>
        <w:t>impuesta por la Corte al Estado en favor de los familiares de  los  hermanos</w:t>
        <w:br/>
        <w:t>Gómez Paquiyauri. Detener arbitrariamente y maltratar  a  estos  menores  de</w:t>
        <w:br/>
        <w:t>edad, someterlos a torturas y ejecutarlos, mentir al público  indicando  que</w:t>
        <w:br/>
        <w:t>fueron terrositas muertos en un enfrentamiento armado con  las  fuerzas  del</w:t>
        <w:br/>
        <w:t>orden;  son  hechos  muy  graves  e  inaceptables  dentro  de   un   régimen</w:t>
        <w:br/>
        <w:t>democrático,  comprometido  con  el  respeto  de  la  persona  humana  y  su</w:t>
        <w:br/>
        <w:t>dignidad.</w:t>
        <w:br/>
        <w:br/>
        <w:t>Lo sucedido en el caso de los hermanos  Gómez  Paquiyauri  debe  conmover  y</w:t>
        <w:br/>
        <w:t>consternar a la sociedad peruana y  sus  autoridades.  Si  estos  hechos  no</w:t>
        <w:br/>
        <w:t>hubieran sido casualmente registrados por la televisión, tal vez  la  verdad</w:t>
        <w:br/>
        <w:t>nunca  se  hubiera  conocido  ni  los  victimarios  directos  habrían   sido</w:t>
        <w:br/>
        <w:t>sancionados,  aunque  sea  parcialmente.  La  Comisión  de   la   Verdad   y</w:t>
        <w:br/>
        <w:t>Reconciliación Nacional ha documentado miles de casos  de  violación  a  los</w:t>
        <w:br/>
        <w:t>derechos humanos que no  tuvieron,  en  su  momento,   esta  posibilidad  de</w:t>
        <w:br/>
        <w:t>esclarecimiento.</w:t>
        <w:br/>
        <w:br/>
        <w:t>El caso de los hermanos Gómez Paquiyauri es particularmente doloroso,  sobre</w:t>
        <w:br/>
        <w:t>todo porque se trató del asesinato de un niño y un adolescente inocentes  de</w:t>
        <w:br/>
        <w:t>cualquier delito o falta, ejecutados por personal policial  con  crueldad  e</w:t>
        <w:br/>
        <w:t>indolencia. La  Corte  Interamericana  de  Derechos  Humanos  les  ha  hecho</w:t>
        <w:br/>
        <w:t>finalmente justicia, a ellos y a sus  familiares.  El  Estado  Peruano  debe</w:t>
        <w:br/>
        <w:t>asumir su responsabilidad, a pesar que actualmente exista  un  gobierno  que</w:t>
        <w:br/>
        <w:t>se esfuerza por respetar los derechos  humanos  y  dar  cumplimiento  a  las</w:t>
        <w:br/>
        <w:t>sentencias de la Corte.</w:t>
        <w:br/>
        <w:br/>
        <w:br/>
        <w:br/>
        <w:br/>
        <w:br/>
        <w:br/>
        <w:t xml:space="preserve">                                                            FRANCISCO   JOSÉ</w:t>
        <w:br/>
        <w:t>EGUIGUREN PRAELI</w:t>
        <w:br/>
        <w:br/>
        <w:t xml:space="preserve">    JUEZ AD HOC</w:t>
        <w:br/>
        <w:br/>
        <w:br/>
        <w:br/>
        <w:br/>
        <w:br/>
        <w:t>Pablo Saavedra Alessandri</w:t>
        <w:br/>
        <w:t xml:space="preserve">         Secretario</w:t>
        <w:br/>
        <w:t>-----------------------</w:t>
        <w:br/>
        <w:t>*     El Juez Diego García-Sayán se excusó de conocer el presente caso.</w:t>
        <w:br/>
        <w:br/>
        <w:t>[1]   Mediante comunicación de 5 de marzo de 2002, los familiares de las</w:t>
        <w:br/>
        <w:t>presuntas víctimas informaron al Tribunal sobre el nombramiento de la</w:t>
        <w:br/>
        <w:t>señora Mónica Feria Tinta como su representante para el trámite ante la</w:t>
        <w:br/>
        <w:t>Corte Interamericana.  La notificación a la señora Mónica Feria Tinta de la</w:t>
        <w:br/>
        <w:t>demanda, sus anexos y la restante documentación, se realizó el 7 de marzo</w:t>
        <w:br/>
        <w:t>de 2002.  Dicha representante solicitó una prórroga para la presentación de</w:t>
        <w:br/>
        <w:t>su escrito de solicitudes, argumentos y pruebas, la cual fue otorgada hasta</w:t>
        <w:br/>
        <w:t>el 10 de abril de 2002, en consideración de las circunstancias particulares</w:t>
        <w:br/>
        <w:t>del presente caso.</w:t>
        <w:br/>
        <w:br/>
        <w:t>[2]   El escrito en calidad de amicus curiae fue presentado por los señores</w:t>
        <w:br/>
        <w:t>James Crawford y Simon Olleson.</w:t>
        <w:br/>
        <w:br/>
        <w:t>[3]   Asimismo, la representante de las presuntas víctimas y sus familiares</w:t>
        <w:br/>
        <w:t>remitió el 1º de abril de 2004, una carta del señor Ole Vedel Rasmussen,</w:t>
        <w:br/>
        <w:t>quien debido a su designación como Relator para examinar al Perú bajo el</w:t>
        <w:br/>
        <w:t>artículo 20 de la Convención contra la Tortura y Otros Tratos o Penas</w:t>
        <w:br/>
        <w:t>Crueles, Inhumanos o Degradantes, se inhibía de actuar como perito en el</w:t>
        <w:br/>
        <w:t>presente caso.</w:t>
        <w:br/>
        <w:br/>
        <w:t>[4]   Juan Valdelomar Quiroz Chávez.</w:t>
        <w:br/>
        <w:br/>
        <w:t>[5]   Cfr. Caso Maritza Urrutia. Sentencia de 27 de noviembre de 2003.</w:t>
        <w:br/>
        <w:t>Serie C No. 103, párr. 46; Caso Myrna Mack Chang. Sentencia de 25 de</w:t>
        <w:br/>
        <w:t>noviembre de 2003. Serie C No. 101, párr. 118; y Caso Baena Ricardo y</w:t>
        <w:br/>
        <w:t>otros. Competencia. Sentencia de 28 de noviembre de 2003. Serie C No. 104,</w:t>
        <w:br/>
        <w:t>párr. 106.</w:t>
        <w:br/>
        <w:br/>
        <w:t>[6]   Cfr. Caso Maritza Urrutia, supra nota 5, párr. 48; Caso Juan Humberto</w:t>
        <w:br/>
        <w:t>Sánchez. Interpretación de Sentencia sobre Excepciones Preliminares, Fondo</w:t>
        <w:br/>
        <w:t>y Reparaciones (art. 67 de la Convención Americana sobre Derechos Humanos).</w:t>
        <w:br/>
        <w:t>Sentencia de 26 de noviembre de 2003. Serie C No. 102, párr. 28; Caso Myrna</w:t>
        <w:br/>
        <w:t>Mack Chang, supra nota 5, párr. 120; y Caso Bulacio. Sentencia de 18 de</w:t>
        <w:br/>
        <w:t>septiembre de 2003. Serie C No. 100, párr. 42.</w:t>
        <w:br/>
        <w:br/>
        <w:t>[7]   Cfr. Caso Maritza Urrutia, supra nota 5, párr. 48; Caso Myrna Mack</w:t>
        <w:br/>
        <w:t>Chang, supra nota 5, párr. 120; y Caso Bulacio, supra nota 6, párr. 42.</w:t>
        <w:br/>
        <w:br/>
        <w:t>[8]   Cfr. Caso Maritza Urrutia, supra nota 5, párr. 48; Caso Juan Humberto</w:t>
        <w:br/>
        <w:t>Sánchez. Interpretación de Sentencia, supra nota 6, párr. 42; Caso Myrna</w:t>
        <w:br/>
        <w:t>Mack Chang, supra nota 5, párr. 120; y Caso Bulacio, supra nota 6, párr.</w:t>
        <w:br/>
        <w:t>42.</w:t>
        <w:br/>
        <w:br/>
        <w:t>[9]   Cfr. expediente correspondiente a los anexos a la demanda presentada</w:t>
        <w:br/>
        <w:t>por la Comisión Interamericana, tomo I, anexos 1 a 25, folios 1 a 357 y</w:t>
        <w:br/>
        <w:t>expediente correspondiente al anexo 26 de la demanda; expediente</w:t>
        <w:br/>
        <w:t>correspondiente a los anexos del escrito de 15 de abril de 2002 de</w:t>
        <w:br/>
        <w:t>solicitudes, argumentos y pruebas de la representante de las presuntas</w:t>
        <w:br/>
        <w:t>víctimas, tomos II y III,  anexos 1 al 70, folios 358 a 802; anexos 1 a 9</w:t>
        <w:br/>
        <w:t>del escrito de contestación a la demanda de 22 de abril de 2002 presentado</w:t>
        <w:br/>
        <w:t>por el Estado (expediente sobre fondo, reparaciones y costas, tomo II,</w:t>
        <w:br/>
        <w:t>folios 278 a 385).</w:t>
        <w:br/>
        <w:br/>
        <w:t>[10]  Cfr. expediente de prueba correspondiente al affidávit y anexos</w:t>
        <w:br/>
        <w:t>presentados por la representante de las presuntas víctimas y sus</w:t>
        <w:br/>
        <w:t>familiares, prueba documental, tomo V, folios 944 a 1070.</w:t>
        <w:br/>
        <w:br/>
        <w:t>[11]  Cfr. expediente de fondo, reparaciones y costas, tomo IV, folios 967</w:t>
        <w:br/>
        <w:t>a 1046.</w:t>
        <w:br/>
        <w:br/>
        <w:t>[12]  Cfr. expediente de anexos al escrito de alegatos finales presentado</w:t>
        <w:br/>
        <w:t>por el Estado, tomo VI, folios 1071 a 1172; y expediente de anexos al</w:t>
        <w:br/>
        <w:t>escrito de alegatos finales presentado por la representante de las</w:t>
        <w:br/>
        <w:t>presuntas víctimas, tomo VII, folios 1173 a 1514.</w:t>
        <w:br/>
        <w:br/>
        <w:t>[13]  Cfr. expediente de fondo, reparaciones y costas, tomo V, folios 1145</w:t>
        <w:br/>
        <w:t>a 1148.</w:t>
        <w:br/>
        <w:br/>
        <w:t>[14]  Cfr. Caso Maritza Urrutia, supra nota 5, párr. 52; Caso Myrna Mack</w:t>
        <w:br/>
        <w:t>Chang, supra nota 5, párr. 128; y Caso Bulacio, supra nota 6, párr. 57.</w:t>
        <w:br/>
        <w:br/>
        <w:t>[15]  Cfr. Caso Myrna Mack Chang, supra nota 5, párr. 131 in fine; Caso</w:t>
        <w:br/>
        <w:t>Bulacio, supra nota 6, párr. 63; y Caso Juan Humberto Sánchez. Sentencia de</w:t>
        <w:br/>
        <w:t>7 de junio de 2003. Serie C No. 99, párr. 56.</w:t>
        <w:br/>
        <w:br/>
        <w:t>[16]  Cfr. expediente de fondo, reparaciones y costas, tomo IV, folios 907</w:t>
        <w:br/>
        <w:t>a 917.</w:t>
        <w:br/>
        <w:br/>
        <w:t>[17]  Cfr. Caso Myrna Mack Chang, supra nota 5, párr. 130; Caso Las</w:t>
        <w:br/>
        <w:t>Palmeras. Reparaciones (art. 63.1 Convención Americana sobre Derechos</w:t>
        <w:br/>
        <w:t>Humanos). Sentencia de 26 de noviembre de 2002. Serie C No. 96, párr. 30; y</w:t>
        <w:br/>
        <w:t>Caso del Caracazo. Reparaciones (art. 63.1 Convención Americana sobre</w:t>
        <w:br/>
        <w:t>Derechos Humanos). Sentencia de 29 de agosto de 2002. Serie C No. 95, párr.</w:t>
        <w:br/>
        <w:t>59.</w:t>
        <w:br/>
        <w:br/>
        <w:t>[18]  Cfr. Caso Maritza Urrutia, supra nota 5, párrs. 44, 48 y 49; Caso</w:t>
        <w:br/>
        <w:t>Myrna Mack Chang, supra nota 5, párrs. 120 y 121; Caso Bulacio, supra nota</w:t>
        <w:br/>
        <w:t>6, párr. 62; Caso Juan Humberto Sánchez, supra nota 15, párr. 55; y Caso</w:t>
        <w:br/>
        <w:t>del Caracazo. Reparaciones, supra nota 17, párr. 60.</w:t>
        <w:br/>
        <w:br/>
        <w:t>[19]  Cfr. Caso Juan Humberto Sánchez. Interpretación de Sentencia, supra</w:t>
        <w:br/>
        <w:t>nota 6, párr. 42; Caso 19 Comerciantes. Excepciones Preliminares. Sentencia</w:t>
        <w:br/>
        <w:t>de 12 de junio de 2002. Serie C No. 93, párr. 35; Caso Ivcher Bronstein.</w:t>
        <w:br/>
        <w:t>Sentencia de 6 de febrero de 2001. Serie C No. 74, párr. 67; y Caso “La</w:t>
        <w:br/>
        <w:t>Última Tentación de Cristo” (Olmedo Bustos y otros). Sentencia de 5 de</w:t>
        <w:br/>
        <w:t>febrero de 2001. Serie C No. 73, párr. 51.</w:t>
        <w:br/>
        <w:br/>
        <w:t>[20]  Cfr. Caso Maritza Urrutia, supra nota 5, párr. 48; Caso Juan Humberto</w:t>
        <w:br/>
        <w:t>Sánchez. Interpretación de Sentencia, supra nota 6, párr. 28; Caso Myrna</w:t>
        <w:br/>
        <w:t>Mack Chang, supra nota 5, párr. 120; y Caso Bulacio, supra nota 6, párr.</w:t>
        <w:br/>
        <w:t>42.</w:t>
        <w:br/>
        <w:br/>
        <w:t>[21]  Cfr. Caso Maritza Urrutia, supra nota 5, párr. 48; Caso Juan Humberto</w:t>
        <w:br/>
        <w:t>Sánchez. Interpretación de Sentencia, supra nota 6, párr. 42; Caso Myrna</w:t>
        <w:br/>
        <w:t>Mack Chang, supra nota 5, párr. 120; y Caso Bulacio, supra nota 6, párr.</w:t>
        <w:br/>
        <w:t>42.</w:t>
        <w:br/>
        <w:br/>
        <w:t>[22]  Cfr., inter alia, Caso Maritza Urrutia, supra nota 5, párr.  53;  Caso</w:t>
        <w:br/>
        <w:t>Myrna Mack Chang, supra nota 5, párr.  132;  Caso  Bulacio,  supra  nota  6,</w:t>
        <w:br/>
        <w:t>párr. 66; Caso Juan Humberto Sánchez,  supra  nota  15,  párr.  57;  y  Caso</w:t>
        <w:br/>
        <w:t>“Cinco Pensionistas”. Sentencia de 28 de febrero de 2003. Serie  C  No.  98,</w:t>
        <w:br/>
        <w:t>párr. 85.</w:t>
        <w:br/>
        <w:br/>
        <w:t>[23]  Cfr. Caso Gómez Paquiyauri. Resolución del Presidente de 1 de marzo</w:t>
        <w:br/>
        <w:t>de 2004, considerando noveno.</w:t>
        <w:br/>
        <w:br/>
        <w:t>[24]  Cfr., inter alia, Caso Maritza Urrutia, supra nota 5, párr. 53; Caso</w:t>
        <w:br/>
        <w:t>Myrna Mack Chang, supra nota 5, párr. 132; Caso Bulacio, supra nota 6,</w:t>
        <w:br/>
        <w:t>párr. 66; Caso Juan Humberto Sánchez, supra nota 15, párr. 57; y Caso</w:t>
        <w:br/>
        <w:t>“Cinco Pensionistas”, supra nota 22, párr. 85.</w:t>
        <w:br/>
        <w:br/>
        <w:t>[25]  Cfr. Caso Maritza Urrutia, supra nota 5, párr. 57; Caso Bulacio,</w:t>
        <w:br/>
        <w:t>supra nota 6, párr. 38; y Caso Juan Humberto Sánchez, supra nota 15, párr.</w:t>
        <w:br/>
        <w:t>60.</w:t>
        <w:br/>
        <w:br/>
        <w:t>[26]  Cfr. Caso Cantoral Benavides. Sentencia de 18 de agosto de 2000.</w:t>
        <w:br/>
        <w:t>Serie C No. 69, párr. 63.t); Caso Castillo Páez. Sentencia de 3 de</w:t>
        <w:br/>
        <w:t>noviembre de 1997. Serie C No. 34, párr. 42; Caso Loayza Tamayo. Sentencia</w:t>
        <w:br/>
        <w:t>de 17 de septiembre de 1997. Serie C No. 33, párr. 46.l); Comisión</w:t>
        <w:br/>
        <w:t>Interamericana de Derechos Humanos, Informe Nº 101/01, Casos Nos. 10.247 y</w:t>
        <w:br/>
        <w:t>otros, párrs. 160 a 171; Comisión Interamericana de Derechos Humanos,</w:t>
        <w:br/>
        <w:t>Informe sobre la Situación de los Derechos Humanos en Perú, 1993, Documento</w:t>
        <w:br/>
        <w:t>OEA/Ser.L/V/II.83. Doc.31, 12 de marzo de 1993, párr. 16; vídeo del</w:t>
        <w:br/>
        <w:t>Noticiero “90 segundos” difundido por el Canal 2 de la televisión nacional</w:t>
        <w:br/>
        <w:t>peruana el 21 de junio de 1991 (expediente de anexos a la demanda, anexo</w:t>
        <w:br/>
        <w:t>6); y artículo denominado “Histeria Criminal” publicado en la edición de la</w:t>
        <w:br/>
        <w:t>“Revista Caretas” de fecha 1 de julio de 1991 (expediente de anexos a la</w:t>
        <w:br/>
        <w:t>demanda, tomo I, anexo 8, folios 60 a 63).</w:t>
        <w:br/>
        <w:br/>
        <w:t>[27]  Cfr. Caso Durand y Ugarte. Sentencia de 16 de agosto de 2000. Serie C</w:t>
        <w:br/>
        <w:t>No. 68, párr. 59.q); Caso Loayza Tamayo, supra nota 26, párr. 46.b); Caso</w:t>
        <w:br/>
        <w:t>Neira Alegría y otros. Sentencia de 19 de enero de 1995. Serie C No. 20,</w:t>
        <w:br/>
        <w:t>párrs. 40 y 77; y Comisión Interamericana de Derechos Humanos, Informe</w:t>
        <w:br/>
        <w:t>sobre la Situación de los Derechos Humanos en Perú, 1993, Documento</w:t>
        <w:br/>
        <w:t>OEA/Ser.L/V/II.83. Doc.31, 12 de marzo de 1993, párrs. 8 y 22.</w:t>
        <w:br/>
        <w:br/>
        <w:t>[28]  Cfr. sentencia dictada por la Tercera Sala Penal de El Callao de 9 de</w:t>
        <w:br/>
        <w:t>noviembre de 1993  (expediente de anexos a la demanda, tomo I, anexo 21,</w:t>
        <w:br/>
        <w:t>folios 288 a 318); y manifestación rendida el 26 de junio de 1991 por el</w:t>
        <w:br/>
        <w:t>Comandante PNP-PG Pedro Raúl Gonzales Paredes ante el Instructor del</w:t>
        <w:br/>
        <w:t>Departamento de Homicidios de la División de Delitos contra la Vida</w:t>
        <w:br/>
        <w:t>(expediente de anexos a la demanda, tomo I, anexo 13, folios 129 a 131).</w:t>
        <w:br/>
        <w:br/>
        <w:t>[29]  Cfr. certificado de nacimiento de Rafael Samuel Gómez Paquiyauri</w:t>
        <w:br/>
        <w:t>(expediente de anexos a la demanda, tomo I, anexo 5, folios 51 a 52).</w:t>
        <w:br/>
        <w:br/>
        <w:t>[30]  Cfr. certificado de nacimiento de Emilio Moisés Gómez Paquiyauri</w:t>
        <w:br/>
        <w:t>(expediente de anexos a la demanda, tomo I, anexo 5, folio 53).</w:t>
        <w:br/>
        <w:br/>
        <w:t>[31]  Cfr. certificado oficial de estudios de Emilio Moisés Gómez</w:t>
        <w:br/>
        <w:t>Paquiyauri emitido por la Secretaría del Ministerio de Educación, Serie C</w:t>
        <w:br/>
        <w:t>Nº 434530 (expediente de anexos al escrito de solicitudes, argumentos y</w:t>
        <w:br/>
        <w:t>pruebas, tomo II, anexo 2, folio 412); tarjeta de información de educación</w:t>
        <w:br/>
        <w:t>secundaria de Rafael Samuel Gómez Paquiyauri del Ministerio de Educación</w:t>
        <w:br/>
        <w:t>correspondiente al año 1987 (expediente de anexos al escrito de</w:t>
        <w:br/>
        <w:t>solicitudes, argumentos y pruebas, tomo II, anexo 3, folios 413 a 414);</w:t>
        <w:br/>
        <w:t>libreta escolar de educación secundaria de Rafael Samuel Gómez Paquiyauri</w:t>
        <w:br/>
        <w:t>del Ministerio de Educación correspondiente al año 1988 (expediente de</w:t>
        <w:br/>
        <w:t>anexos al escrito de solicitudes, argumentos y pruebas, tomo II, anexo 3,</w:t>
        <w:br/>
        <w:t>folios 415 a 416); certificado oficial de estudios de Rafael Samuel Gómez</w:t>
        <w:br/>
        <w:t>Paquiyauri emitido por la Secretaría del Ministerio de Educación, Serie C</w:t>
        <w:br/>
        <w:t>Nº 434529 (expediente de anexos al escrito de solicitudes, argumentos y</w:t>
        <w:br/>
        <w:t>pruebas, tomo II, anexo 3, folio 417); y carta de la Academia Pre-</w:t>
        <w:br/>
        <w:t>Universitaria Blas Pascal dirigida a Rafael Samuel Gómez Paquiyauri el 10</w:t>
        <w:br/>
        <w:t>de mayo de 1990 (expediente de anexos al escrito de solicitudes, argumentos</w:t>
        <w:br/>
        <w:t>y pruebas, tomo II, anexo 4, folio 418).</w:t>
        <w:br/>
        <w:br/>
        <w:t>[32]  Cfr. fotocopias de manuscritos elaborados por Rafael Samuel Gómez</w:t>
        <w:br/>
        <w:t>Paquiyauri en relación con el mantenimiento y reparación de válvulas de</w:t>
        <w:br/>
        <w:t>buques (expediente de anexos al escrito de solicitudes, argumentos y</w:t>
        <w:br/>
        <w:t>pruebas, tomo II, anexo 5, folios 419.a) y 419.b); declaración rendida el</w:t>
        <w:br/>
        <w:t>30 de marzo de 2002 por Ricardo Samuel Gómez Quispe en El Callao</w:t>
        <w:br/>
        <w:t>(expediente de anexos al escrito de solicitudes, argumentos y pruebas, tomo</w:t>
        <w:br/>
        <w:t>II, anexo 18, folios 475 a 478); y declaración rendida el 30 de marzo de</w:t>
        <w:br/>
        <w:t>2002 por Lucy Rosa Gómez Paquiyauri en El Callao (expediente de anexos al</w:t>
        <w:br/>
        <w:t>escrito de solicitudes, argumentos y pruebas, tomo II, anexo 1, folios 404</w:t>
        <w:br/>
        <w:t>a 411).</w:t>
        <w:br/>
        <w:br/>
        <w:t>[33]  Cfr. vídeo del Noticiero “90 segundos” difundido por el Canal 2 de la</w:t>
        <w:br/>
        <w:t>televisión nacional peruana el 21 de junio de 1991 (expediente de anexos a</w:t>
        <w:br/>
        <w:t>la demanda, anexo 6); y declaración rendida el 30 de marzo de 2002 por</w:t>
        <w:br/>
        <w:t>Bertha Alarcón de Valencia en El Callao (expediente de anexos al escrito de</w:t>
        <w:br/>
        <w:t>solicitudes, argumentos y pruebas, tomo II, anexo 33, folio 508).</w:t>
        <w:br/>
        <w:br/>
        <w:t>[34]  Cfr. artículo denominado “Histeria Criminal” publicado en la edición</w:t>
        <w:br/>
        <w:t>de la “Revista Caretas” de fecha 1 de julio de 1991 (expediente de anexos a</w:t>
        <w:br/>
        <w:t>la demanda, tomo I, anexo 8, folios 60 a 63); atestado policial No. 281-IC-</w:t>
        <w:br/>
        <w:t>H-DDCV de 26 de junio de 1991 (expediente de anexos a la demanda, tomo I,</w:t>
        <w:br/>
        <w:t>anexo 13, folios 88 a 131); y sentencia dictada por la Tercera Sala Penal</w:t>
        <w:br/>
        <w:t>de El Callao el 9 de noviembre de 1993 (expediente de anexos a la demanda,</w:t>
        <w:br/>
        <w:t>tomo I, anexo 21, folios 288 a 318).</w:t>
        <w:br/>
        <w:br/>
        <w:t>[35]  Cfr. vídeo del Noticiero “90 segundos” difundido por el Canal 2 de la</w:t>
        <w:br/>
        <w:t>televisión nacional peruana el 21 de junio de 1991 (expediente de anexos a</w:t>
        <w:br/>
        <w:t>la demanda, anexo 6);  declaración rendida el 30 de marzo de 2002 por</w:t>
        <w:br/>
        <w:t>Bertha Alarcón de Valencia en El Callao (expediente de anexos al escrito de</w:t>
        <w:br/>
        <w:t>solicitudes, argumentos y pruebas, tomo II, anexo 33, folio 508); y</w:t>
        <w:br/>
        <w:t>artículo denominado “Policías asesinos saltaron sobre los cuerpos de sus</w:t>
        <w:br/>
        <w:t>tres víctimas” publicado por el diario “La República” de 27 de junio de</w:t>
        <w:br/>
        <w:t>1991 (expediente de anexos a la demanda, tomo I, anexo 9, folio 66).</w:t>
        <w:br/>
        <w:br/>
        <w:t>[36]  Cfr. vídeo del Noticiero “90 segundos” difundido por el Canal 2 de la</w:t>
        <w:br/>
        <w:t>televisión nacional peruana el 21 de junio de 1991(expediente de anexos a</w:t>
        <w:br/>
        <w:t>la demanda, anexo 6); fotografía de Emilio Moisés Gómez Paquiyauri de</w:t>
        <w:br/>
        <w:t>espaldas y de pie con el rostro cubierto por una casaca (expediente de</w:t>
        <w:br/>
        <w:t>anexos al escrito de solicitudes, argumentos y pruebas, tomo II, anexo 38,</w:t>
        <w:br/>
        <w:t>folio 519); fotografía de Emilio Moisés Gómez Paquiyauri dentro de la</w:t>
        <w:br/>
        <w:t>maletera del patrullero (expediente de anexos al escrito de solicitudes,</w:t>
        <w:br/>
        <w:t>argumentos y pruebas, tomo II, anexo 39, folio 520); artículo denominado</w:t>
        <w:br/>
        <w:t>“Fueron torturados y luego salvajemente asesinados” publicado por el diario</w:t>
        <w:br/>
        <w:t>“La República” de 26 de junio de 1991 (expediente de anexos a la demanda,</w:t>
        <w:br/>
        <w:t>tomo I, anexo 9, folio 66); y declaración rendida los días 21 y 26 de</w:t>
        <w:br/>
        <w:t>julio, y los días 2, 5, 9, 12 y 17 de agosto de 1993 por el señor Ángel del</w:t>
        <w:br/>
        <w:t>Rosario Vásquez Chumo ante la Tercera Sala Penal de El Callao (expediente</w:t>
        <w:br/>
        <w:t>de anexos a la demanda, tomo I, anexo 17, folios 155 a 191).</w:t>
        <w:br/>
        <w:br/>
        <w:t>[37]  Cfr. vídeo del Noticiero “90 segundos” difundido por el Canal 2 de la</w:t>
        <w:br/>
        <w:t>televisión nacional peruana el 21 de junio de 1991 (expediente de anexos a</w:t>
        <w:br/>
        <w:t>la demanda, anexo 6).</w:t>
        <w:br/>
        <w:br/>
        <w:t>[38]  Cfr. vídeo del Noticiero “90 segundos” difundido por el Canal 2 de la</w:t>
        <w:br/>
        <w:t>televisión nacional peruana el 21 de junio de 1991 (expediente de anexos a</w:t>
        <w:br/>
        <w:t>la demanda, anexo 6); artículo denominado “Camino a la Muerte” publicado</w:t>
        <w:br/>
        <w:t>por la “Revista Domingo” del diario “La República” de 30 de junio de 1991</w:t>
        <w:br/>
        <w:t>(expediente de anexos a la demanda, tomo I, anexo 7, folios 54 a 59);</w:t>
        <w:br/>
        <w:t>artículo denominado “Histeria Criminal” publicado en la edición de la</w:t>
        <w:br/>
        <w:t>“Revista Caretas” de fecha 1 de julio de 1991 (expediente de anexos a la</w:t>
        <w:br/>
        <w:t>demanda, tomo I, anexo 8, folios 60 a 63); artículo denominado “Fueron</w:t>
        <w:br/>
        <w:t>torturados y luego salvajemente asesinados” publicado por el diario “La</w:t>
        <w:br/>
        <w:t>República” de 26 de junio de 1991 (expediente de anexos a la demanda, tomo</w:t>
        <w:br/>
        <w:t>I, anexo 9, 65 y 66); fotografías de los cadáveres de Emilio Moisés y</w:t>
        <w:br/>
        <w:t>Rafael Samuel Gómez Paquiyauri en la morgue del Hospital Alcides Carrión y</w:t>
        <w:br/>
        <w:t>acta de recepción del cadáver identificado como Rafael Samuel Gómez</w:t>
        <w:br/>
        <w:t>Paquiyauri en el Instituto de Medicina Legal del Perú (expediente de anexos</w:t>
        <w:br/>
        <w:t>a la demanda, tomo I, anexo 10, folios 67 a 70); protocolos de autopsia de</w:t>
        <w:br/>
        <w:t>los cadáveres de Rafael Samuel y Emilio Moisés Gómez Paquiyauri emitidos</w:t>
        <w:br/>
        <w:t>por el Instituto de Medicina Legal del Perú “Leónidas Avendaño Ureta” el 22</w:t>
        <w:br/>
        <w:t>de junio de 1991 (expediente de anexos a la demanda, tomo I, anexo 11,</w:t>
        <w:br/>
        <w:t>folios 71 a 83); actas de defunción de Rafael Samuel y Emilio Moisés Gómez</w:t>
        <w:br/>
        <w:t>Paquiyauri, emitidas el 15 de julio de 1991 (expediente de anexos a la</w:t>
        <w:br/>
        <w:t>demanda, tomo I, anexo 12, folios 84 a 87); atestado policial No. 281-IC-H-</w:t>
        <w:br/>
        <w:t>DDCV de 26 de junio de 1991 (expediente de anexos a la demanda, tomo I,</w:t>
        <w:br/>
        <w:t>anexo 13, folios 88 a 131); formalización de denuncia penal efectuada por</w:t>
        <w:br/>
        <w:t>la Fiscal Provincial de la Quinta Fiscalía en lo Penal de El Callao de 27</w:t>
        <w:br/>
        <w:t>de junio de 1991, ante el Juez Instructor de Turno (expediente de anexos a</w:t>
        <w:br/>
        <w:t>la demanda, tomo I, anexo 14, folios 132 a 134); auto apertorio de</w:t>
        <w:br/>
        <w:t>instrucción del proceso penal de 27 de junio de 1991 (expediente de anexos</w:t>
        <w:br/>
        <w:t>a la demanda, tomo I, anexo 15, folios 135 a 138); declaración rendida los</w:t>
        <w:br/>
        <w:t>días 21 y 26 de julio, y los días 2, 5, 9, 12 y 17 de agosto de 1993 por el</w:t>
        <w:br/>
        <w:t>señor Ángel del Rosario Vásquez Chumo ante la Tercera Sala Penal de El</w:t>
        <w:br/>
        <w:t>Callao (expediente de anexos a la demanda, tomo I anexo 17, folios 155 a</w:t>
        <w:br/>
        <w:t>191); actas de las audiencias públicas y orales de 3, 7, 21, 24, 28 y 29 de</w:t>
        <w:br/>
        <w:t>junio; 2, 6, 8, 12 y 15 de julio de 1993 en el juicio bajo el expediente</w:t>
        <w:br/>
        <w:t>227-92 ante la Tercera Sala Penal de El Callao (expediente de anexos a la</w:t>
        <w:br/>
        <w:t>demanda, tomo I, anexo 18, folios 192 a 245); conclusión de la Juez ad hoc</w:t>
        <w:br/>
        <w:t>Dra. Vilma Buitrón Aranda de 29 de abril de 1992 durante la etapa de</w:t>
        <w:br/>
        <w:t>instrucción seguida por el delito de homicidio contra los señores Francisco</w:t>
        <w:br/>
        <w:t>Antezano Santillan y Ángel del Rosario Vásquez Chumo (expediente de anexos</w:t>
        <w:br/>
        <w:t>a la demanda, tomo I, anexo 19, folios 246 a 278); dictamen final del</w:t>
        <w:br/>
        <w:t>proceso de instrucción llevado a cabo por el Quinto Juzgado Penal de El</w:t>
        <w:br/>
        <w:t>Callao de 21 de septiembre de 1992 (expediente de anexos a la demanda, tomo</w:t>
        <w:br/>
        <w:t>I, anexo 20, folios 279 a 287); sentencia dictada por la Tercera Sala Penal</w:t>
        <w:br/>
        <w:t>de El Callao de 9 de noviembre de 1993 (expediente de anexos a la demanda,</w:t>
        <w:br/>
        <w:t>tomo I, anexo 21, folios 288 a 318); declaración rendida el 30 de marzo de</w:t>
        <w:br/>
        <w:t>2002 por Lucy Rosa Gómez Paquiyauri en El Callao (expediente de anexos al</w:t>
        <w:br/>
        <w:t>escrito de solicitudes, argumentos y pruebas, tomo II, anexo 1, folios 404</w:t>
        <w:br/>
        <w:t>a 411); declaración rendida el 30 de marzo de 2002 por Marcelina Paquiyauri</w:t>
        <w:br/>
        <w:t>Illanes de Gómez en El Callao (expediente de anexos al escrito de</w:t>
        <w:br/>
        <w:t>solicitudes, argumentos y pruebas, tomo II, anexo 10, folios 449 a 457);</w:t>
        <w:br/>
        <w:t>fotografía donde se puede apreciar el rostro de Emilio Moisés Gómez</w:t>
        <w:br/>
        <w:t>Paquiyauri en la morgue (expediente de anexos al escrito de solicitudes,</w:t>
        <w:br/>
        <w:t>argumentos y pruebas, tomo II, anexo 40, folio 521); actas de recepción de</w:t>
        <w:br/>
        <w:t>los cadáveres identificados como Emilio Moisés y Rafael Samuel Gómez</w:t>
        <w:br/>
        <w:t>Paquiyauri emitidas por el Instituto de Medicina Legal del Perú “Leónidas</w:t>
        <w:br/>
        <w:t>Avendaño Ureta” el 21 de junio de 1991 (expediente de anexos al escrito de</w:t>
        <w:br/>
        <w:t>solicitudes, argumentos y pruebas, tomo II, anexo 41, folios 522 y 523);</w:t>
        <w:br/>
        <w:t>fotografía del rostro del cadáver de Emilio Moisés Gómez Paquiyauri</w:t>
        <w:br/>
        <w:t>(expediente de anexos al escrito de solicitudes, argumentos y pruebas, tomo</w:t>
        <w:br/>
        <w:t>II, anexo 43, folio 536); fotografía del rostro del cadáver de Rafael</w:t>
        <w:br/>
        <w:t>Samuel Gómez Paquiyauri (expediente de anexos al escrito de solicitudes,</w:t>
        <w:br/>
        <w:t>argumentos y pruebas, tomo II, anexo 44, folio 537); fotografía del cadáver</w:t>
        <w:br/>
        <w:t>de Rafael Samuel Gómez Paquiyauri desde su cajón (expediente de anexos al</w:t>
        <w:br/>
        <w:t>escrito de solicitudes, argumentos y pruebas, tomo II, anexo 45, folio</w:t>
        <w:br/>
        <w:t>538); y fotografía de las manos del cadáver de Rafael Samuel Gómez</w:t>
        <w:br/>
        <w:t>Paquiyauri (expediente de anexos al escrito de solicitudes, argumentos y</w:t>
        <w:br/>
        <w:t>pruebas, tomo II, anexo 46, folio 539).</w:t>
        <w:br/>
        <w:br/>
        <w:t>[39]  Cfr. testimonio de Lucy Rosa Gómez Paquiyauri ante la Corte el 5 de</w:t>
        <w:br/>
        <w:t>mayo de 2004; testimonio de Marcelina Paquiyauri Illanes de Gómez ante la</w:t>
        <w:br/>
        <w:t>Corte el 5 de mayo de 2004; y testimonio de Miguel Ángel Gómez Paquiyauri</w:t>
        <w:br/>
        <w:t>ante la Corte el 6 de mayo de 2004.</w:t>
        <w:br/>
        <w:br/>
        <w:t>[40]  Cfr. peritaje del señor Hans Petter Houguen ante la Corte el 6 de</w:t>
        <w:br/>
        <w:t>mayo de 2004; protocolos de autopsia de los cadáveres de Rafael Samuel y</w:t>
        <w:br/>
        <w:t>Emilio Moisés Gómez Paquiyauri emitidos por el Instituto de Medicina Legal</w:t>
        <w:br/>
        <w:t>del Perú “Leónidas Avendaño Ureta” el 22 de junio de 1991 (expediente de</w:t>
        <w:br/>
        <w:t>anexos a la demanda, tomo I, anexo 11, folios 71 a 83); testimonio de Lucy</w:t>
        <w:br/>
        <w:t>Rosa Gómez Paquiyauri ante la Corte el 5 de mayo de 2004; testimonio de</w:t>
        <w:br/>
        <w:t>Marcelina Paquiyauri Illanes de Gómez ante la Corte el 5 de mayo de 2004;</w:t>
        <w:br/>
        <w:t>testimonio de Ricardo Samuel Gómez Quispe ante la Corte el 5 de mayo de</w:t>
        <w:br/>
        <w:t>2004; testimonio de Miguel Ángel Gómez Paquiyauri ante la Corte el 6 de</w:t>
        <w:br/>
        <w:t>mayo de 2004; y testimonio de Jacinta Peralta Allccarima ante la Corte el 6</w:t>
        <w:br/>
        <w:t>de mayo de 2004.</w:t>
        <w:br/>
        <w:br/>
        <w:t>[41]  Cfr. testimonio de Lucy Rosa Gómez Paquiyauri ante la Corte el 5 de</w:t>
        <w:br/>
        <w:t>mayo de 2004; testimonio de Marcelina Paquiyauri Illanes de Gómez ante la</w:t>
        <w:br/>
        <w:t>Corte el 5 de mayo de 2004; y testimonio de Miguel Ángel Gómez Paquiyauri</w:t>
        <w:br/>
        <w:t>ante la Corte el 6 de mayo de 2004.</w:t>
        <w:br/>
        <w:br/>
        <w:t>[42]  Cfr. sentencia dictada por la Tercera Sala Penal de El Callao el 9 de</w:t>
        <w:br/>
        <w:t>noviembre de 1993 (expediente de anexos a la demanda, anexo 21, folios 288</w:t>
        <w:br/>
        <w:t>a 318); atestado policial No. 281-IC-H-DDCV de 26 de junio de 1991</w:t>
        <w:br/>
        <w:t>(expediente de anexos a la demanda, tomo I, anexo 13, folios 88 a 131);</w:t>
        <w:br/>
        <w:t>testimonio de Lucy Rosa Gómez Paquiyauri ante la Corte el 5 de mayo de</w:t>
        <w:br/>
        <w:t>2004; testimonio de Marcelina Paquiyauri Illanes de Gómez ante la Corte el</w:t>
        <w:br/>
        <w:t>5 de mayo de 2004; testimonio de Ricardo Samuel Gómez Quispe ante la Corte</w:t>
        <w:br/>
        <w:t>el 5 de mayo de 2004; testimonio de Miguel Ángel Gómez Paquiyauri ante la</w:t>
        <w:br/>
        <w:t>Corte el 6 de mayo de 2004; y testimonio de Jacinta Peralta Allccarima ante</w:t>
        <w:br/>
        <w:t>la Corte el 6 de mayo de 2004.</w:t>
        <w:br/>
        <w:br/>
        <w:t>[43]  Cfr. sentencia dictada por la Tercera Sala Penal de El Callao el 9 de</w:t>
        <w:br/>
        <w:t>noviembre de 1993 (expediente de anexos a la demanda, tomo I, anexo 21,</w:t>
        <w:br/>
        <w:t>folios 288 a 318); formalización de denuncia penal efectuada por la Fiscal</w:t>
        <w:br/>
        <w:t>Provincial de la Quinta Fiscalía en lo Penal de El Callao de 27 de junio de</w:t>
        <w:br/>
        <w:t>1991, ante el Juez Instructor de Turno (expediente de anexos a la demanda,</w:t>
        <w:br/>
        <w:t>tomo I, anexo 14, folios 132 a 134); testimonio de Ricardo Samuel Gómez</w:t>
        <w:br/>
        <w:t>Quispe ante la Corte el 5 de mayo de 2004; y testimonio de Víctor</w:t>
        <w:br/>
        <w:t>Chuquitaype Eguiluz ante la Corte el 6 de mayo de 2004.</w:t>
        <w:br/>
        <w:br/>
        <w:t>[44]  Cfr. atestado policial No. 281-IC-H-DDCV de 26 de junio de 1991</w:t>
        <w:br/>
        <w:t>(expediente de anexos a la demanda, tomo I, anexo 13, folios 88 a 131).</w:t>
        <w:br/>
        <w:br/>
        <w:t>[45]  Cfr. formalización de denuncia penal efectuada por la Fiscal</w:t>
        <w:br/>
        <w:t>Provincial de la Quinta Fiscalía en lo Penal de El Callao de 27 de junio de</w:t>
        <w:br/>
        <w:t>1991 (expediente de anexos a la demanda, tomo I, anexo 14, folios 132 a</w:t>
        <w:br/>
        <w:t>134).</w:t>
        <w:br/>
        <w:br/>
        <w:t>[46]  Cfr. dictamen final del proceso de instrucción llevado a cabo por el</w:t>
        <w:br/>
        <w:t>Quinto Juzgado Penal de El Callao en fecha 21 de septiembre de 1992</w:t>
        <w:br/>
        <w:t>(expediente de anexos a la demanda, tomo I, anexo 20, folios 279 a 287).</w:t>
        <w:br/>
        <w:br/>
        <w:t>[47]  Cfr. sentencia dictada por la Tercera Sala Penal de El Callao el 9 de</w:t>
        <w:br/>
        <w:t>noviembre de 1993 (expediente de anexos a la demanda, tomo I, anexo 21,</w:t>
        <w:br/>
        <w:t>folios 288 a 318).</w:t>
        <w:br/>
        <w:br/>
        <w:t>[48]  Cfr. sentencia dictada por la Tercera Sala Penal de El Callao el 9 de</w:t>
        <w:br/>
        <w:t>noviembre de 1993 (expediente de anexos a la demanda, tomo I, anexo 21,</w:t>
        <w:br/>
        <w:t>folios 288 a 318).</w:t>
        <w:br/>
        <w:br/>
        <w:t>[49]  Cfr. sentencia (Ejecutoria Suprema) dictada por la Sala Transitoria</w:t>
        <w:br/>
        <w:t>Penal de la Corte Suprema del Perú el 9 de junio de 1994 (expediente de</w:t>
        <w:br/>
        <w:t>anexos a la demanda, tomo I, anexo 24, folios 344 a 347).</w:t>
        <w:br/>
        <w:br/>
        <w:t>[50]  Cfr. resolución judicial del Quinto Juzgado Penal de El Callao, de 10</w:t>
        <w:br/>
        <w:t>de noviembre de 1995, mediante la cual se concedió el beneficio de “semi</w:t>
        <w:br/>
        <w:t>libertad” solicitado por el señor Francisco Antezano Santillán; y</w:t>
        <w:br/>
        <w:t>resolución judicial del Quinto Juzgado Penal del Callao, de 18 de noviembre</w:t>
        <w:br/>
        <w:t>de 1994, mediante la cual se concedió el beneficio de “libertad</w:t>
        <w:br/>
        <w:t>condicional” solicitado por el señor Ángel del Rosario Vásquez Chumo, ambas</w:t>
        <w:br/>
        <w:t>en relación con la instrucción que se les siguió por delito de homicidio</w:t>
        <w:br/>
        <w:t>calificado en agravio de Rafael Samuel y Emilio Moisés Gómez Paquiyauri</w:t>
        <w:br/>
        <w:t>(expediente de anexos a la demanda, anexo 26). Lo anterior fue probado, aun</w:t>
        <w:br/>
        <w:t>cuando el agente del Estado manifestó en el transcurso de la audiencia</w:t>
        <w:br/>
        <w:t>pública del presente caso, que “[t]odos los procesados […] se acog[ieron] a</w:t>
        <w:br/>
        <w:t>[la] ley [de amnistía]”.</w:t>
        <w:br/>
        <w:br/>
        <w:t>[51]  Cfr. certificado de nacimiento emitido por la Dirección de Salud del</w:t>
        <w:br/>
        <w:t>Callao el cual establece que el padre de Nora Emely Gómez Peralta es Jorge</w:t>
        <w:br/>
        <w:t>Gómez Palacios. En dicho certificado se manifiesta que la niña nació el 27</w:t>
        <w:br/>
        <w:t>de febrero de 1992 (expediente de anexos al escrito de solicitudes,</w:t>
        <w:br/>
        <w:t>argumentos y pruebas, tomo II, anexo 22, folio 491); acta de nacimiento</w:t>
        <w:br/>
        <w:t>emitida por la Municipalidad Provincial del Callao, en la cual el</w:t>
        <w:br/>
        <w:t>nacimiento de Nora Emely Gómez Peralta aparece registrado el 11 de marzo de</w:t>
        <w:br/>
        <w:t>1992 y aparece como su padre, el señor Ricardo Samuel Gómez Quispe, padre</w:t>
        <w:br/>
        <w:t>de Rafael Samuel Gómez Paquiyauri (expediente de anexos al escrito de</w:t>
        <w:br/>
        <w:t>solicitudes, argumentos y pruebas, tomo II, anexo 23, folio 492);</w:t>
        <w:br/>
        <w:t>certificado de registro de nacimiento emitido por el Consejo Provincial del</w:t>
        <w:br/>
        <w:t>Callao, donde se manifiesta que el nacimiento de la niña aparece registrado</w:t>
        <w:br/>
        <w:t>como habiendo tenido lugar el 11 de marzo de 1992. En este certificado</w:t>
        <w:br/>
        <w:t>Ricardo Samuel Gómez Quispe vuelve a aparecer como padre de la niña</w:t>
        <w:br/>
        <w:t>(expediente de anexos al escrito de solicitudes, argumentos y pruebas, tomo</w:t>
        <w:br/>
        <w:t>II, anexo 24, folio 494); carta de la familia Gómez Paquiyauri de 5 de</w:t>
        <w:br/>
        <w:t>abril de 2002, en la que se reconoce a Nora Emely Gómez Peralta como hija</w:t>
        <w:br/>
        <w:t>de Rafael Samuel Gómez Paquiyauri (expediente de anexos al escrito de</w:t>
        <w:br/>
        <w:t>solicitudes, argumentos y pruebas, tomo II, anexo 21, folio 489 y 490); y</w:t>
        <w:br/>
        <w:t>declaración rendida el 30 de marzo de 2002 por Jacinta Peralta Allccarima</w:t>
        <w:br/>
        <w:t>en El Callao (expediente de anexos al escrito de solicitudes, argumentos y</w:t>
        <w:br/>
        <w:t>pruebas, tomo II, anexo 20, folios 484 a 488).</w:t>
        <w:br/>
        <w:br/>
        <w:t>[52]  testimonio de Jacinta Peralta Allccarima ante la Corte el 6 de mayo</w:t>
        <w:br/>
        <w:t>de 2004.</w:t>
        <w:br/>
        <w:br/>
        <w:t>[53]  Cfr. declaración rendida el 30 de marzo de 2002 por Marcelina</w:t>
        <w:br/>
        <w:t>Paquiyauri Illanes de Gómez en El Callao (expediente de anexos al escrito</w:t>
        <w:br/>
        <w:t>de solicitudes, argumentos y pruebas, tomo II, anexo 10, folios 449 a 457);</w:t>
        <w:br/>
        <w:t>y declaración rendida el 30 de marzo de 2002 por Ricardo Samuel Gómez</w:t>
        <w:br/>
        <w:t>Quispe en El Callao (expediente de anexos al escrito de solicitudes,</w:t>
        <w:br/>
        <w:t>argumentos y pruebas, tomo II, anexo 18, folios 475 a 478).</w:t>
        <w:br/>
        <w:br/>
        <w:t>[54]   Cfr. declaración rendida el 30 de marzo de 2002 por Lucy Rosa Gómez</w:t>
        <w:br/>
        <w:t>Paquiyauri en El Callao (expediente de anexos al escrito de solicitudes,</w:t>
        <w:br/>
        <w:t>argumentos y pruebas, tomo II, anexo 1, folios 404 a 411); declaración</w:t>
        <w:br/>
        <w:t>rendida el 30 de marzo de 2002 por Miguel Ángel Gómez Paquiyauri en El</w:t>
        <w:br/>
        <w:t>Callao (expediente de anexos al escrito de solicitudes, argumentos y</w:t>
        <w:br/>
        <w:t>pruebas, tomo II, anexo 8, folios 439 a 443); y declaración rendida el 30</w:t>
        <w:br/>
        <w:t>de marzo de 2002 por Marcelina Paquiyauri Illanes de Gómez en El Callao</w:t>
        <w:br/>
        <w:t>(expediente de anexos al escrito de solicitudes, argumentos y pruebas, tomo</w:t>
        <w:br/>
        <w:t>II, anexo 10, folios 449 a 457).</w:t>
        <w:br/>
        <w:br/>
        <w:t>[55]   Cfr. declaración rendida el 30 de marzo de 2002 por Marcelina</w:t>
        <w:br/>
        <w:t>Paquiyauri Illanes de Gómez en El Callao (expediente de anexos al escrito</w:t>
        <w:br/>
        <w:t>de solicitudes, argumentos y pruebas, tomo II, anexo 10, folios 449 a 457);</w:t>
        <w:br/>
        <w:t>y “orden de comparendo” emitida el 1 de julio de 1991 citando a la Sra.</w:t>
        <w:br/>
        <w:t>Marcelina Paquiyauri para que se apersonara a la DINCOTE el 3 de julio de</w:t>
        <w:br/>
        <w:t>1991 (expediente de anexos al escrito de solicitudes, argumentos y pruebas,</w:t>
        <w:br/>
        <w:t>tomo II, anexo 11, folio 458).</w:t>
        <w:br/>
        <w:br/>
        <w:t>[56]   Cfr. declaración rendida el 30 de marzo de 2002 por Miguel Ángel</w:t>
        <w:br/>
        <w:t>Gómez Paquiyauri en El Callao (expediente de anexos al escrito de</w:t>
        <w:br/>
        <w:t>solicitudes, argumentos y pruebas, tomo II, anexo 8, folios 439 a 443).</w:t>
        <w:br/>
        <w:br/>
        <w:t>[57]  Cfr. declaración rendida el 30 de marzo de 2002 por Miguel Ángel</w:t>
        <w:br/>
        <w:t>Gómez Paquiyauri en El Callao (expediente de anexos al escrito de</w:t>
        <w:br/>
        <w:t>solicitudes, argumentos y pruebas, tomo II, anexo 8, folios 439 a 443).</w:t>
        <w:br/>
        <w:br/>
        <w:t>[58]   Cfr. declaración rendida el 30 de marzo de 2002 por Ricardo Samuel</w:t>
        <w:br/>
        <w:t>Gómez Quispe en El Callao (expediente de anexos al escrito de solicitudes,</w:t>
        <w:br/>
        <w:t>argumentos y pruebas, tomo II, anexo 18, folios 475 a 478).</w:t>
        <w:br/>
        <w:br/>
        <w:t>[59]  Cfr. declaración rendida el 30 de marzo de 2002 por Marcelina</w:t>
        <w:br/>
        <w:t>Paquiyauri Illanes de Gómez en El Callao (expediente de anexos al escrito</w:t>
        <w:br/>
        <w:t>de solicitudes, argumentos y pruebas, tomo II, anexo 10, folios 449 a 457).</w:t>
        <w:br/>
        <w:br/>
        <w:t>[60]  Cfr. declaración rendida el 30 de marzo de 2002 por Ricardo Samuel</w:t>
        <w:br/>
        <w:t>Gómez Quispe en El Callao (expediente de anexos al escrito de solicitudes,</w:t>
        <w:br/>
        <w:t>argumentos y pruebas, tomo II, anexo 18, folios 475 a 478).</w:t>
        <w:br/>
        <w:br/>
        <w:t>[61]  Cfr. declaración rendida el 30 de marzo de 2002 por Lucy Rosa Gómez</w:t>
        <w:br/>
        <w:t>Paquiyauri en El Callao (expediente de anexos al escrito de solicitudes,</w:t>
        <w:br/>
        <w:t>argumentos y pruebas, tomo II, anexo 1, folios 404 a 411).</w:t>
        <w:br/>
        <w:br/>
        <w:t>[62]  Cfr. declaración rendida el 30 de marzo de 2002 por Marcelina Haydeé</w:t>
        <w:br/>
        <w:t>Gómez Paquiyauri en El Callao (expediente de anexos al escrito de</w:t>
        <w:br/>
        <w:t>solicitudes, argumentos y pruebas, tomo II, anexo 14, folios 469 y 470); y</w:t>
        <w:br/>
        <w:t>recordatorio de misa celebrada el 21 de julio de 1991 en honor a Rafael</w:t>
        <w:br/>
        <w:t>Samuel y Emilio Moisés Gómez Paquiyauri, así como de Jorge Javier, el bebé</w:t>
        <w:br/>
        <w:t>que perdiera Marcelina Haydeé Gómez Paquiyauri (expediente de anexos al</w:t>
        <w:br/>
        <w:t>escrito de solicitudes, argumentos y pruebas, tomo II, anexo 16, folios 471</w:t>
        <w:br/>
        <w:t>y 472).</w:t>
        <w:br/>
        <w:br/>
        <w:t>[63]   Cfr. declaración rendida el 30 de marzo de 2002 por Marcelina</w:t>
        <w:br/>
        <w:t>Paquiyauri Illanes de Gómez en El Callao (expediente de anexos al escrito</w:t>
        <w:br/>
        <w:t>de solicitudes, argumentos y pruebas, tomo II, anexo 10, folios 449 a 457).</w:t>
        <w:br/>
        <w:br/>
        <w:t>[64]  Cfr. declaración rendida el 30 de marzo de 2002 por Lucy Rosa Gómez</w:t>
        <w:br/>
        <w:t>Paquiyauri en El Callao (expediente de anexos al escrito de solicitudes,</w:t>
        <w:br/>
        <w:t>argumentos y pruebas, tomo II, anexo 1, folios 404 a 411); declaración</w:t>
        <w:br/>
        <w:t>rendida el 30 de marzo de 2002 por Marcelina Paquiyauri Illanes de Gómez en</w:t>
        <w:br/>
        <w:t>El Callao (expediente de anexos al escrito de solicitudes, argumentos y</w:t>
        <w:br/>
        <w:t>pruebas, tomo II, anexo 10, folios 449 a 457); e instructiva de Lucy Rosa</w:t>
        <w:br/>
        <w:t>Gómez Paquiyauri en el proceso que se le siguió como consecuencia de su</w:t>
        <w:br/>
        <w:t>detención de 3 de febrero de 1993 (expediente de anexos al escrito de</w:t>
        <w:br/>
        <w:t>solicitudes, argumentos y pruebas, tomo II, anexo 6, folios 420 a 429).</w:t>
        <w:br/>
        <w:br/>
        <w:t>[65]  Cfr. testimonio de Lucy Rosa Gómez Paquiyauri ante la Corte el 5 de</w:t>
        <w:br/>
        <w:t>mayo de 2004; testimonio de Marcelina Paquiyauri Illanes de Gómez ante la</w:t>
        <w:br/>
        <w:t>Corte el 5 de mayo de 2004; testimonio de Ricardo Samuel Gómez Quispe ante</w:t>
        <w:br/>
        <w:t>la Corte el 5 de mayo de 2004; testimonio de Miguel Ángel Gómez Paquiyauri</w:t>
        <w:br/>
        <w:t>ante la Corte el 6 de mayo de 2004; peritaje de la señora Inge Genefke ante</w:t>
        <w:br/>
        <w:t>la Corte el 6 de mayo de 2004; y dictamen rendido ante fedatario público</w:t>
        <w:br/>
        <w:t>por el perito Bent Sorensen (expediente de prueba ante la Corte, tomo V,</w:t>
        <w:br/>
        <w:t>folios 944 a 954).</w:t>
        <w:br/>
        <w:br/>
        <w:t>[66]  Cfr. informes de la Comisión Interamericana sobre la admisibilidad</w:t>
        <w:br/>
        <w:t>(44/01), y el fondo (99/01) del presente caso (expediente de anexos a la</w:t>
        <w:br/>
        <w:t>demanda, tomo I, anexos 1 y 2, folios 6 a 47).</w:t>
        <w:br/>
        <w:br/>
        <w:t>[67]  Cfr. poder otorgado a Mónica Feria Tinta por los señores Ricardo</w:t>
        <w:br/>
        <w:t>Samuel Gómez Quispe y Marcelina Paquiyauri Illanes de Gómez (expediente de</w:t>
        <w:br/>
        <w:t>fondo y eventuales reparaciones, tomo I, folios 44 a 50); y copias de</w:t>
        <w:br/>
        <w:t>comprobantes presentados como respaldo a los gastos incurridos por la</w:t>
        <w:br/>
        <w:t>representante de las presuntas víctimas (expediente de anexos al escrito de</w:t>
        <w:br/>
        <w:t>alegatos finales de la representante de las presuntas víctimas, tomo VII,</w:t>
        <w:br/>
        <w:t>folios 1173 a 1514).</w:t>
        <w:br/>
        <w:br/>
        <w:t>[68]  Caso “La Última Tentación de Cristo” (Olmedo Bustos y otros), supra</w:t>
        <w:br/>
        <w:t>nota 19, párr. 72; y cfr. Caso Juan Humberto Sánchez, supra nota 15, párr.</w:t>
        <w:br/>
        <w:t>142; Caso “Cinco Pensionistas”, supra nota 22, párr. 163; Caso de la</w:t>
        <w:br/>
        <w:t>Comunidad Mayagna (Sumo) Awas Tingni.  Sentencia de 31 de agosto de 2001.</w:t>
        <w:br/>
        <w:t>Serie C No. 79, párr. 154; Caso Ivcher Bronstein, supra nota 19, párr. 168;</w:t>
        <w:br/>
        <w:t>Caso del Tribunal Constitucional. Sentencia de 31 de enero de 2001. Serie C</w:t>
        <w:br/>
        <w:t>No. 71, párr. 109; Caso Bámaca Velásquez. Sentencia de 25 de noviembre de</w:t>
        <w:br/>
        <w:t>2000. Serie C No. 70, párr. 210; y Caso de los “Niños de la Calle”</w:t>
        <w:br/>
        <w:t>(Villagrán Morales y otros). Sentencia de 19 de noviembre de 1999. Serie C</w:t>
        <w:br/>
        <w:t>No. 63, párr. 220.</w:t>
        <w:br/>
        <w:br/>
        <w:t>[69]  Caso  “Cinco  Pensionistas”,  supra  nota  22,  párr.  163;  Condición</w:t>
        <w:br/>
        <w:t>Jurídica y Derechos de los Migrantes Indocumentados. Opinión Consultiva  OC-</w:t>
        <w:br/>
        <w:t>18/03 de 17 de septiembre  de 2003. Serie A No. 18,  párr.  76;  Caso  Baena</w:t>
        <w:br/>
        <w:t>Ricardo y otros. Sentencia de 2 de febrero de 2001. Serie C  No.  72,  párr.</w:t>
        <w:br/>
        <w:t>178; y Caso Caballero Delgado y Santana. Sentencia  de  8  de  diciembre  de</w:t>
        <w:br/>
        <w:t>1995. Serie C No. 22, párr. 56.</w:t>
        <w:br/>
        <w:br/>
        <w:t>[70]  Cfr. Caso Cesti Hurtado. Excepciones Preliminares. Sentencia de 26 de</w:t>
        <w:br/>
        <w:t>enero de 1999. Serie C No. 49, párr. 47.</w:t>
        <w:br/>
        <w:br/>
        <w:t>[71]  Caso de los “Niños de la Calle” (Villagrán Morales y otros), supra</w:t>
        <w:br/>
        <w:t>nota 68, párr. 223.</w:t>
        <w:br/>
        <w:br/>
        <w:t>[72]  Cfr. Caso Myrna Mack Chang, supra nota 5, párr. 139.</w:t>
        <w:br/>
        <w:br/>
        <w:t>[73]  Cfr. Caso Maritza Urrutia, supra nota 5, párr. 64; Caso Juan  Humberto</w:t>
        <w:br/>
        <w:t>Sánchez, supra nota 15, párr. 77; Caso  Bámaca  Velásquez,  supra  nota  68,</w:t>
        <w:br/>
        <w:t>párr. 141; y Caso de los “Niños de la Calle” (Villagrán  Morales  y  otros),</w:t>
        <w:br/>
        <w:t>supra nota 68, párr. 135.</w:t>
        <w:br/>
        <w:br/>
        <w:t>[74]  Cfr. Caso Maritza Urrutia, supra nota 5, párr. 65; Caso Bulacio,</w:t>
        <w:br/>
        <w:t>supra nota 6, párr. 125; Caso Juan Humberto Sánchez, supra nota 15, párr.</w:t>
        <w:br/>
        <w:t>78; Caso Bámaca Velásquez, supra nota 68, párr. 139; y Caso Durand y</w:t>
        <w:br/>
        <w:t>Ugarte, supra nota 27, párr. 85.</w:t>
        <w:br/>
        <w:br/>
        <w:t>[75]  El Hábeas Corpus bajo Suspensión de Garantías (arts. 27.2, 25.1 y 7.6</w:t>
        <w:br/>
        <w:t>Convención Americana sobre Derechos Humanos). Opinión Consultiva OC-8/87</w:t>
        <w:br/>
        <w:t>del 30 de enero de 1987. Serie A No. 8, párr. 38; Garantías Judiciales en</w:t>
        <w:br/>
        <w:t>Estados de Emergencia (arts. 27.2, 25 y 8 Convención Americana sobre</w:t>
        <w:br/>
        <w:t>Derechos Humanos). Opinión Consultiva OC-9/87 del 6 de octubre de 1987.</w:t>
        <w:br/>
        <w:t>Serie A No. 9, párr. 36;  cfr. Caso Cantoral Benavides, supra nota 26,</w:t>
        <w:br/>
        <w:t>párr. 72; y Caso Castillo Petruzzi y otros. Sentencia de 30 de mayo de</w:t>
        <w:br/>
        <w:t>1999. Serie C No. 52, párr. 109.</w:t>
        <w:br/>
        <w:br/>
        <w:t>[76]  Garantías Judiciales en Estados de Emergencia, supra nota 75, párr.</w:t>
        <w:br/>
        <w:t>21; y cfr. Caso Castillo Petruzzi y otros, supra nota 75, párr. 109.</w:t>
        <w:br/>
        <w:br/>
        <w:t>[77]  Cfr. Caso Maritza Urrutia, supra nota 5, párr. 67; y Caso Bulacio,</w:t>
        <w:br/>
        <w:t>supra nota 6, párr. 127.</w:t>
        <w:br/>
        <w:br/>
        <w:t>[78]  Cfr. Caso Bulacio, supra nota 6, párr. 137.</w:t>
        <w:br/>
        <w:br/>
        <w:t>[79]  Cfr. Caso Maritza Urrutia, supra nota 5, párr. 71; y Caso Juan</w:t>
        <w:br/>
        <w:t>Humberto Sánchez, supra nota 15, párr. 81.</w:t>
        <w:br/>
        <w:br/>
        <w:t>[80]  Cfr. Caso Maritza Urrutia, supra nota 5, párr. 72; Caso Bulacio,</w:t>
        <w:br/>
        <w:t>supra nota 6, párr. 128; y Caso Juan Humberto Sánchez, supra nota 15, párr.</w:t>
        <w:br/>
        <w:t>82.</w:t>
        <w:br/>
        <w:br/>
        <w:t>[81]  Caso Bulacio, supra nota 6, párr. 130.</w:t>
        <w:br/>
        <w:br/>
        <w:t>[82]  Cfr. Caso Bulacio, supra nota 6, párr. 130; y El Derecho a la</w:t>
        <w:br/>
        <w:t>Información sobre la Asistencia Consular en el marco de las Garantías del</w:t>
        <w:br/>
        <w:t>Debido Proceso Legal. Opinión Consultiva OC-16/99 de 1 de octubre de 1999.</w:t>
        <w:br/>
        <w:t>Serie A No. 16, párr. 106.</w:t>
        <w:br/>
        <w:br/>
        <w:t>[83]  Cfr. Caso Bulacio, supra nota 6, párr. 130; y Council of Europe.</w:t>
        <w:br/>
        <w:t>Committee on the Prevention of Torture. 2nd General Report on the CPT´s</w:t>
        <w:br/>
        <w:t>activities covering the period I January to December 1991, paras. 36-43.</w:t>
        <w:br/>
        <w:br/>
        <w:t>[84]  Cfr. Caso Maritza Urrutia, supra  nota  5,  párr.  73;  Caso  Bulacio,</w:t>
        <w:br/>
        <w:t>supra nota 6, párr. 129; Caso Juan Humberto Sánchez, supra  nota  15,  párr.</w:t>
        <w:br/>
        <w:t>84; Caso Bámaca Velásquez, supra nota 68, párr. 140; y Caso  de  los  “Niños</w:t>
        <w:br/>
        <w:t>de la Calle” (Villagrán Morales y otros), supra nota 68, párr. 135.</w:t>
        <w:br/>
        <w:br/>
        <w:t>[85]  Cfr. Caso Maritza Urrutia, supra  nota  5,  párr.  73;  Caso  Bulacio,</w:t>
        <w:br/>
        <w:t>supra nota 6, párr. 129; Caso Juan Humberto Sánchez, supra  nota  15,  párr.</w:t>
        <w:br/>
        <w:t>84; Caso Bámaca Velásquez, supra nota 68, párr. 140; Caso Castillo  Petruzzi</w:t>
        <w:br/>
        <w:t>y otros, supra nota 75, párr. 108;  en igual sentido, v.  Eur.  Court  H.R.,</w:t>
        <w:br/>
        <w:t>Case of Kurt vs Turkey, Judgment of 25 May 1998, Reports  of  Judgments  and</w:t>
        <w:br/>
        <w:t>Decisions 1998-III, para. 124; Eur. Court H.R., Caso  of  Aksoy  v.  Turkey,</w:t>
        <w:br/>
        <w:t>Judgment of 18 December 1996, Reports of Judgments  and  Decisions  1996-VI,</w:t>
        <w:br/>
        <w:t>para. 76.</w:t>
        <w:br/>
        <w:br/>
        <w:t>[86]  Cfr. Caso Maritza Urrutia, supra  nota  5,  párr.  66;  Caso  Bulacio,</w:t>
        <w:br/>
        <w:t>supra nota 6, párr. 129; Caso Juan Humberto Sánchez, supra  nota  15,  párr.</w:t>
        <w:br/>
        <w:t>84; Caso Bámaca Velásquez,  supra  nota  68,  párr.  140;  y  Caso  Castillo</w:t>
        <w:br/>
        <w:t>Petruzzi y otros, supra nota 75, párr. 108.</w:t>
        <w:br/>
        <w:br/>
        <w:t>[87]  El Hábeas Corpus bajo Suspensión de Garantías, supra nota 75, párr.</w:t>
        <w:br/>
        <w:t>42; y cfr. Caso Durand y Ugarte, supra nota 27, párr. 106.</w:t>
        <w:br/>
        <w:br/>
        <w:br/>
        <w:br/>
        <w:t>[88]  Garantías Judiciales en Estados de Emergencia, supra nota 75, párr.</w:t>
        <w:br/>
        <w:t>38; y cfr. Caso Durand y Ugarte, supra nota 27, párr. 107.</w:t>
        <w:br/>
        <w:br/>
        <w:br/>
        <w:t>[89]   Caso Bulacio, supra nota 6, párr. 138; cfr. Caso Juan Humberto</w:t>
        <w:br/>
        <w:t>Sánchez, supra nota 15, párr. 111; Caso Durand y Ugarte, supra nota 27,</w:t>
        <w:br/>
        <w:t>párr. 65; En ese mismo sentido, cfr. Case of Aksoy v. Turkey, supra nota</w:t>
        <w:br/>
        <w:t>85, para. 61; Eur. Court HR, Case of Salman v. Turkey, Judgment of 27 June</w:t>
        <w:br/>
        <w:t>2000, Reports of Judgments and Decisions 2000-VI, paras. 98-99; Eur. Court</w:t>
        <w:br/>
        <w:t>HR, Case of Timurtas v. Turkey, Judgment of 13 June 2000, Reports of</w:t>
        <w:br/>
        <w:t>Judgments and Decisions 2000-VI, para. 82; Eur. Court HR, Case of Selmouni</w:t>
        <w:br/>
        <w:t>v. France, Judgment of 28 July 1999, Reports of Judgments and Decisions</w:t>
        <w:br/>
        <w:t>1999-V, para. 87; Eur. Court HR, Case of Ribitsch v. Austria, Judgment  of</w:t>
        <w:br/>
        <w:t>4 December 1995, Series A  No. 336, para. 34; y Eur. Court HR, Case of Case</w:t>
        <w:br/>
        <w:t>of Tomasi v. France, Judgment  of 27 August 1992, Series A  No. 214-A,</w:t>
        <w:br/>
        <w:t>paras. 108 a 111.</w:t>
        <w:br/>
        <w:br/>
        <w:t>[90]  Contestación del Estado a la demanda de la Comisión Interamericana y</w:t>
        <w:br/>
        <w:t>al escrito de solicitudes, argumentos y pruebas de la representante de las</w:t>
        <w:br/>
        <w:t>presuntas víctimas y sus familiares (expediente sobre el fondo y las</w:t>
        <w:br/>
        <w:t>eventuales reparaciones, tomo II, folio 254).</w:t>
        <w:br/>
        <w:br/>
        <w:t>[91]  Cfr. Caso Maritza Urrutia, supra nota 5, párr. 87; Caso Juan  Humberto</w:t>
        <w:br/>
        <w:t>Sánchez, supra nota 15, párr. 96; Caso  Bámaca  Velásquez,  supra  nota  68,</w:t>
        <w:br/>
        <w:t>párr. 150; y Caso Cantoral Benavides, supra nota 26, párr. 90.</w:t>
        <w:br/>
        <w:br/>
        <w:br/>
        <w:t>[92]  Cfr. Caso Maritza Urrutia, supra nota 5, párr. 87; Caso Juan Humberto</w:t>
        <w:br/>
        <w:t>Sánchez, supra nota 15, párr. 98; Caso Bámaca Velásquez, supra nota 68,</w:t>
        <w:br/>
        <w:t>párr. 128; y Caso Cantoral Benavides, supra nota 26, párrs. 82 y 83.</w:t>
        <w:br/>
        <w:br/>
        <w:t>[93]  Cfr. Caso Maritza Urrutia, supra nota 5, párr. 87; Caso Juan Humberto</w:t>
        <w:br/>
        <w:t>Sánchez, supra nota 15, párr. 98; Caso Bámaca Velásquez, supra nota 68,</w:t>
        <w:br/>
        <w:t>párr. 150; y Caso Cantoral Benavides, supra nota 26, párrs. 83, 84 y 89.</w:t>
        <w:br/>
        <w:br/>
        <w:t>[94]  Caso Castillo Páez, supra nota 26, párr. 66; y cfr. Caso de los</w:t>
        <w:br/>
        <w:t>“Niños de la Calle” (Villagrán Morales y otros), supra nota 68, párr. 164.</w:t>
        <w:br/>
        <w:br/>
        <w:t>[95]  Cfr. Caso Maritza Urrutia, supra nota 5, párr. 89; y Caso Cantoral</w:t>
        <w:br/>
        <w:t>Benavides, supra nota 26, párr. 95.</w:t>
        <w:br/>
        <w:br/>
        <w:br/>
        <w:t>[96]  Cfr. Caso Maritza Urrutia, supra nota 5, párr. 89; y Caso Cantoral</w:t>
        <w:br/>
        <w:t>Benavides, supra nota 26, párr. 95.</w:t>
        <w:br/>
        <w:br/>
        <w:t>[97]  Cfr. Caso Maritza Urrutia, supra nota 5, párr. 92; y Caso Cantoral</w:t>
        <w:br/>
        <w:t>Benavides, supra nota 26, párrs. 102 y 103.</w:t>
        <w:br/>
        <w:br/>
        <w:t>[98]  Cfr. Eur. Court H.R., Case Ireland v. the United Kingdom, Judgment of</w:t>
        <w:br/>
        <w:t>18 January 1978, Series A No. 25, para. 162.</w:t>
        <w:br/>
        <w:br/>
        <w:t>[99]  Cfr. Caso Maritza Urrutia, supra nota 5, párr. 95; Caso Bámaca</w:t>
        <w:br/>
        <w:t>Velásquez, supra nota 68, párr. 223; Caso Cantoral Benavides, supra nota</w:t>
        <w:br/>
        <w:t>26, párr. 191; Caso de los “Niños de la Calle” (Villagrán Morales y otros),</w:t>
        <w:br/>
        <w:t>supra nota 68, párrs. 248 a 252; y Caso de la “Panel Blanca” (Paniagua</w:t>
        <w:br/>
        <w:t>Morales y otros). Sentencia de 8 de marzo de 1998. Serie C No. 37, párr.</w:t>
        <w:br/>
        <w:t>136.</w:t>
        <w:br/>
        <w:br/>
        <w:br/>
        <w:br/>
        <w:t>[100]       Cfr. Caso Maritza Urrutia, supra nota 5, párr. 91; y Caso</w:t>
        <w:br/>
        <w:t>Cantoral Benavides, supra nota 26, párr. 100.</w:t>
        <w:br/>
        <w:br/>
        <w:br/>
        <w:br/>
        <w:t>[101]       Cfr. Caso Juan Humberto Sánchez, supra nota 15, párr. 101; Caso</w:t>
        <w:br/>
        <w:t>Bámaca Velásquez, supra nota 68, párr. 160; Caso Cantoral Benavides, supra</w:t>
        <w:br/>
        <w:t>nota 26, párr. 105; Caso de los “Niños de la Calle” (Villagrán Morales y</w:t>
        <w:br/>
        <w:t>otros), supra nota 68, párrs. 175 y 176; y Caso Castillo Páez. Reparaciones</w:t>
        <w:br/>
        <w:t>(art. 63.1 Convención Americana sobre Derechos Humanos). Sentencia de 27 de</w:t>
        <w:br/>
        <w:t>noviembre de 1998. Serie C No. 43, párr. 59.</w:t>
        <w:br/>
        <w:br/>
        <w:t>[102]       Cfr. Caso Juan Humberto Sánchez, supra nota 15, párr. 101; Caso</w:t>
        <w:br/>
        <w:t>Bámaca Velásquez, supra nota 68, párr. 162; y Case of Kurt v. Turkey, supra</w:t>
        <w:br/>
        <w:t>nota 85, paras. 130-134.</w:t>
        <w:br/>
        <w:br/>
        <w:t>[103]       Cfr. Caso Bulacio, supra nota 6, párr. 138; y Caso de los</w:t>
        <w:br/>
        <w:t>“Niños de la Calle” (Villagrán Morales y otros), supra nota 68, párr. 146.</w:t>
        <w:br/>
        <w:br/>
        <w:t>[104] Cfr. Caso Myrna Mack Chang, supra nota 5, párrs. 139 y 155.</w:t>
        <w:br/>
        <w:br/>
        <w:t>[105]       Cfr. Caso Myrna Mack Chang, supra nota 5, párr. 152; Caso Juan</w:t>
        <w:br/>
        <w:t>Humberto Sánchez, supra nota 15, párr. 110; y Caso de los “Niños de la</w:t>
        <w:br/>
        <w:t>Calle” (Villagrán Morales y otros), supra nota 68, párr. 144.</w:t>
        <w:br/>
        <w:br/>
        <w:t>[106]       Cfr. Caso Myrna Mack Chang, supra nota 5, párr. 152; y Caso</w:t>
        <w:br/>
        <w:t>Juan Humberto Sánchez, supra nota 15, párr. 110.</w:t>
        <w:br/>
        <w:br/>
        <w:t>[107]       Cfr. Caso Myrna Mack Chang, supra nota 5, párr. 153; Caso</w:t>
        <w:br/>
        <w:t>Bulacio, supra nota 6, párr. 111; Caso Juan Humberto Sánchez, supra nota</w:t>
        <w:br/>
        <w:t>15, párr. 110; y Caso de los “Niños de la Calle” (Villagrán Morales y</w:t>
        <w:br/>
        <w:t>otros), supra nota 68, párr. 139.</w:t>
        <w:br/>
        <w:br/>
        <w:t>[108]       Cfr. Caso Myrna Mack Chang, supra nota 5, párr. 153; Caso</w:t>
        <w:br/>
        <w:t>Bulacio, supra nota 6, párr. 111; Caso Juan Humberto Sánchez, supra nota</w:t>
        <w:br/>
        <w:t>15, párr. 110; y Caso Cantoral Benavides. Reparaciones (art. 63.1</w:t>
        <w:br/>
        <w:t>Convención Americana sobre Derechos Humanos). Sentencia de 3 de diciembre</w:t>
        <w:br/>
        <w:t>de 2001. Serie C No. 88, párr. 69.</w:t>
        <w:br/>
        <w:br/>
        <w:t>[109] Cfr. Caso Myrna Mack Chang, supra nota 5, párr. 153; y Caso Juan</w:t>
        <w:br/>
        <w:t>Humberto Sánchez, supra nota 15, párr. 110.</w:t>
        <w:br/>
        <w:br/>
        <w:t>[110] Cfr. Caso Myrna Mack Chang, supra nota 5, párr. 153; Caso Juan</w:t>
        <w:br/>
        <w:t>Humberto Sánchez, supra nota 15, párr. 110; Caso Bámaca Velásquez, supra</w:t>
        <w:br/>
        <w:t>nota 68, párr. 172; y Caso de los “Niños de la Calle” (Villagrán Morales y</w:t>
        <w:br/>
        <w:t>otros), supra nota 68, párrs. 144 a 145.</w:t>
        <w:br/>
        <w:br/>
        <w:t>[111] Caso Myrna Mack Chang, supra nota 5, párr. 156.</w:t>
        <w:br/>
        <w:br/>
        <w:t>[112] Cfr. Caso Myrna Mack Chang, supra nota 5, párr. 157; y Caso Juan</w:t>
        <w:br/>
        <w:t>Humberto Sánchez, supra nota 15, párr. 112.</w:t>
        <w:br/>
        <w:br/>
        <w:t>[113]       Cfr. Eur. Court H.R., Case of Nachova and others v. Bulgaria,</w:t>
        <w:br/>
        <w:t>Judgment of 26 February 2004, para. 116; Eur. Court H.R., Case of Hugh</w:t>
        <w:br/>
        <w:t>Jordan v. the United Kingdom, Judgment of 4 May 2001, para. 105; Eur. Court</w:t>
        <w:br/>
        <w:t>H.R., Case of Çiçek v. Turkey Judgment of 27 February 2001, para. 148; y</w:t>
        <w:br/>
        <w:t>Eur. Court H.R., Case of McCann and Others v. the United Kingdom, Judgment</w:t>
        <w:br/>
        <w:t>of 27 September 1995, Series A no. 324, para. 161.</w:t>
        <w:br/>
        <w:br/>
        <w:t>[114] Los autores materiales de los homicidios fueron condenados a las</w:t>
        <w:br/>
        <w:t>penas de privación de libertad de 18 años para el autor del delito y 6 años</w:t>
        <w:br/>
        <w:t>para el cómplice (supra párr. 65.p), mismas que se dieron por cumplidas en</w:t>
        <w:br/>
        <w:t>aplicación de los beneficios carcelarios de semi libertad y libertad</w:t>
        <w:br/>
        <w:t>condicional, respectivamente, establecidos en el Código de Ejecución Penal</w:t>
        <w:br/>
        <w:t>de la legislación peruana (supra párr. 65.r).</w:t>
        <w:br/>
        <w:br/>
        <w:t>[115]       Caso Myrna Mack Chang, supra nota 5, párr. 156.</w:t>
        <w:br/>
        <w:br/>
        <w:t>[116]       Caso de la “Panel Blanca” (Paniagua Morales y otros), supra</w:t>
        <w:br/>
        <w:t>nota 99, párr. 173; cfr. Caso Maritza Urrutia, supra nota 5, párr. 126;</w:t>
        <w:br/>
        <w:t>Caso Myrna Mack Chang, supra nota 5, párrs. 156 y 210; Caso Bulacio, supra</w:t>
        <w:br/>
        <w:t>nota 6, párr. 120; Caso Juan Humberto Sánchez, supra nota 15, párrs. 143 y</w:t>
        <w:br/>
        <w:t>185; Caso Las Palmeras. Reparaciones, supra nota 17, párr. 53.a); Caso del</w:t>
        <w:br/>
        <w:t>Caracazo. Reparaciones, supra nota 17, párrs. 116 y 117; Caso Trujillo</w:t>
        <w:br/>
        <w:t>Oroza. Reparaciones (art. 63.1 Convención Americana sobre Derechos</w:t>
        <w:br/>
        <w:t>Humanos). Sentencia de 27 de febrero de 2002. Serie C No. 92, párr. 101;</w:t>
        <w:br/>
        <w:t>Caso Bámaca Velásquez. Reparaciones (art. 63.1 Convención Americana sobre</w:t>
        <w:br/>
        <w:t>Derechos Humanos). Sentencia de 22 de febrero de 2002. Serie C No. 91,</w:t>
        <w:br/>
        <w:t>párr. 64; Caso Las Palmeras. Sentencia de 6 de diciembre de 2001. Serie C</w:t>
        <w:br/>
        <w:t>No. 90, párr. 56; Caso Cantoral Benavides. Reparaciones, supra nota 108,</w:t>
        <w:br/>
        <w:t>párr. 69; Caso Cesti Hurtado. Reparaciones (art. 63.1 Convención Americana</w:t>
        <w:br/>
        <w:t>sobre Derechos Humanos). Sentencia de 31 de mayo de 2001. Serie C No. 78,</w:t>
        <w:br/>
        <w:t>párr. 63; Caso de los “Niños de la Calle” (Villagrán Morales y otros).</w:t>
        <w:br/>
        <w:t>Reparaciones (art. 63.1 Convención Americana sobre Derechos Humanos).</w:t>
        <w:br/>
        <w:t>Sentencia de 26 de mayo de 2001. Serie C No. 77, párr. 100; Caso de la</w:t>
        <w:br/>
        <w:t>“Panel Blanca” (Paniagua Morales y otros). Reparaciones (art. 63.1</w:t>
        <w:br/>
        <w:t>Convención Americana sobre Derechos Humanos). Sentencia de 25 de mayo de</w:t>
        <w:br/>
        <w:t>2001. Serie C No. 76, párr. 201;  Caso Ivcher Bronstein, supra nota 19,</w:t>
        <w:br/>
        <w:t>párr. 186; Caso del Tribunal Constitucional, supra nota 68, párr. 123; Caso</w:t>
        <w:br/>
        <w:t>Bámaca Velásquez, supra nota 68, párr. 211; Caso Blake. Reparaciones (art.</w:t>
        <w:br/>
        <w:t>63.1 Convención Americana sobre Derechos Humanos). Sentencia de 22 de enero</w:t>
        <w:br/>
        <w:t>de 1999. Serie C No. 48, párr. 64; Caso Castillo Páez. Reparaciones, supra</w:t>
        <w:br/>
        <w:t>nota 101, párr. 107; y Caso Loayza Tamayo. Reparaciones (art. 63.1</w:t>
        <w:br/>
        <w:t>Convención Americana sobre Derechos Humanos). Sentencia de 27 de noviembre</w:t>
        <w:br/>
        <w:t>de 1998. Serie C No. 42, párr. 170.</w:t>
        <w:br/>
        <w:br/>
        <w:t>[117] Cfr. Caso Bulacio, supra nota 6, párr. 116; Caso Trujillo Oroza.</w:t>
        <w:br/>
        <w:t>Reparaciones, supra nota 116, párr. 106; Caso Barrios Altos. Sentencia de</w:t>
        <w:br/>
        <w:t>14 de marzo de 2001. Serie C No. 75, párr. 41; Caso Barrios Altos.</w:t>
        <w:br/>
        <w:t>Interpretación de la Sentencia de Fondo (art. 67 Convención Americana sobre</w:t>
        <w:br/>
        <w:t>Derechos Humanos). Sentencia de 3 de septiembre de 2001. Serie C No. 83,</w:t>
        <w:br/>
        <w:t>párr. 15; y Caballero Delgado y Santana. Resolución de Cumplimiento de</w:t>
        <w:br/>
        <w:t>Sentencia de 27 de noviembre de 2003, considerando 9.</w:t>
        <w:br/>
        <w:br/>
        <w:t>[118] Cfr. Caso Bulacio, supra nota 6, párr. 116; y Caso Barrios Altos,</w:t>
        <w:br/>
        <w:t>supra nota 117, párr. 43.</w:t>
        <w:br/>
        <w:br/>
        <w:t>[119]       Cfr. Caso Bulacio, supra nota 6, parrs. 117 y 142; Caso “Cinco</w:t>
        <w:br/>
        <w:t>Pensionistas”, supra nota 22, párr. 164; Caso Hilaire, Constantine y</w:t>
        <w:br/>
        <w:t>Benjamin y otros. Sentencia de 21 de junio de 2002. Serie C No. 94, párr.</w:t>
        <w:br/>
        <w:t>112; y Caso Trujillo Oroza. Reparaciones, supra nota 116, párr. 96.</w:t>
        <w:br/>
        <w:br/>
        <w:t>[120] Cfr. Caso Bulacio, supra nota 6, párr. 118.</w:t>
        <w:br/>
        <w:br/>
        <w:t>[121]       Cfr. Caso Maritza Urrutia, supra nota 5, párr. 128; Caso de  los</w:t>
        <w:br/>
        <w:t>“Niños de la Calle” (Villagrán Morales y otros), supra nota 68,  párr.  251;</w:t>
        <w:br/>
        <w:t>Caso Gangaram Panday. Sentencia de 21 de noviembre de 1994. Serie C No.  16,</w:t>
        <w:br/>
        <w:t>párr. 49; y Caso Godínez Cruz. Sentencia de 20 de enero  de  1989.  Serie  C</w:t>
        <w:br/>
        <w:t>No. 5, párr. 141.</w:t>
        <w:br/>
        <w:br/>
        <w:t>[122]       La Corte ya ha establecido que “[e]n definitiva, tomando en</w:t>
        <w:br/>
        <w:t>cuenta la normativa internacional y el criterio sustentado por la Corte en</w:t>
        <w:br/>
        <w:t>otros casos, se entiende por ‘niño’ a toda persona que no ha cumplido 18</w:t>
        <w:br/>
        <w:t>años de edad”. Condición Jurídica y Derechos Humanos del Niño. Opinión</w:t>
        <w:br/>
        <w:t>Consultiva OC-17/02 de 28 de agosto de 2002. Serie A No. 17, párr. 42; y</w:t>
        <w:br/>
        <w:t>cfr. Caso Bulacio, supra nota 6, párr. 133.</w:t>
        <w:br/>
        <w:br/>
        <w:t>[123] Caso Bulacio, supra nota 6, párr. 133; y Caso de los “Niños de la</w:t>
        <w:br/>
        <w:t>Calle” (Villagrán Morales y otros), supra nota 68, párr. 188.</w:t>
        <w:br/>
        <w:br/>
        <w:t>[124] Condición Jurídica y Derechos Humanos del Niño, supra nota 122, párr.</w:t>
        <w:br/>
        <w:t>56;  y cfr. Caso Bulacio, supra nota 6, párr. 134.</w:t>
        <w:br/>
        <w:br/>
        <w:t>[125] El Derecho a la Información sobre la Asistencia Consular en el marco</w:t>
        <w:br/>
        <w:t>de las Garantías del Debido Proceso Legal, supra nota 82, párr. 113; y cfr.</w:t>
        <w:br/>
        <w:t>Caso de los “Niños de la Calle” (Villagrán Morales y otros), supra nota 68,</w:t>
        <w:br/>
        <w:t>párr. 192.</w:t>
        <w:br/>
        <w:br/>
        <w:t>[126] Cfr. Caso de los “Niños de la Calle” (Villagrán Morales y otros),</w:t>
        <w:br/>
        <w:t>supra nota 68, párr. 193.</w:t>
        <w:br/>
        <w:br/>
        <w:t>[127] El Derecho a la Información sobre la Asistencia Consular en el marco</w:t>
        <w:br/>
        <w:t>de las Garantías del Debido Proceso Legal, supra nota 82, párr. 114; y cfr.</w:t>
        <w:br/>
        <w:t>Caso de los “Niños de la Calle” (Villagrán Morales y otros), supra nota 68,</w:t>
        <w:br/>
        <w:t>párr. 193.</w:t>
        <w:br/>
        <w:br/>
        <w:t>[128] Cfr.  Condición Jurídica y Derechos Humanos del Niño, supra nota 122,</w:t>
        <w:br/>
        <w:t>párr. 24; y Caso de los “Niños de la Calle” (Villagrán Morales y otros),</w:t>
        <w:br/>
        <w:t>supra nota 68, párr. 194.</w:t>
        <w:br/>
        <w:br/>
        <w:t>[129] Cfr. Caso Bulacio, supra nota 6, párr. 135; En el mismo sentido, cfr.</w:t>
        <w:br/>
        <w:t>artículo 37.b de la Convención sobre los Derechos del Niño; y reglas 13 y</w:t>
        <w:br/>
        <w:t>19 de las Reglas Mínimas de Naciones Unidas para la Administración de</w:t>
        <w:br/>
        <w:t>Justicia de Menores (Reglas de Beijing) (1985).</w:t>
        <w:br/>
        <w:br/>
        <w:t>[130]       Cfr. Caso Bulacio, supra nota 6, párr. 138.</w:t>
        <w:br/>
        <w:br/>
        <w:t>[131] Caso “Cinco Pensionistas”, supra nota 22, párr. 153; cfr. Caso Myrna</w:t>
        <w:br/>
        <w:t>Mack Chang, supra nota 5, párr. 224.</w:t>
        <w:br/>
        <w:br/>
        <w:t>[132] Cfr. Caso Myrna Mack Chang, supra nota 5, párr. 224; y Caso “Cinco</w:t>
        <w:br/>
        <w:t>Pensionistas”, supra nota 22, párr. 154.</w:t>
        <w:br/>
        <w:br/>
        <w:t>[133] Cfr. Caso Maritza Urrutia, supra nota 5, párr. 134; Caso Myrna Mack</w:t>
        <w:br/>
        <w:t>Chang, supra nota 5, párr. 224; y Caso “Cinco Pensionistas”, supra nota 22,</w:t>
        <w:br/>
        <w:t>párr. 155.</w:t>
        <w:br/>
        <w:br/>
        <w:t>[134] Caso “Cinco Pensionistas”, supra nota 22, párr. 155; y cfr. Caso</w:t>
        <w:br/>
        <w:t>Maritza Urrutia, supra nota 5, párrs. 127 y 128; y Caso Myrna Mack Chang,</w:t>
        <w:br/>
        <w:t>supra nota 5, párr. 224.</w:t>
        <w:br/>
        <w:br/>
        <w:t>[135] Caso “Cinco Pensionistas”, supra nota 22, párr. 155; y cfr. Caso</w:t>
        <w:br/>
        <w:t>Myrna Mack Chang, supra nota 5, párr. 224.</w:t>
        <w:br/>
        <w:br/>
        <w:t>[136]       Cfr. Caso Maritza Urrutia, supra nota 5, párr. 134;  Caso  Myrna</w:t>
        <w:br/>
        <w:t>Mack Chang, supra nota 5, párr. 224; Caso “Cinco Pensionistas”,  supra  nota</w:t>
        <w:br/>
        <w:t>22, párr. 155; y Caso Cantos. Sentencia de 28  de noviembre de  2002.  Serie</w:t>
        <w:br/>
        <w:t>C No. 97, párr. 58;  En igual sentido, cfr. Eur. Court H.R., Case of  Guerra</w:t>
        <w:br/>
        <w:t>and others v. Italy, Judgment of 19 February  1998,  Reports  1998-I,  p.13,</w:t>
        <w:br/>
        <w:t>para. 44; Eur. Court H.R., Case of Philis v. Greece, Judgment of  27  August</w:t>
        <w:br/>
        <w:t>1991, Series A No. 209, p. 19, para. 56; Eur. Court  H.R.,  Case  of  Powell</w:t>
        <w:br/>
        <w:t>and Rayner v. The United Kingdom, Judgment of 21  February  1990,  Series  A</w:t>
        <w:br/>
        <w:t>No. 172, p. 13,  para.  29;  y  Tribunal  de  Justicia  de  las  Comunidades</w:t>
        <w:br/>
        <w:t>Europeas. Sentencia de 19 de noviembre de 1998  en  el  Asunto  C-252/96  P,</w:t>
        <w:br/>
        <w:t>pág.7, párr. 23.</w:t>
        <w:br/>
        <w:br/>
        <w:t>[137] Cfr. Caso Maritza Urrutia, supra nota 5, párr. 141; Caso Myrna Mack</w:t>
        <w:br/>
        <w:t>Chang, supra nota 5, párr. 234; y Caso Bulacio, supra nota 6, párr. 70.</w:t>
        <w:br/>
        <w:br/>
        <w:t>[138] Cfr. Caso Maritza Urrutia, supra nota 5, párr. 142; Caso Myrna Mack</w:t>
        <w:br/>
        <w:t>Chang, supra nota 5, párr. 235; y Caso Bulacio, supra nota 6, párr. 71.</w:t>
        <w:br/>
        <w:br/>
        <w:t>[139] Cfr. Caso Maritza Urrutia, supra nota 5, párr. 143; Caso Myrna Mack</w:t>
        <w:br/>
        <w:t>Chang, supra nota 5, párr. 236; y Caso Bulacio, supra nota 6, párr. 72.</w:t>
        <w:br/>
        <w:br/>
        <w:t>[140] Cfr. Caso Maritza Urrutia, supra nota 5, párr. 144; Caso Bulacio,</w:t>
        <w:br/>
        <w:t>supra nota 6, párr. 73; y Caso Juan Humberto Sánchez, supra nota 15, párr.</w:t>
        <w:br/>
        <w:t>150.</w:t>
        <w:br/>
        <w:br/>
        <w:t>[141] Cfr. Caso Maritza Urrutia, supra nota 5, párr. 143; Caso Myrna Mack</w:t>
        <w:br/>
        <w:t>Chang, supra nota 5, párr. 236; y Caso Bulacio, supra nota 6, párr. 72.</w:t>
        <w:br/>
        <w:br/>
        <w:t>[142] Cfr. Caso Myrna Mack Chang, supra nota 5, párr. 237.</w:t>
        <w:br/>
        <w:br/>
        <w:t>[143]       Cfr. Caso Maritza Urrutia, supra nota 5, párr. 169.a); Caso</w:t>
        <w:br/>
        <w:t>Myrna Mack Chang, supra nota 5, párr. 264.a); Caso de la “Panel Blanca”</w:t>
        <w:br/>
        <w:t>(Paniagua Morales y otros). Reparaciones, supra nota 116, párrs. 108, 125,</w:t>
        <w:br/>
        <w:t>143 y 174; y Caso Cesti Hurtado. Reparaciones, supra nota 116, párrs. 40 y</w:t>
        <w:br/>
        <w:t>54.</w:t>
        <w:br/>
        <w:br/>
        <w:t>[144]       Cfr. Caso de la “Panel Blanca” (Paniagua Morales y otros).</w:t>
        <w:br/>
        <w:t>Reparaciones, supra nota 116, párrs. 125, 173 y 174; y Caso Cesti Hurtado.</w:t>
        <w:br/>
        <w:t>Reparaciones, supra nota 116, párrs. 40 y 54.</w:t>
        <w:br/>
        <w:br/>
        <w:t>[145]       Cfr. Caso Maritza Urrutia, supra nota 5, párr. 169.c); Caso</w:t>
        <w:br/>
        <w:t>Myrna Mack Chang, supra nota 5, párrs. 264.c) y f); Caso Bulacio, supra</w:t>
        <w:br/>
        <w:t>nota 6, párr. 98; Caso Juan Humberto Sánchez, supra nota 15, párr. 175;</w:t>
        <w:br/>
        <w:t>Caso Trujillo Oroza. Reparaciones, supra nota 116, párr. 88.b); Caso</w:t>
        <w:br/>
        <w:t>Cantoral Benavides. Reparaciones, supra nota 108, párrs. 37 y 61 a) y d);</w:t>
        <w:br/>
        <w:t>Caso de los “Niños de la Calle” (Villagrán Morales y otros). Reparaciones,</w:t>
        <w:br/>
        <w:t>supra nota 116, párrs. 66 y 68; y Caso de la “Panel Blanca” (Paniagua</w:t>
        <w:br/>
        <w:t>Morales y otros). Reparaciones, supra nota 116, párrs. 108, 110, 125, 126,</w:t>
        <w:br/>
        <w:t>143, 144 y 158.</w:t>
        <w:br/>
        <w:br/>
        <w:t>[146]       Cfr. Caso Maritza Urrutia, supra nota 5, párrs. 169 y 169.b);</w:t>
        <w:br/>
        <w:t>Caso Myrna Mack Chang, supra nota 5, párr. 264; Caso Bulacio, supra nota 6,</w:t>
        <w:br/>
        <w:t>párr. 98; Caso Juan Humberto Sánchez, supra nota 15, párr. 175; Caso del</w:t>
        <w:br/>
        <w:t>Caracazo. Reparaciones, supra nota 17, párr. 50.e); Caso Trujillo Oroza.</w:t>
        <w:br/>
        <w:t>Reparaciones, supra nota 116, párr. 88.b); Caso Bámaca Velásquez.</w:t>
        <w:br/>
        <w:t>Reparaciones, supra nota 116, párr. 65.b); Caso Cantoral Benavides.</w:t>
        <w:br/>
        <w:t>Reparaciones, supra nota 108, párrs. 37 y 61.a) y d); Caso de los “Niños de</w:t>
        <w:br/>
        <w:t>la Calle” (Villagrán Morales y otros). Reparaciones, supra nota 116, párr.</w:t>
        <w:br/>
        <w:t>66; y Caso de la “Panel Blanca” (Paniagua Morales y otros). Reparaciones,</w:t>
        <w:br/>
        <w:t>supra nota 116, párrs. 108, 125, 143 y 158.</w:t>
        <w:br/>
        <w:br/>
        <w:t>[147] Caso Aloeboetoe y otros. Reparaciones (art. 63.1 Convención Americana</w:t>
        <w:br/>
        <w:t>sobre Derechos Humanos). Sentencia de 10 de septiembre de 1993. Serie C No.</w:t>
        <w:br/>
        <w:t>15, párr. 62;  En igual sentido, cfr. Caso Bulacio, supra nota 6, párr. 85;</w:t>
        <w:br/>
        <w:t>Caso Juan Humberto Sánchez, supra nota 15, párr. 164; Caso del Caracazo.</w:t>
        <w:br/>
        <w:t>Reparaciones, supra nota 17, párr. 91; Caso Trujillo Oroza. Reparaciones,</w:t>
        <w:br/>
        <w:t>supra nota 116, párr. 57; Caso Bámaca Velásquez. Reparaciones, supra nota</w:t>
        <w:br/>
        <w:t>116, párr. 32; y Caso de los “Niños de la Calle” (Villagrán Morales y</w:t>
        <w:br/>
        <w:t>otros). Reparaciones, supra nota 116, párr. 67.</w:t>
        <w:br/>
        <w:br/>
        <w:t>[148] Cfr. Caso Maritza Urrutia, supra nota 5, párr. 155; Caso Myrna Mack</w:t>
        <w:br/>
        <w:t>Chang, supra nota 5, párr. 250; y Caso Juan Humberto Sánchez, supra nota</w:t>
        <w:br/>
        <w:t>15, párr. 162.</w:t>
        <w:br/>
        <w:br/>
        <w:t>[149] Cfr. Caso Maritza Urrutia, supra nota 5, párrs. 161 y 171; Caso Myrna</w:t>
        <w:br/>
        <w:t>Mack Chang, supra nota 5, párrs. 255 y 268; Caso Bulacio, supra nota 6,</w:t>
        <w:br/>
        <w:t>párrs. 90 y 105; y Caso Juan Humberto Sánchez, supra nota 15, párr. 168.</w:t>
        <w:br/>
        <w:br/>
        <w:t>[150] Cfr. Caso Maritza Urrutia, supra nota 5, párr. 166; Caso Myrna Mack</w:t>
        <w:br/>
        <w:t>Chang, supra nota 5, párr. 260; y Caso Bulacio, supra nota 6, párr. 96.</w:t>
        <w:br/>
        <w:br/>
        <w:t>[151] Cfr. Caso Maritza Urrutia, supra nota 5, párr. 168; Caso Myrna Mack</w:t>
        <w:br/>
        <w:t>Chang, supra nota 5, párr. 262; Caso Bulacio, supra nota 6, párr. 98; y</w:t>
        <w:br/>
        <w:t>Caso Juan Humberto Sánchez, supra nota 15, párr. 174.</w:t>
        <w:br/>
        <w:br/>
        <w:t>[152] Cfr. Caso Maritza Urrutia, supra nota 5, párrs. 169 y 169.b); Caso</w:t>
        <w:br/>
        <w:t>Myrna Mack Chang, supra nota 5, párr. 264; y Caso Bulacio, supra nota 6,</w:t>
        <w:br/>
        <w:t>párr. 98.</w:t>
        <w:br/>
        <w:br/>
        <w:t>[153] Cfr. Caso Maritza Urrutia, supra nota 5, párr. 171; Caso Myrna Mack</w:t>
        <w:br/>
        <w:t>Chang, supra nota 5, párr. 268; Caso Cantoral Benavides. Reparaciones,</w:t>
        <w:br/>
        <w:t>supra nota 108, párr. 53; y Caso de los “Niños de la Calle” (Villagrán</w:t>
        <w:br/>
        <w:t>Morales y otros). Reparaciones, supra nota 116, párr. 84.</w:t>
        <w:br/>
        <w:br/>
        <w:t>[154] Cfr. Caso Myrna Mack Chang, supra nota 5, párr. 272; Caso Bulacio,</w:t>
        <w:br/>
        <w:t>supra nota 6, párr. 120; y Caso Juan Humberto Sánchez, supra nota 15,</w:t>
        <w:br/>
        <w:t>párrs. 143 y 185.</w:t>
        <w:br/>
        <w:br/>
        <w:t>[155] Cfr. Caso Myrna Mack Chang, supra nota 5, párr. 273; Caso Trujillo</w:t>
        <w:br/>
        <w:t>Oroza. Reparaciones, supra nota 116, párr. 100; y Caso Cantoral Benavides.</w:t>
        <w:br/>
        <w:t>Reparaciones, supra nota 108, párr. 69.</w:t>
        <w:br/>
        <w:br/>
        <w:t>[156] Cfr. Caso Myrna Mack Chang, supra nota 5, párr. 273; Caso Trujillo</w:t>
        <w:br/>
        <w:t>Oroza. Reparaciones, supra nota 116, párr. 100; y Caso Cantoral Benavides.</w:t>
        <w:br/>
        <w:t>Reparaciones, supra nota 108, párr. 69.</w:t>
        <w:br/>
        <w:br/>
        <w:t>[157] Cfr. Caso Myrna Mack Chang, supra nota 5, párr. 274; Caso Trujillo</w:t>
        <w:br/>
        <w:t>Oroza. Reparaciones, supra nota 116, párr. 114; Caso Bámaca Velásquez.</w:t>
        <w:br/>
        <w:t>Reparaciones, supra nota 116, párr. 76;  Véase, por ejemplo, United Nations</w:t>
        <w:br/>
        <w:t>Human Rights Committee, Quinteros v. Uruguay, Communication No. 107/1981,</w:t>
        <w:br/>
        <w:t>decision of 21 July 1983; Naciones Unidas, Comisión de Derechos Humanos,</w:t>
        <w:br/>
        <w:t>Subcomisión de Prevención de Discriminaciones y Protección a las Minorías,</w:t>
        <w:br/>
        <w:t>49º período de sesiones, Informe final revisado acerca de la cuestión de la</w:t>
        <w:br/>
        <w:t>impunidad de los autores de violaciones de los derechos humanos (derechos</w:t>
        <w:br/>
        <w:t>civiles y políticos) preparado por L. Joinet, UN General Assembly Doc.</w:t>
        <w:br/>
        <w:t>E/CN.4/Sub.2/1997/20/Rev.1; y Naciones Unidas, Comisión de Derechos</w:t>
        <w:br/>
        <w:t>Humanos, Subcomisión de Prevención de Discriminaciones y Protección a las</w:t>
        <w:br/>
        <w:t>Minorías, 45º período de sesiones, Estudio relativo al derecho de</w:t>
        <w:br/>
        <w:t>restitución, indemnización y rehabilitación a las víctimas de violaciones</w:t>
        <w:br/>
        <w:t>flagrantes de los derechos humanos y las libertades fundamentales, Informe</w:t>
        <w:br/>
        <w:t>definitivo presentado por Theo van Boven, Relator especial, E/CN.4/Sub</w:t>
        <w:br/>
        <w:t>.2/1993/8.</w:t>
        <w:br/>
        <w:br/>
        <w:t>[158] Cfr. Caso Myrna Mack Chang, supra nota 5, párr. 274; Caso Trujillo</w:t>
        <w:br/>
        <w:t>Oroza. Reparaciones, supra nota 116, párr. 114; Caso Bámaca Velásquez.</w:t>
        <w:br/>
        <w:t>Reparaciones, supra nota 116, párr. 76; y Caso Castillo Páez, supra nota</w:t>
        <w:br/>
        <w:t>26, párr. 90.</w:t>
        <w:br/>
        <w:br/>
        <w:t>[159]       Caso Barrios Altos, supra nota 117, párr. 41; Caso del</w:t>
        <w:br/>
        <w:t>Caracazo. Reparaciones, supra nota 17, párr. 119; Caso Trujillo Oroza.</w:t>
        <w:br/>
        <w:t>Reparaciones, supra nota 116, párr. 106; y Caso Barrios Altos.</w:t>
        <w:br/>
        <w:t>Interpretación de Sentencia, supra nota 117, párr. 15.</w:t>
        <w:br/>
        <w:br/>
        <w:t>[160]       Cfr. Caso Myrna Mack Chang, supra nota 5, párr. 278.</w:t>
        <w:br/>
        <w:br/>
        <w:t>[161] Cfr. Caso Myrna Mack Chang, supra nota 5, párr. 286; Caso Trujillo</w:t>
        <w:br/>
        <w:t>Oroza. Reparaciones, supra nota 116, párr. 122; y Caso de los “Niños de la</w:t>
        <w:br/>
        <w:t>Calle” (Villagrán Morales y otros). Reparaciones, supra nota 116, párr.</w:t>
        <w:br/>
        <w:t>103.</w:t>
        <w:br/>
        <w:br/>
        <w:t>[162] Cfr. Caso Maritza Urrutia, supra nota 5, párr. 182; Caso Myrna Mack</w:t>
        <w:br/>
        <w:t>Chang, supra nota 5, párr. 290; y Caso Bulacio, supra nota 6, párr. 150.</w:t>
        <w:br/>
        <w:br/>
        <w:t xml:space="preserve">    [163]. Como, por ejemplo, en las obras así tituladas de A. Malraux y  H.</w:t>
        <w:br/>
        <w:t>Arendt, entre otras tantas.</w:t>
        <w:br/>
        <w:br/>
        <w:t xml:space="preserve">    [164]. Cf. párr. 49 (b),(c),(d), y (e) de la presente Sentencia.</w:t>
        <w:br/>
        <w:br/>
        <w:t xml:space="preserve">    [165]. CtIADH, Transcripción de la Audiencia Pública Celebrada los  Días</w:t>
        <w:br/>
        <w:t>5, 6 y 7 de Mayo de 2004 - Caso de  los  Hermanos  Gómez  Paquiyauri  versus</w:t>
        <w:br/>
        <w:t>Perú,  San  José  de  Costa  Rica,  CtIADH,  2004,  pp.  52-53  (circulación</w:t>
        <w:br/>
        <w:t>interna).</w:t>
        <w:br/>
        <w:br/>
        <w:t xml:space="preserve">    [166]. Ibid., pp. 43-44 y 48.</w:t>
        <w:br/>
        <w:br/>
        <w:t xml:space="preserve">    [167]. Cf., en este mismo sentido, mis Votos Razonados en los  casos  de</w:t>
        <w:br/>
        <w:t>los "Niños de  la  Calle"  (Villagrán  Morales  y  Otros  versus  Guatemala,</w:t>
        <w:br/>
        <w:t>reparaciones,  Sentencia  del  26.05.2001),  de  Bámaca   Velásquez   versus</w:t>
        <w:br/>
        <w:t>Guatemala (reparaciones, Sentencia del  22.02.2002),  y  de  Bulacio  versus</w:t>
        <w:br/>
        <w:t>Argentina (fondo y reparaciones, Sentencia del 18.09.2003).</w:t>
        <w:br/>
        <w:br/>
        <w:t xml:space="preserve">    [168]. En la caracterización de J. Milton, El  Paraíso  Perdido  (1667),</w:t>
        <w:br/>
        <w:t>libro IX, versos 6-15.</w:t>
        <w:br/>
        <w:br/>
        <w:t xml:space="preserve">    [169]. Ibid., libro X, versos 967-991.</w:t>
        <w:br/>
        <w:br/>
        <w:t xml:space="preserve">    [170]. Ibid., libro XI, versos 84-89.</w:t>
        <w:br/>
        <w:br/>
        <w:t xml:space="preserve">    [171].   Cf.   W.   Kaufmann,   Tragedy   and   Philosophy,   2a.   ed.,</w:t>
        <w:br/>
        <w:t>Princeton/N.J., Princeton University Press, 1992, pp. 131, 133, 309 y 315.</w:t>
        <w:br/>
        <w:br/>
        <w:t xml:space="preserve">    [172]. Cf. A.A. Cançado Trindade, "The  Birth  of  State  Responsibility</w:t>
        <w:br/>
        <w:t>and the Nature of the Local Remedies Rule", 56 Revue de droit  international</w:t>
        <w:br/>
        <w:t>de sciences diplomatiques et politiques - Sottile (1978) pp. 157-188.</w:t>
        <w:br/>
        <w:br/>
        <w:t xml:space="preserve">    [173]. Ibid., p. 176.</w:t>
        <w:br/>
        <w:br/>
        <w:t xml:space="preserve">    [174]. Cf. Corte Interamericana de Derechos Humanos  (CtIADH),  caso  de</w:t>
        <w:br/>
        <w:t>"La Última Tentación de Cristo"  versus  Chile,  Sentencia  del  05.02.2001,</w:t>
        <w:br/>
        <w:t>Serie C, n. 73, p. 47, párr. 72;  y  cf.  Voto  Concurrente  del  Juez  A.A.</w:t>
        <w:br/>
        <w:t>Cançado Trindade, p. 76, párr. 16, y cf. pp. 85-87, párrs. 31-33.</w:t>
        <w:br/>
        <w:br/>
        <w:br/>
        <w:t xml:space="preserve">    [175]. Cf. CtIADH, caso de los "Niños de la Calle"  (Villagrán  y  Otros</w:t>
        <w:br/>
        <w:t>versus Guatemala, Fondo), Sentencia del 19.11.1999, Serie C, n. 63,  p.  89,</w:t>
        <w:br/>
        <w:t>párr. 220; CtIADH, caso de los Cinco  Pensionistas  versus  Perú,  Sentencia</w:t>
        <w:br/>
        <w:t>del 28.02.2003, Serie C, n.  98,  párr.  163;  CtIADH,  caso  Juan  Humberto</w:t>
        <w:br/>
        <w:t>Sánchez versus Honduras, Sentencia del 07.06.2003, Serie  C,  n.  99,  párr.</w:t>
        <w:br/>
        <w:t>142.</w:t>
        <w:br/>
        <w:br/>
        <w:t xml:space="preserve">    [176]. Como los contextos fundamentalmente distintos  de  la  protección</w:t>
        <w:br/>
        <w:t>internacional de los derechos humanos y de la protección diplomática.</w:t>
        <w:br/>
        <w:br/>
        <w:t xml:space="preserve">    [177]. Las diferencias básicas de contexto requieren  que  la  regla  de</w:t>
        <w:br/>
        <w:t>los recursos internos, en el ámbito  de  la  salvaguardia  internacional  de</w:t>
        <w:br/>
        <w:t>l),8ART[^~ž¢d     e      os  derechos  humanos,  se  aplique  con   atención</w:t>
        <w:br/>
        <w:t>especial a las necesidades de protección del ser humano. La  referida  regla</w:t>
        <w:br/>
        <w:t>está lejos de tener la dimensión de un principio inmutable o sacrosanto  del</w:t>
        <w:br/>
        <w:t>derecho internacional, nada impidiendo que se  aplique  con  mayor  o  menor</w:t>
        <w:br/>
        <w:t>rigor en contextos distintos. Al fin y al  cabo,  los  recursos  de  derecho</w:t>
        <w:br/>
        <w:t>interno  forman  parte  integrante  del   propio   sistema   de   protección</w:t>
        <w:br/>
        <w:t>internacional de los derechos humanos, con énfasis más bien el  elemento  de</w:t>
        <w:br/>
        <w:t>la reparación (redress) que el proceso mecánico de  agotamiento  (de  dichos</w:t>
        <w:br/>
        <w:t>recursos).  La  regla  de  los  recursos  internos  da  testimonio   de   la</w:t>
        <w:br/>
        <w:t>interacción entre el derecho  internacional  y  el  derecho  interno  en  el</w:t>
        <w:br/>
        <w:t>presente  contexto  de  protección.  Estamos  aquí  ante   un   derecho   de</w:t>
        <w:br/>
        <w:t>protección,  dotado  de  especificidad  propia,  orientado  fundamentalmente</w:t>
        <w:br/>
        <w:t>hacia las víctimas, a los  derechos  de  los  seres  humanos  y  no  de  los</w:t>
        <w:br/>
        <w:t>Estados. Los principios generalmente reconocidos del  derecho  internacional</w:t>
        <w:br/>
        <w:t>(a los cuales se  refiere  la  formulación  de  la  regla  de  los  recursos</w:t>
        <w:br/>
        <w:t>internos en tratados de derechos  humanos  como  la  Convención  Americana),</w:t>
        <w:br/>
        <w:t>además de seguir una evolución propia en los distintos contextos en  que  se</w:t>
        <w:br/>
        <w:t>aplican,  necesariamente  sufren,  cuando  son  insertados  en  tratados  de</w:t>
        <w:br/>
        <w:t>derechos humanos, un cierto grado de ajuste o  adaptación,  dictado  por  el</w:t>
        <w:br/>
        <w:t>carácter especial del objeto  y  propósito  de  dichos  tratados  y  por  la</w:t>
        <w:br/>
        <w:t>ampliamente reconocida especificidad de la protección internacional  de  los</w:t>
        <w:br/>
        <w:t>derechos humanos. A.A. Cançado Trindade, The  Application  of  the  Rule  of</w:t>
        <w:br/>
        <w:t>Exhaustion of Local Remedies in  International  Law,  Cambridge,  University</w:t>
        <w:br/>
        <w:t>Press, 1983, pp. 1-443, esp. pp. 6-56, 279-287, 290-322 y 410-412.</w:t>
        <w:br/>
        <w:br/>
        <w:br/>
        <w:t xml:space="preserve">    [178]. A.A. Cançado Trindade, "The Birth  of  State  Responsibility...",</w:t>
        <w:br/>
        <w:t>op. cit. supra n. (10), pp. 157-188.</w:t>
        <w:br/>
        <w:br/>
        <w:t xml:space="preserve">    [179]. La primera y la séptima.</w:t>
        <w:br/>
        <w:br/>
        <w:t xml:space="preserve">    [180]. CtIADH, Transcripción de la Audiencia Pública Celebrada los  Días</w:t>
        <w:br/>
        <w:t>5, 6 y 7 de Mayo de 2004 - Caso de  los  Hermanos  Gómez  Paquiyauri  versus</w:t>
        <w:br/>
        <w:t>Perú, San José de Costa Rica, CtIADH, 2004, p. 146 (circulación interna).</w:t>
        <w:br/>
        <w:br/>
        <w:t xml:space="preserve">    [181]. Comisión Interamericana de Derechos Humanos, Informe n.  99/01  -</w:t>
        <w:br/>
        <w:t>Caso n. 11.016 (Perú), doc. OEA/Ser/L/V/II.113/doc.36, del  11.10.2001,  pp.</w:t>
        <w:br/>
        <w:t>9 y 12-13, párrs. 48-49, 59 y 63.</w:t>
        <w:br/>
        <w:br/>
        <w:t xml:space="preserve">    [182]. Ibid., pp. 15 y 19, párrs. 69 y 87.</w:t>
        <w:br/>
        <w:br/>
        <w:t xml:space="preserve">    [183]. Cf. Transcripción de la Audiencia Pública..., op. cit.  supra  n.</w:t>
        <w:br/>
        <w:t>(18), pp. 156-157 (circulación interna).</w:t>
        <w:br/>
        <w:br/>
        <w:t xml:space="preserve">    [184]. Cf., en este sentido, CtIADH, caso Las Palmeras versus  Colombia,</w:t>
        <w:br/>
        <w:t>Sentencia del 06.12.2001 (fondo), Serie C, n. 90, Voto Razonado Conjunto  de</w:t>
        <w:br/>
        <w:t>los Jueces A.A. Cançado Trindade y M. Pacheco Gómez, pp. 43-45,  párrs.  2-3</w:t>
        <w:br/>
        <w:t>y 5.</w:t>
        <w:br/>
        <w:br/>
        <w:t xml:space="preserve">    [185].  Ibid.,  Voto  Razonado  Conjunto  de  los  Jueces  A.A.  Cançado</w:t>
        <w:br/>
        <w:t>Trindade y M. Pacheco Gómez, pp. 44-45, párr. 4.</w:t>
        <w:br/>
        <w:br/>
        <w:t xml:space="preserve">    [186]. A.A. Cançado Trindade, "Exhaustion of Remedies  in  International</w:t>
        <w:br/>
        <w:t>Law and the Role of National Courts", 17 Archiv des Volkerrechts -  Tübingen</w:t>
        <w:br/>
        <w:t>(1977-1978) pp. 333-370; y cf., en el mismo sentido,  veinte  años  después,</w:t>
        <w:br/>
        <w:t>A.A. Cançado Trindade,  O  Esgotamento  dos  Recursos  Internos  no  Direito</w:t>
        <w:br/>
        <w:t>Internacional,  2a.  ed.  actualizada,  Brasilia,   Edit.   Universidad   de</w:t>
        <w:br/>
        <w:t>Brasilia, 1997, pp. 176-177 y 244-245.</w:t>
        <w:br/>
        <w:br/>
        <w:t xml:space="preserve">    [187]. Como ocurría bajo el anterior (tercer) Reglamento  de  la  Corte,</w:t>
        <w:br/>
        <w:t>artículo 23.</w:t>
        <w:br/>
        <w:br/>
        <w:t xml:space="preserve">    [188]. A ejemplo de la realización de misiones de observación in loco  y</w:t>
        <w:br/>
        <w:t>la elaboración de informes.</w:t>
        <w:br/>
        <w:br/>
        <w:t xml:space="preserve">    [189]. Ampliada, funcionando  en  cámaras,  y  con  recursos  humanos  y</w:t>
        <w:br/>
        <w:t>materiales considerablemente mayores.</w:t>
        <w:br/>
        <w:br/>
        <w:t xml:space="preserve">    [190]. Cf., en ese sentido, mis Votos Razonados en  los  casos  Castillo</w:t>
        <w:br/>
        <w:t>Páez versus  Perú  (Excepciones  Preliminares,  Sentencia  del  30.01.1996),</w:t>
        <w:br/>
        <w:t>párrs.  14-17,  y  Loayza  Tamayo  versus  Perú  (Excepciones  Preliminares,</w:t>
        <w:br/>
        <w:t>Sentencia del 31.01.1996), párrs. 14-17, respectivamente.</w:t>
        <w:br/>
        <w:br/>
        <w:t xml:space="preserve">    [191]. A.A. Cançado Trindade, "A Personalidade  e  Capacidade  Jurídicas</w:t>
        <w:br/>
        <w:t>do Indivíduo como Sujeito do Direito Internacional", in Jornadas de  Derecho</w:t>
        <w:br/>
        <w:t>Internacional (Ciudad  de  México,  diciembre  de  2001),  Washington  D.C.,</w:t>
        <w:br/>
        <w:t>Subsecretaría de Asuntos Jurídicos de la OEA, 2002, pp. 311-347.</w:t>
        <w:br/>
        <w:br/>
        <w:t xml:space="preserve">    [192]. CtIADH, Opinión Consultiva OC-17/02, sobre la Condición  Jurídica</w:t>
        <w:br/>
        <w:t>y Derechos Humanos del Niño, del 28.08.2002, punto resolutivo n. 1,  y  Voto</w:t>
        <w:br/>
        <w:t>Concurrente del Juez A.A. Cançado Trindade, párrs. 1-71.</w:t>
        <w:br/>
        <w:br/>
        <w:t xml:space="preserve">    [193]. Además de asegurar su derecho de  libertad  de  expresión  en  el</w:t>
        <w:br/>
        <w:t>curso del proceso internacional.</w:t>
        <w:br/>
        <w:br/>
        <w:t xml:space="preserve">    [194].  Cf.,  en  este  sentido,  A.A.  Cançado   Trindade,   "Vers   la</w:t>
        <w:br/>
        <w:t>consolidation de la capacité  juridique  internationale  des  pétitionnaires</w:t>
        <w:br/>
        <w:t>dans le  système  interaméricain  des  droits  de  la  personne",  14  Revue</w:t>
        <w:br/>
        <w:t>québécoise de droit international (2001) pp. 207-239, esp.  pp.  223-224;  y</w:t>
        <w:br/>
        <w:t>cf. A.A. Cançado Trindade, "Le système  inter-américain  de  protection  des</w:t>
        <w:br/>
        <w:t>droits de l'homme: état actuel  et  perspectives  d'évolution  à  l'aube  du</w:t>
        <w:br/>
        <w:t>XXIème siècle", 46 Annuaire français de Droit international -  Paris  (2000)</w:t>
        <w:br/>
        <w:t>pp. 570-577.</w:t>
        <w:br/>
        <w:br/>
        <w:t xml:space="preserve">    [195]. Inclusive a  efectos  de  recibir  directamente  las  costas  del</w:t>
        <w:br/>
        <w:t>proceso internacional, como en el presente caso.</w:t>
        <w:br/>
        <w:br/>
        <w:t xml:space="preserve">    [196]. Libro II, líneas 101-108.</w:t>
        <w:br/>
        <w:br/>
        <w:t xml:space="preserve">    [197]. Cf. De Finibus, libro II, líneas 93-95 y 118-120.</w:t>
        <w:br/>
        <w:br/>
        <w:t xml:space="preserve">    [198]. Cf., al respecto, mi Voto Razonado en el caso  Myrna  Mack  Chang</w:t>
        <w:br/>
        <w:t>versus Guatemala (Sentencia del 25.11.2003), párrs. 41-55.</w:t>
        <w:br/>
        <w:br/>
        <w:t xml:space="preserve">    [199]. Cf. mi Voto Razonado en el caso de la Masacre de Plan de  Sánchez</w:t>
        <w:br/>
        <w:t>(Sentencia del 29.04.2004), párr. 25.</w:t>
        <w:br/>
        <w:br/>
        <w:t xml:space="preserve">    [200]. Artículo 50/51/130/147.</w:t>
        <w:br/>
        <w:br/>
        <w:t xml:space="preserve">    [201]. Protocolo I, artículo 75; Protocolo II, artículos 4-6.</w:t>
        <w:br/>
        <w:br/>
        <w:t xml:space="preserve">    [202]. Protocolo I, artículo 75(2)(a); Protocolo II, artículos 4(2)(a).</w:t>
        <w:br/>
        <w:br/>
        <w:t xml:space="preserve">    [203].  CtIADH,   caso   Blake   versus   Guatemala,   Sentencia   sobre</w:t>
        <w:br/>
        <w:t>reparaciones del 22.01.1999, Voto Razonado del Juez A.A.  Cançado  Trindade,</w:t>
        <w:br/>
        <w:t>párr. 39.</w:t>
        <w:br/>
        <w:br/>
        <w:t xml:space="preserve">    [204]. CtIADH, caso Myrna Mack Chang  versus  Guatemala,  Sentencia  del</w:t>
        <w:br/>
        <w:t>25.11.2003, Voto Razonado del Juez A.A. Cançado Trindade, párr. 46.</w:t>
        <w:br/>
        <w:br/>
        <w:t xml:space="preserve">    [205]. CtIADH, caso Bámaca Velásquez  versus  Guatemala,  Sentencia  del</w:t>
        <w:br/>
        <w:t>25.11.2000, Voto Razonado del Juez A.A. Cançado Trindade, párr. 29.</w:t>
        <w:br/>
        <w:br/>
        <w:t xml:space="preserve">    [206]. Ibid., Voto Razonado del Juez A.A. Cançado Trindade, párr. 39.</w:t>
        <w:br/>
        <w:br/>
        <w:t xml:space="preserve">    [207]. Cf. mi Voto Concurrente en la Opinión Consultiva n. 18  sobre  La</w:t>
        <w:br/>
        <w:t>Condición Jurídica y los  Derechos  de  los  Migrantes  Indocumentados  (del</w:t>
        <w:br/>
        <w:t>17.09.2003), párrs. 65-73.</w:t>
        <w:br/>
        <w:br/>
        <w:t>[208] El Hábeas Corpus bajo Suspensión de Garantías (arts. 27.2, 25.1 y  7.6</w:t>
        <w:br/>
        <w:t>Convención Americana sobre Derechos  Humanos).  Opinión  Consultiva  OC-8/87</w:t>
        <w:br/>
        <w:t>del 30 de enero de 1987. Serie A No. 8, párr. 32.</w:t>
        <w:br/>
        <w:t>[209]  Conferencia  Especializada  Interamericana  sobre  Derechos  Humanos,</w:t>
        <w:br/>
        <w:t>Actas y Documentos, p.22.</w:t>
        <w:br/>
        <w:t>[210] Ibídem, p. 41.</w:t>
        <w:br/>
        <w:t>[211] Garantías Judiciales en Estados de Emergencia  (arts.  27.2,  25  y  8</w:t>
        <w:br/>
        <w:t>Convención Americana sobre Derechos  Humanos).  Opinión  Consultiva  OC-9/87</w:t>
        <w:br/>
        <w:t>del 6  de  octubre  de  1987.  Serie  A  No.  9,  párr.  24;  Caso  Hilaire,</w:t>
        <w:br/>
        <w:t>Constantine y Benjamín y otros. Sentencia de 21 de junio de  2002.  Serie  C</w:t>
        <w:br/>
        <w:t>No. 94, párr. 148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