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Caso Aloeboetoe y otros Vs. Surinam</w:t>
        <w:br/>
        <w:br/>
        <w:br/>
        <w:t xml:space="preserve">                     Sentencia de 4 de diciembre de 1991</w:t>
        <w:br/>
        <w:t xml:space="preserve">                                   (Fondo)</w:t>
        <w:br/>
        <w:br/>
        <w:br/>
        <w:t>En el caso Aloeboetoe y otros,</w:t>
        <w:br/>
        <w:br/>
        <w:t>la Corte Interamericana de Derechos Humanos, integrada  por  los  siguientes</w:t>
        <w:br/>
        <w:t>jueces:</w:t>
        <w:br/>
        <w:br/>
        <w:t xml:space="preserve">      Héctor Fix-Zamudio, Presidente</w:t>
        <w:br/>
        <w:t xml:space="preserve">      Thomas Buergenthal, Juez</w:t>
        <w:br/>
        <w:t xml:space="preserve">      Rafael Nieto Navia, Juez</w:t>
        <w:br/>
        <w:t xml:space="preserve">      Sonia Picado Sotela, Juez</w:t>
        <w:br/>
        <w:t xml:space="preserve">      Julio A. Barberis, Juez</w:t>
        <w:br/>
        <w:t xml:space="preserve">      Antônio A. Cançado Trindade, Juez ad hoc;</w:t>
        <w:br/>
        <w:br/>
        <w:t>presentes, además,</w:t>
        <w:br/>
        <w:br/>
        <w:t xml:space="preserve">      Manuel E. Ventura Robles, Secretario y</w:t>
        <w:br/>
        <w:t xml:space="preserve">      Ana María Reina, Secretaria adjunta</w:t>
        <w:br/>
        <w:br/>
        <w:t>de acuerdo con los artículos 44.1 y  45  del  Reglamento  vigente  para  los</w:t>
        <w:br/>
        <w:t>asuntos sometidos a su consideración antes del  31  de  julio  de  1991  (en</w:t>
        <w:br/>
        <w:t>adelante “el Reglamento”), dicta la siguiente sentencia  sobre  el  presente</w:t>
        <w:br/>
        <w:t>caso introducido por la Comisión Interamericana de Derechos  Humanos  contra</w:t>
        <w:br/>
        <w:t>la República de Suriname (en adelante “el Gobierno” o “Suriname”).</w:t>
        <w:br/>
        <w:br/>
        <w:br/>
        <w:t xml:space="preserve">                                      I</w:t>
        <w:br/>
        <w:br/>
        <w:t>1.    Este caso fue sometido a la Corte Interamericana de  Derechos  Humanos</w:t>
        <w:br/>
        <w:t>(en adelante “la Corte”) por la Comisión Interamericana de Derechos  Humanos</w:t>
        <w:br/>
        <w:t>(en adelante “la Comisión”) el 27 de agosto de  1990.   Se  originó  en  una</w:t>
        <w:br/>
        <w:t>denuncia (N° 10.150)  contra  Suriname  recibida  en  la  Secretaría  de  la</w:t>
        <w:br/>
        <w:t>Comisión el 15 de enero de 1988.</w:t>
        <w:br/>
        <w:br/>
        <w:t>2.    Al presentar el caso, la Comisión invocó los artículos 51 y 61  de  la</w:t>
        <w:br/>
        <w:t>Convención Americana sobre Derechos Humanos (en adelante “la  Convención”  o</w:t>
        <w:br/>
        <w:t>la “Convención Americana”) y el artículo 50 de su Reglamento.   La  Comisión</w:t>
        <w:br/>
        <w:t>sometió este caso con el fin de que la Corte decida si hubo  violación,  por</w:t>
        <w:br/>
        <w:t>parte del Gobierno involucrado, de los artículos 1 (Obligación  de  respetar</w:t>
        <w:br/>
        <w:t>los derechos), 2 (Deber de adoptar  disposiciones  de  derecho  interno),  4</w:t>
        <w:br/>
        <w:t>(Derecho a la vida), 5 (Derecho a la integridad personal), 7 (Derecho  a  la</w:t>
        <w:br/>
        <w:t>libertad personal) y 25 (Protección judicial) de la Convención en  perjuicio</w:t>
        <w:br/>
        <w:t>de  los  señores  Daison   Aloeboetoe,   Dedemanu   Aloeboetoe,   Mikuwendje</w:t>
        <w:br/>
        <w:t>Aloeboetoe, John Amoida, Richenel Voola (alias Aside), Martin Indisie  Banai</w:t>
        <w:br/>
        <w:t>y Beri Tiopo y solicitó que la Corte “decida sobre este caso conforme a  las</w:t>
        <w:br/>
        <w:t>disposiciones de la Convención, que  determine  la  responsabilidad  por  la</w:t>
        <w:br/>
        <w:t>violación señalada y que otorgue una justa compensación a los familiares  de</w:t>
        <w:br/>
        <w:t>la víctima”.  Designó como sus delegados para que la  representen  a  Oliver</w:t>
        <w:br/>
        <w:t>H. Jackman, miembro; Edith Márquez Rodríguez, Secretaria ejecutiva  y  David</w:t>
        <w:br/>
        <w:t>J. Padilla, Secretario ejecutivo adjunto.</w:t>
        <w:br/>
        <w:br/>
        <w:t>3.    La petición formulada por la  Comisión,  junto  con  sus  anexos,  fue</w:t>
        <w:br/>
        <w:t>remitida al Gobierno por la Secretaría de la Corte el 17  de  septiembre  de</w:t>
        <w:br/>
        <w:t>1990.</w:t>
        <w:br/>
        <w:br/>
        <w:t>4.    Mediante facsímil del 6 de noviembre de 1990 el Gobierno  de  Suriname</w:t>
        <w:br/>
        <w:t>designó como agente al Licenciado Carlos Vargas Pizarro, de San José,  Costa</w:t>
        <w:br/>
        <w:t>Rica.</w:t>
        <w:br/>
        <w:br/>
        <w:t>5.    El Presidente de la Corte, mediante resolución del 12 de noviembre  de</w:t>
        <w:br/>
        <w:t>1990, de común acuerdo con el agente de  Suriname  y  los  delegados  de  la</w:t>
        <w:br/>
        <w:t>Comisión y en consulta con la Comisión Permanente de la Corte, señaló el  29</w:t>
        <w:br/>
        <w:t>de marzo de 1991 como fecha  límite  para  que  la  Comisión  presentara  la</w:t>
        <w:br/>
        <w:t>memoria a que se refiere el artículo 29 del Reglamento y el 28 de  junio  de</w:t>
        <w:br/>
        <w:t>1991 como fecha límite para que el Gobierno presentara la  contra-memoria  a</w:t>
        <w:br/>
        <w:t>que se refiere el mismo artículo.</w:t>
        <w:br/>
        <w:br/>
        <w:t>6.    Por nota de  12  de  noviembre  de  1990  el  Presidente  solicitó  al</w:t>
        <w:br/>
        <w:t>Gobierno designar Juez ad hoc para este caso.  En  comunicación  del  13  de</w:t>
        <w:br/>
        <w:t>diciembre de 1990, el agente informó a la Corte que el Gobierno nombró  Juez</w:t>
        <w:br/>
        <w:t>ad hoc al profesor Antônio A. Cançado Trindade, de Brasilia, Brasil.</w:t>
        <w:br/>
        <w:br/>
        <w:t>7.    Por nota de 7 de febrero de  1991  la  Comisión  designó  al  profesor</w:t>
        <w:br/>
        <w:t>Claudio Grossman como asesor legal para el presente caso.</w:t>
        <w:br/>
        <w:br/>
        <w:t>8.    La Comisión presentó su memoria el 1 de  abril  de  1991  y  la  Corte</w:t>
        <w:br/>
        <w:t>recibió la contra-memoria de Suriname el 28 de junio siguiente.   Junto  con</w:t>
        <w:br/>
        <w:t>la contra-memoria, el Gobierno surinamés opuso excepciones preliminares.</w:t>
        <w:br/>
        <w:br/>
        <w:t>9.    El Presidente,  por  resolución  de  3  de  agosto  de  1991,  dispuso</w:t>
        <w:br/>
        <w:t>convocar a una audiencia pública en la sede de la Corte para  el  día  2  de</w:t>
        <w:br/>
        <w:t>diciembre de 1991, a las 15:00 horas, con el fin de oir la posición  de  las</w:t>
        <w:br/>
        <w:t>partes sobre las excepciones preliminares presentadas.  En dicha  resolución</w:t>
        <w:br/>
        <w:t>también citó a declarar, por solicitud del  Gobierno,  como  testigos  sobre</w:t>
        <w:br/>
        <w:t>las excepciones preliminares a A. Freitas, Auditor Militar del  Gobierno  de</w:t>
        <w:br/>
        <w:t>Suriname y Darius Stanley, investigador del Departamento de  Investigaciones</w:t>
        <w:br/>
        <w:t>de la Policía Militar de Suriname.  El Gobierno  renunció  posteriormente  a</w:t>
        <w:br/>
        <w:t>que dichas personas comparecieran como testigos.  En comunicación de  28  de</w:t>
        <w:br/>
        <w:t>noviembre de 1991 el agente informó a la Corte  que  los  señores  Ramón  de</w:t>
        <w:br/>
        <w:t>Freitas, Albert Vrede y  Fred  M.  Reid  comparecerían  “como  parte  de  la</w:t>
        <w:br/>
        <w:t>delegación de Suriname” y los presentó como Procurador de  la  República  de</w:t>
        <w:br/>
        <w:t>Suriname, patólogo y experto y Tercer Secretario de Embajada del  Ministerio</w:t>
        <w:br/>
        <w:t>de Relaciones Exteriores de Suriname, respectivamente.</w:t>
        <w:br/>
        <w:br/>
        <w:t>10.   La audiencia pública tuvo lugar en la sede de la Corte  el  día  2  de</w:t>
        <w:br/>
        <w:t>diciembre de 1991.</w:t>
        <w:br/>
        <w:br/>
        <w:br/>
        <w:t>Comparecieron ante la Corte</w:t>
        <w:br/>
        <w:br/>
        <w:t>por el Gobierno de Suriname:</w:t>
        <w:br/>
        <w:br/>
        <w:t xml:space="preserve">      Carlos Vargas Pizarro, agente</w:t>
        <w:br/>
        <w:br/>
        <w:t xml:space="preserve">      Ramón de Freitas</w:t>
        <w:br/>
        <w:br/>
        <w:t xml:space="preserve">      Albert Vrede</w:t>
        <w:br/>
        <w:br/>
        <w:t xml:space="preserve">      Fred M. Reid;</w:t>
        <w:br/>
        <w:br/>
        <w:t>por la Comisión Interamericana de Derechos Humanos:</w:t>
        <w:br/>
        <w:br/>
        <w:t xml:space="preserve">      Oliver H. Jackman, delegado</w:t>
        <w:br/>
        <w:br/>
        <w:t xml:space="preserve">      David J. Padilla, delegado.</w:t>
        <w:br/>
        <w:br/>
        <w:t>A pesar  de  que  la  audiencia  fue  citada  para  tratar  las  excepciones</w:t>
        <w:br/>
        <w:t>preliminares,  el  Gobierno  hizo  en   ella   un   reconocimiento   de   su</w:t>
        <w:br/>
        <w:t>responsabilidad en este caso (infra 22).</w:t>
        <w:br/>
        <w:br/>
        <w:br/>
        <w:t xml:space="preserve">                                     II</w:t>
        <w:br/>
        <w:br/>
        <w:t>11.   Según la denuncia presentada ante la Comisión el 15 de enero de  1988,</w:t>
        <w:br/>
        <w:t>los hechos materia de la denuncia sucedieron en  Atjoni  (desembarcadero  de</w:t>
        <w:br/>
        <w:t>la aldea de Pokigron en el Distrito de Sipaliwini) y en Tjongalangapassi,  a</w:t>
        <w:br/>
        <w:t>la altura del kilómetro 30 del Distrito de Brokopondo.  En  Atjoni,  más  de</w:t>
        <w:br/>
        <w:t>20 cimarrones (bushnegroes), varones e  inermes  fueron  golpeados  con  las</w:t>
        <w:br/>
        <w:t>culatas de las armas de fuego de los soldados que, bajo la sospecha  de  que</w:t>
        <w:br/>
        <w:t>eran miembros del Comando de la Selva, los  detuvieron.   Algunos  de  ellos</w:t>
        <w:br/>
        <w:t>fueron heridos gravemente con  bayonetas  y  cuchillos.   Se  les  obligó  a</w:t>
        <w:br/>
        <w:t>acostarse boca abajo en el suelo y los militares les pisaron  la  espalda  y</w:t>
        <w:br/>
        <w:t>los orinaron.</w:t>
        <w:br/>
        <w:br/>
        <w:t>12.   De acuerdo con la denuncia estos hechos  ocurrieron  en  presencia  de</w:t>
        <w:br/>
        <w:t>unas 50 personas.  Tanto  las  víctimas  como  los  espectadores  venían  de</w:t>
        <w:br/>
        <w:t>Paramaribo.  Para regresar a su aldea tenían que pasar  por  Atjoni.   Todos</w:t>
        <w:br/>
        <w:t>negaron que ellos pertenecieran al Comando de la Selva.  El  Capitán  de  la</w:t>
        <w:br/>
        <w:t>aldea de Gujaba informó explícitamente al Comandante Leeflang  del  Ejército</w:t>
        <w:br/>
        <w:t>que  se  trataba  de  civiles  de  varias  aldeas.   Este  desatendió  dicha</w:t>
        <w:br/>
        <w:t>intervención.</w:t>
        <w:br/>
        <w:br/>
        <w:t>13.   Después de los hechos ocurridos en Atjoni, los  militares  permitieron</w:t>
        <w:br/>
        <w:t>que algunos de los cimarrones prosiguieran su viaje,  pero  siete  personas,</w:t>
        <w:br/>
        <w:t>entre ellas un menor de 15 años de edad, fueron  arrastradas  con  los  ojos</w:t>
        <w:br/>
        <w:t>vendados al interior de un vehículo militar y  llevadas  por  el  camino  de</w:t>
        <w:br/>
        <w:t>Tjongalangapassi rumbo a Paramaribo.  Antes de partir, un militar  dijo  que</w:t>
        <w:br/>
        <w:t>celebrarían el fin de año con ellos.  Los nombres de las  personas  que  los</w:t>
        <w:br/>
        <w:t>militares se llevaron en  un  vehículo,  su  lugar  de  origen  y  fecha  de</w:t>
        <w:br/>
        <w:t>nacimiento (en algunos casos) son los  siguientes:   Daison  Aloeboetoe,  de</w:t>
        <w:br/>
        <w:t>Gujaba, nacido el 7 de  junio  de  1960;  Dedemanu  Aloeboetoe,  de  Gujaba;</w:t>
        <w:br/>
        <w:t>Mikuwendje Aloeboetoe, de Gujaba, nacido el  4  de  febrero  de  1973;  John</w:t>
        <w:br/>
        <w:t>Amoida, de Asindonhopo (vivía en Gujaba);  Richenel  Voola,  alias  Aside  o</w:t>
        <w:br/>
        <w:t>Ameikanbuka, de  Grantatai  (encontrado  vivo);  Martin  Indisie  Banai,  de</w:t>
        <w:br/>
        <w:t>Gujaba, nacido el 3 de junio de 1955 y Beri Tiopo, de Gujaba.</w:t>
        <w:br/>
        <w:br/>
        <w:t>14.   Continúa diciendo la denuncia que a la  altura  del  kilómetro  30  el</w:t>
        <w:br/>
        <w:t>vehículo se detuvo y los militares ordenaron a las víctimas que salieran  de</w:t>
        <w:br/>
        <w:t>él; a las que no lo hicieron las sacaron a la fuerza.  Se les dio  una  pala</w:t>
        <w:br/>
        <w:t>y a poca distancia del camino se les ordenó que comenzaran  a  excavar.   Al</w:t>
        <w:br/>
        <w:t>preguntar una de las  víctimas  sobre  el  objeto  de  esta  excavación,  un</w:t>
        <w:br/>
        <w:t>militar respondió que iban a plantar caña de azúcar y otro repitió que  iban</w:t>
        <w:br/>
        <w:t>a celebrar el fin de año con ellos.   Aside  trató  de  escapar,  dispararon</w:t>
        <w:br/>
        <w:t>contra él, cayó herido y no lo persiguieron.  Poco tiempo después se oyó  un</w:t>
        <w:br/>
        <w:t>tiroteo y un griterío.  Los otros seis cimarrones fueron asesinados.</w:t>
        <w:br/>
        <w:br/>
        <w:t>15.   El sábado 2 de enero  de  1988,  hombres  de  Gujaba  y  de  Grantatai</w:t>
        <w:br/>
        <w:t>salieron  con  destino  a  Paramaribo  para  demandar  información  de   las</w:t>
        <w:br/>
        <w:t>autoridades sobre las siete víctimas.  Al llegar  a  Paramaribo  nadie  pudo</w:t>
        <w:br/>
        <w:t>dar información  sobre  su  paradero.   En  dicho  lugar  visitaron  a  Orna</w:t>
        <w:br/>
        <w:t>Albitrouw (Coordinador del Interior en  Volksmobilisatie)  y  a  la  Policía</w:t>
        <w:br/>
        <w:t>Militar en Fuerte Zeelandia, en donde trataron de  ver  a  Vaandrig  Achong,</w:t>
        <w:br/>
        <w:t>Jefe del S-2.  El lunes 4 de enero regresaron a la zona de Tjongalanga y  al</w:t>
        <w:br/>
        <w:t>llegar al kilómetro 30 a las 7 de la noche encontraron  a  Aside  gravemente</w:t>
        <w:br/>
        <w:t>herido y en estado crítico, así como los cadáveres de  las  otras  víctimas.</w:t>
        <w:br/>
        <w:t>Aside, que tenía una bala enterrada en el muslo derecho  sobre  la  rodilla,</w:t>
        <w:br/>
        <w:t>indicó que él era el único sobreviviente de la masacre,  cuyas  víctimas  ya</w:t>
        <w:br/>
        <w:t>habían sido en parte devoradas por los  buitres.   La  herida  de  Aside  se</w:t>
        <w:br/>
        <w:t>hallaba infectada de gusanos y sobre el omóplato derecho tenía  una  cortada</w:t>
        <w:br/>
        <w:t>en forma de equis.  El grupo regresó a Paramaribo.  El representante  de  la</w:t>
        <w:br/>
        <w:t>Cruz Roja Internacional obtuvo permiso para evacuar al señor  Aside  después</w:t>
        <w:br/>
        <w:t>de 24 horas de negociación con las autoridades.  Este  fue  admitido  en  el</w:t>
        <w:br/>
        <w:t>Hospital Académico de Paramaribo el 6 de enero de  1988,  pero  pese  a  los</w:t>
        <w:br/>
        <w:t>cuidados que recibió, falleció días después.   El  8  y  9  de  ese  mes  la</w:t>
        <w:br/>
        <w:t>Policía Militar impidió que los parientes visitaran a Aside en el  hospital.</w:t>
        <w:br/>
        <w:t xml:space="preserve"> Hasta el 6 de  enero  los  familiares  de  las  otras  víctimas  no  habían</w:t>
        <w:br/>
        <w:t>obtenido autorización para enterrarlas.</w:t>
        <w:br/>
        <w:br/>
        <w:t>16.   La denuncia está firmada por Stanley Rensch quien dice  haber  hablado</w:t>
        <w:br/>
        <w:t>dos veces con Aside sobre los acontecimientos y  que  la  historia  relatada</w:t>
        <w:br/>
        <w:t>por éste coincide con la obtenida de más de 15  personas,  testigos  de  los</w:t>
        <w:br/>
        <w:t>sucesos y participantes en la búsqueda.</w:t>
        <w:br/>
        <w:br/>
        <w:t>17.   El 1 de febrero de 1988 la Comisión abrió  el  caso  10.150,  el  cual</w:t>
        <w:br/>
        <w:t>tramitó hasta el 15 de mayo de  1990,  fecha  en  que  adoptó,  conforme  al</w:t>
        <w:br/>
        <w:t>artículo 50, el informe N° 03/90, en el que resolvió:</w:t>
        <w:br/>
        <w:br/>
        <w:t xml:space="preserve">            1.   Admitir el presente caso.</w:t>
        <w:br/>
        <w:br/>
        <w:br/>
        <w:t xml:space="preserve">            2.   Declarar que  las  partes  no  han  podido  arribar  a  una</w:t>
        <w:br/>
        <w:t xml:space="preserve">      solución amistosa.</w:t>
        <w:br/>
        <w:br/>
        <w:br/>
        <w:t xml:space="preserve">            3.   Declarar que el  Gobierno  de  Suriname  ha  faltado  a  su</w:t>
        <w:br/>
        <w:t xml:space="preserve">      obligación de respetar los derechos y  libertades  consagradas  en  la</w:t>
        <w:br/>
        <w:t xml:space="preserve">      Convención Americana sobre Derechos Humanos y de garantizar su libre y</w:t>
        <w:br/>
        <w:t xml:space="preserve">      pleno ejercicio tal como lo  disponen  los  artículos  1  y  2  de  la</w:t>
        <w:br/>
        <w:t xml:space="preserve">      Convención.</w:t>
        <w:br/>
        <w:br/>
        <w:br/>
        <w:t xml:space="preserve">            4.   Declarar  que  el  Gobierno  de  Suriname  ha  violado  los</w:t>
        <w:br/>
        <w:t xml:space="preserve">      derechos humanos de las personas a que se refiere este caso, tal  como</w:t>
        <w:br/>
        <w:t xml:space="preserve">      lo proveen los artículos 1, 2, 4(1), 5(1), 5 (2),  7(1),  7(2),  7(3),</w:t>
        <w:br/>
        <w:t xml:space="preserve">      25(1) y 25(2) de la Convención Americana sobre Derechos Humanos.</w:t>
        <w:br/>
        <w:t xml:space="preserve">             5.    Recomendar  al  Gobierno  de  Suriname  que  adopte   las</w:t>
        <w:br/>
        <w:t xml:space="preserve">      siguientes medidas:</w:t>
        <w:br/>
        <w:br/>
        <w:br/>
        <w:t xml:space="preserve">            a.   Dar efecto  a  los  artículos  1  y  2  de  la  Convención,</w:t>
        <w:br/>
        <w:t xml:space="preserve">      garantizando el respeto y goce de los derechos allí consignados;</w:t>
        <w:br/>
        <w:br/>
        <w:br/>
        <w:t xml:space="preserve">            b.   Investigar las violaciones que  ocurrieron  en  este  caso,</w:t>
        <w:br/>
        <w:t xml:space="preserve">      enjuiciar y castigar a los responsables de estos hechos;</w:t>
        <w:br/>
        <w:br/>
        <w:br/>
        <w:t xml:space="preserve">            c.   Tomar las medidas necesarias para evitar su reocurrencia;</w:t>
        <w:br/>
        <w:br/>
        <w:br/>
        <w:t xml:space="preserve">            d.   Pagar  una  justa  compensación  a  los  parientes  de  las</w:t>
        <w:br/>
        <w:t xml:space="preserve">      víctimas.</w:t>
        <w:br/>
        <w:br/>
        <w:br/>
        <w:t xml:space="preserve">             6.    Transmitir  este  informe  al  Gobierno  de  Suriname   y</w:t>
        <w:br/>
        <w:t xml:space="preserve">      establecer un plazo de 90 días para  implementar  las  recomendaciones</w:t>
        <w:br/>
        <w:t xml:space="preserve">      allí contenidas.  El período de 90 días comenzará a correr a partir de</w:t>
        <w:br/>
        <w:t xml:space="preserve">      la fecha de envío del  presente  informe.   Durante  los  90  días  en</w:t>
        <w:br/>
        <w:t xml:space="preserve">      cuestión, el Gobierno no podrá publicar este informe,  de  conformidad</w:t>
        <w:br/>
        <w:t xml:space="preserve">      con el artículo 47.6 del Reglamento de la Comisión.</w:t>
        <w:br/>
        <w:br/>
        <w:br/>
        <w:t xml:space="preserve">            7.   Someter este caso a la  Corte  Interamericana  de  Derechos</w:t>
        <w:br/>
        <w:t xml:space="preserve">      Humanos en el caso que el Gobierno de Suriname no  dé  cumplimiento  a</w:t>
        <w:br/>
        <w:t xml:space="preserve">      todas las recomendaciones contenidas en el punto 5.</w:t>
        <w:br/>
        <w:br/>
        <w:br/>
        <w:t>18.   El 27 de agosto de 1990 la Comisión sometió el  caso  a  consideración</w:t>
        <w:br/>
        <w:t>de la Corte.</w:t>
        <w:br/>
        <w:br/>
        <w:br/>
        <w:t xml:space="preserve">                                     III</w:t>
        <w:br/>
        <w:br/>
        <w:t>19.   La Corte es competente para conocer del presente  caso.   Suriname  es</w:t>
        <w:br/>
        <w:t>Estado Parte de la Convención desde el 12 de noviembre de 1987 y  aceptó  la</w:t>
        <w:br/>
        <w:t>competencia contenciosa de la Corte a que se refiere el artículo  62  de  la</w:t>
        <w:br/>
        <w:t>Convención en la misma fecha.</w:t>
        <w:br/>
        <w:br/>
        <w:br/>
        <w:t xml:space="preserve">                                     IV</w:t>
        <w:br/>
        <w:br/>
        <w:t>20.   En su memoria, la Comisión solicitó lo siguiente:</w:t>
        <w:br/>
        <w:br/>
        <w:t xml:space="preserve">            Que la Ilustrísima Corte decida que el  Estado  de  Suriname  es</w:t>
        <w:br/>
        <w:t xml:space="preserve">      responsable  de  la  muerte  de  los   señores   Aloeboetoe,   Daison;</w:t>
        <w:br/>
        <w:t xml:space="preserve">      Aloeboetoe, Dedemanu; Aloeboetoe,  Mikuwendje;  Amoida,  John;  Voola,</w:t>
        <w:br/>
        <w:t xml:space="preserve">      Richenel, alias Aside [o] Ameikanbuka (encontrado vivo); Banai, Martin</w:t>
        <w:br/>
        <w:t xml:space="preserve">      Indisie, y Tiopo, Beri, mientras se encontraban detenidos, y que dicha</w:t>
        <w:br/>
        <w:t xml:space="preserve">      muerte es una violación de los artículos 1(1)  (2),  4(1),  5(1)  (2),</w:t>
        <w:br/>
        <w:t xml:space="preserve">      7(1) (2) (3) y 25 de la Convención Americana sobre Derechos Humanos.</w:t>
        <w:br/>
        <w:br/>
        <w:br/>
        <w:t xml:space="preserve">            Que la Corte decida que Suriname debe  reparar  adecuadamente  a</w:t>
        <w:br/>
        <w:t xml:space="preserve">      los familiares de las víctimas y que, por lo tanto, ordene:   el  pago</w:t>
        <w:br/>
        <w:t xml:space="preserve">      de una indemnización por daño emergente y  lucro  cesante,  reparación</w:t>
        <w:br/>
        <w:t xml:space="preserve">      del daño moral, incluyendo el pago de indemnización y la  adopción  de</w:t>
        <w:br/>
        <w:t xml:space="preserve">      medidas de rehabilitación del buen nombre de las víctimas,  y  que  se</w:t>
        <w:br/>
        <w:t xml:space="preserve">      investigue el crimen cometido y se provea el castigo de  quienes  sean</w:t>
        <w:br/>
        <w:t xml:space="preserve">      encontrados culpables.</w:t>
        <w:br/>
        <w:br/>
        <w:br/>
        <w:t xml:space="preserve">            [. . .]</w:t>
        <w:br/>
        <w:br/>
        <w:br/>
        <w:t xml:space="preserve">            Que la Corte ordene que Suriname pague las costas incurridas por</w:t>
        <w:br/>
        <w:t xml:space="preserve">      la Comisión y las víctimas en el presente caso.</w:t>
        <w:br/>
        <w:br/>
        <w:t>21.   La contra-memoria surinamesa solicitó que la Corte declare que:</w:t>
        <w:br/>
        <w:br/>
        <w:t xml:space="preserve">             1.-No  se  puede  tener  como  responsable  a  Suriname  de  la</w:t>
        <w:br/>
        <w:t xml:space="preserve">      desaparición y muerte de los sujetos indicados por la Comisión.</w:t>
        <w:br/>
        <w:br/>
        <w:br/>
        <w:t xml:space="preserve">            2.-Que por no haberse demostrado  la  gestión  de  la  violación</w:t>
        <w:br/>
        <w:t xml:space="preserve">      imputada a Suriname no se le obligue a pago de indemnización  de  tipo</w:t>
        <w:br/>
        <w:t xml:space="preserve">      alguno por la muerte y desaparición de las personas que se  indica  en</w:t>
        <w:br/>
        <w:t xml:space="preserve">      el informe de la Comisión.</w:t>
        <w:br/>
        <w:br/>
        <w:br/>
        <w:t xml:space="preserve">            3.-Que se le exonere del pago  de  las  costas  de  la  presente</w:t>
        <w:br/>
        <w:t xml:space="preserve">      acción pues no se ha demostrado la responsabilidad de Suriname con las</w:t>
        <w:br/>
        <w:t xml:space="preserve">      ejecuciones que se le imputan.</w:t>
        <w:br/>
        <w:br/>
        <w:br/>
        <w:t xml:space="preserve">                                      V</w:t>
        <w:br/>
        <w:br/>
        <w:t>22.   En la audiencia del 2 de diciembre de 1991,  que  fue  convocada  para</w:t>
        <w:br/>
        <w:t>conocer las excepciones preliminares  (supra  10),  el  agente  de  Suriname</w:t>
        <w:br/>
        <w:t>manifestó que  “[l]a  República  de  Suriname,  en  cuanto  al  primer  caso</w:t>
        <w:br/>
        <w:t>siguiendo el procedimiento que inicialmente determinó la Corte, reconoce  la</w:t>
        <w:br/>
        <w:t>responsabilidad consecuente sobre el  caso  Pokigron,  mejor  conocido  como</w:t>
        <w:br/>
        <w:t>Aloeboetoe y otros”.  Más  adelante  añadió:  “simplemente  quiero  reiterar</w:t>
        <w:br/>
        <w:t>[que Suriname] reconoce la responsabilidad en este caso”.  Luego,  ante  una</w:t>
        <w:br/>
        <w:t>aclaración solicitada por el delegado de  la  Comisión,  señor  Jackman,  el</w:t>
        <w:br/>
        <w:t>agente de Suriname expresó: “Yo creo que fue claro lo  que  dije:   reconoce</w:t>
        <w:br/>
        <w:t>la responsabilidad y, por lo tanto, la Corte tiene el derecho de  cerrar  el</w:t>
        <w:br/>
        <w:t>caso, archivar el caso, determinar las  indemnizaciones  correspondientes  o</w:t>
        <w:br/>
        <w:t>hacer lo que a derecho corresponda”.</w:t>
        <w:br/>
        <w:br/>
        <w:t>23.   La Corte considera que,  dado  el  reconocimiento  de  responsabilidad</w:t>
        <w:br/>
        <w:t>efectuado por el Gobierno de Suriname, ha cesado la controversia  en  cuanto</w:t>
        <w:br/>
        <w:t>a los hechos que dieron origen al presente caso.  Por lo tanto,  corresponde</w:t>
        <w:br/>
        <w:t>a  la  Corte  decidir  sobre  las  reparaciones  y  sobre  las  costas   del</w:t>
        <w:br/>
        <w:t>procedimiento.</w:t>
        <w:br/>
        <w:br/>
        <w:br/>
        <w:t xml:space="preserve">                                     VI</w:t>
        <w:br/>
        <w:br/>
        <w:t>Por tanto,</w:t>
        <w:br/>
        <w:br/>
        <w:t>LA CORTE</w:t>
        <w:br/>
        <w:br/>
        <w:t>por unanimidad,</w:t>
        <w:br/>
        <w:br/>
        <w:t>1.    Toma nota del  reconocimiento  de  responsabilidad  efectuado  por  la</w:t>
        <w:br/>
        <w:t>República de Suriname y decide que ha cesado la controversia acerca  de  los</w:t>
        <w:br/>
        <w:t>hechos que dieron origen al presente caso.</w:t>
        <w:br/>
        <w:br/>
        <w:t>por unanimidad,</w:t>
        <w:br/>
        <w:br/>
        <w:t>2.    Decide  dejar  abierto  el  procedimiento  para  los  efectos  de  las</w:t>
        <w:br/>
        <w:t>reparaciones y costas del presente caso.</w:t>
        <w:br/>
        <w:br/>
        <w:br/>
        <w:t>Redactada en castellano e inglés, haciendo fe el  texto  en  castellano,  en</w:t>
        <w:br/>
        <w:t>San José, Costa Rica, el día 4 de diciembre de 1991.</w:t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>Thomas Buergenthal</w:t>
        <w:br/>
        <w:br/>
        <w:t>Rafael Nieto Navia</w:t>
        <w:br/>
        <w:br/>
        <w:br/>
        <w:t>Sonia Picado Sotela</w:t>
        <w:br/>
        <w:br/>
        <w:br/>
        <w:t>Julio A. Barberis</w:t>
        <w:br/>
        <w:br/>
        <w:br/>
        <w:t>Antônio A. Cançado Trindade</w:t>
        <w:br/>
        <w:br/>
        <w:br/>
        <w:t>Manuel E. Ventura Robles</w:t>
        <w:br/>
        <w:t>Secretario</w:t>
        <w:br/>
        <w:br/>
        <w:br/>
        <w:t>Leída en sesión pública en la sede de la Corte en San José, Costa  Rica,  el</w:t>
        <w:br/>
        <w:t>día 6 de diciembre de 1991.</w:t>
        <w:br/>
        <w:br/>
        <w:t>Comuníquese y ejecútese,</w:t>
        <w:br/>
        <w:br/>
        <w:br/>
        <w:t>Héctor Fix-Zamudio</w:t>
        <w:br/>
        <w:t>Presidente</w:t>
        <w:br/>
        <w:br/>
        <w:br/>
        <w:br/>
        <w:t>Manuel E. Ventura Robles</w:t>
        <w:br/>
        <w:t>Secretario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