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br/>
        <w:t xml:space="preserve">               Caso de la “Masacre de Mapiripán”  Vs. Colombia</w:t>
        <w:br/>
        <w:br/>
        <w:br/>
        <w:br/>
        <w:t xml:space="preserve">                       Sentencia de 7 de marzo de 2005</w:t>
        <w:br/>
        <w:br/>
        <w:t xml:space="preserve">                         (Excepciones Preliminares)</w:t>
        <w:br/>
        <w:br/>
        <w:br/>
        <w:br/>
        <w:br/>
        <w:t>En el caso de la “Masacre de Mapiripán”,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</w:t>
        <w:br/>
        <w:t xml:space="preserve">      Diego García-Sayán, y</w:t>
        <w:br/>
        <w:t xml:space="preserve">      Gustavo Zafra Roldán,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acuerdo con los artículos 37, 53.2, 55, 56 y  58  del  Reglamento  de  la</w:t>
        <w:br/>
        <w:t>Corte (en adelante “el Reglamento”)[1], dicta la  presente  Sentencia  sobre</w:t>
        <w:br/>
        <w:t>las excepciones preliminares interpuestas por  el  Estado  de  Colombia  (en</w:t>
        <w:br/>
        <w:t>adelante “el Estado” o “Colombia”) y el  reconocimiento  de  responsabilidad</w:t>
        <w:br/>
        <w:t>efectuado por éste.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El 5 de septiembre de 2003, de conformidad con  lo  dispuesto  en  los</w:t>
        <w:br/>
        <w:t>artículos 50 y 61 de la Convención  Americana  sobre  Derechos  Humanos  (en</w:t>
        <w:br/>
        <w:t>adelante  “la  Convención”  o  “la  Convención  Americana”),   la   Comisión</w:t>
        <w:br/>
        <w:t>Interamericana  de  Derechos  Humanos  (en  adelante  “la  Comisión”  o  “la</w:t>
        <w:br/>
        <w:t>Comisión Interamericana”) sometió  ante  la  Corte  una  demanda  contra  el</w:t>
        <w:br/>
        <w:t>Estado de Colombia (en adelante  “el  Estado”  o  “Colombia”),  la  cual  se</w:t>
        <w:br/>
        <w:t>originó en la denuncia No. 12.250, recibida en la Secretaría de la  Comisión</w:t>
        <w:br/>
        <w:t>el 6 de octubre de 1999.</w:t>
        <w:br/>
        <w:br/>
        <w:t>2.     La Comisión presentó la demanda en este caso con el objeto de que  la</w:t>
        <w:br/>
        <w:t>Corte decidiera si el Estado violó los artículos 4 (Derecho a  la  Vida),  5</w:t>
        <w:br/>
        <w:t>(Derecho a la Integridad Personal) y 7 (Derecho a la Libertad Personal),  en</w:t>
        <w:br/>
        <w:t>perjuicio de las presuntas víctimas de la masacre perpetrada  en  Mapiripán,</w:t>
        <w:br/>
        <w:t>indicadas en la demanda.  Además,  la  Comisión  solicitó  al  Tribunal  que</w:t>
        <w:br/>
        <w:t>decidiera si el Estado violó los artículos 8.1 (Garantías Judiciales)  y  25</w:t>
        <w:br/>
        <w:t>(Protección Judicial) de la Convención, en  relación  con  el  artículo  1.1</w:t>
        <w:br/>
        <w:t>(Obligación de Respetar los Derechos) del referido tratado, en perjuicio  de</w:t>
        <w:br/>
        <w:t>las presuntas víctimas de  la  masacre  y  sus  familiares.  Al  momento  de</w:t>
        <w:br/>
        <w:t>presentar la demanda, la Comisión señaló que “aproximadamente  49  personas”</w:t>
        <w:br/>
        <w:t>eran las presuntas víctimas, de las cuales identificó a las siguientes  diez</w:t>
        <w:br/>
        <w:t>y a algunos de sus familiares, también indicados a continuación:</w:t>
        <w:br/>
        <w:br/>
        <w:t xml:space="preserve">      1. Sinaí Blanco Santamaría y sus familiares:</w:t>
        <w:br/>
        <w:br/>
        <w:br/>
        <w:t xml:space="preserve">      Nory Giraldo de Jaramillo (compañera permanente)  y</w:t>
        <w:br/>
        <w:t xml:space="preserve">      Carmen Johana Jaramillo Giraldo (hija).</w:t>
        <w:br/>
        <w:t xml:space="preserve">      Blanca Lilia Ardila Castañeda (esposa),</w:t>
        <w:br/>
        <w:t xml:space="preserve">      Yudi Sirley Blanco Ardila (hija),</w:t>
        <w:br/>
        <w:t xml:space="preserve">      Arbey Blanco Ardila  (hijo),</w:t>
        <w:br/>
        <w:t xml:space="preserve">      María Isabel Blanco Ortiz (hija).</w:t>
        <w:br/>
        <w:br/>
        <w:br/>
        <w:t xml:space="preserve">      2. Antonio María Barrera y su familiar:</w:t>
        <w:br/>
        <w:br/>
        <w:br/>
        <w:t xml:space="preserve">      Viviana Barrera Cruz (hija)</w:t>
        <w:br/>
        <w:br/>
        <w:br/>
        <w:t xml:space="preserve">      3. Enrique Pinzón López; 4. Jorge Pinzón López; 5. Luis Eduardo Pinzón</w:t>
        <w:br/>
        <w:t xml:space="preserve">      López; y 6. José Alberto Pinzón López, y sus familiares:</w:t>
        <w:br/>
        <w:br/>
        <w:br/>
        <w:t xml:space="preserve">      Teresa López de Pinzón (madre),</w:t>
        <w:br/>
        <w:t xml:space="preserve">      Luz Mery Pinzón López (hermana),</w:t>
        <w:br/>
        <w:t xml:space="preserve">      Esther Pinzón López (hermana),</w:t>
        <w:br/>
        <w:t xml:space="preserve">      Sara Paola Pinzón López (hermana) y</w:t>
        <w:br/>
        <w:t xml:space="preserve">      María Teresa Pinzón López (hermana).</w:t>
        <w:br/>
        <w:br/>
        <w:br/>
        <w:t xml:space="preserve">      7.  Diego  Armando  Martínez  Contreras;  8.  Hugo  Fernando  Martínez</w:t>
        <w:br/>
        <w:t xml:space="preserve">      Contreras; y 9. Gustavo Caicedo Rodríguez, y sus familiares:</w:t>
        <w:br/>
        <w:br/>
        <w:br/>
        <w:t xml:space="preserve">      Mariela Contreras Cruz (madre y esposa, respectivamente),</w:t>
        <w:br/>
        <w:t xml:space="preserve">      Maryuri Caicedo Contreras (hermana),</w:t>
        <w:br/>
        <w:t xml:space="preserve">      Gustavo Caicedo Contreras (hermano) y</w:t>
        <w:br/>
        <w:t xml:space="preserve">      Rusbel Asdrúbal Martínez Contreras (hermana)</w:t>
        <w:br/>
        <w:br/>
        <w:br/>
        <w:t xml:space="preserve">      10. José Roland Valencia y sus familiares:</w:t>
        <w:br/>
        <w:br/>
        <w:br/>
        <w:t xml:space="preserve">      Marina San Miguel Duarte (esposa),</w:t>
        <w:br/>
        <w:t xml:space="preserve">      Vinda Valencia Sanmiguel (hija),</w:t>
        <w:br/>
        <w:t xml:space="preserve">      Johana Valencia Sanmiguel (hija),</w:t>
        <w:br/>
        <w:t xml:space="preserve">      Roland Valencia Sanmiguel (hijo) y</w:t>
        <w:br/>
        <w:t xml:space="preserve">      Ronald Valencia Sanmiguel (hijo).</w:t>
        <w:br/>
        <w:br/>
        <w:br/>
        <w:br/>
        <w:br/>
        <w:br/>
        <w:br/>
        <w:t xml:space="preserve">                                     II</w:t>
        <w:br/>
        <w:t xml:space="preserve">                       Procedimiento ante la Comisión</w:t>
        <w:br/>
        <w:br/>
        <w:t>3.    El 6 de  octubre  de  1999  el  Colectivo  de  Abogados  “José  Alvear</w:t>
        <w:br/>
        <w:t>Restrepo” y el Centro  por  la  Justicia  y  el  Derecho  Internacional  (en</w:t>
        <w:br/>
        <w:t>adelante “los peticionarios”) presentaron  una  petición  ante  la  Comisión</w:t>
        <w:br/>
        <w:t>Interamericana.</w:t>
        <w:br/>
        <w:br/>
        <w:t>4.    El 7 de marzo de 2000 la Comisión procedió a identificar  la  denuncia</w:t>
        <w:br/>
        <w:t>bajo el Nº 12.250, transmitió las partes pertinentes de  dicha  denuncia  al</w:t>
        <w:br/>
        <w:t>Estado y  le  solicitó  que  suministrara  la  información  que  considerara</w:t>
        <w:br/>
        <w:t>oportuna.</w:t>
        <w:br/>
        <w:br/>
        <w:t>5.    El 22 de febrero de 2001, en el marco de su 110º período de  sesiones,</w:t>
        <w:br/>
        <w:t>la Comisión aprobó el Informe de Admisibilidad Nº 34/01,  mediante  el  cual</w:t>
        <w:br/>
        <w:t>decidió “que el caso era admisible, conforme a los  requisitos  establecidos</w:t>
        <w:br/>
        <w:t>en los artículos 46 y 47 de la Convención Americana y  en  relación  con  la</w:t>
        <w:br/>
        <w:t>[presunta] violación de los artículos 4, 5, 7, 8.1, 25 y 1.1 de  la  [misma]</w:t>
        <w:br/>
        <w:t>en perjuicio de 49 personas [presuntamente] ejecutadas en  la  localidad  de</w:t>
        <w:br/>
        <w:t>Mapiripán […]”.   En  el  referido  Informe  de  Admisibilidad  la  Comisión</w:t>
        <w:br/>
        <w:t>decidió aplicar  al  presente  caso  la  excepción  al  agotamiento  de  los</w:t>
        <w:br/>
        <w:t>recursos internos prevista en el artículo  46.2.c)  de  la  Convención,  con</w:t>
        <w:br/>
        <w:t>base en  que  “la  determinación  de  si  las  excepciones  a  la  regla  de</w:t>
        <w:br/>
        <w:t>agotamiento de los recursos  internos  previstas  en  dicha  norma  resultan</w:t>
        <w:br/>
        <w:t>aplicables al caso en cuestión debe llevarse  a  cabo  de  manera  previa  y</w:t>
        <w:br/>
        <w:t>separada del análisis del fondo del asunto, ya que depende  de  un  estándar</w:t>
        <w:br/>
        <w:t>de apreciación distinto de aquél utilizado  para determinar la violación  de</w:t>
        <w:br/>
        <w:t>los artículos 8 y 25 de la Convención.”</w:t>
        <w:br/>
        <w:br/>
        <w:t>6.    El 9 de marzo de 2001 la Comisión se puso a disposición de las  partes</w:t>
        <w:br/>
        <w:t>con el fin de  intentar  alcanzar  una  solución  amistosa,  conforme  a  la</w:t>
        <w:br/>
        <w:t>Convención Americana y a su propio Reglamento.  Las partes  no  manifestaron</w:t>
        <w:br/>
        <w:t>interés alguno al respecto.</w:t>
        <w:br/>
        <w:br/>
        <w:t>7.    El 4 de marzo de 2003 la Comisión, de conformidad con el  artículo  50</w:t>
        <w:br/>
        <w:t>de la Convención, aprobó el Informe No. 38/03,  mediante  el  cual  concluyó</w:t>
        <w:br/>
        <w:t>que:</w:t>
        <w:br/>
        <w:br/>
        <w:br/>
        <w:t xml:space="preserve">      […] Colombia es responsable por la violación  de  los  derechos  a  la</w:t>
        <w:br/>
        <w:t xml:space="preserve">      vida, integridad y libertad personales de las víctimas de  la  masacre</w:t>
        <w:br/>
        <w:t xml:space="preserve">      perpetrada en Mapiripán […], consagrados en los artículos 4, 5 y 7  de</w:t>
        <w:br/>
        <w:t xml:space="preserve">      la Convención Americana.  Asimismo, el Estado  es  responsable  de  la</w:t>
        <w:br/>
        <w:t xml:space="preserve">      violación del derecho al debido proceso y la  protección  judicial  de</w:t>
        <w:br/>
        <w:t xml:space="preserve">      las [presuntas] víctimas y sus familiares, previstos en los  artículos</w:t>
        <w:br/>
        <w:t xml:space="preserve">      8 y 25 de la Convención Americana, así como del incumplimiento  de  su</w:t>
        <w:br/>
        <w:t xml:space="preserve">      obligación de asegurar el respeto de los derechos previstos  en  dicho</w:t>
        <w:br/>
        <w:t xml:space="preserve">      Tratado, en virtud de su artículo 1.1</w:t>
        <w:br/>
        <w:br/>
        <w:t>Al respecto, la Comisión recomendó al Estado:</w:t>
        <w:br/>
        <w:br/>
        <w:t xml:space="preserve">   1. [l]levar adelante una investigación completa, efectiva e imparcial  en</w:t>
        <w:br/>
        <w:t xml:space="preserve">      la jurisdicción ordinaria, con el fin de juzgar y  sancionar  a  todas</w:t>
        <w:br/>
        <w:t xml:space="preserve">      las   personas   responsables   de   la   masacre   cometida    contra</w:t>
        <w:br/>
        <w:t xml:space="preserve">      aproximadamente 49 [presuntas] víctimas en el municipio de  Mapiripán,</w:t>
        <w:br/>
        <w:t xml:space="preserve">      Departamento del Meta;</w:t>
        <w:br/>
        <w:t xml:space="preserve">   2. [a]doptar las medidas necesarias para que los  afectados  reciban  una</w:t>
        <w:br/>
        <w:t xml:space="preserve">      reparación adecuada por las violaciones cometidas por el Estado;</w:t>
        <w:br/>
        <w:t xml:space="preserve">   3. [a]doptar las medidas necesarias  para  evitar  que  hechos  similares</w:t>
        <w:br/>
        <w:t xml:space="preserve">      vuelvan a cometerse, de conformidad  con  el  deber  de  prevención  y</w:t>
        <w:br/>
        <w:t xml:space="preserve">      garantía de los derechos fundamentales reconocidos  en  la  Convención</w:t>
        <w:br/>
        <w:t xml:space="preserve">      Americana, así como las medidas necesarias para dar pleno cumplimiento</w:t>
        <w:br/>
        <w:t xml:space="preserve">      a la doctrina desarrollada por la Corte  Constitucional  colombiana  y</w:t>
        <w:br/>
        <w:t xml:space="preserve">      por [l]a Comisión en la investigación y juzgamiento de casos similares</w:t>
        <w:br/>
        <w:t xml:space="preserve">      por la justicia penal ordinaria.</w:t>
        <w:br/>
        <w:br/>
        <w:br/>
        <w:t xml:space="preserve">      […]</w:t>
        <w:br/>
        <w:br/>
        <w:t>8.    El 5 de junio de 2003 la Comisión transmitió el Informe No.  38/03  al</w:t>
        <w:br/>
        <w:t>Estado y le otorgó un plazo de dos  meses  para  que  informara  sobre  “las</w:t>
        <w:br/>
        <w:t>medidas adoptadas para cumplir con las recomendaciones formuladas.”</w:t>
        <w:br/>
        <w:br/>
        <w:t>9.    El 22 de agosto de 2003,  después  de  dos  prórrogas  concedidas,  el</w:t>
        <w:br/>
        <w:t>Estado presentó su respuesta en relación con las medidas  adoptadas  con  el</w:t>
        <w:br/>
        <w:t>fin de dar cumplimiento  a  las  recomendaciones  adoptadas  en  el  Informe</w:t>
        <w:br/>
        <w:t>38/03.</w:t>
        <w:br/>
        <w:br/>
        <w:t>10.   El 5 de septiembre de 2003 la Comisión Interamericana decidió  someter</w:t>
        <w:br/>
        <w:t>el presente caso a la jurisdicción de la Corte.</w:t>
        <w:br/>
        <w:br/>
        <w:br/>
        <w:br/>
        <w:t xml:space="preserve">                                     III</w:t>
        <w:br/>
        <w:br/>
        <w:t xml:space="preserve">                         Procedimiento ante la Corte</w:t>
        <w:br/>
        <w:br/>
        <w:br/>
        <w:t>11.   El 5 de septiembre de 2003 la Comisión presentó  la  demanda  ante  la</w:t>
        <w:br/>
        <w:t>Corte.</w:t>
        <w:br/>
        <w:br/>
        <w:t>12.   El 2 de febrero de 2004  el  Centro  por  la  Justicia  y  el  Derecho</w:t>
        <w:br/>
        <w:t>Internacional y por el Colectivo de  Abogados  “José  Alvear  Restrepo”  (en</w:t>
        <w:br/>
        <w:t>adelante  “los  representantes”)  presentaron  su  escrito  de  solicitudes,</w:t>
        <w:br/>
        <w:t>argumentos y pruebas (en adelante “escrito de solicitudes y argumentos”).</w:t>
        <w:br/>
        <w:br/>
        <w:t>13.   El 2 de abril de 2004 el Estado presentó  su  escrito  de  excepciones</w:t>
        <w:br/>
        <w:t>preliminares y de contestación de la demanda.  Las excepciones  preliminares</w:t>
        <w:br/>
        <w:t>interpuestas por el Estado se referían a lo siguiente:</w:t>
        <w:br/>
        <w:br/>
        <w:t xml:space="preserve">   1. Aplicación indebida de  los  artículos  50  y  51  de  la  Convención.</w:t>
        <w:br/>
        <w:t xml:space="preserve">      Decisión anticipada de sometimiento del caso a la Corte.</w:t>
        <w:br/>
        <w:br/>
        <w:t xml:space="preserve">   2. Desconocimiento por parte de la Comisión de la Excepción de  falta  de</w:t>
        <w:br/>
        <w:t xml:space="preserve">      agotamiento  de  los  recursos  internos  interpuesta  por  el  Estado</w:t>
        <w:br/>
        <w:t xml:space="preserve">      colombiano.</w:t>
        <w:br/>
        <w:br/>
        <w:t>14.   El 19 de mayo de 2004 la Comisión  y  los  representantes  presentaron</w:t>
        <w:br/>
        <w:t>sus alegatos escritos sobre las excepciones preliminares.</w:t>
        <w:br/>
        <w:br/>
        <w:t>15.   El 28 de enero de 2005 el Presidente de  la  Corte  Interamericana  de</w:t>
        <w:br/>
        <w:t>Derechos Humanos (en  adelante  “el  Presidente”  o  “el  Presidente  de  la</w:t>
        <w:br/>
        <w:t>Corte”) emitió una Resolución, en el cual resolvió:</w:t>
        <w:br/>
        <w:br/>
        <w:t xml:space="preserve">     [c]onvocar a la Comisión Interamericana, a  los  representantes  y  al</w:t>
        <w:br/>
        <w:t xml:space="preserve">     Estado, a una audiencia pública que se celebrar[ía] en la sede  de  la</w:t>
        <w:br/>
        <w:t xml:space="preserve">     Corte Interamericana a partir del 7 de marzo de 2005 […] escuchar  sus</w:t>
        <w:br/>
        <w:t xml:space="preserve">     alegatos  finales  orales  sobre  las   excepciones   preliminares   y</w:t>
        <w:br/>
        <w:t xml:space="preserve">     eventuales fondo, reparaciones y costas en el presente caso, así  como</w:t>
        <w:br/>
        <w:t xml:space="preserve">     las declaraciones de los […] testigos y  perito  [propuestos  por  las</w:t>
        <w:br/>
        <w:t xml:space="preserve">     partes].</w:t>
        <w:br/>
        <w:br/>
        <w:br/>
        <w:t>16.   El 18 de febrero de 2005 el Presidente emitió una Resolución, en  cuyo</w:t>
        <w:br/>
        <w:t>punto resolutivo cuarto resolvió:</w:t>
        <w:br/>
        <w:br/>
        <w:br/>
        <w:t xml:space="preserve">      [r]equerir que  el  señor  Gustavo  Morales  Marín  comparezca  en  la</w:t>
        <w:br/>
        <w:t xml:space="preserve">      audiencia pública sobre excepciones preliminares y  eventuales  fondo,</w:t>
        <w:br/>
        <w:t xml:space="preserve">      reparaciones y costas en el presente caso que se  celebrará  a  partir</w:t>
        <w:br/>
        <w:t xml:space="preserve">      del 7 de marzo de 2005 […], en la sede de la Corte Interamericana.  El</w:t>
        <w:br/>
        <w:t xml:space="preserve">      señor Gustavo Morales Marín declarará sobre “la política institucional</w:t>
        <w:br/>
        <w:t xml:space="preserve">      de lucha contra la impunidad y en especial  en  los  casos  de  graves</w:t>
        <w:br/>
        <w:t xml:space="preserve">      violaciones de derechos humanos”.</w:t>
        <w:br/>
        <w:br/>
        <w:br/>
        <w:t>17.   El 4 de marzo de 2005 el Estado presentó un escrito, mediante el  cual</w:t>
        <w:br/>
        <w:t>señaló:</w:t>
        <w:br/>
        <w:br/>
        <w:t xml:space="preserve">      [...] con fundamento en las decisiones proferidas por las  autoridades</w:t>
        <w:br/>
        <w:t xml:space="preserve">      jurisdiccionales y disciplinarias internas y por los hechos  ocurridos</w:t>
        <w:br/>
        <w:t xml:space="preserve">      en el municipio de Mapiripán entre el 15 y el  20  de  julio  de  1997</w:t>
        <w:br/>
        <w:t xml:space="preserve">      [...] manifiesta pública y expresamente lo siguiente:</w:t>
        <w:br/>
        <w:br/>
        <w:t xml:space="preserve">      1. En cuanto a las Excepciones Preliminares presentadas por el Estado:</w:t>
        <w:br/>
        <w:br/>
        <w:br/>
        <w:t xml:space="preserve">         • Retira  la  primera  Excepción  Preliminar  relacionada  con  la</w:t>
        <w:br/>
        <w:t xml:space="preserve">           aplicación indebida de los artículos 50 y 51  de  la  Convención</w:t>
        <w:br/>
        <w:t xml:space="preserve">           Americana, y</w:t>
        <w:br/>
        <w:br/>
        <w:br/>
        <w:t xml:space="preserve">         • Ratifica y mantiene la segunda Excepción Preliminar  relacionada</w:t>
        <w:br/>
        <w:t xml:space="preserve">           con la falta de agotamiento de los recursos internos interpuesta</w:t>
        <w:br/>
        <w:t xml:space="preserve">           por el Estado colombiano.</w:t>
        <w:br/>
        <w:br/>
        <w:t xml:space="preserve">      2. Reconoce su responsabilidad internacional por la violación  de  los</w:t>
        <w:br/>
        <w:t xml:space="preserve">      artículos 4(1), 5(1) y [5](2), y 7  (1)  y  [7](2)  de  la  Convención</w:t>
        <w:br/>
        <w:t xml:space="preserve">      Americana sobre Derechos Humanos, en relación con los hechos ocurridos</w:t>
        <w:br/>
        <w:t xml:space="preserve">      en Mapiripán entre el 15 y el 20 de julio de 1997.</w:t>
        <w:br/>
        <w:br/>
        <w:t xml:space="preserve">      3. Reafirma como su política de Estado la promoción  y  protección  de</w:t>
        <w:br/>
        <w:t xml:space="preserve">      los derechos humanos y expresa su profundo respeto y consideración por</w:t>
        <w:br/>
        <w:t xml:space="preserve">      las víctimas de los hechos ocurridos en Mapiripán entre el 15 y el  20</w:t>
        <w:br/>
        <w:t xml:space="preserve">      de julio de 1997, y evoca su memoria para lamentar y  pedir  perdón  a</w:t>
        <w:br/>
        <w:t xml:space="preserve">      sus familiares y a la sociedad colombiana.</w:t>
        <w:br/>
        <w:br/>
        <w:t xml:space="preserve">      4. Solicita a la […] Corte se valore el reconocimiento efectuado y  se</w:t>
        <w:br/>
        <w:t xml:space="preserve">      le atribuya plenos efectos jurídicos,  delimitando,  en  consecuencia,</w:t>
        <w:br/>
        <w:t xml:space="preserve">      las audiencias de fondo y su posterior  trámite,  al  estudio  de  las</w:t>
        <w:br/>
        <w:t xml:space="preserve">      reparaciones y costas, así como a  los  alegatos  de  fondo  sobre  el</w:t>
        <w:br/>
        <w:t xml:space="preserve">      cumplimiento del Estado de sus compromisos convencionales en  relación</w:t>
        <w:br/>
        <w:t xml:space="preserve">      con los artículos 8(1) y 25.</w:t>
        <w:br/>
        <w:br/>
        <w:t>18.   El 7 de marzo de 2005 el Estado presentó un escrito, mediante el  cual</w:t>
        <w:br/>
        <w:t>manifestó:</w:t>
        <w:br/>
        <w:br/>
        <w:t xml:space="preserve">      [...] con fundamento en las decisiones proferidas por las  autoridades</w:t>
        <w:br/>
        <w:t xml:space="preserve">      jurisdiccionales y disciplinarias internas y por los hechos  señalados</w:t>
        <w:br/>
        <w:t xml:space="preserve">      en  el literal B del Capítulo VI “Los Hechos de Julio de 1997”  de  la</w:t>
        <w:br/>
        <w:t xml:space="preserve">      demanda presentada por la Comisión Interamericana de Derechos  Humanos</w:t>
        <w:br/>
        <w:t xml:space="preserve">      [...] manifiesta pública y expresamente lo siguiente:</w:t>
        <w:br/>
        <w:br/>
        <w:br/>
        <w:t xml:space="preserve">      1. En cuanto a las Excepciones Preliminares presentadas por el Estado:</w:t>
        <w:br/>
        <w:br/>
        <w:t xml:space="preserve">         • Retira  la  primera  Excepción  Preliminar  relacionada  con  la</w:t>
        <w:br/>
        <w:t xml:space="preserve">           aplicación indebida de los artículos 50 y 51  de  la  Convención</w:t>
        <w:br/>
        <w:t xml:space="preserve">           Americana, y</w:t>
        <w:br/>
        <w:br/>
        <w:br/>
        <w:t xml:space="preserve">         • Mantiene la segunda  Excepción  Preliminar  relacionada  con  la</w:t>
        <w:br/>
        <w:t xml:space="preserve">           falta de agotamiento de los recursos internos interpuesta por el</w:t>
        <w:br/>
        <w:t xml:space="preserve">           Estado colombiano.</w:t>
        <w:br/>
        <w:br/>
        <w:br/>
        <w:t xml:space="preserve">      2. Reconoce su responsabilidad internacional por la violación  de  los</w:t>
        <w:br/>
        <w:t xml:space="preserve">      artículos 4(1), 5(1) y [5](2),  y  7(1)  y  [7](2)  de  la  Convención</w:t>
        <w:br/>
        <w:t xml:space="preserve">      Americana sobre Derechos Humanos, en relación con los hechos ocurridos</w:t>
        <w:br/>
        <w:t xml:space="preserve">      en Mapiripán en julio de 1997.</w:t>
        <w:br/>
        <w:br/>
        <w:t xml:space="preserve">      3. Reafirma como su política de Estado la promoción  y  protección  de</w:t>
        <w:br/>
        <w:t xml:space="preserve">      los derechos humanos y expresa su profundo respeto y consideración por</w:t>
        <w:br/>
        <w:t xml:space="preserve">      las víctimas de los hechos ocurridos en Mapiripán en julio de 1997,  y</w:t>
        <w:br/>
        <w:t xml:space="preserve">      evoca su memoria para lamentar y pedir perdón a sus familiares y a  la</w:t>
        <w:br/>
        <w:t xml:space="preserve">      sociedad colombiana.</w:t>
        <w:br/>
        <w:br/>
        <w:t xml:space="preserve">      4. Solicita a la […] Corte se valore el reconocimiento efectuado y  se</w:t>
        <w:br/>
        <w:t xml:space="preserve">      le atribuya plenos efectos jurídicos,  delimitando,  en  consecuencia,</w:t>
        <w:br/>
        <w:t xml:space="preserve">      las audiencias de fondo y su posterior  trámite,  al  estudio  de  las</w:t>
        <w:br/>
        <w:t xml:space="preserve">      reparaciones y costas, así como a  los  alegatos  de  fondo  sobre  el</w:t>
        <w:br/>
        <w:t xml:space="preserve">      cumplimiento del Estado de sus compromisos convencionales en  relación</w:t>
        <w:br/>
        <w:t xml:space="preserve">      con los artículos 8(1) y 25.</w:t>
        <w:br/>
        <w:br/>
        <w:br/>
        <w:t xml:space="preserve">      5. Precisa que esta declaración del Estado no implica  ponderación  ni</w:t>
        <w:br/>
        <w:t xml:space="preserve">      valoración de responsabilidades penales individuales.</w:t>
        <w:br/>
        <w:br/>
        <w:t>19.   El  7  de  marzo  de  2005  se  celebró  la  audiencia  pública  sobre</w:t>
        <w:br/>
        <w:t>excepciones  preliminares  y  sobre  el  reconocimiento  de  responsabilidad</w:t>
        <w:br/>
        <w:t>efectuado por el Estado, en la cual comparecieron:</w:t>
        <w:br/>
        <w:br/>
        <w:br/>
        <w:t xml:space="preserve">      por la Comisión Interamericana:</w:t>
        <w:br/>
        <w:br/>
        <w:br/>
        <w:t xml:space="preserve">           Verónica Gómez; Asesora;</w:t>
        <w:br/>
        <w:t xml:space="preserve">           Víctor H. Madrigal Borloz, Asesor; y</w:t>
        <w:br/>
        <w:t xml:space="preserve">           Juan Pablo Albán, Asesor;</w:t>
        <w:br/>
        <w:br/>
        <w:br/>
        <w:t xml:space="preserve">      por los representantes:</w:t>
        <w:br/>
        <w:br/>
        <w:br/>
        <w:t xml:space="preserve">           Rafael Barrios Mendivil, abogado de la Corporación Colectivo  de</w:t>
        <w:br/>
        <w:t xml:space="preserve">           Abogados “José Alvear Restrepo”;</w:t>
        <w:br/>
        <w:t xml:space="preserve">           Eduardo Carreño, abogado de la Corporación Colectivo de Abogados</w:t>
        <w:br/>
        <w:t xml:space="preserve">           “José Alvear Restrepo”;</w:t>
        <w:br/>
        <w:t xml:space="preserve">           Jomary Ortegón, abogada de la Corporación Colectivo de  Abogados</w:t>
        <w:br/>
        <w:t xml:space="preserve">           “José Alvear Restrepo”;</w:t>
        <w:br/>
        <w:t xml:space="preserve">           Viviana Krsticevic, abogada de CEJIL; y</w:t>
        <w:br/>
        <w:t xml:space="preserve">           Roxana Altholz, abogada de CEJIL;</w:t>
        <w:br/>
        <w:br/>
        <w:t xml:space="preserve">      por el Estado:</w:t>
        <w:br/>
        <w:br/>
        <w:br/>
        <w:t xml:space="preserve">           Julio Aníbal Riaño, Embajador de Colombia en Costa Rica;</w:t>
        <w:br/>
        <w:t xml:space="preserve">           Luz Marina Gil García, Agente;</w:t>
        <w:br/>
        <w:t xml:space="preserve">           Dionisio Araujo, Agente Alterno;</w:t>
        <w:br/>
        <w:t xml:space="preserve">           Héctor Adolfo Sintura Varela, Asesor;</w:t>
        <w:br/>
        <w:t xml:space="preserve">           Sonia Pereira; Asesora; y</w:t>
        <w:br/>
        <w:t xml:space="preserve">           Margarita Manjarrez, Asesora.</w:t>
        <w:br/>
        <w:br/>
        <w:br/>
        <w:t>20.   Durante la exposición de sus alegatos orales sobre  el  reconocimiento</w:t>
        <w:br/>
        <w:t>de responsabilidad y sobre las excepciones  preliminares,  en  la  audiencia</w:t>
        <w:br/>
        <w:t>pública celebrada el 7 de marzo de 2004, el Estado  señaló  que  “retira[ba]</w:t>
        <w:br/>
        <w:t>la primera excepción preliminar, relacionada con la aplicación  indebida  de</w:t>
        <w:br/>
        <w:t>los artículos 50 y 51 de la Convención Americana”  y  que  “  mant[enía]  la</w:t>
        <w:br/>
        <w:t>segunda excepción preliminar relacionada con la falta de agotamiento de  los</w:t>
        <w:br/>
        <w:t>recursos internos, interpuesta por el Estado […] y deja[ba] a  consideración</w:t>
        <w:br/>
        <w:t>de la […] Corte, su valoración en el marco de los artículos 8 y  25  [de  la</w:t>
        <w:br/>
        <w:t>Convención]”.  Asimismo, reiteró lo señalado en su escrito de 7 de marzo  de</w:t>
        <w:br/>
        <w:t>2005 (supra párr. 18).</w:t>
        <w:br/>
        <w:br/>
        <w:br/>
        <w:t>21.   En la misma audiencia pública, en relación con  el  reconocimiento  de</w:t>
        <w:br/>
        <w:t>responsabilidad efectuado por el Estado y con las  excepciones  preliminares</w:t>
        <w:br/>
        <w:t>opuestas, la Comisión manifestó, además de los alegatos escritos  que  obran</w:t>
        <w:br/>
        <w:t>en el expediente respecto de estas últimas, inter alia, que:</w:t>
        <w:br/>
        <w:br/>
        <w:t xml:space="preserve">   a) desea resaltar la voluntad manifestada por  el  Estado  y  valorar  la</w:t>
        <w:br/>
        <w:t xml:space="preserve">      importancia de su pronunciamiento, ya que representa un paso hacia  el</w:t>
        <w:br/>
        <w:t xml:space="preserve">      cumplimiento de sus obligaciones internacionales;</w:t>
        <w:br/>
        <w:br/>
        <w:t xml:space="preserve">   b) valora particularmente las palabras expresadas en el sentido de evocar</w:t>
        <w:br/>
        <w:t xml:space="preserve">      la memoria de las presuntas víctimas para lamentar y  pedir  perdón  a</w:t>
        <w:br/>
        <w:t xml:space="preserve">      sus familiares y a la sociedad colombiana y la recibe como  un  inicio</w:t>
        <w:br/>
        <w:t xml:space="preserve">      positivo, en el proceso de recuperación de la memoria histórica de las</w:t>
        <w:br/>
        <w:t xml:space="preserve">      presuntas víctimas y de satisfacción debida de sus familiares;</w:t>
        <w:br/>
        <w:br/>
        <w:t xml:space="preserve">   c) respetó la igualdad de armas en el proceso ante ella, respecto  de  la</w:t>
        <w:br/>
        <w:t xml:space="preserve">      admisibilidad del caso.  Sin  embargo,  el  Estado  no  argumentó  que</w:t>
        <w:br/>
        <w:t xml:space="preserve">      hubiera visto  disminuido  este  derecho,  sino  que  la  Comisión  no</w:t>
        <w:br/>
        <w:t xml:space="preserve">      resolviera a su favor;</w:t>
        <w:br/>
        <w:br/>
        <w:t xml:space="preserve">   d) el reconocimiento del Estado reviste, no obstante, un carácter parcial</w:t>
        <w:br/>
        <w:t xml:space="preserve">      y no se refiere a todos los hechos, las personas y las  violaciones  a</w:t>
        <w:br/>
        <w:t xml:space="preserve">      que se refiere la demanda y el escrito de solicitudes y argumentos;</w:t>
        <w:br/>
        <w:br/>
        <w:t xml:space="preserve">   e) corresponde mantener abierta  la  etapa  sobre  el  fondo,  a  fin  de</w:t>
        <w:br/>
        <w:t xml:space="preserve">      ventilar todos los alegados de hecho y de derecho, formulados por  los</w:t>
        <w:br/>
        <w:t xml:space="preserve">      representantes y por la Comisión, y la responsabilidad del  Estado  en</w:t>
        <w:br/>
        <w:t xml:space="preserve">      perjuicio de todas las  personas  identificadas  y  no  identificadas,</w:t>
        <w:br/>
        <w:t xml:space="preserve">      señaladas como presuntas víctimas en la demanda y  en  el  escrito  de</w:t>
        <w:br/>
        <w:t xml:space="preserve">      solicitudes y argumentos;</w:t>
        <w:br/>
        <w:br/>
        <w:t xml:space="preserve">   f) dada la secuencia temporal y espacial de los  hechos,  no  es  posible</w:t>
        <w:br/>
        <w:t xml:space="preserve">      deslindar  los alegatos sobre la violación de los artículos 8.1  y  25</w:t>
        <w:br/>
        <w:t xml:space="preserve">      de la Convención de la consideración de los actos  que  precedieron  y</w:t>
        <w:br/>
        <w:t xml:space="preserve">      siguieron a la masacre de Mapiripán, es decir, los actos  de  contexto</w:t>
        <w:br/>
        <w:t xml:space="preserve">      anteriores a julio de 1997, según los alegatos de hecho y  derecho  de</w:t>
        <w:br/>
        <w:t xml:space="preserve">      las partes en relación con los artículos 4, 5 y  7  de  la  Convención</w:t>
        <w:br/>
        <w:t xml:space="preserve">      Americana.  Asimismo, el Estado excluye los  alegatos  formulados  por</w:t>
        <w:br/>
        <w:t xml:space="preserve">      ambas partes, en relación con el artículo 1.1 de la Convención  y  por</w:t>
        <w:br/>
        <w:t xml:space="preserve">      los representantes respecto de los artículos 19 y 22 de la misma; y</w:t>
        <w:br/>
        <w:br/>
        <w:t xml:space="preserve">   g) la declaratoria del  Estado  omite  la  definición  de  las  presuntas</w:t>
        <w:br/>
        <w:t xml:space="preserve">      víctimas, respecto de quienes  se  ha  reconocido  responsabilidad  de</w:t>
        <w:br/>
        <w:t xml:space="preserve">      manera parcial.   Asimismo, omite hacer mención sobre  los  familiares</w:t>
        <w:br/>
        <w:t xml:space="preserve">      de las presuntas víctimas identificadas y no identificadas,  así  como</w:t>
        <w:br/>
        <w:t xml:space="preserve">      de los sobrevivientes de la  masacre,  en  su  carácter  de  presuntas</w:t>
        <w:br/>
        <w:t xml:space="preserve">      víctimas,  conforme  a  las  pretensiones  de  la   Comisión   y   los</w:t>
        <w:br/>
        <w:t xml:space="preserve">      representantes.</w:t>
        <w:br/>
        <w:br/>
        <w:t>22.   En dicha audiencia pública,  en  relación  con  el  reconocimiento  de</w:t>
        <w:br/>
        <w:t>responsabilidad efectuado por el Estado y con las  excepciones  preliminares</w:t>
        <w:br/>
        <w:t>opuestas, además de  los  alegatos  escritos  que  obran  en  el  expediente</w:t>
        <w:br/>
        <w:t>respecto de estas últimas,  los  representantes  manifestaron,  inter  alia,</w:t>
        <w:br/>
        <w:t>que:</w:t>
        <w:br/>
        <w:br/>
        <w:t xml:space="preserve">   a) valoran la evocación de la memoria de  las  presuntas  víctimas  y  el</w:t>
        <w:br/>
        <w:t xml:space="preserve">      pedido de perdón a sus familiares y a la sociedad colombiana;</w:t>
        <w:br/>
        <w:br/>
        <w:br/>
        <w:t xml:space="preserve">   b) la declaratoria expresa una voluntad  del  Estado  de  avanzar  en  el</w:t>
        <w:br/>
        <w:t xml:space="preserve">      esclarecimiento del caso; sin embargo, es  “insatisfactoria”  respecto</w:t>
        <w:br/>
        <w:t xml:space="preserve">      de las cuestiones fundamentales de hecho y derecho relevantes para  la</w:t>
        <w:br/>
        <w:t xml:space="preserve">      resolución del caso.  A este respecto,  las  representantes  señalaron</w:t>
        <w:br/>
        <w:t xml:space="preserve">      que dicha declaración:</w:t>
        <w:br/>
        <w:br/>
        <w:t xml:space="preserve">          i. no reconoce las precisiones a los hechos  planteadas  por  los</w:t>
        <w:br/>
        <w:t xml:space="preserve">             representantes en su escrito de solicitudes y argumentos;</w:t>
        <w:br/>
        <w:t xml:space="preserve">         ii. acota de manera sustancial  los  hechos  relevantes  al  caso,</w:t>
        <w:br/>
        <w:t xml:space="preserve">             tanto los planteados en la  demanda  como  en  el  escrito  de</w:t>
        <w:br/>
        <w:t xml:space="preserve">             solicitudes y argumentos;</w:t>
        <w:br/>
        <w:t xml:space="preserve">        iii. desconoce los planteamientos  hechos  por  los  representantes</w:t>
        <w:br/>
        <w:t xml:space="preserve">             respecto  de  la   calificación   de   ciertos   hechos   como</w:t>
        <w:br/>
        <w:t xml:space="preserve">             violatorios, a la obligación de garantía a los derechos de los</w:t>
        <w:br/>
        <w:t xml:space="preserve">             niños y al derecho de residencia y circulación;</w:t>
        <w:br/>
        <w:t xml:space="preserve">         iv. acota a una serie de agentes estatales que, según sostiene  el</w:t>
        <w:br/>
        <w:t xml:space="preserve">             Estado,  obraron de manera  individual  y  por  fuera  de  las</w:t>
        <w:br/>
        <w:t xml:space="preserve">             políticas del mismo;</w:t>
        <w:br/>
        <w:br/>
        <w:t xml:space="preserve">   c) existe una contradicción fundamental en reconocer  la  responsabilidad</w:t>
        <w:br/>
        <w:t xml:space="preserve">      sobre  ciertos derechos y mantener ciertas  excepciones  preliminares,</w:t>
        <w:br/>
        <w:t xml:space="preserve">      por lo que dicha contradicción  debería  tener  como  consecuencia  el</w:t>
        <w:br/>
        <w:t xml:space="preserve">      desistimiento tácito del Estado de su derecho a oponer las excepciones</w:t>
        <w:br/>
        <w:t xml:space="preserve">      preliminares;</w:t>
        <w:br/>
        <w:br/>
        <w:br/>
        <w:t xml:space="preserve">   d) solicitaban que continuara la  etapa  del  proceso  de  manera  amplia</w:t>
        <w:br/>
        <w:t xml:space="preserve">      tratando tanto cuestiones de hecho y de derecho y de reparaciones;</w:t>
        <w:br/>
        <w:br/>
        <w:t xml:space="preserve">   e) la etapa referente al agotamiento de  recursos  internos  ya  concluyó</w:t>
        <w:br/>
        <w:t xml:space="preserve">      ante la Comisión;</w:t>
        <w:br/>
        <w:br/>
        <w:t xml:space="preserve">   f) si la Corte considerara dicha excepción tendría que estudiar el estado</w:t>
        <w:br/>
        <w:t xml:space="preserve">      de la investigación en febrero de 2001;</w:t>
        <w:br/>
        <w:br/>
        <w:br/>
        <w:t xml:space="preserve">   g) la decisión de admisibilidad de la Comisión  está  conforme  con  este</w:t>
        <w:br/>
        <w:t xml:space="preserve">      propósito y con la jurisprudencia de la Corte;</w:t>
        <w:br/>
        <w:br/>
        <w:br/>
        <w:t xml:space="preserve">   h) las investigaciones en el presente caso han tenido defectos  desde  el</w:t>
        <w:br/>
        <w:t xml:space="preserve">      principio. En ese sentido, durante la investigación preliminar, no  se</w:t>
        <w:br/>
        <w:t xml:space="preserve">      recabaron  prueba  forense,  no  se  interrogaron  testigos,   no   se</w:t>
        <w:br/>
        <w:t xml:space="preserve">      identificaron víctimas y no se capturó a  los  responsables.   Además,</w:t>
        <w:br/>
        <w:t xml:space="preserve">      algunos defensores y testigos han recibido amenazas; y</w:t>
        <w:br/>
        <w:br/>
        <w:t xml:space="preserve">   i) los recursos internos  siguen  siendo  inefectivos  y  parciales.   Al</w:t>
        <w:br/>
        <w:t xml:space="preserve">      respecto, en los  ocho  años  de  investigación,  el  Estado  sólo  ha</w:t>
        <w:br/>
        <w:t xml:space="preserve">      sancionado a seis personas  de  los  cientos  de  involucrados  en  el</w:t>
        <w:br/>
        <w:t xml:space="preserve">      crimen, quienes incluyen a militares y civiles.</w:t>
        <w:br/>
        <w:br/>
        <w:t>23.   Durante la citada audiencia pública, al ejercer su derecho de  dúplica</w:t>
        <w:br/>
        <w:t>y en respuesta a las preguntas de los señores Jueces,  el  Estado  manifestó</w:t>
        <w:br/>
        <w:t>que:</w:t>
        <w:br/>
        <w:br/>
        <w:t xml:space="preserve">   a) consideraba y reconocía la autonomía de la Corte para la valoración de</w:t>
        <w:br/>
        <w:t xml:space="preserve">      los efectos jurídicos que tiene la declaración de responsabilidad  del</w:t>
        <w:br/>
        <w:t xml:space="preserve">      Estado y ratificaba la  solicitud  que  hizo  en  su  declaración,  en</w:t>
        <w:br/>
        <w:t xml:space="preserve">      relación con esos efectos jurídicos;</w:t>
        <w:br/>
        <w:br/>
        <w:t xml:space="preserve">   b) no existe ninguna contradicción entre la ratificación  de  la  segunda</w:t>
        <w:br/>
        <w:t xml:space="preserve">      excepción preliminar y la declaración de responsabilidad,  ya  que  la</w:t>
        <w:br/>
        <w:t xml:space="preserve">      Corte tiene competencia  plena  para  conocer  de  todos  los  asuntos</w:t>
        <w:br/>
        <w:t xml:space="preserve">      relacionados con el caso, incluyendo el trámite de  admisibilidad  que</w:t>
        <w:br/>
        <w:t xml:space="preserve">      se dio ante la Comisión;</w:t>
        <w:br/>
        <w:br/>
        <w:br/>
        <w:t xml:space="preserve">   c) ratificaba  las  razones  de  hecho  y  de  derecho  expuestas  en  la</w:t>
        <w:br/>
        <w:t xml:space="preserve">      contestación  de la demanda respecto de la excepción preliminar;</w:t>
        <w:br/>
        <w:br/>
        <w:t xml:space="preserve">   d) al momento en que la Comisión decidió someter el caso a la  Corte,  de</w:t>
        <w:br/>
        <w:t xml:space="preserve">      conformidad con el artículo 44 de su Reglamento, todos los procesos ya</w:t>
        <w:br/>
        <w:t xml:space="preserve">      eran de conocimiento de la justicia ordinaria y  se  habían  realizado</w:t>
        <w:br/>
        <w:t xml:space="preserve">      diferentes actuaciones internas referentes  a  los  hechos,  [que]  la</w:t>
        <w:br/>
        <w:t xml:space="preserve">      Comisión “no […] tuvo en cuenta para remitir el caso a la Corte”;</w:t>
        <w:br/>
        <w:br/>
        <w:t xml:space="preserve">   e) el Estado cumplió con todos los requisitos y parámetros señalados  por</w:t>
        <w:br/>
        <w:t xml:space="preserve">      la Corte respecto de la procedibilidad de  las  excepciones  sobre  el</w:t>
        <w:br/>
        <w:t xml:space="preserve">      agotamiento de los recursos internos.  La respuesta de la  Comisión  a</w:t>
        <w:br/>
        <w:t xml:space="preserve">      esta excepción preliminar señala que la misma se traduce  en  un  mero</w:t>
        <w:br/>
        <w:t xml:space="preserve">      desacuerdo, con la forma en la cual interpretó el alcance del artículo</w:t>
        <w:br/>
        <w:t xml:space="preserve">      46 de la Convención;</w:t>
        <w:br/>
        <w:br/>
        <w:t xml:space="preserve">   f) cuando el caso fue presentado ante la Corte ya existía un fallo de  18</w:t>
        <w:br/>
        <w:t xml:space="preserve">      de junio  de 2003 que condenaba a 40 años al autor intelectual  de  la</w:t>
        <w:br/>
        <w:t xml:space="preserve">      masacre y a tres miembros del ejército a penas que oscilan entre 30  y</w:t>
        <w:br/>
        <w:t xml:space="preserve">      40 años de prisión; y el 30 de  septiembre  del  2003  se  condenó  al</w:t>
        <w:br/>
        <w:t xml:space="preserve">      principal autor material de la masacre a 40 años de prisión;</w:t>
        <w:br/>
        <w:br/>
        <w:t xml:space="preserve">   g) los recursos internos tienen un carácter  integral  y  satisfacen  las</w:t>
        <w:br/>
        <w:t xml:space="preserve">      necesidades de acceso a la justicia, no solamente en  material  penal,</w:t>
        <w:br/>
        <w:t xml:space="preserve">      sino en materia de reparaciones;</w:t>
        <w:br/>
        <w:br/>
        <w:t xml:space="preserve">   h) la justicia interna ha operado en este caso  en  un  plazo  razonable,</w:t>
        <w:br/>
        <w:t xml:space="preserve">      teniendo en cuenta la complejidad del caso, los recursos internos,  la</w:t>
        <w:br/>
        <w:t xml:space="preserve">      actuación de los familiares y la posibilidad de que los familiares  de</w:t>
        <w:br/>
        <w:t xml:space="preserve">      las presuntas víctimas  recurrieran  a  la  jurisdicción  contencioso-</w:t>
        <w:br/>
        <w:t xml:space="preserve">      administrativa para obtener las indemnizaciones correspondientes; y</w:t>
        <w:br/>
        <w:br/>
        <w:t xml:space="preserve">   i) en caso de que la  Corte  aceptara  la  procedencia  de  la  excepción</w:t>
        <w:br/>
        <w:t xml:space="preserve">      preliminar, la Corte perdería su competencia para  decidir  sobre  las</w:t>
        <w:br/>
        <w:t xml:space="preserve">      indemnizaciones, pero el Estado estaría en  posibilidad  de  llegar  a</w:t>
        <w:br/>
        <w:t xml:space="preserve">      hacer esas reparaciones con fundamento en su derecho interno.</w:t>
        <w:br/>
        <w:br/>
        <w:br/>
        <w:t xml:space="preserve">                                     IV</w:t>
        <w:br/>
        <w:br/>
        <w:t xml:space="preserve">                                 Competencia</w:t>
        <w:br/>
        <w:br/>
        <w:br/>
        <w:t>24.   La Corte es competente, en  los  términos  del  artículo  62.3  de  la</w:t>
        <w:br/>
        <w:t>Convención, para conocer el presente caso,  en  razón  de  que  Colombia  es</w:t>
        <w:br/>
        <w:t>Estado Parte en la Convención Americana desde el  31  de  julio  de  1973  y</w:t>
        <w:br/>
        <w:t>reconoció la competencia contenciosa de la Corte el 21 de junio de 1985.</w:t>
        <w:br/>
        <w:br/>
        <w:br/>
        <w:t xml:space="preserve">                                      V</w:t>
        <w:br/>
        <w:t xml:space="preserve">        Excepciones preliminares y Reconocimiento de Responsabilidad</w:t>
        <w:br/>
        <w:br/>
        <w:t>25.   El Estado ha desistido de la primera excepción preliminar referente  a</w:t>
        <w:br/>
        <w:t>“la  aplicación  indebida  de  los  artículos  50  y  51  de  la  Convención</w:t>
        <w:br/>
        <w:t>Americana” y ha ratificado su segunda excepción preliminar  referente  a  la</w:t>
        <w:br/>
        <w:t>falta de agotamiento de recursos internos.</w:t>
        <w:br/>
        <w:br/>
        <w:t>26.   A su vez, el Estado ha  reconocido  su  responsabilidad  internacional</w:t>
        <w:br/>
        <w:t>por la violación de los artículos 4.1, 5.1, 5.2, 7.1 y 7.2 de la  Convención</w:t>
        <w:br/>
        <w:t>Americana sobre Derechos Humanos, en relación con los  hechos  señalados  en</w:t>
        <w:br/>
        <w:t>el literal B del Capítulo VI de la demanda presentada por la Comisión.</w:t>
        <w:br/>
        <w:br/>
        <w:t>27.   En relación con el  reconocimiento  de  responsabilidad  internacional</w:t>
        <w:br/>
        <w:t>realizado en casos que han sido conocidos anteriormente por la  Corte,  ésta</w:t>
        <w:br/>
        <w:t>ha establecido que[2]:</w:t>
        <w:br/>
        <w:br/>
        <w:t xml:space="preserve">      […] El artículo 5[3] del Reglamento se refiere al supuesto en  que  un</w:t>
        <w:br/>
        <w:t xml:space="preserve">      Estado demandado comunique a la Corte su allanamiento a los hechos y a</w:t>
        <w:br/>
        <w:t xml:space="preserve">      las pretensiones de la parte demandante y, por consiguiente, acepte su</w:t>
        <w:br/>
        <w:t xml:space="preserve">      responsabilidad internacional por la violación de  la  Convención,  en</w:t>
        <w:br/>
        <w:t xml:space="preserve">      los términos indicados en la demanda, situación que daría lugar a  una</w:t>
        <w:br/>
        <w:t xml:space="preserve">      terminación anticipada del proceso en cuanto al fondo del asunto,  tal</w:t>
        <w:br/>
        <w:t xml:space="preserve">      como lo establece el capítulo V del Reglamento.  La Corte advierte que</w:t>
        <w:br/>
        <w:t xml:space="preserve">      con las disposiciones del Reglamento que entró en vigencia el 1  junio</w:t>
        <w:br/>
        <w:t xml:space="preserve">      de 2001, el escrito de demanda está compuesto por las  consideraciones</w:t>
        <w:br/>
        <w:t xml:space="preserve">      de hecho y derecho y las peticiones en cuanto al fondo  del  asunto  y</w:t>
        <w:br/>
        <w:t xml:space="preserve">      las solicitudes de reparaciones y costas  correspondientes.   En  este</w:t>
        <w:br/>
        <w:t xml:space="preserve">      sentido, cuando un Estado se allana a la demanda debe indicar con toda</w:t>
        <w:br/>
        <w:t xml:space="preserve">      claridad si lo hace solo sobre el fondo del asunto o si también abarca</w:t>
        <w:br/>
        <w:t xml:space="preserve">      las reparaciones y costas.  Si el  allanamiento  se  refiere  sólo  al</w:t>
        <w:br/>
        <w:t xml:space="preserve">      fondo del asunto, la Corte deberá evaluar si se continúa con la  etapa</w:t>
        <w:br/>
        <w:t xml:space="preserve">      procesal de determinación de las reparaciones y costas.</w:t>
        <w:br/>
        <w:br/>
        <w:br/>
        <w:t xml:space="preserve">      […] A la luz de la evolución del sistema  de  protección  de  derechos</w:t>
        <w:br/>
        <w:t xml:space="preserve">      humanos, donde hoy en día, las presuntas  víctimas  o  sus  familiares</w:t>
        <w:br/>
        <w:t xml:space="preserve">      pueden  presentar  de  manera  autónoma  su  escrito  de  solicitudes,</w:t>
        <w:br/>
        <w:t xml:space="preserve">      argumentos y pruebas y esgrimir pretensiones coincidentes o no con las</w:t>
        <w:br/>
        <w:t xml:space="preserve">      de la  Comisión.   Cuando  se  presenta  un  allanamiento,  este  debe</w:t>
        <w:br/>
        <w:t xml:space="preserve">      expresar claramente si se aceptan también las pretensiones  formuladas</w:t>
        <w:br/>
        <w:t xml:space="preserve">      por las presuntas víctimas o sus familiares.</w:t>
        <w:br/>
        <w:br/>
        <w:br/>
        <w:t xml:space="preserve">      […] Por otra parte, el Reglamento de la  Corte  no  establece  ninguna</w:t>
        <w:br/>
        <w:t xml:space="preserve">      oportunidad  especial  para  que  la  parte   demandada   formule   su</w:t>
        <w:br/>
        <w:t xml:space="preserve">      allanamiento.  De modo que si un Estado hace uso de ese acto  procesal</w:t>
        <w:br/>
        <w:t xml:space="preserve">      en cualquier etapa del procedimiento, este Tribunal, después de  haber</w:t>
        <w:br/>
        <w:t xml:space="preserve">      escuchado a todas las partes, debe evaluar y decidir sus  alcances  en</w:t>
        <w:br/>
        <w:t xml:space="preserve">      cada caso en particular.</w:t>
        <w:br/>
        <w:br/>
        <w:t>28.   Asimismo, en relación con la  posibilidad  de  que  se  aleguen  otros</w:t>
        <w:br/>
        <w:t>hechos o derechos que  no  estén  incluidos  en  la  demanda,  la  Corte  ha</w:t>
        <w:br/>
        <w:t>determinado que[3]:</w:t>
        <w:br/>
        <w:br/>
        <w:t xml:space="preserve">      […] En lo que respecta a los hechos objeto del proceso, este  Tribunal</w:t>
        <w:br/>
        <w:t xml:space="preserve">      considera, como lo ha hecho en otras ocasiones, que  no  es  admisible</w:t>
        <w:br/>
        <w:t xml:space="preserve">      alegar nuevos hechos distintos de los planteados en  la  demanda,  sin</w:t>
        <w:br/>
        <w:t xml:space="preserve">      perjuicio  de  exponer  aquellos  que  permitan  explicar,  aclarar  o</w:t>
        <w:br/>
        <w:t xml:space="preserve">      desestimar los que  han  sido  mencionados  en  la  demanda,  o  bien,</w:t>
        <w:br/>
        <w:t xml:space="preserve">      responder a las pretensiones del demandante.  Además,  hechos  que  se</w:t>
        <w:br/>
        <w:t xml:space="preserve">      califican como supervinientes podrán  ser  remitidos  al  Tribunal  en</w:t>
        <w:br/>
        <w:t xml:space="preserve">      cualquier estado del proceso antes del dictado de la sentencia.</w:t>
        <w:br/>
        <w:br/>
        <w:br/>
        <w:t xml:space="preserve">      […] Asimismo, en lo que atañe a la  incorporación  de  otros  derechos</w:t>
        <w:br/>
        <w:t xml:space="preserve">      distintos a los ya comprendidos en la demanda  de  la  Comisión,  esta</w:t>
        <w:br/>
        <w:t xml:space="preserve">      Corte ha  establecido  que  los  peticionarios  pueden  invocar  tales</w:t>
        <w:br/>
        <w:t xml:space="preserve">      derechos.  Son ellos los titulares de todos los  derechos  consagrados</w:t>
        <w:br/>
        <w:t xml:space="preserve">      en la Convención Americana,  y  no  admitirlo  sería  una  restricción</w:t>
        <w:br/>
        <w:t xml:space="preserve">      indebida a su condición de sujetos del Derecho  Internacional  de  los</w:t>
        <w:br/>
        <w:t xml:space="preserve">      Derechos Humanos.  Se entiende  que  lo  anterior,  relativo  a  otros</w:t>
        <w:br/>
        <w:t xml:space="preserve">      derechos, se atiene a los hechos ya contenidos en la demanda.</w:t>
        <w:br/>
        <w:br/>
        <w:br/>
        <w:t xml:space="preserve">      […] Igualmente, este Tribunal tiene la facultad de analizar la posible</w:t>
        <w:br/>
        <w:t xml:space="preserve">      violación de artículos de la Convención no incluidos en  los  escritos</w:t>
        <w:br/>
        <w:t xml:space="preserve">      de demanda y contestación de la demanda, así como  en  el  escrito  de</w:t>
        <w:br/>
        <w:t xml:space="preserve">      solicitudes y  argumentos  de  los  representantes,  con  base  en  el</w:t>
        <w:br/>
        <w:t xml:space="preserve">      principio   iura   novit   curia,   sólidamente   respaldado   en   la</w:t>
        <w:br/>
        <w:t xml:space="preserve">      jurisprudencia internacional, “en el sentido de que el juzgador  posee</w:t>
        <w:br/>
        <w:t xml:space="preserve">      la  facultad  e  inclusive  el  deber  de  aplicar  las  disposiciones</w:t>
        <w:br/>
        <w:t xml:space="preserve">      jurídicas pertinentes en una causa,  aún  cuando  las  partes  no  las</w:t>
        <w:br/>
        <w:t xml:space="preserve">      invoquen expresamente”, en el entendido de que se le  dará  siempre  a</w:t>
        <w:br/>
        <w:t xml:space="preserve">      las partes la posibilidad de presentar los argumentos  y  pruebas  que</w:t>
        <w:br/>
        <w:t xml:space="preserve">      estimen pertinentes  para  apoyar  su  posición  frente  a  todas  las</w:t>
        <w:br/>
        <w:t xml:space="preserve">      disposiciones jurídicas que se examinan.</w:t>
        <w:br/>
        <w:br/>
        <w:t>29.   En los términos en que se han expresado las partes, la  Corte  observa</w:t>
        <w:br/>
        <w:t>que subsiste la  controversia  entre  aquéllas  en  cuanto  a  la  excepción</w:t>
        <w:br/>
        <w:t>preliminar referente a la falta de  agotamiento  de  recursos  internos;  el</w:t>
        <w:br/>
        <w:t>alcance del  reconocimiento  de  responsabilidad  del  Estado  sobre  hechos</w:t>
        <w:br/>
        <w:t>ocurridos  en  el  presente  caso  no  abarcados  en  el  reconocimiento  de</w:t>
        <w:br/>
        <w:t>responsabilidad formulado por el Estado; las  supuestas  violaciones  a  los</w:t>
        <w:br/>
        <w:t>artículos  1.1,  8.1  y  25  de  la  Convención  Americana;  las   supuestas</w:t>
        <w:br/>
        <w:t>violaciones a los artículos 19 y 22 de dicho instrumento  alegadas  por  los</w:t>
        <w:br/>
        <w:t>representantes, así como  lo  referente  a  las  eventuales  reparaciones  y</w:t>
        <w:br/>
        <w:t>costas.</w:t>
        <w:br/>
        <w:br/>
        <w:t>30.    Por  otro   lado,   al   haber   efectuado   un   reconocimiento   de</w:t>
        <w:br/>
        <w:t>responsabilidad en el presente caso, el Estado  ha  aceptado  implícitamente</w:t>
        <w:br/>
        <w:t>la plena competencia de la Corte para conocer  del  presente  caso,  por  lo</w:t>
        <w:br/>
        <w:t>cual la segunda excepción opuesta por el Estado ha perdido  el  carácter  de</w:t>
        <w:br/>
        <w:t>cuestión preliminar. Además, el contenido de dicha  excepción  se  encuentra</w:t>
        <w:br/>
        <w:t>íntimamente relacionado con el fondo del presente asunto, en  particular  en</w:t>
        <w:br/>
        <w:t>lo referente a la  supuesta  violación  de  los  artículos  8  y  25  de  la</w:t>
        <w:br/>
        <w:t>Convención. Por lo tanto, dicha excepción preliminar debe ser desestimada  y</w:t>
        <w:br/>
        <w:t>la Corte debe continuar con el  conocimiento  del  fondo  y  las  eventuales</w:t>
        <w:br/>
        <w:t>reparaciones y costas en el presente caso.</w:t>
        <w:br/>
        <w:br/>
        <w:t>31.   En consecuencia, si  bien  dicho  reconocimiento  manifestado  por  el</w:t>
        <w:br/>
        <w:t>Estado no interrumpe el trámite de la recepción de la prueba  testimonial  y</w:t>
        <w:br/>
        <w:t>pericial ordenada, el objeto de los testimonios y  peritaje  determinado  en</w:t>
        <w:br/>
        <w:t>la Resolución del  Presidente  deberá  restringirse  en  lo  pertinente,  en</w:t>
        <w:br/>
        <w:t>relación con las partes del fondo, las reparaciones  y  costas  respecto  de</w:t>
        <w:br/>
        <w:t>las cuales subsiste la controversia entre las partes.</w:t>
        <w:br/>
        <w:br/>
        <w:br/>
        <w:br/>
        <w:t xml:space="preserve">                                     VI</w:t>
        <w:br/>
        <w:br/>
        <w:br/>
        <w:t xml:space="preserve">                             Puntos Resolutivos</w:t>
        <w:br/>
        <w:br/>
        <w:br/>
        <w:br/>
        <w:t>32.   Por tanto,</w:t>
        <w:br/>
        <w:br/>
        <w:br/>
        <w:t xml:space="preserve">      La Corte,</w:t>
        <w:br/>
        <w:br/>
        <w:br/>
        <w:br/>
        <w:t>Por unanimidad,</w:t>
        <w:br/>
        <w:br/>
        <w:br/>
        <w:br/>
        <w:t>Declara:</w:t>
        <w:br/>
        <w:br/>
        <w:t>1.    Que ha cesado la controversia sobre la excepción preliminar  referente</w:t>
        <w:br/>
        <w:t>a la “aplicación indebida  de  los  artículos  50  y  51  de  la  Convención</w:t>
        <w:br/>
        <w:t>Americana”.</w:t>
        <w:br/>
        <w:br/>
        <w:t>y resuelve:</w:t>
        <w:br/>
        <w:br/>
        <w:t>2.    Admitir, para todos  sus  efectos,  el  desistimiento  por  parte  del</w:t>
        <w:br/>
        <w:t>Estado de  la  primera  excepción  preliminar  referente  a  la  “aplicación</w:t>
        <w:br/>
        <w:t>indebida de los artículos 50 y 51 de la Convención Americana”.</w:t>
        <w:br/>
        <w:br/>
        <w:t>3.    Admitir, para todos sus efectos, el reconocimiento de  responsabilidad</w:t>
        <w:br/>
        <w:t>internacional efectuado por el Estado, en los términos de los párrafos 29  y</w:t>
        <w:br/>
        <w:t>30 de la presente Sentencia.</w:t>
        <w:br/>
        <w:br/>
        <w:t>4.    Desestimar la segunda excepción preliminar relativa al agotamiento  de</w:t>
        <w:br/>
        <w:t>los recursos internos y continuar con el conocimiento del presente  caso  en</w:t>
        <w:br/>
        <w:t>cuanto al alcance del reconocimiento de  responsabilidad  del  Estado  sobre</w:t>
        <w:br/>
        <w:t>hechos ocurridos en el presente caso no abarcados en  el  reconocimiento  de</w:t>
        <w:br/>
        <w:t>responsabilidad formulado por el Estado; las  supuestas  violaciones  a  los</w:t>
        <w:br/>
        <w:t>artículos  1.1,  8.1  y  25  de  la  Convención  Americana;  las   supuestas</w:t>
        <w:br/>
        <w:t>violaciones a los artículos 19 y 22 de dicho instrumento  alegadas  por  los</w:t>
        <w:br/>
        <w:t>representantes, así como  lo  referente  a  las  eventuales  reparaciones  y</w:t>
        <w:br/>
        <w:t>costas.</w:t>
        <w:br/>
        <w:br/>
        <w:t>5.    Continuar la celebración de la audiencia  pública  convocada  mediante</w:t>
        <w:br/>
        <w:t>Resolución del Presidente de la Corte de 28 de enero de 2005, así  como  los</w:t>
        <w:br/>
        <w:t>demás actos procesales relativos al fondo y las  eventuales  reparaciones  y</w:t>
        <w:br/>
        <w:t>costas en el presente caso. El objeto de los testimonios y  peritaje  deberá</w:t>
        <w:br/>
        <w:t>restringirse en lo pertinente, en relación con las  partes  del  fondo,  las</w:t>
        <w:br/>
        <w:t>reparaciones y costas respecto de las cuales subsiste la controversia  entre</w:t>
        <w:br/>
        <w:t>las partes.</w:t>
        <w:br/>
        <w:br/>
        <w:t>6.    Notificar la presente Resolución al Estado de Colombia, a la  Comisión</w:t>
        <w:br/>
        <w:t>Interamericana de Derechos Humanos y a los representantes de  las  presuntas</w:t>
        <w:br/>
        <w:t>víctimas y sus familiares.</w:t>
        <w:br/>
        <w:t>-----------------------</w:t>
        <w:br/>
        <w:t>[1]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 de junio  de  2001,  y  según  la  reforma  parcial</w:t>
        <w:br/>
        <w:t>aprobada por la Corte en su  LXI  Período  Ordinario  de  Sesiones  mediante</w:t>
        <w:br/>
        <w:t>Resolución de 25 de noviembre de 2003, vigente desde el 1 de enero de 2004.</w:t>
        <w:br/>
        <w:t>[2]   Cfr. Caso Myrna Mack Chang. Sentencia de  25  de  noviembre  de  2003.</w:t>
        <w:br/>
        <w:t>Serie C No. 101, párrs. 106 a 108.</w:t>
        <w:br/>
        <w:t>[3]   Cfr. Caso “Instituto de Reeducación del  Menor”.  Sentencia  de  2  de</w:t>
        <w:br/>
        <w:t>septiembre de 2004. Serie C No. 112, párrs. 124 a 126; Caso de los  Hermanos</w:t>
        <w:br/>
        <w:t>Gómez Paquiyauri. Sentencia de 8 de julio de 2004. Serie C  No.  110,  párr.</w:t>
        <w:br/>
        <w:t>178; Caso Herrera Ulloa. Sentencia de 2 de julio de 2004. Serie C  No.  107,</w:t>
        <w:br/>
        <w:t>párr. 142; Caso Maritza Urrutia. Sentencia  de  27  de  noviembre  de  2003.</w:t>
        <w:br/>
        <w:t>Serie C No. 103, párr. 134; Caso Myrna Mack Chang, supra nota 2, párr.  128;</w:t>
        <w:br/>
        <w:t>y Caso “Cinco Pensionistas”. Sentencia de 28 de febrero  de  2003.  Serie  C</w:t>
        <w:br/>
        <w:t>No. 98, párr. 153.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