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Caso Caesar Vs. Trinidad y Tobago</w:t>
        <w:br/>
        <w:br/>
        <w:br/>
        <w:t xml:space="preserve">                      Sentencia de 11 de marzo de 2005</w:t>
        <w:br/>
        <w:t xml:space="preserve">                       (Fondo, Reparaciones y Costas)</w:t>
        <w:br/>
        <w:br/>
        <w:br/>
        <w:br/>
        <w:t>En el caso Caesar,</w:t>
        <w:br/>
        <w:br/>
        <w:t>La Corte Interamericana de Derechos Humanos (en  adelante  "la  Corte",  "la</w:t>
        <w:br/>
        <w:t>Corte  Interamericana"  o  "el  Tribunal"),  integrada  por  los  siguientes</w:t>
        <w:br/>
        <w:t>jueces: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 y</w:t>
        <w:br/>
        <w:t xml:space="preserve">      Diego García-Sayán, Juez;</w:t>
        <w:br/>
        <w:br/>
        <w:t>Presentes, además,</w:t>
        <w:br/>
        <w:br/>
        <w:t xml:space="preserve">      Pablo Saavedra Alessandri, Secretario; y</w:t>
        <w:br/>
        <w:t xml:space="preserve">      Emilia Segares Rodríguez, Secretaria Adjunta;</w:t>
        <w:br/>
        <w:br/>
        <w:t>De conformidad con los artículos 29, 31, 56 y 58 del Reglamento de la  Corte</w:t>
        <w:br/>
        <w:t>(en adelante "el Reglamento")[1], dicta la siguiente sentencia.</w:t>
        <w:br/>
        <w:br/>
        <w:br/>
        <w:t xml:space="preserve">                                      I</w:t>
        <w:br/>
        <w:br/>
        <w:t xml:space="preserve">                          INTRODUCCIÓN DE LA CAUSA</w:t>
        <w:br/>
        <w:br/>
        <w:br/>
        <w:br/>
        <w:t>1.    El 26 de febrero  de  2003  la  Comisión  Interamericana  de  Derechos</w:t>
        <w:br/>
        <w:t>Humanos (en adelante "la Comisión" o "la Comisión  Interamericana")  sometió</w:t>
        <w:br/>
        <w:t>a la Corte una demanda contra el Estado de Trinidad y  Tobago  (en  adelante</w:t>
        <w:br/>
        <w:t>"el Estado" o "Trinidad y Tobago"), la cual se originó en  la  denuncia  No.</w:t>
        <w:br/>
        <w:t>12.147, recibida por la Secretaría de la Comisión el 13 de mayo de 1999.</w:t>
        <w:br/>
        <w:br/>
        <w:t>2.    La Comisión presentó la demanda, en aplicación del artículo 61  de  la</w:t>
        <w:br/>
        <w:t>Convención Americana, para que la Corte decidiera si el Estado violó  "[…]el</w:t>
        <w:br/>
        <w:t>derecho [del señor Winston] Caesar a un trato  humano,  consagrado  en  [el]</w:t>
        <w:br/>
        <w:t>artículo[…] 5(1) y 5(2) de la  Convención,  de  su  derecho  a  ser  juzgado</w:t>
        <w:br/>
        <w:t>dentro de un plazo razonable, de conformidad con  el  artículo  8(1)  de  la</w:t>
        <w:br/>
        <w:t>Convención, y su  derecho  a  la  protección  judicial,  establecido  en  el</w:t>
        <w:br/>
        <w:t>artículo 25 de la Convención, todo ello conjuntamente con la  violación  del</w:t>
        <w:br/>
        <w:t>artículo 1(1) de la Convención.  Además,  la  Comisión  argument[ó]  que  el</w:t>
        <w:br/>
        <w:t>Estado, al no otorgar el derecho a ser juzgado dentro de un plazo  razonable</w:t>
        <w:br/>
        <w:t>en su legislación interna y al autorizar una forma de  castigo  incompatible</w:t>
        <w:br/>
        <w:t>con el derecho a un trato humano, es responsable  de  la  violación  de  las</w:t>
        <w:br/>
        <w:t>obligaciones que le impone el artículo 2 de  la  Convención  de  dar  efecto</w:t>
        <w:br/>
        <w:t>legal interno a los derechos consagrados en los artículos 5(1),  5(2),  7(5)</w:t>
        <w:br/>
        <w:t>y 8(1) de la  [misma]”.   Además,  la  Comisión  solicitó  a  la  Corte  que</w:t>
        <w:br/>
        <w:t>ordenara al Estado que adopte varias medidas de reparación pecuniarias y  no</w:t>
        <w:br/>
        <w:t>pecuniarias.</w:t>
        <w:br/>
        <w:br/>
        <w:br/>
        <w:t>3.    De conformidad con lo señalado por la Comisión en la demanda,  la  ley</w:t>
        <w:br/>
        <w:t>actual de Trinidad y Tobago  permite  la  imposición  de  penas  corporales.</w:t>
        <w:br/>
        <w:t>Según la Ley de Penas Corporales (Para Delincuentes Mayores de 18 años)  (en</w:t>
        <w:br/>
        <w:t>adelante “Ley de Penas  Corporales”),  un  tribunal  puede  ordenar  que  un</w:t>
        <w:br/>
        <w:t>delincuente varón mayor de 18 años sea golpeado  o  azotado  con  un  objeto</w:t>
        <w:br/>
        <w:t>llamado “gato de nueve colas”, además de cualquier  otra  pena  que  le  sea</w:t>
        <w:br/>
        <w:t>aplicable, cuando se le condena por ciertos delitos[2].  Dicha  Ley  también</w:t>
        <w:br/>
        <w:t>dispone que la sentencia  de  flagelación  debe  aplicarse  tan  pronto  sea</w:t>
        <w:br/>
        <w:t>posible y en ningún caso después de que hayan  transcurrido  seis  meses  de</w:t>
        <w:br/>
        <w:t>dictada la sentencia.  La presunta víctima en este caso,  el  señor  Winston</w:t>
        <w:br/>
        <w:t>Caesar (en adelante “el señor Caesar”), fue condenado por la High  Court  de</w:t>
        <w:br/>
        <w:t>Trinidad y Tobago por el delito de intento de violación y fue sentenciado  a</w:t>
        <w:br/>
        <w:t>20 años de cárcel con trabajos forzados y a  recibir  15  latigazos  con  el</w:t>
        <w:br/>
        <w:t>“gato de nueve colas”.  La Court of Appeal de Trinidad y Tobago confirmó  su</w:t>
        <w:br/>
        <w:t>condena y su sentencia y, 23 meses después de la confirmación definitiva  de</w:t>
        <w:br/>
        <w:t>la misma, el castigo de flagelación del señor Caesar fue ejecutado.</w:t>
        <w:br/>
        <w:br/>
        <w:t>4.     Asimismo,  la  Comisión  afirmó  que,  dada  la  naturaleza  de   las</w:t>
        <w:br/>
        <w:t>violaciones por las cuales el Estado debería  ser  considerado  responsable,</w:t>
        <w:br/>
        <w:t>Trinidad y Tobago debe proveer al señor Caesar con una reparación  efectiva,</w:t>
        <w:br/>
        <w:t>que incluya una indemnización por los daños morales que sufrió.  Además,  la</w:t>
        <w:br/>
        <w:t>Comisión solicitó a la Corte que ordene al Estado  que  adopte  las  medidas</w:t>
        <w:br/>
        <w:t>legislativas y de otra índole que fueren necesarias para hacer  efectivo  el</w:t>
        <w:br/>
        <w:t>derecho a un juicio dentro de un plazo razonable; para  derogar  el  castigo</w:t>
        <w:br/>
        <w:t>de azotamiento previsto por la Ley de Penas Corporales;  y  para  garantizar</w:t>
        <w:br/>
        <w:t>que las condiciones de detención en las cárceles del Estado  satisfagan  los</w:t>
        <w:br/>
        <w:t>estándares mínimos de un trato humano de conformidad con la Convención.</w:t>
        <w:br/>
        <w:br/>
        <w:br/>
        <w:br/>
        <w:t xml:space="preserve">                                     II</w:t>
        <w:br/>
        <w:br/>
        <w:br/>
        <w:t xml:space="preserve">                           COMPETENCIA DE LA CORTE</w:t>
        <w:br/>
        <w:br/>
        <w:br/>
        <w:t>5.    Trinidad  y  Tobago  ratificó  la  Convención  Americana  de  Derechos</w:t>
        <w:br/>
        <w:t>Humanos (en adelante “la Convención” o “la Convención Americana”) el  28  de</w:t>
        <w:br/>
        <w:t>mayo de 1991. Ese mismo día el Estado reconoció la  competencia  contenciosa</w:t>
        <w:br/>
        <w:t>de la Corte.</w:t>
        <w:br/>
        <w:br/>
        <w:t>6.    El 26 de mayo de 1998 Trinidad  y  Tobago  denunció  la  Convención  y</w:t>
        <w:br/>
        <w:t>dicha denuncia surtió efecto un año después, el  26  de  mayo  de  1999,  de</w:t>
        <w:br/>
        <w:t>conformidad con el artículo 78 de la Convención, según el cual una  denuncia</w:t>
        <w:br/>
        <w:t>no  tiene  por  efecto  desligar  al  Estado  Parte   denunciante   de   las</w:t>
        <w:br/>
        <w:t>obligaciones contraídas en la  Convención  con  respecto  a  los  actos  que</w:t>
        <w:br/>
        <w:t>puedan constituir una violación de la Convención  y  que  fueron  efectuados</w:t>
        <w:br/>
        <w:t>por el Estado antes de la fecha de entrada en vigor de la denuncia.</w:t>
        <w:br/>
        <w:br/>
        <w:t>7.    Asimismo, en el caso Hilaire,  Constantine  y  Benjamin  y  otros,  la</w:t>
        <w:br/>
        <w:t>Corte declaró en su sentencia sobre excepciones preliminares[3] que:</w:t>
        <w:br/>
        <w:br/>
        <w:t xml:space="preserve">      […]  Trinidad  y  Tobago  no  puede  prevalerse  de  las  limitaciones</w:t>
        <w:br/>
        <w:t xml:space="preserve">      formuladas en su instrumento de aceptación de la cláusula  facultativa</w:t>
        <w:br/>
        <w:t xml:space="preserve">      de la jurisdicción obligatoria de la Corte Interamericana de  Derechos</w:t>
        <w:br/>
        <w:t xml:space="preserve">      Humanos, en  virtud  de  lo  establecido  en  el  artículo  62  de  la</w:t>
        <w:br/>
        <w:t xml:space="preserve">      Convención Americana, por cuanto dicha limitación es incompatible  con</w:t>
        <w:br/>
        <w:t xml:space="preserve">      el objeto y fin de la Convención.</w:t>
        <w:br/>
        <w:br/>
        <w:t>8.    Pese a que la  Corte  Interamericana  es  plenamente  competente  para</w:t>
        <w:br/>
        <w:t>conocer sobre el presente caso, el Estado no participó en  el  proceso  ante</w:t>
        <w:br/>
        <w:t>este Tribunal (infra párrs. 24, 30, 34 y 39).  A pesar de esta decisión,  la</w:t>
        <w:br/>
        <w:t>Corte,  como  cualquier   otro   organismo   internacional   con   funciones</w:t>
        <w:br/>
        <w:t>jurisdiccionales, tiene el poder inherente de determinar el  alcance  de  su</w:t>
        <w:br/>
        <w:t>propia competencia (compétence de la compétence)[4].</w:t>
        <w:br/>
        <w:br/>
        <w:t>9.    La Corte Interamericana reitera  que  al  momento  de  interpretar  la</w:t>
        <w:br/>
        <w:t>Convención  Americana  de  conformidad   con   las   normas   generales   de</w:t>
        <w:br/>
        <w:t>interpretación de  los  tratados  contenidas  en  el  artículo  31.1  de  la</w:t>
        <w:br/>
        <w:t>Convención de Viena sobre el Derecho de  los  Tratados,  y  considerando  el</w:t>
        <w:br/>
        <w:t>objeto y fin de la Convención Americana, el Tribunal,  en  ejercicio  de  la</w:t>
        <w:br/>
        <w:t>autoridad que le confiere el artículo 62.3 de la Convención Americana,  debe</w:t>
        <w:br/>
        <w:t>actuar de manera tal que se preserve la integridad  del  mecanismo  previsto</w:t>
        <w:br/>
        <w:t>en el artículo  62.1  de  la  misma.   Sería  inadmisible  subordinar  tales</w:t>
        <w:br/>
        <w:t>preceptos a restricciones que harían inoperante  la  función  jurisdiccional</w:t>
        <w:br/>
        <w:t>de la Corte y,  consecuentemente,  el  sistema  de  protección  de  derechos</w:t>
        <w:br/>
        <w:t>humanos establecido en la Convención[5].</w:t>
        <w:br/>
        <w:br/>
        <w:t>10.   Además, la Corte considera oportuno recordar lo señalado  en  un  caso</w:t>
        <w:br/>
        <w:t>reciente con respecto a su competencia ratione temporis[6]:</w:t>
        <w:br/>
        <w:br/>
        <w:t xml:space="preserve">      […] La Corte no puede ejercer su competencia contenciosa para  aplicar</w:t>
        <w:br/>
        <w:t xml:space="preserve">      la Convención y declarar una violación a sus normas cuando los  hechos</w:t>
        <w:br/>
        <w:t xml:space="preserve">      alegados o la conducta  del  Estado  demandado  que  pudiera  implicar</w:t>
        <w:br/>
        <w:t xml:space="preserve">      responsabilidad internacional, son anteriores al reconocimiento de  la</w:t>
        <w:br/>
        <w:t xml:space="preserve">      competencia del Tribunal.</w:t>
        <w:br/>
        <w:br/>
        <w:br/>
        <w:t xml:space="preserve">      […]  Sin  embargo,  cuando  se  trata  de  una  violación  continua  o</w:t>
        <w:br/>
        <w:t xml:space="preserve">      permanente, cuyo inicio  se  hubiere  dado  antes  de  que  el  Estado</w:t>
        <w:br/>
        <w:t xml:space="preserve">      demandado hubiere reconocido la competencia contenciosa de la Corte  y</w:t>
        <w:br/>
        <w:t xml:space="preserve">      que persiste aún  después  de  este  reconocimiento,  el  Tribunal  es</w:t>
        <w:br/>
        <w:t xml:space="preserve">      competente para conocer de las conductas ocurridas  con  posterioridad</w:t>
        <w:br/>
        <w:t xml:space="preserve">      al  reconocimiento  de  la  competencia  y  de  los  efectos  de   las</w:t>
        <w:br/>
        <w:t xml:space="preserve">      violaciones.</w:t>
        <w:br/>
        <w:br/>
        <w:t>11.   La Corte observa que la mayoría de los hechos alegados en la  demanda</w:t>
        <w:br/>
        <w:t>sometida en el presente caso  han  ocurrido  entre  la  ratificación  y  la</w:t>
        <w:br/>
        <w:t>denuncia de la Convención por parte del Estado, con  excepción  de  algunos</w:t>
        <w:br/>
        <w:t>hechos referentes al proceso penal llevado a cabo en contra de la  presunta</w:t>
        <w:br/>
        <w:t>víctima. Tomando en cuenta las consideraciones expuestas  en  los  párrafos</w:t>
        <w:br/>
        <w:t>precedentes, la Corte reafirma que es plenamente  competente  para  conocer</w:t>
        <w:br/>
        <w:t>del presente caso y dictar sentencia, con  base  en  lo  dispuesto  en  los</w:t>
        <w:br/>
        <w:t>artículos  62.3 y 78.2 de la Convención.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12.   El 13 de mayo de 1999 la firma de abogados  inglesa  Lovells  presentó</w:t>
        <w:br/>
        <w:t>una denuncia ante la Comisión Interamericana.</w:t>
        <w:br/>
        <w:br/>
        <w:t>13.   El 10 de octubre de 2001, en el marco de su 113º período ordinario  de</w:t>
        <w:br/>
        <w:t>sesiones, la  Comisión  aprobó  el  Informe  Nº  88/01  en  el  que  declaró</w:t>
        <w:br/>
        <w:t>admisible el caso y decidió continuar con la  consideración  del  fondo  del</w:t>
        <w:br/>
        <w:t>mismo.</w:t>
        <w:br/>
        <w:br/>
        <w:t>14.   El 10 de octubre de 2002, en el marco del 116º  período  ordinario  de</w:t>
        <w:br/>
        <w:t>sesiones, la Comisión aprobó el Informe  de  fondo  Nº  65/02,  en  el  cual</w:t>
        <w:br/>
        <w:t>concluyó que:</w:t>
        <w:br/>
        <w:br/>
        <w:t xml:space="preserve">      [e]l Estado es responsable por la  violación  del  derecho  del  señor</w:t>
        <w:br/>
        <w:t xml:space="preserve">      Caesar a un trato humano, consagrado en el artículo 5.1 y  5.2  de  la</w:t>
        <w:br/>
        <w:t xml:space="preserve">      Convención, de su derecho a ser juzgado dentro de un plazo  razonable,</w:t>
        <w:br/>
        <w:t xml:space="preserve">      según el artículo  8.1  de  la  Convención,  y  de  su  derecho  a  la</w:t>
        <w:br/>
        <w:t xml:space="preserve">      protección judicial, establecido en el artículo 25 de  la  Convención,</w:t>
        <w:br/>
        <w:t xml:space="preserve">      todo ello en relación con la violación del artículo 1.1 de  la  misma.</w:t>
        <w:br/>
        <w:t xml:space="preserve">      Además, la Comisión concluyó que el Estado, al no otorgar el derecho a</w:t>
        <w:br/>
        <w:t xml:space="preserve">      ser juzgado dentro de un plazo razonable en su legislación interna,  y</w:t>
        <w:br/>
        <w:t xml:space="preserve">      al autorizar una forma de castigo incompatible con  el  derecho  a  un</w:t>
        <w:br/>
        <w:t xml:space="preserve">      trato humano, es responsable por la violación de las obligaciones  que</w:t>
        <w:br/>
        <w:t xml:space="preserve">      le impone el artículo 2 de la Convención de dar efecto legal interno a</w:t>
        <w:br/>
        <w:t xml:space="preserve">      los derechos garantizados por los artículos 5.1, 5.2, 7.5 y 8.1 de  la</w:t>
        <w:br/>
        <w:t xml:space="preserve">      Convención. Con base en la información  y  la  prueba  presentada,  la</w:t>
        <w:br/>
        <w:t xml:space="preserve">      Comisión no encontró ninguna violación del derecho del señor Caesar  a</w:t>
        <w:br/>
        <w:t xml:space="preserve">      la asistencia legal, protegido por el artículo 8.2 de la Convención.</w:t>
        <w:br/>
        <w:br/>
        <w:t>Con base en el análisis y en  las  conclusiones  del  Informe,  la  Comisión</w:t>
        <w:br/>
        <w:t>recomendó al Estado que:</w:t>
        <w:br/>
        <w:br/>
        <w:t xml:space="preserve">     1. Otorg[ara al señor] Caesar una reparación efectiva que  incluy[era]</w:t>
        <w:br/>
        <w:t xml:space="preserve">        una indemnización;</w:t>
        <w:br/>
        <w:t xml:space="preserve">     2. Adoptar[a] las medidas legislativas  o  de  otra  índole  que  sean</w:t>
        <w:br/>
        <w:t xml:space="preserve">        necesarias para hacer efectivo el derecho a un juicio dentro de  un</w:t>
        <w:br/>
        <w:t xml:space="preserve">        plazo razonable;</w:t>
        <w:br/>
        <w:t xml:space="preserve">     3. Adoptar[a] las medidas legislativas  y  de  otra  índole  que  sean</w:t>
        <w:br/>
        <w:t xml:space="preserve">        necesarias para abrogar el castigo de flagelación  previsto  en  la</w:t>
        <w:br/>
        <w:t xml:space="preserve">        Ley de Penas Corporales (delincuentes mayores de 16 años) de 1953;</w:t>
        <w:br/>
        <w:t xml:space="preserve">     4. Adoptar[a] las medidas legislativas  y  de  otra  índole  que  sean</w:t>
        <w:br/>
        <w:t xml:space="preserve">        necesarias para garantizar que las  condiciones  de  detención  del</w:t>
        <w:br/>
        <w:t xml:space="preserve">        señor Caesar satisf[icieran] los estándares   de  un  trato  humano</w:t>
        <w:br/>
        <w:t xml:space="preserve">        establecido en la Convención.</w:t>
        <w:br/>
        <w:t>15.   El 27 de noviembre de 2002 la Comisión remitió al  Estado  el  Informe</w:t>
        <w:br/>
        <w:t>de fondo Nº 65/02, y le solicitó que informara sobre las  medidas  adoptadas</w:t>
        <w:br/>
        <w:t>para cumplir con las recomendaciones contenidas en el mismo, dentro  de  los</w:t>
        <w:br/>
        <w:t>dos meses contados a partir de la fecha  de  envío.   Mediante  nota  de  la</w:t>
        <w:br/>
        <w:t>misma fecha, la Comisión informó a los peticionarios que había  aprobado  el</w:t>
        <w:br/>
        <w:t>Informe Nº 65/02, y les pidió que le suministraran, en el plazo de  un  mes,</w:t>
        <w:br/>
        <w:t>la información a la que se refiere el artículo 43.3  de  su  Reglamento,  en</w:t>
        <w:br/>
        <w:t>relación con su posición sobre la posibilidad de presentar el caso  ante  la</w:t>
        <w:br/>
        <w:t>Corte Interamericana.</w:t>
        <w:br/>
        <w:br/>
        <w:t>16.   El 31 de diciembre de 2002 los peticionarios presentaron su  respuesta</w:t>
        <w:br/>
        <w:t>a la comunicación de la Comisión de 27 de noviembre  de  2002,  en  la  cual</w:t>
        <w:br/>
        <w:t>indicaron que “[la remisión del caso] a la  Corte  es  apropiada,  pues  esa</w:t>
        <w:br/>
        <w:t>instancia representa  la  única  oportunidad  para  que  [el  señor]  Caesar</w:t>
        <w:br/>
        <w:t>obtenga una reparación real y efectiva por  la  violación  de  sus  derechos</w:t>
        <w:br/>
        <w:t>humanos”.</w:t>
        <w:br/>
        <w:br/>
        <w:t>17.   El 26 de febrero de 2003 la Comisión decidió presentar  el  caso  ante</w:t>
        <w:br/>
        <w:t>la Corte, ya que “el Estado no [le] brindó […] respuesta a su Informe  65/02</w:t>
        <w:br/>
        <w:t>sobre el fondo”.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18.   El 26 de febrero de 2003 la  Comisión  presentó  la  demanda  ante  la</w:t>
        <w:br/>
        <w:t>Corte (supra párr. 1).</w:t>
        <w:br/>
        <w:br/>
        <w:t>19.   La Comisión designó como delegados a los señores  Robert  K.  Goldman,</w:t>
        <w:br/>
        <w:t>Juan E. Méndez, Clare K. Roberts y Santiago  A.  Canton,  y  a  los  señores</w:t>
        <w:br/>
        <w:t>Ariel Dulitzky y Brian D. Tittemore como asesores legales.</w:t>
        <w:br/>
        <w:br/>
        <w:t>20.   El 20 de marzo de 2003 la Secretaría de  la  Corte  (en  adelante  “la</w:t>
        <w:br/>
        <w:t>Secretaría”), previo examen  preliminar  de  la  demanda  realizado  por  el</w:t>
        <w:br/>
        <w:t>Presidente de la Corte (en adelante “el Presidente”), la notificó junto  con</w:t>
        <w:br/>
        <w:t>los anexos al Estado y le  informó  sobre  los  plazos  para  contestarla  y</w:t>
        <w:br/>
        <w:t>designar su representación en el proceso.  Ese  mismo  día,  la  Secretaría,</w:t>
        <w:br/>
        <w:t>siguiendo instrucciones del Presidente, informó al Estado de  su  derecho  a</w:t>
        <w:br/>
        <w:t>designar un juez ad hoc que participara en la consideración del caso.</w:t>
        <w:br/>
        <w:br/>
        <w:t>21.   El 24 de marzo  de  2003,  de  conformidad  con  lo  dispuesto  en  el</w:t>
        <w:br/>
        <w:t>artículo 35.1 e) y d) del Reglamento, la Secretaría notificó  la  demanda  a</w:t>
        <w:br/>
        <w:t>los   representantes   de   la   presunta   víctima   (en   adelante    “los</w:t>
        <w:br/>
        <w:t>representantes”).  El señor  Caesar  ha  sido  representado  ante  la  Corte</w:t>
        <w:br/>
        <w:t>Interamericana por Jon Holland, Andrea Monks, Yasmin Walijje, Yvonne Gray  y</w:t>
        <w:br/>
        <w:t>Peter Carter.</w:t>
        <w:br/>
        <w:br/>
        <w:t>22.   El Estado no designó ni agentes  ni  juez  ad  hoc  dentro  del  plazo</w:t>
        <w:br/>
        <w:t>fijado para tal efecto, a saber: 20 de abril de 2003.</w:t>
        <w:br/>
        <w:br/>
        <w:t>23.    Los  representantes  no  presentaron  su  escrito  de  solicitudes  y</w:t>
        <w:br/>
        <w:t>argumentos antes del plazo estipulado al efecto, el cual  venció  el  24  de</w:t>
        <w:br/>
        <w:t>abril de 2003, según los términos del artículo 35.4 del Reglamento  entonces</w:t>
        <w:br/>
        <w:t>vigente.</w:t>
        <w:br/>
        <w:br/>
        <w:t>24.   El Estado no presentó su contestación de la demanda  antes  del  plazo</w:t>
        <w:br/>
        <w:t>estipulado al efecto, el cual venció el  20  de  mayo  de  2003,  según  los</w:t>
        <w:br/>
        <w:t>términos del artículo 37.1 del Reglamento entonces vigente.</w:t>
        <w:br/>
        <w:br/>
        <w:t>25.   El 12 de abril de 2004 las organizaciones no  gubernamentales  Harvard</w:t>
        <w:br/>
        <w:t>Law Student Advocates for Human Rights y Global Justice  Centre  presentaron</w:t>
        <w:br/>
        <w:t>un amici curiae en el presente caso.</w:t>
        <w:br/>
        <w:br/>
        <w:t>26.    El  6  de  septiembre  de  2004  la  organización  no   gubernamental</w:t>
        <w:br/>
        <w:t>Interights presentó un amicus curiae en el presente caso.</w:t>
        <w:br/>
        <w:br/>
        <w:t>27.   El 20 de octubre de 2004 el Presidente dictó una  Resolución  mediante</w:t>
        <w:br/>
        <w:t>la cual, de conformidad con el artículo 47.3 del  Reglamento,  requirió  que</w:t>
        <w:br/>
        <w:t>el  señor  Winston  Caesar,  propuesto  como   testigo   por   la   Comisión</w:t>
        <w:br/>
        <w:t>Interamericana, y que los señores Desmond Allum y Andrew  Coyle,  propuestos</w:t>
        <w:br/>
        <w:t>como peritos por la misma, rindieran su testimonio o peritajes a  través  de</w:t>
        <w:br/>
        <w:t>declaraciones rendidas ante fedatario  público  (affidávits).  Asimismo,  el</w:t>
        <w:br/>
        <w:t>Presidente otorgó un plazo improrrogable de 7 días, contado a partir  de  la</w:t>
        <w:br/>
        <w:t>recepción de tales affidávits, para  que  los  representantes  y  el  Estado</w:t>
        <w:br/>
        <w:t>presentaran las observaciones que estimaran pertinentes.  Además,  en  dicha</w:t>
        <w:br/>
        <w:t>Resolución el Presidente convocó a las partes a una  audiencia  pública  que</w:t>
        <w:br/>
        <w:t>se celebraría en la sede de la Corte  Interamericana  a  partir  del  15  de</w:t>
        <w:br/>
        <w:t>noviembre de 2004, para escuchar sus alegatos finales orales sobre el  fondo</w:t>
        <w:br/>
        <w:t>y las eventuales reparaciones y costas, así como el  dictamen  pericial  del</w:t>
        <w:br/>
        <w:t>señor Robert Ferris, propuesto como perito por la  Comisión  Interamericana.</w:t>
        <w:br/>
        <w:t>Por último, en dicha Resolución el  Presidente  informó  a  las  partes  que</w:t>
        <w:br/>
        <w:t>contaban con plazo hasta el 16 de  diciembre  de  2004  para  presentar  sus</w:t>
        <w:br/>
        <w:t>alegatos finales  escritos  en  relación  con  el  fondo  y  las  eventuales</w:t>
        <w:br/>
        <w:t>reparaciones y costas.</w:t>
        <w:br/>
        <w:br/>
        <w:t>28.   El 3 de noviembre  de  2004  la  Comisión  remitió  las  declaraciones</w:t>
        <w:br/>
        <w:t>rendidas  ante  fedatario  público  (affidávits)  por  los  señores  Winston</w:t>
        <w:br/>
        <w:t>Caesar, Desmond Allum, Andrew Coyle y Robert Ferris.  Ni el  Estado  ni  los</w:t>
        <w:br/>
        <w:t>representantes presentaron observación alguna.</w:t>
        <w:br/>
        <w:br/>
        <w:t>29.   El 15 de noviembre de 2004 la Corte recibió en  la  audiencia  pública</w:t>
        <w:br/>
        <w:t>sobre fondo y eventuales reparaciones y  costas  el  dictamen  pericial  del</w:t>
        <w:br/>
        <w:t>señor Robert Ferris, propuesto por la Comisión Interamericana.   Además,  la</w:t>
        <w:br/>
        <w:t>Corte  escuchó  los  alegatos  finales  orales  de  la  Comisión  y  de  los</w:t>
        <w:br/>
        <w:t>representantes.</w:t>
        <w:br/>
        <w:br/>
        <w:t>Comparecieron ante la Corte:</w:t>
        <w:br/>
        <w:br/>
        <w:br/>
        <w:t xml:space="preserve">      por la Comisión Interamericana:</w:t>
        <w:br/>
        <w:br/>
        <w:br/>
        <w:t xml:space="preserve">      Clare K. Roberts, delegado;</w:t>
        <w:br/>
        <w:t xml:space="preserve">      Brian Tittemore, asesor;</w:t>
        <w:br/>
        <w:br/>
        <w:t xml:space="preserve">      por los representantes:</w:t>
        <w:br/>
        <w:br/>
        <w:br/>
        <w:t xml:space="preserve">      Peter Carter;</w:t>
        <w:br/>
        <w:t xml:space="preserve">      Andrea Monks; y</w:t>
        <w:br/>
        <w:br/>
        <w:br/>
        <w:t xml:space="preserve">      perito propuesto por la Comisión Interamericana:</w:t>
        <w:br/>
        <w:br/>
        <w:br/>
        <w:t xml:space="preserve">      Robert Ferris.</w:t>
        <w:br/>
        <w:br/>
        <w:t>30.   El Estado no compareció a la audiencia pública.  Por consiguiente,  la</w:t>
        <w:br/>
        <w:t>audiencia se llevó a cabo de conformidad con el artículo 27 del  Reglamento,</w:t>
        <w:br/>
        <w:t>el cual fue leído por el  Secretario  al  inicio  de  la  audiencia.   Dicho</w:t>
        <w:br/>
        <w:t>artículo establece lo siguiente:</w:t>
        <w:br/>
        <w:br/>
        <w:br/>
        <w:t xml:space="preserve">      Artículo 27.  Procedimiento por incomparecencia o falta de actuación  </w:t>
        <w:br/>
        <w:br/>
        <w:br/>
        <w:t xml:space="preserve">   1. Cuando una parte no compareciere o se abstuviere de actuar, la  Corte,</w:t>
        <w:br/>
        <w:t xml:space="preserve">      de oficio,</w:t>
        <w:br/>
        <w:t xml:space="preserve">      impulsará el proceso hasta su finalización.</w:t>
        <w:br/>
        <w:br/>
        <w:br/>
        <w:t xml:space="preserve">      2.    Cuando una parte se apersone tardíamente tomará el procedimiento</w:t>
        <w:br/>
        <w:t xml:space="preserve">      en el estado en que se encuentre.</w:t>
        <w:br/>
        <w:br/>
        <w:t>31.    Durante  la  audiencia  pública  los  representantes  presentaron  un</w:t>
        <w:br/>
        <w:t>documento titulado “Alegatos en  forma  esquemática  presentados  en  nombre</w:t>
        <w:br/>
        <w:t>de[l señor]  Winston  Caesar”.   Por  su  parte,  la  Comisión  presentó  un</w:t>
        <w:br/>
        <w:t>documento titulado “Alegatos orales […] sobre  el  fondo  y  las  eventuales</w:t>
        <w:br/>
        <w:t>reparaciones y costas”, así como la documentación médica  del  señor  Caesar</w:t>
        <w:br/>
        <w:t>del Hospital de Port of Spain, como anexo  a  la  declaración  rendida  ante</w:t>
        <w:br/>
        <w:t>fedatario público (affidávit) por el señor Robert Ferris el 5 de octubre  de</w:t>
        <w:br/>
        <w:t>2004 y 4 anexos a la declaración rendida ante fedatario público  (affidávit)</w:t>
        <w:br/>
        <w:t>por el señor Andrew Coyle.</w:t>
        <w:br/>
        <w:br/>
        <w:t>32.   El 6 de diciembre de 2004, siguiendo las instrucciones del  Presidente</w:t>
        <w:br/>
        <w:t>y de  conformidad  con  el  artículo  45.2  del  Reglamento,  la  Secretaría</w:t>
        <w:br/>
        <w:t>solicitó al Estado que presentara, a más tardar el  15  de  enero  de  2005,</w:t>
        <w:br/>
        <w:t>toda la documentación médica del señor Caesar que hubiera  sido  emitida  en</w:t>
        <w:br/>
        <w:t>las prisiones donde la  presunta  víctima  ha  estado  encarcelado  y  donde</w:t>
        <w:br/>
        <w:t>también recibió tratamientos médicos, incluyendo los  documentos  referentes</w:t>
        <w:br/>
        <w:t>a la condición médica y al tratamiento anterior y posterior a  la  ejecución</w:t>
        <w:br/>
        <w:t>de la pena corporal. Esta documentación no fue remitida a la Corte.</w:t>
        <w:br/>
        <w:br/>
        <w:t>33.   El 13 y 16 de diciembre de 2004  los  representantes  y  la  Comisión,</w:t>
        <w:br/>
        <w:t>respectivamente, presentaron sus alegatos finales escritos sobre el fondo  y</w:t>
        <w:br/>
        <w:t>las eventuales reparaciones y costas.  El Estado no  presentó  sus  alegatos</w:t>
        <w:br/>
        <w:t>finales escritos.</w:t>
        <w:br/>
        <w:br/>
        <w:br/>
        <w:t xml:space="preserve">                                      V</w:t>
        <w:br/>
        <w:br/>
        <w:t xml:space="preserve">                           CONSIDERACIONES PREVIAS</w:t>
        <w:br/>
        <w:br/>
        <w:br/>
        <w:t>34.   El Estado no compareció en el procedimiento ante la Comisión  ni  ante</w:t>
        <w:br/>
        <w:t>la Corte.  No obstante,  la  Corte  ha  tomado,  motu  propio,  las  medidas</w:t>
        <w:br/>
        <w:t>necesarias para completar la  consideración  del  caso  y  ha  evaluado  los</w:t>
        <w:br/>
        <w:t>argumentos y las pruebas presentados durante  el  proceso  por  la  Comisión</w:t>
        <w:br/>
        <w:t>Interamericana y por  los  representantes,  con  base  en  los  cuales  este</w:t>
        <w:br/>
        <w:t>Tribunal dicta ahora una sentencia.</w:t>
        <w:br/>
        <w:br/>
        <w:t>35.   La Corte considera pertinente hacer referencia a la aplicabilidad  del</w:t>
        <w:br/>
        <w:t>artículo 38.2 del Reglamento en las circunstancias  del  presente  caso,  el</w:t>
        <w:br/>
        <w:t>cual fue invocado por la Comisión en sus argumentos finales escritos.</w:t>
        <w:br/>
        <w:br/>
        <w:t>36.   El artículo 38.2 del Reglamento establece:</w:t>
        <w:br/>
        <w:br/>
        <w:t xml:space="preserve">      El demandado deberá declarar en su contestación si acepta los hechos y</w:t>
        <w:br/>
        <w:t xml:space="preserve">      las pretensiones o si los contradice, y la Corte podrá considerar como</w:t>
        <w:br/>
        <w:t xml:space="preserve">      aceptados aquellos hechos que no hayan sido expresamente negados y las</w:t>
        <w:br/>
        <w:t xml:space="preserve">      pretensiones que no hayan sido expresamente controvertidas.</w:t>
        <w:br/>
        <w:br/>
        <w:t>37.   La Corte ha estimado, en casos anteriores, que  cuando  el  Estado  no</w:t>
        <w:br/>
        <w:t>contesta la demanda de manera específica, se presumen  como  verdaderos  los</w:t>
        <w:br/>
        <w:t>hechos sobre  los  cuales  guardó  silencio,  siempre  que  de  las  pruebas</w:t>
        <w:br/>
        <w:t>existentes se puedan inferir conclusiones consistentes sobre los  mismos[7].</w:t>
        <w:br/>
        <w:t xml:space="preserve"> Además, en casos recientes en los cuales el Estado  no  ha  opuesto  ningún</w:t>
        <w:br/>
        <w:t>tipo de defensa, ni ha comparecido a las audiencias públicas  a  las  cuales</w:t>
        <w:br/>
        <w:t>había sido convocado, la Corte ha observado:</w:t>
        <w:br/>
        <w:br/>
        <w:t xml:space="preserve">      […] que la inactividad procesal  no  genera  una  sanción  contra  las</w:t>
        <w:br/>
        <w:t xml:space="preserve">      partes, en sentido estricto, ni afecta el desarrollo del proceso, sino</w:t>
        <w:br/>
        <w:t xml:space="preserve">      que,   eventualmente,   les   acarrea   un   perjuicio   al    decidir</w:t>
        <w:br/>
        <w:t xml:space="preserve">      voluntariamente no ejercer su derecho de defensa en forma completa  ni</w:t>
        <w:br/>
        <w:t xml:space="preserve">      llevar a cabo las actuaciones procesales convenientes para su interés,</w:t>
        <w:br/>
        <w:t xml:space="preserve">      de conformidad con la máxima audi alteram partem.</w:t>
        <w:br/>
        <w:br/>
        <w:br/>
        <w:t xml:space="preserve">      […] Según se ha reconocido  en  la  jurisprudencia  internacional,  la</w:t>
        <w:br/>
        <w:t xml:space="preserve">      ausencia de una parte en cualquier etapa del caso no afecta la validez</w:t>
        <w:br/>
        <w:t xml:space="preserve">      de la sentencia[8], por lo cual, de conformidad con el  artículo  68.1</w:t>
        <w:br/>
        <w:t xml:space="preserve">      de la Convención, está vigente la obligación del Perú  de  cumplir  la</w:t>
        <w:br/>
        <w:t xml:space="preserve">      decisión de este Tribunal en el presente caso.[9]</w:t>
        <w:br/>
        <w:br/>
        <w:t>38.   De conformidad con el artículo 38.2 del Reglamento, la Corte tiene  la</w:t>
        <w:br/>
        <w:t>facultad de considerar aceptados los hechos que no hayan  sido  expresamente</w:t>
        <w:br/>
        <w:t>negados y los alegatos que no hayan sido expresamente  controvertidos.   Sin</w:t>
        <w:br/>
        <w:t>embargo, no es una obligación del Tribunal hacerlo en  todos  los  casos  en</w:t>
        <w:br/>
        <w:t>los cuales se presenta una situación similar.  Por ello, como maestra de  su</w:t>
        <w:br/>
        <w:t>propia jurisdicción (supra párrs. 8 y 11) y en  ejercicio  de  su  autoridad</w:t>
        <w:br/>
        <w:t>establecida en el artículo 55 del Reglamento, en  dichas  circunstancias  la</w:t>
        <w:br/>
        <w:t>Corte determinará en cada caso la necesidad de establecer  los  hechos,  tal</w:t>
        <w:br/>
        <w:t>como fueron presentados por las partes o tomando en cuenta  otros  elementos</w:t>
        <w:br/>
        <w:t>del acervo probatorio.  Sin embargo, más allá del  eventual  perjuicio  para</w:t>
        <w:br/>
        <w:t>el Estado, su inactividad ante una jurisdicción  internacional  de  derechos</w:t>
        <w:br/>
        <w:t>humanos es contraria al objeto, fin y espíritu de la Convención Americana  y</w:t>
        <w:br/>
        <w:t>al mecanismo de seguridad colectiva establecido en ésta.</w:t>
        <w:br/>
        <w:br/>
        <w:t>39.   En el presente caso, debe enfatizarse que el Estado incumplió  con  su</w:t>
        <w:br/>
        <w:t>responsabilidad procesal de aportar  pruebas  en  el  curso  de  las  etapas</w:t>
        <w:br/>
        <w:t>procesales establecidas en el artículo 44 del Reglamento (supra  párr.  24).</w:t>
        <w:br/>
        <w:t>En  consecuencia,  la  Corte  considera  apropiado  establecer  los   hechos</w:t>
        <w:br/>
        <w:t>probados en el presente  caso  tomando  en  cuenta,  además  del  mencionado</w:t>
        <w:br/>
        <w:t>silencio del Estado, otros elementos que le permitan  establecer  la  verdad</w:t>
        <w:br/>
        <w:t>de los hechos y su valoración jurídica, en ejercicio de  su  responsabilidad</w:t>
        <w:br/>
        <w:t>de protección de los  derechos  humanos  y  aplicando,  para  ese  fin,  los</w:t>
        <w:br/>
        <w:t>preceptos  de  derecho  convencional  y  de  derecho  internacional  general</w:t>
        <w:br/>
        <w:t>pertinentes.</w:t>
        <w:br/>
        <w:br/>
        <w:br/>
        <w:t xml:space="preserve">                                     VI</w:t>
        <w:br/>
        <w:br/>
        <w:t xml:space="preserve">                                   PRUEBA</w:t>
        <w:br/>
        <w:br/>
        <w:br/>
        <w:t>40.   Antes del examen de las pruebas recibidas, la Corte realizará en  este</w:t>
        <w:br/>
        <w:t>capítulo, a la  luz  de  lo  establecido  en  los  artículos  44  y  45  del</w:t>
        <w:br/>
        <w:t>Reglamento,   algunas   consideraciones   generales   aplicables   al   caso</w:t>
        <w:br/>
        <w:t>específico, la mayoría de las cuales han sido  desarrolladas  en  la  propia</w:t>
        <w:br/>
        <w:t>jurisprudencia del Tribunal.</w:t>
        <w:br/>
        <w:br/>
        <w:t>41.   En materia probatoria rige el  principio  del  contradictorio,  en  el</w:t>
        <w:br/>
        <w:t>cual se respeta el derecho de defensa de las partes, siendo  este  principio</w:t>
        <w:br/>
        <w:t>uno de los fundamentos del artículo 44 del Reglamento, en lo que atañe a  la</w:t>
        <w:br/>
        <w:t>oportunidad para el ofrecimiento de la  prueba,  con  el  fin  de  que  haya</w:t>
        <w:br/>
        <w:t>igualdad entre las partes[10].</w:t>
        <w:br/>
        <w:br/>
        <w:t>42.   La Corte ha señalado anteriormente, en cuanto  a  la  recepción  y  la</w:t>
        <w:br/>
        <w:t>valoración de la prueba, que los procedimientos que se siguen ante  ella  no</w:t>
        <w:br/>
        <w:t>están sujetos a las  mismas  formalidades  que  las  actuaciones  judiciales</w:t>
        <w:br/>
        <w:t>internas, y  que  la  incorporación  de  determinados  elementos  al  acervo</w:t>
        <w:br/>
        <w:t>probatorio  debe  ser  efectuada  prestando  particular   atención   a   las</w:t>
        <w:br/>
        <w:t>circunstancias del caso concreto y teniendo presentes los  límites  trazados</w:t>
        <w:br/>
        <w:t>por el respeto a la seguridad jurídica  y  al  equilibrio  procesal  de  las</w:t>
        <w:br/>
        <w:t>partes.  Además,  la  Corte  ha  tenido  en  cuenta  que  la  jurisprudencia</w:t>
        <w:br/>
        <w:t>internacional, al considerar que los tribunales  internacionales  tienen  la</w:t>
        <w:br/>
        <w:t>potestad de apreciar y valorar las pruebas  según  las  reglas  de  la  sana</w:t>
        <w:br/>
        <w:t>crítica, ha evitado siempre adoptar una rígida determinación del quantum  de</w:t>
        <w:br/>
        <w:t>la prueba necesaria para fundar un fallo.  Este  criterio  es  especialmente</w:t>
        <w:br/>
        <w:t>válido en relación con los tribunales internacionales de  derechos  humanos,</w:t>
        <w:br/>
        <w:t>los cuales disponen, para efectos de la determinación de la  responsabilidad</w:t>
        <w:br/>
        <w:t>internacional de un Estado por violación de derechos de la persona,  de  una</w:t>
        <w:br/>
        <w:t>amplia flexibilidad en la valoración de la prueba rendida ante  ellos  sobre</w:t>
        <w:br/>
        <w:t>los hechos pertinentes, de acuerdo con las reglas de la lógica  y  con  base</w:t>
        <w:br/>
        <w:t>en la experiencia[11].</w:t>
        <w:br/>
        <w:br/>
        <w:t>43.   Con base en lo dicho, la Corte  procederá  a  examinar  y  valorar  el</w:t>
        <w:br/>
        <w:t>conjunto de los elementos  que  conforman  el  acervo  probatorio  del  caso</w:t>
        <w:br/>
        <w:t>dentro del marco legal en estudio.</w:t>
        <w:br/>
        <w:br/>
        <w:t xml:space="preserve">                            a) PRUEBA DOCUMENTAL</w:t>
        <w:br/>
        <w:br/>
        <w:t>44.    Entre  las  pruebas  documentales  presentadas  por  las  partes,  la</w:t>
        <w:br/>
        <w:t>Comisión presentó las declaraciones juradas rendidas ante fedatario  público</w:t>
        <w:br/>
        <w:t>(affidávit) por la presunta víctima y por los peritos,  de  conformidad  con</w:t>
        <w:br/>
        <w:t>lo dispuesto por el Presidente mediante Resolución de 20 de octubre de  2004</w:t>
        <w:br/>
        <w:t>(supra párr. 27). El Tribunal considera pertinente  resumir  a  continuación</w:t>
        <w:br/>
        <w:t>las partes relevantes de dichas declaraciones:</w:t>
        <w:br/>
        <w:br/>
        <w:t xml:space="preserve">     a) Testimonio del señor Winston Caesar</w:t>
        <w:br/>
        <w:br/>
        <w:t xml:space="preserve">      En  su  affidávit,  el  señor  Caesar,  la  presunta  víctima  de  las</w:t>
        <w:br/>
        <w:t xml:space="preserve">      violaciones alegadas en el presente caso, declaró lo siguiente:</w:t>
        <w:br/>
        <w:br/>
        <w:br/>
        <w:t xml:space="preserve">      El señor Caesar describió sus condiciones de detención en  algunas  de</w:t>
        <w:br/>
        <w:t xml:space="preserve">      las prisiones en que ha estado.  En las cárceles de Golden Grove y  de</w:t>
        <w:br/>
        <w:t xml:space="preserve">      Carrera, la presunta víctima compartía la celda  con  cuatro  o  cinco</w:t>
        <w:br/>
        <w:t xml:space="preserve">      hombres, y dormía en el suelo en una colchoneta muy  delgada;  además,</w:t>
        <w:br/>
        <w:t xml:space="preserve">      la celda era  caliente,  no  contaba  con  ventilación  y  carecía  de</w:t>
        <w:br/>
        <w:t xml:space="preserve">      servicios higiénicos. En la Prisión de Máxima Seguridad sólo hay  agua</w:t>
        <w:br/>
        <w:t xml:space="preserve">      por media hora en las mañanas y en las tardes; además,  entre  semana,</w:t>
        <w:br/>
        <w:t xml:space="preserve">      se le permite salir al patio por cerca  de  una  hora  cada  mañana  y</w:t>
        <w:br/>
        <w:t xml:space="preserve">      tarde; los fines de semana se le permite  ir  al  patio  sólo  en  las</w:t>
        <w:br/>
        <w:t xml:space="preserve">      mañanas.</w:t>
        <w:br/>
        <w:br/>
        <w:br/>
        <w:t xml:space="preserve">      Desde que entró a la cárcel, el señor Caesar ha perdido casi todos sus</w:t>
        <w:br/>
        <w:t xml:space="preserve">      dientes y no  ha  recibido  ningún  tratamiento  dental.   También  ha</w:t>
        <w:br/>
        <w:t xml:space="preserve">      padecido hemorroides de las cuales fue  operado;  sin  embargo,  sigue</w:t>
        <w:br/>
        <w:t xml:space="preserve">      sufriendo de ellas, razón por la cual requiere otra cirugía.  En  1998</w:t>
        <w:br/>
        <w:t xml:space="preserve">      los médicos descubrieron que el señor Caesar tiene en el  área  de  la</w:t>
        <w:br/>
        <w:t xml:space="preserve">      ingle un quiste que necesita ser extraído.</w:t>
        <w:br/>
        <w:br/>
        <w:br/>
        <w:t xml:space="preserve">      El señor Caesar sabía que los azotes  en  la  Prisión  de  Carrera  se</w:t>
        <w:br/>
        <w:t xml:space="preserve">      llevaban a cabo dos o tres veces al año. Al menos  en  tres  ocasiones</w:t>
        <w:br/>
        <w:t xml:space="preserve">      durante un año, fue trasladado a otra celda para  que  presenciara  la</w:t>
        <w:br/>
        <w:t xml:space="preserve">      imposición de castigos similares a otros cuatro reclusos (infra  párr.</w:t>
        <w:br/>
        <w:t xml:space="preserve">      77).</w:t>
        <w:br/>
        <w:br/>
        <w:br/>
        <w:t xml:space="preserve">      Describió la forma en que la pena de flagelación fue ejecutada el 5 de</w:t>
        <w:br/>
        <w:t xml:space="preserve">      febrero de 1998 (infra párr. 76).</w:t>
        <w:br/>
        <w:br/>
        <w:t xml:space="preserve">     b) Peritaje del señor Desmond Allum</w:t>
        <w:br/>
        <w:br/>
        <w:t xml:space="preserve">      (El señor Allum  es  Senior  Counsel  del  Trinidad  and  Tobago  Bar,</w:t>
        <w:br/>
        <w:t xml:space="preserve">      Expresidente del Bar Association de Trinidad y Tobago y,  actualmente,</w:t>
        <w:br/>
        <w:t xml:space="preserve">      Presidente del Criminal Bar Association)</w:t>
        <w:br/>
        <w:br/>
        <w:br/>
        <w:t xml:space="preserve">      El señor Allum expuso acerca  de  la  historia  de  la  Ley  de  Penas</w:t>
        <w:br/>
        <w:t xml:space="preserve">      Corporales, respecto de la cual se refirió, inter alia, a  la  reforma</w:t>
        <w:br/>
        <w:t xml:space="preserve">      de 1994  que  estipula  que  la  sentencia  de  flagelación  debe  ser</w:t>
        <w:br/>
        <w:t xml:space="preserve">      ejecutada dentro del plazo de seis  meses  de  dictada  la  sentencia,</w:t>
        <w:br/>
        <w:t xml:space="preserve">      salvo cuando esté pendiente una apelación.  Además, se  refirió  a  la</w:t>
        <w:br/>
        <w:t xml:space="preserve">      aplicación de la “cláusula de exclusión” contenida en la  Constitución</w:t>
        <w:br/>
        <w:t xml:space="preserve">      Política de Trinidad y Tobago (infra párr. 115).</w:t>
        <w:br/>
        <w:br/>
        <w:br/>
        <w:t xml:space="preserve">      Asimismo, el perito afirmó que las condiciones  predominantes  en  las</w:t>
        <w:br/>
        <w:t xml:space="preserve">      cárceles de Trinidad y Tobago son insatisfactorias, ya  que  éstas  se</w:t>
        <w:br/>
        <w:t xml:space="preserve">      encuentran sobrepobladas, con falta de luz y  ventilación  apropiadas,</w:t>
        <w:br/>
        <w:t xml:space="preserve">      inadecuadas condiciones de higiene y carencia de servicios  médicos  y</w:t>
        <w:br/>
        <w:t xml:space="preserve">      dentales satisfactorios.</w:t>
        <w:br/>
        <w:br/>
        <w:br/>
        <w:t xml:space="preserve">     c) Peritaje del señor Andrew Coyle</w:t>
        <w:br/>
        <w:br/>
        <w:br/>
        <w:t xml:space="preserve">      (El señor Coyle es profesor de Estudios sobre Prisiones en la  Escuela</w:t>
        <w:br/>
        <w:t xml:space="preserve">      de Derecho de King’s College, Universidad de Londres)</w:t>
        <w:br/>
        <w:br/>
        <w:br/>
        <w:t xml:space="preserve">      El señor  Coyle  hizo  referencia  a  los  estándares  internacionales</w:t>
        <w:br/>
        <w:t xml:space="preserve">      referentes a la aplicación de castigos corporales y a las  condiciones</w:t>
        <w:br/>
        <w:t xml:space="preserve">      de detención en las prisiones estatales.</w:t>
        <w:br/>
        <w:br/>
        <w:br/>
        <w:t xml:space="preserve">     d) Peritaje del señor Robert Ferris</w:t>
        <w:br/>
        <w:br/>
        <w:br/>
        <w:t xml:space="preserve">      (El Dr. Ferris es consultor como psiquiatra forense y director clínico</w:t>
        <w:br/>
        <w:t xml:space="preserve">      del   Forensic  and  Secure  Services  para  el   Oxfordshire   mental</w:t>
        <w:br/>
        <w:t xml:space="preserve">      Healthcare Trust)</w:t>
        <w:br/>
        <w:br/>
        <w:br/>
        <w:t xml:space="preserve">      El doctor Ferris se entrevistó en la Prisión de  Máxima  Seguridad  de</w:t>
        <w:br/>
        <w:t xml:space="preserve">      Trinidad y Tobago con el señor Caesar.</w:t>
        <w:br/>
        <w:br/>
        <w:br/>
        <w:t xml:space="preserve">      El perito expresó que el señor Caesar  no  padece  ninguna  enfermedad</w:t>
        <w:br/>
        <w:t xml:space="preserve">      mental,  y  que  ha  sufrido   depresión   y   ansiedad   durante   su</w:t>
        <w:br/>
        <w:t xml:space="preserve">      encarcelamiento.  El señor Caesar  experimentó  emociones  propias  de</w:t>
        <w:br/>
        <w:t xml:space="preserve">      quien será sometido a un castigo físico doloroso y brutal.   Asimismo,</w:t>
        <w:br/>
        <w:t xml:space="preserve">      el intenso  sufrimiento  mental  causado  por  la  sentencia  de  pena</w:t>
        <w:br/>
        <w:t xml:space="preserve">      corporal pudo agravarse por el largo retraso en que ésta  se  llevó  a</w:t>
        <w:br/>
        <w:t xml:space="preserve">      cabo y por las repetidas falsas alarmas  de  aplicación  del  castigo.</w:t>
        <w:br/>
        <w:t xml:space="preserve">      Respecto de la pena como tal, el  señor  Caesar  sufrió  tal  miedo  y</w:t>
        <w:br/>
        <w:t xml:space="preserve">      humillación, que se desmayó.  La pena corporal ocasionó a la  presunta</w:t>
        <w:br/>
        <w:t xml:space="preserve">      víctima hematomas y  posiblemente  laceraciones  en  su  espalda;  sin</w:t>
        <w:br/>
        <w:t xml:space="preserve">      embargo, no tiene cicatrices.</w:t>
        <w:br/>
        <w:br/>
        <w:br/>
        <w:t xml:space="preserve">      El señor Caesar sufrió efectos  psicológicos  posteriores  al  castigo</w:t>
        <w:br/>
        <w:t xml:space="preserve">      corporal, tales como síntomas post-traumáticos incluyendo depresiones,</w:t>
        <w:br/>
        <w:t xml:space="preserve">      recuerdos  de  conversaciones  sostenidas  antes  del  castigo  y   la</w:t>
        <w:br/>
        <w:t xml:space="preserve">      sensación de que algo  golpea  su  espalda,  lo  cual  le  provoca  un</w:t>
        <w:br/>
        <w:t xml:space="preserve">      movimiento involuntario en su hombro.</w:t>
        <w:br/>
        <w:br/>
        <w:br/>
        <w:t xml:space="preserve">      Existe discrepancia entre la fecha que  proporciona  el  señor  Caesar</w:t>
        <w:br/>
        <w:t xml:space="preserve">      respecto de su operación de hemorroides  (diciembre  de  1997)  y  los</w:t>
        <w:br/>
        <w:t xml:space="preserve">      reportes médicos (enero de 1997).  Asimismo, en diciembre de  1997  el</w:t>
        <w:br/>
        <w:t xml:space="preserve">      señor Caesar estuvo un día en el hospital por un dolor abdominal.</w:t>
        <w:br/>
        <w:br/>
        <w:t xml:space="preserve">                                      *</w:t>
        <w:br/>
        <w:br/>
        <w:t xml:space="preserve">                            b) PRUEBAS PERICIALES</w:t>
        <w:br/>
        <w:br/>
        <w:t>45.   Durante la audiencia pública (supra párr.  29)  la  Corte  escuchó  el</w:t>
        <w:br/>
        <w:t>dictamen del perito Robert Ferris.  Su declaración se encuentra  sintetizada</w:t>
        <w:br/>
        <w:t>junto con el resumen de  su  affidávit  en  la  sección  precedente  a  este</w:t>
        <w:br/>
        <w:t>apartado (supra párr. 44.d).</w:t>
        <w:br/>
        <w:br/>
        <w:t xml:space="preserve">                                      *</w:t>
        <w:br/>
        <w:br/>
        <w:br/>
        <w:t xml:space="preserve">                         c) VALORACIÓN DE LA PRUEBA</w:t>
        <w:br/>
        <w:br/>
        <w:br/>
        <w:t>46.   En  este  caso,  como  en  otros[12],  el  Tribunal  admite  el  valor</w:t>
        <w:br/>
        <w:t>probatorio de aquellos documentos presentados por las partes  en  su  debida</w:t>
        <w:br/>
        <w:t>oportunidad procesal que no fueron  controvertidos  ni  objetados,  ni  cuya</w:t>
        <w:br/>
        <w:t>autenticidad fue puesta en duda.</w:t>
        <w:br/>
        <w:br/>
        <w:t>47.   Respecto de la declaración rendida  por  la  presunta  víctima  (supra</w:t>
        <w:br/>
        <w:t>párr. 44.a), este Tribunal la admite en cuanto concuerde con  el  objeto  de</w:t>
        <w:br/>
        <w:t>la misma señalado en la Resolución de 20 de octubre  de  2004  (supra  párr.</w:t>
        <w:br/>
        <w:t>27).  Al respecto, dado que la presunta víctima tiene un interés directo  en</w:t>
        <w:br/>
        <w:t>el caso, su declaración no puede ser evaluada aisladamente, sino dentro  del</w:t>
        <w:br/>
        <w:t>conjunto del acervo probatorio, aplicando las reglas  de  la  sana  crítica.</w:t>
        <w:br/>
        <w:t>Tal como ha hecho en otros casos, la Corte considera que su  declaración  es</w:t>
        <w:br/>
        <w:t>útil en la medida en que  puede  proporcionar  mayor  información  relevante</w:t>
        <w:br/>
        <w:t>sobre el fondo y sobre las reparaciones[13].</w:t>
        <w:br/>
        <w:br/>
        <w:t>48.   En cuanto al dictamen pericial rendido en  audiencia  pública  por  el</w:t>
        <w:br/>
        <w:t>señor Robert Ferris (supra párr. 29), así como a las  declaraciones  juradas</w:t>
        <w:br/>
        <w:t>(affidávits) de los peritos  Desmond Allum, Andrew Coyle y Robert  Ferris  y</w:t>
        <w:br/>
        <w:t>sus anexos (supra párr. 28), la Corte los admite en  cuanto  concuerden  con</w:t>
        <w:br/>
        <w:t>el objeto de los  mismos  y  los  valora  dentro  del  conjunto  del  acervo</w:t>
        <w:br/>
        <w:t>probatorio y aplicando las reglas de la sana crítica.</w:t>
        <w:br/>
        <w:br/>
        <w:br/>
        <w:t xml:space="preserve">                                     VII</w:t>
        <w:br/>
        <w:t xml:space="preserve">                               HECHOS PROBADOS</w:t>
        <w:br/>
        <w:br/>
        <w:t>49.   Después de analizados los  elementos  probatorios,  las  declaraciones</w:t>
        <w:br/>
        <w:t>del testigo y de los peritos, así como los alegatos de la Comisión y de  los</w:t>
        <w:br/>
        <w:t>representantes, la Corte considera probados los siguientes hechos:</w:t>
        <w:br/>
        <w:br/>
        <w:t>En relación con el proceso penal seguido contra el señor Winston Caesar</w:t>
        <w:br/>
        <w:br/>
        <w:br/>
        <w:t xml:space="preserve">      49.1  El 11 de noviembre de 1983 el señor  Caesar  fue  arrestado  por</w:t>
        <w:br/>
        <w:t xml:space="preserve">      haber cometido supuestamente una violación sexual el 8 de noviembre de</w:t>
        <w:br/>
        <w:t xml:space="preserve">      1983 en Trinidad. El 16 de noviembre de 1983 la presunta  víctima  fue</w:t>
        <w:br/>
        <w:t xml:space="preserve">      liberada bajo fianza.  Entre 1985 y 1986 la Port of Spain Magistrate's</w:t>
        <w:br/>
        <w:t xml:space="preserve">      4th Court llevó a cabo los procedimientos  para  el  juicio  (commital</w:t>
        <w:br/>
        <w:t xml:space="preserve">      proceedings) y, el 21 de febrero de 1986, ordenó  al  señor  Caesar  a</w:t>
        <w:br/>
        <w:t xml:space="preserve">      comparecer a juicio.</w:t>
        <w:br/>
        <w:br/>
        <w:t xml:space="preserve">      49.2  El 10 de septiembre de 1991 el  señor  Caesar  fue  arrestado  y</w:t>
        <w:br/>
        <w:t xml:space="preserve">      privado de libertad por no haber comparecido  a  juicio.   Durante  su</w:t>
        <w:br/>
        <w:t xml:space="preserve">      juicio permaneció detenido en la Prisión de Port of Spain.</w:t>
        <w:br/>
        <w:br/>
        <w:br/>
        <w:t xml:space="preserve">      49.3  El juicio se celebró en enero de 1992 ante el  Juez  Dayalsingh,</w:t>
        <w:br/>
        <w:t xml:space="preserve">      en la High Court de Trinidad y Tobago.  El 10  de  enero  de  1992  el</w:t>
        <w:br/>
        <w:t xml:space="preserve">      señor Caesar fue condenado por el delito  de  tentativa  de  violación</w:t>
        <w:br/>
        <w:t xml:space="preserve">      sexual, contemplado en la Ley de Delitos Contra la Persona de Trinidad</w:t>
        <w:br/>
        <w:t xml:space="preserve">      y Tobago, y  fue  sentenciado  a  20  años  de  prisión  con  trabajos</w:t>
        <w:br/>
        <w:t xml:space="preserve">      forzados y a recibir 15 azotes con el “gato de nueve  colas”.   En  la</w:t>
        <w:br/>
        <w:t xml:space="preserve">      misma fecha el señor Caesar firmó “un aviso de solicitud de venia para</w:t>
        <w:br/>
        <w:t xml:space="preserve">      apelar” y permaneció detenido.</w:t>
        <w:br/>
        <w:br/>
        <w:t xml:space="preserve">      49.4  El 26 de noviembre de 1993 el abogado del señor Caesar  presentó</w:t>
        <w:br/>
        <w:t xml:space="preserve">      un “aviso de solicitud de venia para apelar” ante la Court  of  Appeal</w:t>
        <w:br/>
        <w:t xml:space="preserve">      de Trinidad y  Tobago  con  los  argumentos  de  apelación  contra  la</w:t>
        <w:br/>
        <w:t xml:space="preserve">      sentencia.  El 28 de febrero de 1996 la Court of Appeal de Trinidad  y</w:t>
        <w:br/>
        <w:t xml:space="preserve">      Tobago,  aparentemente  sin  fundamentación   alguna,   desestimó   la</w:t>
        <w:br/>
        <w:t xml:space="preserve">      apelación presentada por el señor Caesar y confirmó su  condena  y  su</w:t>
        <w:br/>
        <w:t xml:space="preserve">      sentencia.</w:t>
        <w:br/>
        <w:br/>
        <w:br/>
        <w:t xml:space="preserve">      49.5  Los abogados del  señor  Caesar  solicitaron  a  un  asesor  que</w:t>
        <w:br/>
        <w:t xml:space="preserve">      emitiera una opinión acerca de si existían, en el caso de la  presunta</w:t>
        <w:br/>
        <w:t xml:space="preserve">      víctima, bases razonables para apelar ante el Privy  Council.   En  su</w:t>
        <w:br/>
        <w:t xml:space="preserve">      respuesta, dada el 2 de noviembre de 1998, el asesor  indicó  que  una</w:t>
        <w:br/>
        <w:t xml:space="preserve">      “solicitud de venia  especial  para  apelar”  ante  el  Privy  Council</w:t>
        <w:br/>
        <w:t xml:space="preserve">      difícilmente tendría éxito.  Asimismo, al evaluar si la demora de ocho</w:t>
        <w:br/>
        <w:t xml:space="preserve">      años transcurrida entre el arresto del señor Caesar y su juicio  había</w:t>
        <w:br/>
        <w:t xml:space="preserve">      sido lo suficientemente larga como para constituir una  denegación  de</w:t>
        <w:br/>
        <w:t xml:space="preserve">      justicia  y,  consecuentemente,  una   violación   de   sus   derechos</w:t>
        <w:br/>
        <w:t xml:space="preserve">      constitucionales, el asesor consideró que la  duración  de  la  demora</w:t>
        <w:br/>
        <w:t xml:space="preserve">      había sido “muy grande” y asumió que ésta era  atribuible  al  Estado;</w:t>
        <w:br/>
        <w:t xml:space="preserve">      sin embargo, calificó como mínimo el grado de riesgo de que la  demora</w:t>
        <w:br/>
        <w:t xml:space="preserve">      haya producido un error en la aplicación de justicia.  Finalmente,  el</w:t>
        <w:br/>
        <w:t xml:space="preserve">      asesor estimó que esto podría haber sido un punto por el cual el señor</w:t>
        <w:br/>
        <w:t xml:space="preserve">      Caesar hubiera podido recurrir  ante  la  High  Court  de  Trinidad  y</w:t>
        <w:br/>
        <w:t xml:space="preserve">      Tobago, pero desestimó  las  posibilidades  de  éxito  ante  el  Privy</w:t>
        <w:br/>
        <w:t xml:space="preserve">      Council.</w:t>
        <w:br/>
        <w:br/>
        <w:t>En relación con la legislación pertinente de Trinidad y Tobago</w:t>
        <w:br/>
        <w:br/>
        <w:br/>
        <w:t xml:space="preserve">      49.6  Las normas que autorizan la imposición de  penas  corporales  en</w:t>
        <w:br/>
        <w:t xml:space="preserve">      Trinidad y Tobago están contenidas en dos leyes, una de las cuales  es</w:t>
        <w:br/>
        <w:t xml:space="preserve">      la Ley de Penas Corporales (para Delincuentes  Mayores  de  18  años).</w:t>
        <w:br/>
        <w:t xml:space="preserve">      Dicha ley prevé la aplicación de penas corporales para ciertos delitos</w:t>
        <w:br/>
        <w:t xml:space="preserve">      a través de, inter alia, los siguientes  métodos:  latigazos  con  una</w:t>
        <w:br/>
        <w:t xml:space="preserve">      vara de tamarindo u objetos similares, y  flagelación  con  un  objeto</w:t>
        <w:br/>
        <w:t xml:space="preserve">      denominado “gato de nueve colas”.</w:t>
        <w:br/>
        <w:br/>
        <w:br/>
        <w:t xml:space="preserve">      49.7  Los artículos 2, 6 y 7 de la Ley de  Penas  Corporales  disponen</w:t>
        <w:br/>
        <w:t xml:space="preserve">      que:</w:t>
        <w:br/>
        <w:br/>
        <w:br/>
        <w:t xml:space="preserve">           2.    Cualquier delincuente varón, mayor de dieciséis  años,  al</w:t>
        <w:br/>
        <w:t xml:space="preserve">           ser condenado por la  High  Court  por  alguno  de  los  delitos</w:t>
        <w:br/>
        <w:t xml:space="preserve">           mencionados en la lista, puede ser objeto de  una  orden  de  la</w:t>
        <w:br/>
        <w:t xml:space="preserve">           Corte para ser flagelado, además de cualquier otro  castigo  que</w:t>
        <w:br/>
        <w:t xml:space="preserve">           deba cumplir.</w:t>
        <w:br/>
        <w:br/>
        <w:br/>
        <w:t xml:space="preserve">            […]</w:t>
        <w:br/>
        <w:br/>
        <w:br/>
        <w:t xml:space="preserve">           6.    La sentencia de flagelación será ejecutada tan pronto  sea</w:t>
        <w:br/>
        <w:t xml:space="preserve">           practicable y, en ningún caso,  después  de  transcurridos  seis</w:t>
        <w:br/>
        <w:t xml:space="preserve">           meses de haber sido dictada la sentencia.</w:t>
        <w:br/>
        <w:br/>
        <w:br/>
        <w:t xml:space="preserve">           7.    El instrumento que  deberá  utilizarse  para  ejecutar  la</w:t>
        <w:br/>
        <w:t xml:space="preserve">           sentencia de flagelación será el gato de nueve  colas  ordinario</w:t>
        <w:br/>
        <w:t xml:space="preserve">           y, para ejecutar la sentencia de latigazos, se usará una vara de</w:t>
        <w:br/>
        <w:t xml:space="preserve">           tamarindo, abedul u otro objeto, o  en  cualquiera  de  los  dos</w:t>
        <w:br/>
        <w:t xml:space="preserve">           casos,  cualquier  otro  instrumento  que  el  Presidente  puede</w:t>
        <w:br/>
        <w:t xml:space="preserve">           aprobar periódicamente.</w:t>
        <w:br/>
        <w:br/>
        <w:br/>
        <w:t xml:space="preserve">      49.8  El “gato de nueve colas” es un instrumento de nueve  cuerdas  de</w:t>
        <w:br/>
        <w:t xml:space="preserve">      algodón trenzadas, cada una de aproximadamente 30 pulgadas de largo  y</w:t>
        <w:br/>
        <w:t xml:space="preserve">      menos de un cuarto de pulgada de diámetro.  Las cuerdas están asidas a</w:t>
        <w:br/>
        <w:t xml:space="preserve">      un mango.  Las nueve cuerdas de algodón son descargadas en la  espalda</w:t>
        <w:br/>
        <w:t xml:space="preserve">      del sujeto, entre los hombros y la parte baja de la espina dorsal.</w:t>
        <w:br/>
        <w:br/>
        <w:br/>
        <w:t xml:space="preserve">      49.9  La Ley de Penas Corporales para Delincuentes Mayores de 16  Años</w:t>
        <w:br/>
        <w:t xml:space="preserve">      de 1953 fue enmendada  en  1994  y  en  2000.   La  enmienda  de  1994</w:t>
        <w:br/>
        <w:t xml:space="preserve">      estableció que el plazo límite de seis  meses  para  aplicar  la  pena</w:t>
        <w:br/>
        <w:t xml:space="preserve">      corporal  deberá  entenderse  suspendido  mientras  una  apelación  se</w:t>
        <w:br/>
        <w:t xml:space="preserve">      encuentre pendiente.  Por su parte, la enmienda de 2000 estableció que</w:t>
        <w:br/>
        <w:t xml:space="preserve">      las penas corporales podrán ser aplicadas sólo a sujetos mayores de 18</w:t>
        <w:br/>
        <w:t xml:space="preserve">      años.</w:t>
        <w:br/>
        <w:br/>
        <w:br/>
        <w:t xml:space="preserve">      49.10 Las secciones 4.a, 4.b, 5.b, 6.1 y 6.3  de  la  Constitución  de</w:t>
        <w:br/>
        <w:t xml:space="preserve">      Trinidad y Tobago establecen:</w:t>
        <w:br/>
        <w:br/>
        <w:br/>
        <w:t xml:space="preserve">           4. S[e] reconoce y declara que en Trinidad y Tobago han existido</w:t>
        <w:br/>
        <w:t xml:space="preserve">              y deberán seguir existiendo […]:</w:t>
        <w:br/>
        <w:br/>
        <w:br/>
        <w:t xml:space="preserve">              a) el derecho del individuo a la vida, a  la  libertad,  a  la</w:t>
        <w:br/>
        <w:t xml:space="preserve">                 seguridad personal y al goce de la propiedad y  el  derecho</w:t>
        <w:br/>
        <w:t xml:space="preserve">                 de no ser privado de ésta sino mediante un debido proceso;</w:t>
        <w:br/>
        <w:br/>
        <w:br/>
        <w:t xml:space="preserve">              b) el derecho del individuo a la igualdad ante la ley y  a  la</w:t>
        <w:br/>
        <w:t xml:space="preserve">                 protección de la ley; […]</w:t>
        <w:br/>
        <w:br/>
        <w:t xml:space="preserve">           5.2 […El] Parlamento no puede:</w:t>
        <w:br/>
        <w:br/>
        <w:br/>
        <w:t xml:space="preserve">                 b)    imponer o autorizar la imposición de tratos  o  penas</w:t>
        <w:br/>
        <w:t xml:space="preserve">                 crueles e inusuales […]</w:t>
        <w:br/>
        <w:br/>
        <w:br/>
        <w:t xml:space="preserve">                 c)    privar a  una  persona  que  haya  sido  arrestada  o</w:t>
        <w:br/>
        <w:t xml:space="preserve">                 detenida:</w:t>
        <w:br/>
        <w:br/>
        <w:br/>
        <w:t xml:space="preserve">                    iii) del derecho a ser llevado con  prontitud  ante  una</w:t>
        <w:br/>
        <w:t xml:space="preserve">                    autoridad judicial apropiada;</w:t>
        <w:br/>
        <w:br/>
        <w:br/>
        <w:t xml:space="preserve">                 e)    privar a una persona del derecho a  ser  oído  en  un</w:t>
        <w:br/>
        <w:t xml:space="preserve">                 juicio justo, en conformidad con los principios de justicia</w:t>
        <w:br/>
        <w:t xml:space="preserve">                 fundamental,  para  la  determinación  de  sus  derechos  y</w:t>
        <w:br/>
        <w:t xml:space="preserve">                 obligaciones; […]</w:t>
        <w:br/>
        <w:br/>
        <w:t xml:space="preserve">           6.1 Nada de las secciones 4 y 5 deberá invalidar:</w:t>
        <w:br/>
        <w:br/>
        <w:br/>
        <w:t xml:space="preserve">                 a)     una ley existente […]</w:t>
        <w:br/>
        <w:br/>
        <w:br/>
        <w:t xml:space="preserve">            6.3 En esta sección- […]</w:t>
        <w:br/>
        <w:br/>
        <w:br/>
        <w:t xml:space="preserve">           “ley existente” significa una ley vigente en el ordenamiento  de</w:t>
        <w:br/>
        <w:t xml:space="preserve">           Trinidad y Tobago  al  momento  inmediatamente  anterior  de  la</w:t>
        <w:br/>
        <w:t xml:space="preserve">           entrada en vigor de esta Constitución, e incluye cualquier ley o</w:t>
        <w:br/>
        <w:t xml:space="preserve">           reforma a la que se refiere la Sub-sección 1 […]</w:t>
        <w:br/>
        <w:br/>
        <w:t xml:space="preserve">      49.11 La Sección 6 de la Constitución de la República  de  Trinidad  y</w:t>
        <w:br/>
        <w:t xml:space="preserve">      Tobago impide a los individuos la impugnación, en los términos de  las</w:t>
        <w:br/>
        <w:t xml:space="preserve">      Secciones 4 y 5 de la misma, de cualquier ley o estatuto ejecutados de</w:t>
        <w:br/>
        <w:t xml:space="preserve">      conformidad con cualquier ley que estuviera en  vigor  en  Trinidad  y</w:t>
        <w:br/>
        <w:t xml:space="preserve">      Tobago antes de 1976, año en que dicha Constitución entró en vigor.</w:t>
        <w:br/>
        <w:br/>
        <w:br/>
        <w:t xml:space="preserve">      49.12 La Constitución  de  Trinidad  y  Tobago  no  prevé,  entre  sus</w:t>
        <w:br/>
        <w:t xml:space="preserve">      derechos y libertades fundamentales  reconocidos,  el  derecho  a  ser</w:t>
        <w:br/>
        <w:t xml:space="preserve">      juzgado dentro de un plazo razonable.</w:t>
        <w:br/>
        <w:br/>
        <w:t>En relación con las condiciones de detención y de salud del señor Caesar</w:t>
        <w:br/>
        <w:br/>
        <w:br/>
        <w:t xml:space="preserve">      49.13 El señor Caesar  ha  permanecido  en  prisión  desde  el  10  de</w:t>
        <w:br/>
        <w:t xml:space="preserve">      septiembre de 1991 (supra párr. 49.2) y ha cumplido 13 de los 20  años</w:t>
        <w:br/>
        <w:t xml:space="preserve">      a los cuales fue condenado.</w:t>
        <w:br/>
        <w:br/>
        <w:br/>
        <w:t xml:space="preserve">      49.14 El sistema penitenciario de Trinidad y Tobago está compuesto por</w:t>
        <w:br/>
        <w:t xml:space="preserve">      las Prisiones de  Port  of  Spain,  Golden  Grove,  Máxima  Seguridad,</w:t>
        <w:br/>
        <w:t xml:space="preserve">      Carrera y Tobago.</w:t>
        <w:br/>
        <w:br/>
        <w:br/>
        <w:t xml:space="preserve">      49.15 Durante el desarrollo del proceso penal seguido en su contra, el</w:t>
        <w:br/>
        <w:t xml:space="preserve">      señor Caesar ha estado encarcelado en cuatro de las cinco prisiones de</w:t>
        <w:br/>
        <w:t xml:space="preserve">      Trinidad y Tobago.  Después de su arresto en 1991, estuvo detenido por</w:t>
        <w:br/>
        <w:t xml:space="preserve">      un corto plazo en la cárcel de Port of Spain y luego fue trasladado  a</w:t>
        <w:br/>
        <w:t xml:space="preserve">      la prisión de Golden Grove en Arouca, donde permaneció, al menos,  dos</w:t>
        <w:br/>
        <w:t xml:space="preserve">      meses.  Posteriormente fue trasladado una vez más a la cárcel de  Port</w:t>
        <w:br/>
        <w:t xml:space="preserve">      of Spain donde permaneció dos meses más.  Después, el señor Caesar fue</w:t>
        <w:br/>
        <w:t xml:space="preserve">      trasladado nuevamente a la cárcel de Golden Grove en la que permaneció</w:t>
        <w:br/>
        <w:t xml:space="preserve">      hasta su juicio en febrero de 1996, fecha en que fue trasladado  a  la</w:t>
        <w:br/>
        <w:t xml:space="preserve">      cárcel de Port of Spain.  Tiempo después fue trasladado a la cárcel de</w:t>
        <w:br/>
        <w:t xml:space="preserve">      Golden Grove.  Con posterioridad a que su caso fuera rechazado por  la</w:t>
        <w:br/>
        <w:t xml:space="preserve">      Court of Appeal, el señor Caesar fue trasladado a la prisión  de  Port</w:t>
        <w:br/>
        <w:t xml:space="preserve">      of Spain, donde permaneció, por lo menos, dos meses.   Posteriormente,</w:t>
        <w:br/>
        <w:t xml:space="preserve">      lo  trasladaron  a  la  Prisión  de  Carrera  donde  permaneció  hasta</w:t>
        <w:br/>
        <w:t xml:space="preserve">      noviembre de 1999.  Finalmente, fue trasladado a la Prisión de  Máxima</w:t>
        <w:br/>
        <w:t xml:space="preserve">      Seguridad, en donde se encuentra actualmente.</w:t>
        <w:br/>
        <w:br/>
        <w:br/>
        <w:t xml:space="preserve">      49.16 En las cárceles de  Golden  Grove  y  de  Carrera,  la  presunta</w:t>
        <w:br/>
        <w:t xml:space="preserve">      víctima compartía la celda con cuatro o cinco hombres y dormía  en  el</w:t>
        <w:br/>
        <w:t xml:space="preserve">      suelo en una colchoneta muy delgada o en un pedazo de alfombra  vieja.</w:t>
        <w:br/>
        <w:t xml:space="preserve">      No había servicios sanitarios, por lo que todos en la celda utilizaban</w:t>
        <w:br/>
        <w:t xml:space="preserve">      un  “balde”  común  para  sus  necesidades  fisiológicas.   Había   un</w:t>
        <w:br/>
        <w:t xml:space="preserve">      permanente olor a desechos humanos en la celda,  la  cual  tenía  poca</w:t>
        <w:br/>
        <w:t xml:space="preserve">      ventilación y era calurosa.</w:t>
        <w:br/>
        <w:br/>
        <w:br/>
        <w:t xml:space="preserve">      49.17 En la Prisión de Máxima Seguridad al señor Caesar se le  permite</w:t>
        <w:br/>
        <w:t xml:space="preserve">      salir de su celda una hora por las mañanas y otra por las tardes.</w:t>
        <w:br/>
        <w:br/>
        <w:br/>
        <w:t xml:space="preserve">      49.18 Desde su encarcelamiento, la presunta víctima ha padecido serios</w:t>
        <w:br/>
        <w:t xml:space="preserve">      problemas de salud que no han  sido  adecuadamente  tratados  por  las</w:t>
        <w:br/>
        <w:t xml:space="preserve">      autoridades.  En la cárcel, las condiciones de salud del señor  Caesar</w:t>
        <w:br/>
        <w:t xml:space="preserve">      se han  deteriorado  con  el  tiempo.   No  ha  recibido  un  adecuado</w:t>
        <w:br/>
        <w:t xml:space="preserve">      tratamiento dental (ha perdido casi todos los dientes; sólo le  restan</w:t>
        <w:br/>
        <w:t xml:space="preserve">      seis en la mandíbula inferior).  Luego de ser  encarcelado,  el  señor</w:t>
        <w:br/>
        <w:t xml:space="preserve">      Caesar desarrolló hemorroides crónicas, de las que sigue padeciendo, y</w:t>
        <w:br/>
        <w:t xml:space="preserve">      tiene un quiste en los testículos desde 1998.</w:t>
        <w:br/>
        <w:br/>
        <w:br/>
        <w:t xml:space="preserve">      49.19 El señor Caesar no recibió tratamiento médico a tiempo  para  su</w:t>
        <w:br/>
        <w:t xml:space="preserve">      afección hemorroidal.  En 1992 un  médico  le  recomendó  someterse  a</w:t>
        <w:br/>
        <w:t xml:space="preserve">      cirugía, la cual fue postergada, por lo menos,  en  dos  ocasiones  y,</w:t>
        <w:br/>
        <w:t xml:space="preserve">      durante la demora, su condición empeoró. Finalmente,  la  cirugía  fue</w:t>
        <w:br/>
        <w:t xml:space="preserve">      llevada a cabo  en  enero  de  1997.   Actualmente,  sigue  padeciendo</w:t>
        <w:br/>
        <w:t xml:space="preserve">      hemorroides y sangra abundantemente a causa de esta condición.</w:t>
        <w:br/>
        <w:br/>
        <w:br/>
        <w:t xml:space="preserve">      49.20 El 27 de diciembre de 1997 el señor Caesar fue internado  en  el</w:t>
        <w:br/>
        <w:t xml:space="preserve">      hospital, donde permaneció por un día y recibió  como  diagnóstico  un</w:t>
        <w:br/>
        <w:t xml:space="preserve">      cólico urético en la parte izquierda, la cual  es  una  condición  que</w:t>
        <w:br/>
        <w:t xml:space="preserve">      causa dolores graves y agudos en la parte baja del abdomen.</w:t>
        <w:br/>
        <w:br/>
        <w:br/>
        <w:t xml:space="preserve">      49.21 En 1998 un doctor dijo al señor Caesar  que  el  quiste  en  sus</w:t>
        <w:br/>
        <w:t xml:space="preserve">      testículos necesitaba ser extraído.  No obstante, aún no se realiza la</w:t>
        <w:br/>
        <w:t xml:space="preserve">      cirugía.</w:t>
        <w:br/>
        <w:br/>
        <w:br/>
        <w:t xml:space="preserve">      49.22 Las condiciones de detención del señor Caesar son indicativas de</w:t>
        <w:br/>
        <w:t xml:space="preserve">      las condiciones generales de detención en  el  sistema  carcelario  de</w:t>
        <w:br/>
        <w:t xml:space="preserve">      Trinidad y Tobago.</w:t>
        <w:br/>
        <w:br/>
        <w:t>En relación con la pena corporal infligida al señor Caesar</w:t>
        <w:br/>
        <w:br/>
        <w:br/>
        <w:t xml:space="preserve">      49.23 Entre abril y junio de 1996, el señor Caesar fue trasladado a la</w:t>
        <w:br/>
        <w:t xml:space="preserve">      Prisión de Carrera.</w:t>
        <w:br/>
        <w:br/>
        <w:br/>
        <w:t xml:space="preserve">      49.24 Los reclusos que son condenados a recibir penas  corporales  son</w:t>
        <w:br/>
        <w:t xml:space="preserve">      usualmente custodiados en la Prisión de Carrera, con el  propósito  de</w:t>
        <w:br/>
        <w:t xml:space="preserve">      ejecutar  la  sentencia  respectiva.  En  dicha  prisión,  las   penas</w:t>
        <w:br/>
        <w:t xml:space="preserve">      corporales son llevadas a cabo sólo durante algunos períodos al año.</w:t>
        <w:br/>
        <w:br/>
        <w:br/>
        <w:t xml:space="preserve">      49.25 El señor Caesar  tenía  conocimiento  de  dichos  períodos  para</w:t>
        <w:br/>
        <w:t xml:space="preserve">      ejecutar las penas corporales, por lo que sus sentimientos de miedo  y</w:t>
        <w:br/>
        <w:t xml:space="preserve">      aprehensión aumentaban ante la proximidad de éstos.   Entre  noviembre</w:t>
        <w:br/>
        <w:t xml:space="preserve">      de 1996 y el día en que su flagelación fue infligida, el señor  Caesar</w:t>
        <w:br/>
        <w:t xml:space="preserve">      fue llevado en tres o cuatro ocasiones diferentes a  una  celda  junto</w:t>
        <w:br/>
        <w:t xml:space="preserve">      con otros reclusos, donde permanecieron toda la  noche.   Las  mañanas</w:t>
        <w:br/>
        <w:t xml:space="preserve">      siguientes, los demás prisioneros fueron sometidos,  uno  por  uno,  a</w:t>
        <w:br/>
        <w:t xml:space="preserve">      penas corporales.  En  dichas  ocasiones  el  señor  Caesar  presenció</w:t>
        <w:br/>
        <w:t xml:space="preserve">      cuando cada uno de ellos volvía gravemente  herido  a  la  celda;  sin</w:t>
        <w:br/>
        <w:t xml:space="preserve">      embargo, él no fue flagelado, sino que lo regresaron a  su  celda  sin</w:t>
        <w:br/>
        <w:t xml:space="preserve">      explicación alguna.</w:t>
        <w:br/>
        <w:br/>
        <w:br/>
        <w:t xml:space="preserve">      49.26 El 5 de febrero de 1998 el señor Caesar fue sometido a 15 azotes</w:t>
        <w:br/>
        <w:t xml:space="preserve">      con el “gato de nueve colas”, en cumplimiento de su sentencia.</w:t>
        <w:br/>
        <w:br/>
        <w:br/>
        <w:t xml:space="preserve">      49.27 Al ser sometido al castigo corporal  de  flagelación,  el  señor</w:t>
        <w:br/>
        <w:t xml:space="preserve">      Caesar fue obligado  a  permanecer  “desnudo  en  posición  de  águila</w:t>
        <w:br/>
        <w:t xml:space="preserve">      extendida” y fue atado a un artefacto de metal, conocido en la prisión</w:t>
        <w:br/>
        <w:t xml:space="preserve">      como “Merry Sandy”.  Sus manos y sus pies fueron atados fuertemente  a</w:t>
        <w:br/>
        <w:t xml:space="preserve">      la estructura de metal y su cabeza fue cubierta con una  sábana.   Una</w:t>
        <w:br/>
        <w:t xml:space="preserve">      vez atado a la estructura  de  metal  con  su  espalda  descubierta  y</w:t>
        <w:br/>
        <w:t xml:space="preserve">      desnudo, el señor Caesar fue flagelado con el “gato de nueve colas”.</w:t>
        <w:br/>
        <w:br/>
        <w:br/>
        <w:t xml:space="preserve">      49.28 La pena corporal fue infligida pese a  las  condiciones  físicas</w:t>
        <w:br/>
        <w:t xml:space="preserve">      del señor Caesar (supra párr.  49.18).   Había,  por  lo  menos,  seis</w:t>
        <w:br/>
        <w:t xml:space="preserve">      personas presentes en el cuarto donde se  ejecutó  la  pena  corporal,</w:t>
        <w:br/>
        <w:t xml:space="preserve">      entre quienes se encontraban el supervisor de prisiones y el médico de</w:t>
        <w:br/>
        <w:t xml:space="preserve">      la prisión.  Antes de la flagelación, el  médico  examinó  la  presión</w:t>
        <w:br/>
        <w:t xml:space="preserve">      sanguínea y otros signos vitales del señor Caesar, y dio su aprobación</w:t>
        <w:br/>
        <w:t xml:space="preserve">      para que ésta fuera ejecutada. Mientras lo azotaban, el  señor  Caesar</w:t>
        <w:br/>
        <w:t xml:space="preserve">      gritaba de dolor y,  finalmente,  se  desmayó.   Cuando  despertó,  el</w:t>
        <w:br/>
        <w:t xml:space="preserve">      supervisor ordenó que lo llevaran a la enfermería.</w:t>
        <w:br/>
        <w:br/>
        <w:br/>
        <w:t xml:space="preserve">      49.29 No existen registros médicos acerca de la ejecución de  la  pena</w:t>
        <w:br/>
        <w:t xml:space="preserve">      corporal aplicada al señor Caesar.</w:t>
        <w:br/>
        <w:br/>
        <w:br/>
        <w:t>Respecto de las consecuencias físicas y psicológicas  de  la  pena  corporal</w:t>
        <w:br/>
        <w:t>aplicada al señor Caesar</w:t>
        <w:br/>
        <w:br/>
        <w:br/>
        <w:br/>
        <w:t xml:space="preserve">      49.30 El señor Caesar permaneció dos meses en la enfermería después de</w:t>
        <w:br/>
        <w:t xml:space="preserve">      la ejecución de la pena  corporal  y  no  recibió  ningún  tratamiento</w:t>
        <w:br/>
        <w:t xml:space="preserve">      médico por la flagelación,  salvo  por  los  analgésicos  orales.   La</w:t>
        <w:br/>
        <w:t xml:space="preserve">      presunta víctima aún padece dolor en sus hombros.</w:t>
        <w:br/>
        <w:br/>
        <w:br/>
        <w:t xml:space="preserve">      49.31 Como consecuencia de  la  pena  corporal,  el  señor  Caesar  ha</w:t>
        <w:br/>
        <w:t xml:space="preserve">      padecido síntomas de depresión  y  ansiedad  aguda  de  tal  gravedad,</w:t>
        <w:br/>
        <w:t xml:space="preserve">      suficientes para diagnosticarle, al menos, un trastorno de adaptación.</w:t>
        <w:br/>
        <w:br/>
        <w:br/>
        <w:br/>
        <w:br/>
        <w:t xml:space="preserve">      49.32 El señor Caesar pudo haber padecido un desorden de estrés  post-</w:t>
        <w:br/>
        <w:t xml:space="preserve">      traumático en el primer o segundo año posteriores a la  imposición  de</w:t>
        <w:br/>
        <w:t xml:space="preserve">      la pena corporal. Actualmente, aun cuando sigue padeciendo síntomas de</w:t>
        <w:br/>
        <w:t xml:space="preserve">      dicho transtorno, tales como  estado  de  ánimo  depresivo,  recuerdos</w:t>
        <w:br/>
        <w:t xml:space="preserve">      repentinos del castigo y una  sensación  de  que  algo  le  golpea  la</w:t>
        <w:br/>
        <w:t xml:space="preserve">      espalda, lo que le hace mover  involuntariamente  los  hombros,  estos</w:t>
        <w:br/>
        <w:t xml:space="preserve">      síntomas no permiten diagnosticar que actualmente sufra un desorden de</w:t>
        <w:br/>
        <w:t xml:space="preserve">      estrés post-traumático.</w:t>
        <w:br/>
        <w:br/>
        <w:br/>
        <w:br/>
        <w:t>En relación con los daños causados al señor Caesar</w:t>
        <w:br/>
        <w:br/>
        <w:br/>
        <w:br/>
        <w:t xml:space="preserve">      49.33 Los hechos del presente caso han alterado la condición física  y</w:t>
        <w:br/>
        <w:t xml:space="preserve">      psicológica del señor Caesar, lo cual le ha causado daños.</w:t>
        <w:br/>
        <w:br/>
        <w:br/>
        <w:br/>
        <w:t xml:space="preserve">                                    VIII</w:t>
        <w:br/>
        <w:br/>
        <w:br/>
        <w:t xml:space="preserve">                artículo 5.1 y 5.2 de la Convención Americana</w:t>
        <w:br/>
        <w:br/>
        <w:t xml:space="preserve">              en relación con los artículos 1.1 y 2 de la misma</w:t>
        <w:br/>
        <w:t xml:space="preserve">                     (Derecho a la integridad personal)</w:t>
        <w:br/>
        <w:br/>
        <w:br/>
        <w:br/>
        <w:br/>
        <w:t>Alegatos de la Comisión</w:t>
        <w:br/>
        <w:br/>
        <w:br/>
        <w:t>50.   En relación con el artículo 5 de la Convención Americana  la  Comisión</w:t>
        <w:br/>
        <w:t>Interamericana señaló que:</w:t>
        <w:br/>
        <w:br/>
        <w:t xml:space="preserve">   a) el concepto de “trato inhumano” incluye el de “trato degradante”;</w:t>
        <w:br/>
        <w:t xml:space="preserve">   b) la tortura es una forma agravada de trato inhumano perpetrada  con  el</w:t>
        <w:br/>
        <w:t xml:space="preserve">      propósito de obtener información, confesiones o infligir  un  castigo.</w:t>
        <w:br/>
        <w:t xml:space="preserve">      El criterio esencial para distinguir la  tortura  de  otros  tratos  o</w:t>
        <w:br/>
        <w:t xml:space="preserve">      penas  crueles, inhumanos o degradantes deriva de  la  intensidad  del</w:t>
        <w:br/>
        <w:t xml:space="preserve">      sufrimiento infligido;</w:t>
        <w:br/>
        <w:t xml:space="preserve">   c) varios instrumentos de  derechos  humanos  y  de  derecho  humanitario</w:t>
        <w:br/>
        <w:t xml:space="preserve">      prohíben  expresamente  el   castigo   corporal.   Además,   numerosos</w:t>
        <w:br/>
        <w:t xml:space="preserve">      tribunales y autoridades internacionales y nacionales  tales  como  el</w:t>
        <w:br/>
        <w:t xml:space="preserve">      Relator Especial de la ONU sobre la Tortura,  el  Comité  de  Derechos</w:t>
        <w:br/>
        <w:t xml:space="preserve">      Humanos de la ONU, la Corte Europea de Derechos Humanos y la  Comisión</w:t>
        <w:br/>
        <w:t xml:space="preserve">      Europea para la Prevención de la Tortura y Tratos o Penas  Inhumanos o</w:t>
        <w:br/>
        <w:t xml:space="preserve">      Degradantes, han considerado que el castigo corporal  es  incompatible</w:t>
        <w:br/>
        <w:t xml:space="preserve">      con las garantías internacionales y nacionales  contra  la  tortura  y</w:t>
        <w:br/>
        <w:t xml:space="preserve">      otros tratos inhumanos;</w:t>
        <w:br/>
        <w:t xml:space="preserve">   d) el “gato de nueve colas” pretende y logra el efecto  de  causar  grave</w:t>
        <w:br/>
        <w:t xml:space="preserve">      sufrimiento físico, mental y psicológico, así como daños físicos en el</w:t>
        <w:br/>
        <w:t xml:space="preserve">      cuerpo de la víctima;</w:t>
        <w:br/>
        <w:t xml:space="preserve">   e) el período de espera para la aplicación  de  la  pena  corporal  puede</w:t>
        <w:br/>
        <w:t xml:space="preserve">      causar grave  angustia,  estrés  y  sufrimiento  mental,  incluida  la</w:t>
        <w:br/>
        <w:t xml:space="preserve">      pérdida de control de los intestinos y la vejiga;</w:t>
        <w:br/>
        <w:br/>
        <w:br/>
        <w:t xml:space="preserve">   Respecto de la pena corporal impuesta al señor Caesar</w:t>
        <w:br/>
        <w:br/>
        <w:br/>
        <w:br/>
        <w:t xml:space="preserve">   f) al imponer al señor Caesar una sentencia de 15 azotes con el “gato  de</w:t>
        <w:br/>
        <w:t xml:space="preserve">      nueve colas”,  el  Estado  violó  su  derecho  a  que  se  respete  su</w:t>
        <w:br/>
        <w:t xml:space="preserve">      integridad física, mental y moral, conforme  el  artículo  5.1  de  la</w:t>
        <w:br/>
        <w:t xml:space="preserve">      Convención, y su derecho a no ser sometido a tortura o a otros  tratos</w:t>
        <w:br/>
        <w:t xml:space="preserve">      o penas crueles, inhumanos o degradantes, conforme el artículo 5.2  de</w:t>
        <w:br/>
        <w:t xml:space="preserve">      la misma;</w:t>
        <w:br/>
        <w:t xml:space="preserve">   g) el período que el señor Caesar estuvo esperando la pena le  causó  una</w:t>
        <w:br/>
        <w:t xml:space="preserve">      gran angustia, estrés y temor, pues fue  expuesto  al  sufrimiento  de</w:t>
        <w:br/>
        <w:t xml:space="preserve">      otros reclusos sometidos al castigo corporal en cuatro ocasiones,  sin</w:t>
        <w:br/>
        <w:t xml:space="preserve">      saber si también le aplicarían el castigo;</w:t>
        <w:br/>
        <w:t xml:space="preserve">   h) el Estado violó de forma flagrante su propia legislación  al  ejecutar</w:t>
        <w:br/>
        <w:t xml:space="preserve">      la pena corporal del señor Caesar 23 meses –y no 6 meses–, después  de</w:t>
        <w:br/>
        <w:t xml:space="preserve">      emitida la sentencia, tal como lo prevé la ley;</w:t>
        <w:br/>
        <w:t xml:space="preserve">   i) el sufrimiento causado  al  señor  Caesar  por  la  pena  impuesta  se</w:t>
        <w:br/>
        <w:t xml:space="preserve">      incrementó por su edad (49 años); por su condición física  vulnerable;</w:t>
        <w:br/>
        <w:t xml:space="preserve">      por su trato anterior y posterior a la aplicación de la pena corporal;</w:t>
        <w:br/>
        <w:t xml:space="preserve">      y por la manera en que ésta fue ejecutada;</w:t>
        <w:br/>
        <w:t xml:space="preserve">   j) las normas internacionales que rigen la conducta del personal de salud</w:t>
        <w:br/>
        <w:t xml:space="preserve">      de las prisiones (tal como los principios 2 y 4(b) de  los  Principios</w:t>
        <w:br/>
        <w:t xml:space="preserve">      de las Naciones Unidas de Ética Médica),  establecen  la  función  del</w:t>
        <w:br/>
        <w:t xml:space="preserve">      personal de salud, especialmente  los  médicos  en  la  protección  de</w:t>
        <w:br/>
        <w:t xml:space="preserve">      personas presas y detenidas contra la tortura y otros tratos  o  penas</w:t>
        <w:br/>
        <w:t xml:space="preserve">      crueles, inhumanas y degradantes.  En este  caso  el  médico  presente</w:t>
        <w:br/>
        <w:t xml:space="preserve">      durante la imposición de la pena corporal autorizó la ejecución de  la</w:t>
        <w:br/>
        <w:t xml:space="preserve">      misma pese a conocer el  estado  médico  precario  del  señor  Caesar,</w:t>
        <w:br/>
        <w:t xml:space="preserve">      debido a la operación  quirúrgica  realizada  algunas  semanas  antes.</w:t>
        <w:br/>
        <w:t xml:space="preserve">      Estas  circunstancias   plantean   graves   interrogantes   sobre   el</w:t>
        <w:br/>
        <w:t xml:space="preserve">      cumplimiento de las normas internacionales que rigen la  conducta  del</w:t>
        <w:br/>
        <w:t xml:space="preserve">      personal de salud de la prisión;</w:t>
        <w:br/>
        <w:t xml:space="preserve">   k) el hecho de que el trato dado al  señor  Caesar  fuera  impuesto  como</w:t>
        <w:br/>
        <w:t xml:space="preserve">      forma de  sanción  penal,  no  afecta  la  obligación  del  Estado  de</w:t>
        <w:br/>
        <w:t xml:space="preserve">      abstenerse  de  llevar  a  cabo  un  comportamiento  contrario  a  los</w:t>
        <w:br/>
        <w:t xml:space="preserve">      parámetros  del  artículo  5.1  y  5.2   de  la  Convención,  pues  la</w:t>
        <w:br/>
        <w:t xml:space="preserve">      prohibición de la tortura y de otros tratos y penas crueles, inhumanos</w:t>
        <w:br/>
        <w:t xml:space="preserve">      o degradantes es absoluta;</w:t>
        <w:br/>
        <w:t xml:space="preserve">   l) el Estado no respetó la obligación general que le impone el artículo 2</w:t>
        <w:br/>
        <w:t xml:space="preserve">      de  la  Convención  de  dar  efecto  legal  interno  a  los   derechos</w:t>
        <w:br/>
        <w:t xml:space="preserve">      consagrados en el artículo 5 de la misma,  al  mantener  una  ley  que</w:t>
        <w:br/>
        <w:t xml:space="preserve">      permite infligir penas  corporales  mediante  el  azotamiento  con  el</w:t>
        <w:br/>
        <w:t xml:space="preserve">      “gato de nueve colas”;</w:t>
        <w:br/>
        <w:t xml:space="preserve">   m) el castigo mediante azotes del  “gato  de  nueve  colas”  es,  por  su</w:t>
        <w:br/>
        <w:t xml:space="preserve">      naturaleza, intención y efectos, incongruente con  las  normas  de  un</w:t>
        <w:br/>
        <w:t xml:space="preserve">      trato humano previstas en el artículo 5.1 y 5.2 de  la  Convención  y,</w:t>
        <w:br/>
        <w:t xml:space="preserve">      por tanto, el Estado está obligado por el artículo 2  de  la  misma  a</w:t>
        <w:br/>
        <w:t xml:space="preserve">      derogar dicha ley;</w:t>
        <w:br/>
        <w:br/>
        <w:br/>
        <w:br/>
        <w:t xml:space="preserve">   Respecto de las condiciones de detención del señor Caesar</w:t>
        <w:br/>
        <w:br/>
        <w:br/>
        <w:br/>
        <w:t xml:space="preserve">   n) el Estado es responsable de otras violaciones del derecho a  un  trato</w:t>
        <w:br/>
        <w:t xml:space="preserve">      humano, establecido en el artículo 5.1 y 5.2  de la Convención, debido</w:t>
        <w:br/>
        <w:t xml:space="preserve">      a las condiciones  de detención del señor Caesar;</w:t>
        <w:br/>
        <w:t xml:space="preserve">   o) el Estado incumplió con las normas internas  e  internacionales  sobre</w:t>
        <w:br/>
        <w:t xml:space="preserve">      condiciones de detención en el presente caso: entre enero  de  1991  y</w:t>
        <w:br/>
        <w:t xml:space="preserve">      noviembre de 1999, el señor  Caesar  fue  sometido  a  condiciones  de</w:t>
        <w:br/>
        <w:t xml:space="preserve">      hacinamiento, higiene deficiente, falta de luz y ventilación, así como</w:t>
        <w:br/>
        <w:t xml:space="preserve">      tratamiento médico inadecuado, todo lo cual violó su derecho a que  se</w:t>
        <w:br/>
        <w:t xml:space="preserve">      respete su integridad física, mental y moral, por lo  que  constituyen</w:t>
        <w:br/>
        <w:t xml:space="preserve">      un trato o pena cruel, inhumano o degradante;</w:t>
        <w:br/>
        <w:t xml:space="preserve">   p) el señor Caesar sufrió graves  problemas  de  salud  que  incluyen  la</w:t>
        <w:br/>
        <w:t xml:space="preserve">      aparición de tuberculosis y de  hemorroides  crónicas,  dolencia  esta</w:t>
        <w:br/>
        <w:t xml:space="preserve">      última de la que sigue padeciendo.  Aunque el  señor  Caesar  ha  sido</w:t>
        <w:br/>
        <w:t xml:space="preserve">      examinado por un médico en varias ocasiones, el  tratamiento  ha  sido</w:t>
        <w:br/>
        <w:t xml:space="preserve">      insuficiente e inoportuno, y su condición médica se ha deteriorado con</w:t>
        <w:br/>
        <w:t xml:space="preserve">      el transcurso del tiempo; y</w:t>
        <w:br/>
        <w:t xml:space="preserve">   q) el impacto de estas condiciones se ha exacerbado por los problemas  de</w:t>
        <w:br/>
        <w:t xml:space="preserve">      salud del señor Caesar y por  los  prolongados  períodos  durante  los</w:t>
        <w:br/>
        <w:t xml:space="preserve">      cuales ha estado recluido.</w:t>
        <w:br/>
        <w:br/>
        <w:br/>
        <w:t>Alegatos de los representantes</w:t>
        <w:br/>
        <w:br/>
        <w:br/>
        <w:t>51.   En  relación  con  el  artículo  5  de  la  Convención  Americana  los</w:t>
        <w:br/>
        <w:t>representantes señalaron que:</w:t>
        <w:br/>
        <w:br/>
        <w:br/>
        <w:t xml:space="preserve">   a) cualquier sentencia de flagelación o latigazos es  cruel,  inhumana  y</w:t>
        <w:br/>
        <w:t xml:space="preserve">      degradante. Además, el “principio de humanidad” implica la prohibición</w:t>
        <w:br/>
        <w:t xml:space="preserve">      de cualquier castigo corporal;</w:t>
        <w:br/>
        <w:t xml:space="preserve">   b) el término “tortura” se refiere a los malos tratos agravados impuestos</w:t>
        <w:br/>
        <w:t xml:space="preserve">      a las personas.  La tortura puede dejar efectos a largo plazo, sea por</w:t>
        <w:br/>
        <w:t xml:space="preserve">      medio de estrés post-traumático o lesión seria, pero no es  un  efecto</w:t>
        <w:br/>
        <w:t xml:space="preserve">      necesario en todos los casos.  La tortura usualmente se asocia con una</w:t>
        <w:br/>
        <w:t xml:space="preserve">      actividad que somete a la víctima a crueldad constante e impredecible,</w:t>
        <w:br/>
        <w:t xml:space="preserve">      sobre la cual no hay una restricción legal.   Sin  embargo,  una  pena</w:t>
        <w:br/>
        <w:t xml:space="preserve">      prescrita por la ley puede llegar a constituir tortura.  Por su parte,</w:t>
        <w:br/>
        <w:t xml:space="preserve">      las penas  crueles, inhumanas o degradantes producen problemas que  no</w:t>
        <w:br/>
        <w:t xml:space="preserve">      pueden ser remediados;</w:t>
        <w:br/>
        <w:br/>
        <w:br/>
        <w:br/>
        <w:t xml:space="preserve">   Respecto de la pena corporal impuesta al señor Caesar</w:t>
        <w:br/>
        <w:br/>
        <w:br/>
        <w:br/>
        <w:t xml:space="preserve">   c) la sentencia de castigo corporal y la manera en que ésta fue impuesta,</w:t>
        <w:br/>
        <w:t xml:space="preserve">      violan el artículo 5.1 y 5.2 de la Convención;</w:t>
        <w:br/>
        <w:t xml:space="preserve">   d) el plazo límite para ejecutar la sentencia de flagelación  establecido</w:t>
        <w:br/>
        <w:t xml:space="preserve">      en la Ley de Penas Corporales es absoluto y no puede ser extendido por</w:t>
        <w:br/>
        <w:t xml:space="preserve">      la mala salud del prisionero;</w:t>
        <w:br/>
        <w:t xml:space="preserve">   e) la ejecución de la sentencia que establece penas corporales en  sí  es</w:t>
        <w:br/>
        <w:t xml:space="preserve">      cruel, inhumana y degradante, aún sin  los  agravantes  que  vivió  el</w:t>
        <w:br/>
        <w:t xml:space="preserve">      señor Caesar.  Además, la pena corporal del señor Caesar  se  llevó  a</w:t>
        <w:br/>
        <w:t xml:space="preserve">      cabo 23 meses después  de  emitida  su  sentencia  y,  por  tanto,  en</w:t>
        <w:br/>
        <w:t xml:space="preserve">      flagrante violación de la propia ley del Estado;</w:t>
        <w:br/>
        <w:t xml:space="preserve">   f) el señor Caesar sufrió severa angustia, estrés y miedo al ser expuesto</w:t>
        <w:br/>
        <w:t xml:space="preserve">      al sufrimiento de  otros  reclusos,  así  como  durante  los  momentos</w:t>
        <w:br/>
        <w:t xml:space="preserve">      inmediatamente precedentes a  su  azotamiento  debido  a  su  reciente</w:t>
        <w:br/>
        <w:t xml:space="preserve">      operación de hemorroides;</w:t>
        <w:br/>
        <w:t xml:space="preserve">   g) la ejecución de la pena corporal frente a extraños humilló severamente</w:t>
        <w:br/>
        <w:t xml:space="preserve">      al señor Caesar;</w:t>
        <w:br/>
        <w:t xml:space="preserve">   h) el doctor que  estuvo  presente  durante  la  aplicación  de  la  pena</w:t>
        <w:br/>
        <w:t xml:space="preserve">      corporal rompió tanto el código ético de  medicina  como  sus  propios</w:t>
        <w:br/>
        <w:t xml:space="preserve">      principios, al permitir que se  infligiera  la  pena  sobre  el  señor</w:t>
        <w:br/>
        <w:t xml:space="preserve">      Caesar, ya que dicho médico era plenamente consciente de su estado  de</w:t>
        <w:br/>
        <w:t xml:space="preserve">      salud;</w:t>
        <w:br/>
        <w:t xml:space="preserve">   i) el Estado  violó  el  artículo  2  de  la  Convención  al  no  adoptar</w:t>
        <w:br/>
        <w:t xml:space="preserve">      disposiciones de derecho interno para  hacer  efectivos  los  derechos</w:t>
        <w:br/>
        <w:t xml:space="preserve">      consagrados en el artículo  5  de  la  Convención,  en  virtud  de  la</w:t>
        <w:br/>
        <w:t xml:space="preserve">      sentencia de pena corporal del señor Caesar y de la manera en que  fue</w:t>
        <w:br/>
        <w:t xml:space="preserve">      ejecutada;</w:t>
        <w:br/>
        <w:br/>
        <w:br/>
        <w:br/>
        <w:t xml:space="preserve">   Respecto de las condiciones de detención del señor Caesar</w:t>
        <w:br/>
        <w:br/>
        <w:br/>
        <w:br/>
        <w:t xml:space="preserve">   j) las condiciones carcelarias a las que ha sido sometido el señor Caesar</w:t>
        <w:br/>
        <w:t xml:space="preserve">      violan el artículo 5.1 y 5.2  de  la  Convención  y,  además,  no  han</w:t>
        <w:br/>
        <w:t xml:space="preserve">      reunido los estándares requeridos por las Reglas Mínimas  de  Naciones</w:t>
        <w:br/>
        <w:t xml:space="preserve">      Unidas al respecto; y</w:t>
        <w:br/>
        <w:t xml:space="preserve">   k) el señor Caesar no fue operado hasta cinco o seis años después  de  la</w:t>
        <w:br/>
        <w:t xml:space="preserve">      recomendación médica, en violación a las Reglas  Mínimas  de  Naciones</w:t>
        <w:br/>
        <w:t xml:space="preserve">      Unidas al respecto, lo cual empeoró su  condición.   La  fecha  de  la</w:t>
        <w:br/>
        <w:t xml:space="preserve">      operación de hemorroides sugerida  por  el  señor  Caesar  podría  ser</w:t>
        <w:br/>
        <w:t xml:space="preserve">      incorrecta y podría haberse llevado a cabo a principios de 1997.</w:t>
        <w:br/>
        <w:br/>
        <w:t>Consideraciones de la Corte</w:t>
        <w:br/>
        <w:br/>
        <w:t>52.   El artículo 5.1 y 5.2 de la Convención establece:</w:t>
        <w:br/>
        <w:t xml:space="preserve">      1. Toda persona tiene derecho a que se respete su  integridad  física,</w:t>
        <w:br/>
        <w:t xml:space="preserve">      psíquica y moral.</w:t>
        <w:br/>
        <w:t xml:space="preserve">      2. Nadie debe ser sometido a torturas ni a  penas  o  tratos  crueles,</w:t>
        <w:br/>
        <w:t xml:space="preserve">      inhumanos o  degradantes.   Toda  persona  privada  de  libertad  será</w:t>
        <w:br/>
        <w:t xml:space="preserve">      tratada con el respeto debido a la dignidad inherente al ser humano.</w:t>
        <w:br/>
        <w:t>53.   El artículo 1.1 de la Convención Americana establece:</w:t>
        <w:br/>
        <w:br/>
        <w:t xml:space="preserve">      1. Los Estados Partes en esta Convención se comprometen a respetar los</w:t>
        <w:br/>
        <w:t xml:space="preserve">         derechos y libertades reconocidos en ella y a garantizar su libre y</w:t>
        <w:br/>
        <w:t xml:space="preserve">         pleno ejercicio a toda persona que esté sujeta a  su  jurisdicción,</w:t>
        <w:br/>
        <w:t xml:space="preserve">         sin discriminación alguna por motivos de raza, color, sexo, idioma,</w:t>
        <w:br/>
        <w:t xml:space="preserve">         religión, opiniones políticas o de cualquier  otra  índole,  origen</w:t>
        <w:br/>
        <w:t xml:space="preserve">         nacional o social, posición económica, nacimiento o cualquier  otra</w:t>
        <w:br/>
        <w:t xml:space="preserve">         condición social.</w:t>
        <w:br/>
        <w:br/>
        <w:br/>
        <w:t xml:space="preserve">         […]</w:t>
        <w:br/>
        <w:br/>
        <w:br/>
        <w:t>54.   El artículo 2 de la Convención Americana establece:</w:t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 Convención, las medidas legislativas  o  de  otro  carácter  que</w:t>
        <w:br/>
        <w:t xml:space="preserve">      fueren necesarias para hacer efectivos tales derechos y libertades.</w:t>
        <w:br/>
        <w:br/>
        <w:t>55.   La Corte abordará en este apartado los siguientes puntos  relacionados</w:t>
        <w:br/>
        <w:t>con las supuestas violaciones del  artículo  5.1  y  5.2  de  la  Convención</w:t>
        <w:br/>
        <w:t>Americana, en relación con los artículos 1.1 y 2 de la misma:</w:t>
        <w:br/>
        <w:br/>
        <w:t xml:space="preserve">     a) la legitimidad de la imposición  estatal  de  penas  corporales  de</w:t>
        <w:br/>
        <w:t xml:space="preserve">        flagelación a la luz de dichas normas y la manera en  que  la  pena</w:t>
        <w:br/>
        <w:t xml:space="preserve">        corporal fue infligida al señor Caesar;</w:t>
        <w:br/>
        <w:t xml:space="preserve">     b) el supuesto incumplimiento por parte del Estado  de  su  obligación</w:t>
        <w:br/>
        <w:t xml:space="preserve">        general establecida en el artículo 2 de la Convención,  de  adoptar</w:t>
        <w:br/>
        <w:t xml:space="preserve">        disposiciones de derecho interno para hacer efectivos los  derechos</w:t>
        <w:br/>
        <w:t xml:space="preserve">        consagrados en el artículo 5 de la misma; y</w:t>
        <w:br/>
        <w:t xml:space="preserve">     c) la responsabilidad del Estado por las condiciones  de  detención  a</w:t>
        <w:br/>
        <w:t xml:space="preserve">        que ha sido sometido  el  señor  Caesar,  en  relación  con  dichas</w:t>
        <w:br/>
        <w:t xml:space="preserve">        normas.</w:t>
        <w:br/>
        <w:br/>
        <w:t xml:space="preserve">                                      *</w:t>
        <w:br/>
        <w:br/>
        <w:t>En relación con la legitimidad de la imposición estatal de penas  corporales</w:t>
        <w:br/>
        <w:t>de flagelación a la luz del artículo 5.1 y 5.2 de la  Convención  Americana,</w:t>
        <w:br/>
        <w:t>en relación con el artículo 1.1 de la misma, y la  manera  en  que  la  pena</w:t>
        <w:br/>
        <w:t>corporal fue infligida al señor Caesar</w:t>
        <w:br/>
        <w:br/>
        <w:t>56.   La Comisión alegó que la forma de castigo a la  que  fue  sometido  el</w:t>
        <w:br/>
        <w:t>señor Caesar es “por su naturaleza,  intención  y  efectos  [intrínsecamente</w:t>
        <w:br/>
        <w:t>contradictoria] con  los  [estándares  mínimos]  de  trato  humano,  en  los</w:t>
        <w:br/>
        <w:t>términos del artículo 5.1 y 5.2 de la Convención Americana”.</w:t>
        <w:br/>
        <w:br/>
        <w:t>57.   Antes de decidir si el Estado es  responsable  por  la  violación  del</w:t>
        <w:br/>
        <w:t>artículo 5.1 y 5.2 de la Convención Americana en el presente caso, la  Corte</w:t>
        <w:br/>
        <w:t>decidirá acerca de la compatibilidad  de  la  imposición  estatal  de  penas</w:t>
        <w:br/>
        <w:t>corporales, específicamente por medio de flagelación, con respecto a  dichas</w:t>
        <w:br/>
        <w:t>normas.  Para ello, la Corte considera pertinente examinar  el  carácter  de</w:t>
        <w:br/>
        <w:t>este castigo bajo el derecho y la práctica internacionales y nacionales.</w:t>
        <w:br/>
        <w:br/>
        <w:t>58.   Todos los instrumentos internacionales de derechos humanos de  alcance</w:t>
        <w:br/>
        <w:t>general, sean de carácter  regional  o  universal,  contienen  preceptos  de</w:t>
        <w:br/>
        <w:t>contenido similar al artículo 5  de  la  Convención  Americana[14].   Dichos</w:t>
        <w:br/>
        <w:t>preceptos generales  se  complementan  con  la  prohibición  expresa  de  la</w:t>
        <w:br/>
        <w:t>tortura y otros tratos o penas crueles, inhumanos  o  degradantes  previstos</w:t>
        <w:br/>
        <w:t>en  los  instrumentos  internacionales  específicos  y,  para  efectos   del</w:t>
        <w:br/>
        <w:t>presente caso, la prohibición de la imposición de penas corporales[15].</w:t>
        <w:br/>
        <w:br/>
        <w:t>59.   La Corte Interamericana ha sostenido que:</w:t>
        <w:br/>
        <w:br/>
        <w:t xml:space="preserve">      […] la tortura y las penas o tratos crueles, inhumanos  o  degradantes</w:t>
        <w:br/>
        <w:t xml:space="preserve">      están estrictamente prohibidos por el  Derecho  Internacional  de  los</w:t>
        <w:br/>
        <w:t xml:space="preserve">      Derechos Humanos.  La prohibición de la tortura y las penas  o  tratos</w:t>
        <w:br/>
        <w:t xml:space="preserve">      crueles, inhumanos o degradantes es absoluta e inderogable, aun en las</w:t>
        <w:br/>
        <w:t xml:space="preserve">      circunstancias más difíciles, tales como guerra,  amenaza  de  guerra,</w:t>
        <w:br/>
        <w:t xml:space="preserve">      lucha contra el terrorismo y cualesquiera  otros  delitos,  estado  de</w:t>
        <w:br/>
        <w:t xml:space="preserve">      sitio o de emergencia, conmoción o conflicto interior,  suspensión  de</w:t>
        <w:br/>
        <w:t xml:space="preserve">      garantías constitucionales, inestabilidad  política  interna  u  otras</w:t>
        <w:br/>
        <w:t xml:space="preserve">      emergencias o calamidades públicas[16].</w:t>
        <w:br/>
        <w:br/>
        <w:t>60.   Asimismo, la jurisprudencia internacional y las resoluciones de  otras</w:t>
        <w:br/>
        <w:t>autoridades, descritas  a  continuación,  han  considerado  que  el  castigo</w:t>
        <w:br/>
        <w:t>corporal  es  incompatible  con  las  garantías  internacionales  contra  la</w:t>
        <w:br/>
        <w:t>tortura y otros tratos crueles, inhumanos y degradantes.</w:t>
        <w:br/>
        <w:br/>
        <w:t>61.   El Relator Especial  de  las  Naciones  Unidas  sobre  la  Tortura  ha</w:t>
        <w:br/>
        <w:t>declarado que el artículo 31 de las Reglas Mínimas para  el  Tratamiento  de</w:t>
        <w:br/>
        <w:t>los Reclusos refleja la prohibición internacional  de  los  tratos  crueles,</w:t>
        <w:br/>
        <w:t>inhumanos o  degradantes,  y  ha  establecido,  más  ampliamente,  que  “los</w:t>
        <w:br/>
        <w:t>castigos corporales son incompatibles con la prohibición de  la  tortura,  y</w:t>
        <w:br/>
        <w:t>otros tratos o penas  crueles,  inhumanos  o  degradantes  contenida,  inter</w:t>
        <w:br/>
        <w:t>alia,  en  la  Declaración  Universal  de  Derechos  Humanos,  en  el  Pacto</w:t>
        <w:br/>
        <w:t>Internacional de Derechos Civiles  y  Políticos,  la  Declaración  sobre  la</w:t>
        <w:br/>
        <w:t>Protección de Todas las Personas contra la Tortura y Otros  Tratos  o  Penas</w:t>
        <w:br/>
        <w:t>Crueles, Inhumanos o Degradantes, y en la Convención  contra  la  Tortura  y</w:t>
        <w:br/>
        <w:t>otros Tratos o Penas Crueles, Inhumanos o Degradantes”[17].</w:t>
        <w:br/>
        <w:br/>
        <w:t>62.   En el mismo sentido, el Comité de Derechos  Humanos  de  las  Naciones</w:t>
        <w:br/>
        <w:t>Unidas ha concluido que la prohibición de la tortura y otros tratos o  penas</w:t>
        <w:br/>
        <w:t>crueles, inhumanos o degradantes, contenida  en  el  artículo  7  del  Pacto</w:t>
        <w:br/>
        <w:t>Internacional de Derechos Civiles y Políticos  debe  extenderse  al  castigo</w:t>
        <w:br/>
        <w:t>corporal, “incluidos los castigos excesivos impuestos por la comisión de  un</w:t>
        <w:br/>
        <w:t>delito o  como  medida  educativa  o  disciplinaria”[18].   Respecto  de  la</w:t>
        <w:br/>
        <w:t>aplicación de penas corporales en Trinidad y Tobago,  el  Comité  manifestó,</w:t>
        <w:br/>
        <w:t>en sus Observaciones Conclusivas  sobre  un  informe  presentado  por  dicho</w:t>
        <w:br/>
        <w:t>Estado en los términos del artículo 40 de dicho Pacto,  su  preocupación  al</w:t>
        <w:br/>
        <w:t>“observar que, aparte de la prohibición del castigo corporal a  los  menores</w:t>
        <w:br/>
        <w:t>de 18 años, el Estado Parte sigue aplicando los castigos  de  flagelación  y</w:t>
        <w:br/>
        <w:t>azotes, que son penas crueles e inhumanas prohibidas al tenor  del  artículo</w:t>
        <w:br/>
        <w:t>7 [del Pacto]”.  Al respecto, el Comité recomendó al Estado  que  todas  las</w:t>
        <w:br/>
        <w:t>sentencias de flagelación o azotamiento fueran inmediatamente  abolidas[19].</w:t>
        <w:br/>
        <w:br/>
        <w:br/>
        <w:t>63.   El Comité de Derechos Humanos ha llegado a conclusiones  similares  en</w:t>
        <w:br/>
        <w:t>sus decisiones sobre casos individuales.  Por ejemplo, en  el  caso  Sooklal</w:t>
        <w:br/>
        <w:t>vs. Trinidad y Tobago, el Comité estableció que la  imposición  del  castigo</w:t>
        <w:br/>
        <w:t>corporal de  azotamiento  previsto  por  la  ley  del  Estado  como  sanción</w:t>
        <w:br/>
        <w:t>constituye un trato o castigo cruel,  inhumano  o  degradante  contrario  al</w:t>
        <w:br/>
        <w:t>artículo 7 del Pacto.   En  el  mismo  sentido,  en  el  caso  Osbourne  vs.</w:t>
        <w:br/>
        <w:t>Jamaica, el Comité estableció que al imponer una  sentencia  de  azotamiento</w:t>
        <w:br/>
        <w:t>con  una  vara  de  tamarindo,  el  Estado  Parte   había   incumplido   sus</w:t>
        <w:br/>
        <w:t>obligaciones  respecto  de  dicho  artículo[20].   Al  respecto,  el  Comité</w:t>
        <w:br/>
        <w:t>estableció que:</w:t>
        <w:br/>
        <w:br/>
        <w:t xml:space="preserve">      [c]ualesquiera que sean la índole, del delito que se haya de  castigar</w:t>
        <w:br/>
        <w:t xml:space="preserve">      y su grado de brutalidad, el Comité está absolutamente  convencido  de</w:t>
        <w:br/>
        <w:t xml:space="preserve">      que  el  castigo  corporal  constituye  un  trato  cruel,  inhumano  y</w:t>
        <w:br/>
        <w:t xml:space="preserve">      degradante que contraviene el artículo 7 del Pacto.</w:t>
        <w:br/>
        <w:br/>
        <w:t>64.   En el caso Tyrer  vs.  Reino  Unido,  la  Corte  Europea  de  Derechos</w:t>
        <w:br/>
        <w:t>Humanos se refirió a la incompatibilidad de  las  penas  corporales  con  el</w:t>
        <w:br/>
        <w:t>derecho a un trato humano, establecido en el artículo  3  de  la  Convención</w:t>
        <w:br/>
        <w:t>Europea  de  Protección  de  los  Derechos  Humanos  y  de  las   Libertades</w:t>
        <w:br/>
        <w:t>Fundamentales. En dicho caso, un menor fue sometido  a  tres  latigazos  con</w:t>
        <w:br/>
        <w:t>una vara de abedul, en aplicación de la legislación interna de  la  Isla  de</w:t>
        <w:br/>
        <w:t>Man (Reino Unido), por lo cual la Corte Europea concluyó que  el  trato  era</w:t>
        <w:br/>
        <w:t>degradante y, como tal, violatorio del artículo 3 de la Convención  Europea.</w:t>
        <w:br/>
        <w:t xml:space="preserve"> Al respecto, dicho Tribunal internacional especificó que:</w:t>
        <w:br/>
        <w:br/>
        <w:t xml:space="preserve">       […] la naturaleza misma de la pena corporal implica que un ser humano</w:t>
        <w:br/>
        <w:t xml:space="preserve">      inflija violencia física sobre otro ser humano.  Además, se  trata  de</w:t>
        <w:br/>
        <w:t xml:space="preserve">      violencia institucionalizada, que, en este caso, está permitida por la</w:t>
        <w:br/>
        <w:t xml:space="preserve">      ley, ordenada por las autoridades judiciales del Estado  y  llevada  a</w:t>
        <w:br/>
        <w:t xml:space="preserve">      cabo por sus autoridades policiales […] Así, aunque el  demandante  no</w:t>
        <w:br/>
        <w:t xml:space="preserve">      sufrió ninguna consecuencia física grave o permanente,  su  castigo  –</w:t>
        <w:br/>
        <w:t xml:space="preserve">      por el cual fue tratado como un objeto en poder de las  autoridades  –</w:t>
        <w:br/>
        <w:t xml:space="preserve">      constituyó una atentado a lo que precisamente  es  uno  de  los  fines</w:t>
        <w:br/>
        <w:t xml:space="preserve">      principales del artículo 3 […], es decir, la de proteger la dignidad y</w:t>
        <w:br/>
        <w:t xml:space="preserve">      la integridad física de la persona.  Tampoco se puede excluir  que  el</w:t>
        <w:br/>
        <w:t xml:space="preserve">      castigo pueda haber ocasionado consecuencias psicológicas adversas.</w:t>
        <w:br/>
        <w:br/>
        <w:br/>
        <w:t xml:space="preserve">      El carácter institucionalizado de este tipo  de  violencia  se  agrava</w:t>
        <w:br/>
        <w:t xml:space="preserve">      posteriormente por el contexto del procedimiento oficial respecto  del</w:t>
        <w:br/>
        <w:t xml:space="preserve">      castigo y por el hecho de que quienes  lo  ejecutaron  eran  completos</w:t>
        <w:br/>
        <w:t xml:space="preserve">      extraños del ofensor[21].</w:t>
        <w:br/>
        <w:br/>
        <w:br/>
        <w:t>65.   Además, las  normas  de  derecho  internacional  humanitario  prohíben</w:t>
        <w:br/>
        <w:t>absolutamente  la  imposición  de  castigos  corporales  en  situaciones  de</w:t>
        <w:br/>
        <w:t>conflictos armados, así como en tiempos de paz[22].</w:t>
        <w:br/>
        <w:br/>
        <w:t>66.   Aunado a los estándares internacionales, una parte de ciertos  Estados</w:t>
        <w:br/>
        <w:t>que aún mantenían castigos corporales en  su  legislación  los  han  abolido</w:t>
        <w:br/>
        <w:t>recientemente[23].  Aún más, un creciente número de tribunales  internos  ha</w:t>
        <w:br/>
        <w:t>concluido que la imposición de castigos  corporales,  independientemente  de</w:t>
        <w:br/>
        <w:t>las circunstancias del caso y de las modalidades en que  se  llevó  a  cabo,</w:t>
        <w:br/>
        <w:t>constituye un trato cruel, inhumano y degradante, y representa una forma  de</w:t>
        <w:br/>
        <w:t>castigo que ya no es aceptable en una sociedad democrática[24].</w:t>
        <w:br/>
        <w:br/>
        <w:t>67.   La Corte Europea de Derechos Humanos ha  sostenido  que  para  que  un</w:t>
        <w:br/>
        <w:t>trato sea considerado como inhumano o degradante y, en grado  extremo,  como</w:t>
        <w:br/>
        <w:t>tortura, debe alcanzar un mínimo nivel de severidad. La evaluación  de  este</w:t>
        <w:br/>
        <w:t>nivel mínimo es relativa y depende  de  las  circunstancias  de  cada  caso,</w:t>
        <w:br/>
        <w:t>tales  como  la  duración  del  trato  y  de  sus  consecuencias  físicas  y</w:t>
        <w:br/>
        <w:t>mentales[25].</w:t>
        <w:br/>
        <w:br/>
        <w:t>68.   Por su parte, en el caso Celebici, la Cámara de  Juicio  del  Tribunal</w:t>
        <w:br/>
        <w:t>Penal Internacional para la ex-Yugoslavia analizó estándares normativos  del</w:t>
        <w:br/>
        <w:t>derecho internacional humanitario y de los derechos  humanos,  con  base  en</w:t>
        <w:br/>
        <w:t>los cuales definió trato inhumano o cruel como:</w:t>
        <w:br/>
        <w:br/>
        <w:t xml:space="preserve">      […] un acto u omisión intencional, que […] juzgado  objetivamente,  es</w:t>
        <w:br/>
        <w:t xml:space="preserve">      intencionado y no accidental, que causa graves  sufrimientos  o  daños</w:t>
        <w:br/>
        <w:t xml:space="preserve">      mentales o físicos,  o  constituye  un  serio  ataque  a  la  dignidad</w:t>
        <w:br/>
        <w:t xml:space="preserve">      humana[26].</w:t>
        <w:br/>
        <w:br/>
        <w:t>69.   Por su parte, la Corte Interamericana ha  considerado  desde  el  caso</w:t>
        <w:br/>
        <w:t>Loayza Tamayo vs. Perú[27] que:</w:t>
        <w:br/>
        <w:br/>
        <w:t xml:space="preserve">      […l]a infracción del derecho a la integridad física y psíquica de  las</w:t>
        <w:br/>
        <w:t xml:space="preserve">      personas es una clase de violación que tiene diversas connotaciones de</w:t>
        <w:br/>
        <w:t xml:space="preserve">      grado y que abarca desde la tortura hasta otro  tipo  de  vejámenes  o</w:t>
        <w:br/>
        <w:t xml:space="preserve">      tratos crueles, inhumanos  o  degradantes  cuyas  secuelas  físicas  y</w:t>
        <w:br/>
        <w:t xml:space="preserve">      psíquicas varían de intensidad según los factores endógenos y exógenos</w:t>
        <w:br/>
        <w:t xml:space="preserve">      que deberán ser demostrados en  cada  situación  concreta.   La  Corte</w:t>
        <w:br/>
        <w:t xml:space="preserve">      Europea de Derechos Humanos ha manifestado que, aún en la ausencia  de</w:t>
        <w:br/>
        <w:t xml:space="preserve">      lesiones, los sufrimientos en el plano físico y moral, acompañados  de</w:t>
        <w:br/>
        <w:t xml:space="preserve">      turbaciones  psíquicas  durante  los   interrogatorios,   pueden   ser</w:t>
        <w:br/>
        <w:t xml:space="preserve">      considerados como tratos inhumanos.  El carácter degradante se expresa</w:t>
        <w:br/>
        <w:t xml:space="preserve">      en un sentimiento de  miedo,  ansia  e  inferioridad  con  el  fin  de</w:t>
        <w:br/>
        <w:t xml:space="preserve">      humillar, degradar y de romper la resistencia física  y  moral  de  la</w:t>
        <w:br/>
        <w:t xml:space="preserve">      víctima.</w:t>
        <w:br/>
        <w:br/>
        <w:t>70.    La  propia  jurisprudencia  de  este  Tribunal  así  como  de  otros</w:t>
        <w:br/>
        <w:t>tribunales y autoridades internacionales, llevan a la Corte a concluir  que</w:t>
        <w:br/>
        <w:t>existe una prohibición universal tanto de la tortura como de otros tratos o</w:t>
        <w:br/>
        <w:t>penas crueles, inhumanos o  degradantes,  independientemente  de  cualquier</w:t>
        <w:br/>
        <w:t>codificación o declaración, por  ser  todos  éstos  violatorios  de  normas</w:t>
        <w:br/>
        <w:t>perentorias de derecho internacional[28].  Asimismo, la Corte es consciente</w:t>
        <w:br/>
        <w:t>de la creciente tendencia,  a  nivel  internacional  e  interno,  hacia  el</w:t>
        <w:br/>
        <w:t>reconocimiento del carácter no permisible de las penas corporales, debido a</w:t>
        <w:br/>
        <w:t>su   naturaleza   intrínsecamente    cruel,    inhumana    y    degradante.</w:t>
        <w:br/>
        <w:t>Consecuentemente,  un  Estado  Parte  de  la   Convención   Americana,   en</w:t>
        <w:br/>
        <w:t>cumplimiento de sus obligaciones derivadas de los artículos 1.1, 5.1 y  5.2</w:t>
        <w:br/>
        <w:t>de dicha Convención, tiene una  obligación  erga  omnes  de  abstenerse  de</w:t>
        <w:br/>
        <w:t>imponer  penas  corporales,  así  como  de  prevenir  su  imposición,   por</w:t>
        <w:br/>
        <w:t>constituir, en cualquier circunstancia, un trato o pena cruel,  inhumano  o</w:t>
        <w:br/>
        <w:t>degradante.</w:t>
        <w:br/>
        <w:br/>
        <w:t>71.   En el presente caso, el  señor  Caesar  fue  sometido  a  un  castigo</w:t>
        <w:br/>
        <w:t>corporal de flagelación, en aplicación de la sentencia emitida por la  High</w:t>
        <w:br/>
        <w:t>Court de Trinidad y Tobago, en los términos de la Ley de Penas  Corporales.</w:t>
        <w:br/>
        <w:t>Esta ley autoriza a los tribunales internos  a  ordenar  la  aplicación  de</w:t>
        <w:br/>
        <w:t>penas  corporales  contra  cualquier  delincuente   varón   condenado   por</w:t>
        <w:br/>
        <w:t>determinados  delitos,  además  de  cualquier  otro  castigo  que  le   sea</w:t>
        <w:br/>
        <w:t>aplicable, ya sea por  flagelación  con  el  “gato  de  nueve  colas”,  por</w:t>
        <w:br/>
        <w:t>latigazos con una  vara  de  tamarindo,  abedul  u  otros  objetos,  o  “en</w:t>
        <w:br/>
        <w:t>cualquiera de los dos casos, cualquier otro instrumento que  el  Presidente</w:t>
        <w:br/>
        <w:t>puede aprobar periódicamente” (supra párr. 49.7).</w:t>
        <w:br/>
        <w:br/>
        <w:t>72.   Según las pruebas aportadas a la Corte, el “gato de nueve  colas”  es</w:t>
        <w:br/>
        <w:t>un  instrumento  de  nueve  cuerdas  de  algodón  trenzadas,  cada  una  de</w:t>
        <w:br/>
        <w:t>aproximadamente 30 pulgadas de largo y menos de un  cuarto  de  pulgada  de</w:t>
        <w:br/>
        <w:t>diámetro, asidas a un mango.  Las nueve cuerdas de algodón son  descargadas</w:t>
        <w:br/>
        <w:t>en la espalda del sujeto, entre los hombros y la parte baja  de  la  espina</w:t>
        <w:br/>
        <w:t>dorsal (supra párr. 49.8). Como tal, este instrumento  está  diseñado  para</w:t>
        <w:br/>
        <w:t>provocar contusiones y laceraciones en la piel del sujeto  a  quien  se  le</w:t>
        <w:br/>
        <w:t>aplica, con la finalidad de causarle grave sufrimiento físico  y  psíquico.</w:t>
        <w:br/>
        <w:t>En consecuencia, la Corte tiene la convicción de  que  el  “gato  de  nueve</w:t>
        <w:br/>
        <w:t>colas”, tal como se encuentra regulado y es aplicado en Trinidad  y  Tobago</w:t>
        <w:br/>
        <w:t>para la ejecución de penas corporales de  flagelación,  es  un  instrumento</w:t>
        <w:br/>
        <w:t>utilizado para infligir una forma de castigo cruel, inhumana y degradante.</w:t>
        <w:br/>
        <w:br/>
        <w:t>73.   En atención a la regulación y aplicación de las penas  corporales  de</w:t>
        <w:br/>
        <w:t>flagelación en Trinidad y Tobago, la  Corte  considera  que  la  naturaleza</w:t>
        <w:br/>
        <w:t>misma de éstas refleja una institucionalización de la violencia que, pese a</w:t>
        <w:br/>
        <w:t>ser permitida por  la  ley,  ordenada  por  las  autoridades  judiciales  y</w:t>
        <w:br/>
        <w:t>ejecutada  por  las  autoridades  penitenciarias,  constituye  una  sanción</w:t>
        <w:br/>
        <w:t>incompatible con la Convención[29].  Como tales, las penas  corporales  por</w:t>
        <w:br/>
        <w:t>medio de flagelación constituyen una forma de tortura y,  en  consecuencia,</w:t>
        <w:br/>
        <w:t>una violación per se del derecho de cualquier persona sometida a la misma a</w:t>
        <w:br/>
        <w:t>que se respete su integridad física, psíquica y mental, en los términos del</w:t>
        <w:br/>
        <w:t>artículo 5.1 y 5.2 de la Convención, en relación con el artículo 1.1 de  la</w:t>
        <w:br/>
        <w:t>misma.  En consecuencia, la Ley de Penas Corporales  debe  ser  considerada</w:t>
        <w:br/>
        <w:t>contraria a los términos del artículo 5.1 y 5.2 de la Convención  Americana</w:t>
        <w:br/>
        <w:t>(infra párr. 94).</w:t>
        <w:br/>
        <w:br/>
        <w:t>74.   Aún cuando la Corte Interamericana no está autorizada u  obligada  por</w:t>
        <w:br/>
        <w:t>la  Convención  para  pronunciarse  sobre  la  compatibilidad  de   acciones</w:t>
        <w:br/>
        <w:t>individuales con la Convención Americana,  es  obvio  que  las  conductas  y</w:t>
        <w:br/>
        <w:t>decisiones de los funcionarios y agentes  del  Estado  deben  enmarcarse  en</w:t>
        <w:br/>
        <w:t>dichas obligaciones internacionales. En el presente caso, en el cual la  Ley</w:t>
        <w:br/>
        <w:t>de Penas Corporales de Trinidad y Tobago otorga a la autoridad  judicial  la</w:t>
        <w:br/>
        <w:t>opción de  ordenar,  en  ciertas  circunstancias,  la  imposición  de  penas</w:t>
        <w:br/>
        <w:t>corporales además del encarcelamiento, la  Corte  siente  la  obligación  de</w:t>
        <w:br/>
        <w:t>dejar constancia de su profunda preocupación por el hecho de que el juez  de</w:t>
        <w:br/>
        <w:t>la High Court tuvo a bien ejercer una opción que manifiestamente tendría  el</w:t>
        <w:br/>
        <w:t>efecto de infligir una pena que no sólo constituye una violación  ostensible</w:t>
        <w:br/>
        <w:t>de las  obligaciones  internacionales  contraídas  por  el  Estado  bajo  la</w:t>
        <w:br/>
        <w:t>Convención, sino que es  además  universalmente  estigmatizada  como  cruel,</w:t>
        <w:br/>
        <w:t>inhumana y degradante.</w:t>
        <w:br/>
        <w:br/>
        <w:t xml:space="preserve">                                      *</w:t>
        <w:br/>
        <w:br/>
        <w:t>75.   La Corte evaluará ahora las circunstancias particulares  en  que  fue</w:t>
        <w:br/>
        <w:t>ejecutada la sentencia de pena corporal del señor Caesar.</w:t>
        <w:br/>
        <w:br/>
        <w:t>76.   Está probado en el presente caso que el 5 de febrero de 1998  agentes</w:t>
        <w:br/>
        <w:t>del Estado flagelaron al señor Caesar.  La  declaración  jurada  del  señor</w:t>
        <w:br/>
        <w:t>Caesar deja poco  a  la  imaginación  acerca  del  gran  impacto  físico  y</w:t>
        <w:br/>
        <w:t>emocional ocasionado en él por dicha  pena,  así  como  la  angustia  y  el</w:t>
        <w:br/>
        <w:t>sufrimiento que experimentó en los momentos  inmediatamente  precedentes  a</w:t>
        <w:br/>
        <w:t>recibirla.  El señor  Caesar  describió  su  experiencia  de  la  siguiente</w:t>
        <w:br/>
        <w:t>manera:</w:t>
        <w:br/>
        <w:br/>
        <w:t xml:space="preserve">      […] El 5 de febrero de 1998 recibí 15 latigazos con el gato  de  nueve</w:t>
        <w:br/>
        <w:t xml:space="preserve">      colas. […H]abía cuatro hombres más en la celda conmigo.  Fui el último</w:t>
        <w:br/>
        <w:t xml:space="preserve">      en recibir la golpiza.  Esta vez tenía aún más miedo  […]  Aún  estaba</w:t>
        <w:br/>
        <w:t xml:space="preserve">      recuperándome y me encontraba débil cuando me llevaron a ser  azotado.</w:t>
        <w:br/>
        <w:t xml:space="preserve">      Tenía miedo de no salir vivo debido a mi condición. […]</w:t>
        <w:br/>
        <w:br/>
        <w:t xml:space="preserve">      […] Fui trasladado al cuarto donde recibiría los azotes.  En el cuarto</w:t>
        <w:br/>
        <w:t xml:space="preserve">      estaban presentes el  […]  médico  de  la  prisión,  el  […]  Jefe  de</w:t>
        <w:br/>
        <w:t xml:space="preserve">      Enfermería de la cárcel de Port of Spain, un Supervisor […], otros dos</w:t>
        <w:br/>
        <w:t xml:space="preserve">      hombres que no conocía pero creo que eran del Ministerio de  Seguridad</w:t>
        <w:br/>
        <w:t xml:space="preserve">      Nacional, y dos funcionarios de la prisión.  El [médico de la prisión]</w:t>
        <w:br/>
        <w:t xml:space="preserve">       me dijo que me quitara la ropa.  Le dije que acababa de ser  operado.</w:t>
        <w:br/>
        <w:t xml:space="preserve">      Él lo sabía, pero no contestó nada.  Me quité la ropa.  El [médico  de</w:t>
        <w:br/>
        <w:t xml:space="preserve">      la prisión] me tomó la presión sanguínea  [y]  después,  […]dijo:  “él</w:t>
        <w:br/>
        <w:t xml:space="preserve">      está bien; adelante”. […]</w:t>
        <w:br/>
        <w:br/>
        <w:t xml:space="preserve">      […] Después fui obligado a extenderme desnudo sobre  un  artefacto  de</w:t>
        <w:br/>
        <w:t xml:space="preserve">      metal conocido entre los reclusos como “Merry Sandy”, [que]  tenía  la</w:t>
        <w:br/>
        <w:t xml:space="preserve">      forma de un águila extendida.  No podía girar la cabeza.   Sólo  podía</w:t>
        <w:br/>
        <w:t xml:space="preserve">      mirar hacia delante.  Los dos  funcionarios  me  sujetaron  al  “Merry</w:t>
        <w:br/>
        <w:t xml:space="preserve">      Sandy”.  Me ataron fuertemente las manos  y  los  pies  al  artefacto.</w:t>
        <w:br/>
        <w:t xml:space="preserve">      Luego cubrieron mi cabeza con un paño. Tenía miedo.   Sentía  náuseas.</w:t>
        <w:br/>
        <w:t xml:space="preserve">      Mi cuerpo temblaba.  Luego sentí un latigazo terriblemente doloroso en</w:t>
        <w:br/>
        <w:t xml:space="preserve">      mi hombro.  Mi cuerpo se  tensó.   Escuché  una  voz  masculina  decir</w:t>
        <w:br/>
        <w:t xml:space="preserve">      “uno”.  Era el hombre que me daba los azotes.   No  sabía  quién  era.</w:t>
        <w:br/>
        <w:t xml:space="preserve">      Esperó a que mis músculos se relajaran, descargó de nuevo el  gato  de</w:t>
        <w:br/>
        <w:t xml:space="preserve">      nueve colas en mi  espalda  y  contó:  “dos”.   Antes  de  cada  azote</w:t>
        <w:br/>
        <w:t xml:space="preserve">      esperaba que mis músculos quedaran menos tensos antes de golpearme  de</w:t>
        <w:br/>
        <w:t xml:space="preserve">      nuevo.  En cada ocasión decía el número de azotes que había  recibido.</w:t>
        <w:br/>
        <w:t xml:space="preserve">      El dolor era insoportable.  Durante todo el tiempo que me  pegaba,  yo</w:t>
        <w:br/>
        <w:t xml:space="preserve">      gritaba de dolor, me ponía histérico [y] gritaba que querían  matarme.</w:t>
        <w:br/>
        <w:t xml:space="preserve">      No puedo recordar  cuántos  azotes  había  recibido  cuando  empecé  a</w:t>
        <w:br/>
        <w:t xml:space="preserve">      desvanecerme. […] Sin embargo, los azotes continuaron  y  me  desmayé.</w:t>
        <w:br/>
        <w:t xml:space="preserve">      Cuando desperté, estaba acostado en una camilla en la misma sala.   El</w:t>
        <w:br/>
        <w:t xml:space="preserve">      Superintendente dijo que debía ser llevado a la enfermería.</w:t>
        <w:br/>
        <w:br/>
        <w:t xml:space="preserve">      […] Permanecí en la enfermería por dos  meses  tras  la  golpiza.   Me</w:t>
        <w:br/>
        <w:t xml:space="preserve">      golpearon la espalda y los hombros.  Mis hombros estaban magullados  y</w:t>
        <w:br/>
        <w:t xml:space="preserve">      sentía mucho dolor.  Estaba débil. […] No  recibí  tratamiento  médico</w:t>
        <w:br/>
        <w:t xml:space="preserve">      por los azotes, excepto por los analgésicos.   Me  mantuvieron  en  la</w:t>
        <w:br/>
        <w:t xml:space="preserve">      enfermería porque estaba enfermo y débil por la cirugía y  porque  las</w:t>
        <w:br/>
        <w:t xml:space="preserve">      autoridades temían que me ocurriera algo.</w:t>
        <w:br/>
        <w:br/>
        <w:br/>
        <w:t xml:space="preserve">       […] Actualmente sigo sintiendo los latigazos y continúo con dolor  en</w:t>
        <w:br/>
        <w:t>los hombros[30].</w:t>
        <w:br/>
        <w:br/>
        <w:t>77.   El dolor  y  el  daño  físico  causados  por  la  flagelación  fueron</w:t>
        <w:br/>
        <w:t>exacerbados por la angustia, el estrés y  el  miedo  padecidos  durante  el</w:t>
        <w:br/>
        <w:t>período en que el señor Caesar estuvo esperando  su  pena  corporal  en  la</w:t>
        <w:br/>
        <w:t>cárcel. Más aún, en tres o cuatro  diferentes  ocasiones  fue  expuesto  al</w:t>
        <w:br/>
        <w:t>sufrimiento de otros reclusos  sometidos  a  penas   similares.   El  señor</w:t>
        <w:br/>
        <w:t>Caesar así lo describió:</w:t>
        <w:br/>
        <w:br/>
        <w:t xml:space="preserve">      Estaba temblando. Fui llevado abajo a otro conjunto de celdas y puesto</w:t>
        <w:br/>
        <w:t xml:space="preserve">      en una con cuatro hombres más.   Permanecimos  en  la  celda  toda  la</w:t>
        <w:br/>
        <w:t xml:space="preserve">      noche. Estaba tenso  y  asustado  y  no  dormí  esa  noche  [...]  Los</w:t>
        <w:br/>
        <w:t xml:space="preserve">      funcionarios [se llevaron a uno de  los  prisioneros  y  lo]  trajeron</w:t>
        <w:br/>
        <w:t xml:space="preserve">      aproximadamente media hora después.  Me  asusté  mucho  cuando  vi  su</w:t>
        <w:br/>
        <w:t xml:space="preserve">      condición. [...] Fue una tortura mental esperar mi turno [...]  estaba</w:t>
        <w:br/>
        <w:t xml:space="preserve">      temblando. [...] Fui sometido al mismo trato en tres ocasiones más. En</w:t>
        <w:br/>
        <w:t xml:space="preserve">      cada una de ellas fui ubicado en una celda abajo con cuatro  detenidos</w:t>
        <w:br/>
        <w:t xml:space="preserve">      más.  En cada ocasión los otros hombres fueron golpeados y yo no.  Fue</w:t>
        <w:br/>
        <w:t xml:space="preserve">      mucha tortura para mí. [...] Vi llorar [a  algunos  de  ellos].  Sufrí</w:t>
        <w:br/>
        <w:t xml:space="preserve">      tortura mental y emocional.  Estaba  muy  asustado  en  cada  ocasión.</w:t>
        <w:br/>
        <w:t xml:space="preserve">      [...][31]</w:t>
        <w:br/>
        <w:br/>
        <w:t>78.   De esta manera, el señor Cesar fue sometido a la amenaza de un  abuso</w:t>
        <w:br/>
        <w:t>físico inminente y fue intencionalmente forzado a presenciar los efectos de</w:t>
        <w:br/>
        <w:t>dicha pena en otros reclusos, lo que le ocasionó angustia y miedo severos.</w:t>
        <w:br/>
        <w:br/>
        <w:t>79.   Asimismo, la Corte comparte la opinión  de  la  Comisión  de  que  la</w:t>
        <w:br/>
        <w:t>sentencia fue ejecutada de  forma  tal  que  humilló  gravemente  al  señor</w:t>
        <w:br/>
        <w:t>Caesar, ya que fue flagelado al  menos  frente  a  seis  personas  y  atado</w:t>
        <w:br/>
        <w:t>desnudo “en forma de águila extendida” a  un  artefacto  de  metal  que  lo</w:t>
        <w:br/>
        <w:t>inmovilizó mientras era golpeado.</w:t>
        <w:br/>
        <w:br/>
        <w:t>80.   De conformidad con las normas y la práctica internas  del  Estado[32],</w:t>
        <w:br/>
        <w:t>el  médico  de  la  prisión  se  encontraba  presente  antes  y  durante  la</w:t>
        <w:br/>
        <w:t>flagelación de la presunta víctima para revisar su condición física  y,  con</w:t>
        <w:br/>
        <w:t>base en los  resultados  de  dicho  examen,  decidir  si  el  castigo  podía</w:t>
        <w:br/>
        <w:t>ejecutarse.  Los  representantes  argumentaron  que  al  permitir   que   la</w:t>
        <w:br/>
        <w:t>flagelación se llevara a cabo pese a su conocimiento de la condición  médica</w:t>
        <w:br/>
        <w:t>del señor Caesar, el médico de la  prisión  violó  sus  deberes  éticos.  La</w:t>
        <w:br/>
        <w:t>Comisión  argumentó  que  estas   circunstancias   dan   origen   a   serios</w:t>
        <w:br/>
        <w:t>cuestionamientos acerca de la compatibilidad de  la  conducta  del  personal</w:t>
        <w:br/>
        <w:t>médico de las prisiones estatales con  los  estándares  internacionales  que</w:t>
        <w:br/>
        <w:t>regulan su conducta, en particular, aquellos establecidos en los  Principios</w:t>
        <w:br/>
        <w:t>de  Ética  Médica  Aplicables  a  la  Función  del  Personal  Médico  en  la</w:t>
        <w:br/>
        <w:t>Protección de Personas Detenidas y Privadas de Libertad contra la Tortura  y</w:t>
        <w:br/>
        <w:t>Otros Tratos o Penas Crueles,  Inhumanos  o  Degradantes,  de  las  Naciones</w:t>
        <w:br/>
        <w:t>Unidas[33].</w:t>
        <w:br/>
        <w:br/>
        <w:t>81.   La Corte no determina  responsabilidades  individuales,  sino  que  su</w:t>
        <w:br/>
        <w:t>función es la de proteger a las víctimas,  determinar  cuando  sus  derechos</w:t>
        <w:br/>
        <w:t>han sido violados y ordenar la reparación del daño  causado  por  el  Estado</w:t>
        <w:br/>
        <w:t>responsable de dichos actos[34].</w:t>
        <w:br/>
        <w:br/>
        <w:t>82.   Además, la Comisión argumentó que las  pruebas  presentadas  confirman</w:t>
        <w:br/>
        <w:t>que el sufrimiento experimentado por el señor Caesar fue  además  exacerbado</w:t>
        <w:br/>
        <w:t>por su vulnerable  condición  médica,  específicamente  por  la  cirugía  de</w:t>
        <w:br/>
        <w:t>hemorroides a la que fue sometido algunas semanas antes de  la  flagelación.</w:t>
        <w:br/>
        <w:t>La  presunta  víctima,  a  su  vez,  declaró  dicha  circunstancia   en   su</w:t>
        <w:br/>
        <w:t>declaración jurada.  Sin embargo, los representantes declararon  durante  la</w:t>
        <w:br/>
        <w:t>audiencia pública que la fecha de la cirugía podría ser incorrecta.</w:t>
        <w:br/>
        <w:br/>
        <w:t>83.   Está probado que la presunta víctima  desarrolló  hemorroides  durante</w:t>
        <w:br/>
        <w:t>su detención y, en razón de ello, fue sometida a una operación en  enero  de</w:t>
        <w:br/>
        <w:t>1997 (supra párr. 49.19). Puesto que no fue  demostrado  que  dicha  cirugía</w:t>
        <w:br/>
        <w:t>ocurriera pocas semanas antes de que el señor Caesar fuera  flagelado,  esta</w:t>
        <w:br/>
        <w:t>situación no puede ser considerada como una circunstancia agravante en  este</w:t>
        <w:br/>
        <w:t>contexto.</w:t>
        <w:br/>
        <w:br/>
        <w:t>84.   También ha quedado demostrado  que,  después  de  la  flagelación,  el</w:t>
        <w:br/>
        <w:t>Estado no suministró al señor Caesar ningún tratamiento médico,  excepto  el</w:t>
        <w:br/>
        <w:t>suministro de analgésicos, sin tomar en cuenta el hecho de  que  había  sido</w:t>
        <w:br/>
        <w:t>herido  y  que  su  condición  médica  ya  era  precaria.   Esta  conclusión</w:t>
        <w:br/>
        <w:t>encuentra apoyo en el informe del señor Robert Ferris, en  el  cual  declaró</w:t>
        <w:br/>
        <w:t>que no encontró documentos de ningún  tipo  relativos  a  la  pena  corporal</w:t>
        <w:br/>
        <w:t>impuesta al  señor  Caesar,  a  sus  consecuencias  o  a  algún  tratamiento</w:t>
        <w:br/>
        <w:t>suministrado (supra párr. 49.29).</w:t>
        <w:br/>
        <w:br/>
        <w:t>85.   Por otro lado, la Comisión alegó que el hecho de  que  la  pena  fuera</w:t>
        <w:br/>
        <w:t>ejecutada 23 meses después de la condena  de  la  presunta  víctima  es  una</w:t>
        <w:br/>
        <w:t>violación flagrante de la  propia  legislación  del  Estado,  así  como  del</w:t>
        <w:br/>
        <w:t>artículo 5.1 y 5.2 de la Convención.</w:t>
        <w:br/>
        <w:br/>
        <w:t>86.   La Corte observa que la Sección  6  de  la  Ley  de  Penas  Corporales</w:t>
        <w:br/>
        <w:t>requiere que una sentencia de pena corporal sea ejecutada dentro  del  plazo</w:t>
        <w:br/>
        <w:t>límite de seis meses contado desde la fecha de emisión de la misma. Como  ha</w:t>
        <w:br/>
        <w:t>quedado demostrado, a partir de  la  enmienda  de  1994,  dicho  plazo  debe</w:t>
        <w:br/>
        <w:t>entenderse suspendido mientras una apelación se encuentre  pendiente  (supra</w:t>
        <w:br/>
        <w:t>párr. 49.9). Dicha enmienda, no obstante, no era aplicable  a  la  situación</w:t>
        <w:br/>
        <w:t>del señor Caesar, por haber sido condenado con anterioridad a la entrada  en</w:t>
        <w:br/>
        <w:t>vigor de ésta. En cualquier caso, la flagelación fue ejecutada cinco años  y</w:t>
        <w:br/>
        <w:t>aproximadamente siete meses después del plazo límite establecido por la  ley</w:t>
        <w:br/>
        <w:t>aplicable al señor Caesar, por lo que es razonable asumir que dicho  retraso</w:t>
        <w:br/>
        <w:t>aumentó y extendió su angustia mental[35].</w:t>
        <w:br/>
        <w:br/>
        <w:t>87.   La Corte ha apreciado las circunstancias agravantes  que  acontecieron</w:t>
        <w:br/>
        <w:t>en la imposición de la pena del señor Caesar y ha tomado en cuenta el  grado</w:t>
        <w:br/>
        <w:t>de intensidad del dolor y del sufrimiento físico y mental  que  padeció,  lo</w:t>
        <w:br/>
        <w:t>cual se  incrementó  con  el  trato  que  recibió  antes  y  después  de  la</w:t>
        <w:br/>
        <w:t>flagelación. Al  respecto,  la  Comisión  alegó  que  existe  una  violación</w:t>
        <w:br/>
        <w:t>adicional  de  la  Convención,  en  relación   con   dichas   circunstancias</w:t>
        <w:br/>
        <w:t>agravantes.</w:t>
        <w:br/>
        <w:br/>
        <w:t>88.   En los  párrafos  anteriores,  la  Corte  ha  declarado  que  la  pena</w:t>
        <w:br/>
        <w:t>corporal por flagelación, según ha sido examinado en el presente caso,  debe</w:t>
        <w:br/>
        <w:t>ser considerada como una forma de tortura y, por lo tanto, contraria per  se</w:t>
        <w:br/>
        <w:t>al artículo 5.1 y 5.2 de la Convención y a  normas  perentorias  de  derecho</w:t>
        <w:br/>
        <w:t>internacional (supra párr. 73).  Además,  la  Corte  es  consciente  de  las</w:t>
        <w:br/>
        <w:t>circunstancias que rodearon la imposición de  la  pena  corporal  del  señor</w:t>
        <w:br/>
        <w:t>Caesar, tales como: la humillación extrema causada  por  la  flagelación  en</w:t>
        <w:br/>
        <w:t>sí; la angustia, el estrés y el miedo sufridos mientras esperaba su  castigo</w:t>
        <w:br/>
        <w:t>en prisión, período que fue caracterizado por una demora excesiva; así  como</w:t>
        <w:br/>
        <w:t>el hecho de haber  presenciado  el  sufrimiento  de  otros  prisioneros  que</w:t>
        <w:br/>
        <w:t>habían sido flagelados. La extrema gravedad y el  grado  de  intensidad  del</w:t>
        <w:br/>
        <w:t>sufrimiento físico y mental que estas circunstancias provocaron en el  señor</w:t>
        <w:br/>
        <w:t>Caesar,  serán  consideradas  por  la  Corte  al  momento   de   fijar   las</w:t>
        <w:br/>
        <w:t>reparaciones pertinentes (infra párr. 127).</w:t>
        <w:br/>
        <w:br/>
        <w:t>89.   Por lo tanto, todas las circunstancias del presente caso llevan  a  la</w:t>
        <w:br/>
        <w:t>Corte a  declarar  que  el  Estado  violó  el  artículo  5.1  y  5.2  de  la</w:t>
        <w:br/>
        <w:t>Convención, en relación con el artículo 1.1 de la misma,  en  perjuicio  del</w:t>
        <w:br/>
        <w:t>señor Winston Caesar.</w:t>
        <w:br/>
        <w:br/>
        <w:t xml:space="preserve">                                      *</w:t>
        <w:br/>
        <w:br/>
        <w:t>En relación con el supuesto incumplimiento  por  parte  del  Estado  de  su</w:t>
        <w:br/>
        <w:t>obligación general establecida en el artículo 2 de la Convención de adoptar</w:t>
        <w:br/>
        <w:t>disposiciones  de  derecho  interno  para  hacer  efectivos  los   derechos</w:t>
        <w:br/>
        <w:t>consagrados en el artículo 5 de la misma.</w:t>
        <w:br/>
        <w:br/>
        <w:t>90.   La Corte determinará si el Estado ha cumplido  con  sus  obligaciones</w:t>
        <w:br/>
        <w:t>generales contenidas en el artículo 2 de la Convención.</w:t>
        <w:br/>
        <w:br/>
        <w:t>91.    Al  interpretar  el  artículo  2  de  la  Convención,  la  Corte  ha</w:t>
        <w:br/>
        <w:t>considerado que:</w:t>
        <w:br/>
        <w:br/>
        <w:t xml:space="preserve">       [s]i los  Estados  tienen,  de  acuerdo  con  el  artículo  2  de  la</w:t>
        <w:br/>
        <w:t xml:space="preserve">       Convención Americana, la obligación positiva de adoptar  las  medidas</w:t>
        <w:br/>
        <w:t xml:space="preserve">       legislativas que fueren necesarias para garantizar  el  ejercicio  de</w:t>
        <w:br/>
        <w:t xml:space="preserve">       los derechos reconocidos por la Convención, con mayor razón están  en</w:t>
        <w:br/>
        <w:t xml:space="preserve">       la obligación de no expedir leyes que  desconozcan  esos  derechos  u</w:t>
        <w:br/>
        <w:t xml:space="preserve">       obstaculicen su ejercicio, y la  de  suprimir  o  modificar  las  que</w:t>
        <w:br/>
        <w:t xml:space="preserve">       tengan  estos  últimos  alcances.   De  lo  contrario,  incurren   en</w:t>
        <w:br/>
        <w:t xml:space="preserve">       violación del artículo 2 de la Convención[36].</w:t>
        <w:br/>
        <w:br/>
        <w:br/>
        <w:br/>
        <w:t>92.   Las violaciones del artículo 5.1 y 5.2 de la Convención, en perjuicio</w:t>
        <w:br/>
        <w:t>del señor Caesar, resultaron no sólo de las acciones  y  omisiones  de  los</w:t>
        <w:br/>
        <w:t>agentes estatales sino, primordialmente, de la existencia misma  y  de  los</w:t>
        <w:br/>
        <w:t>términos de la Ley de Penas Corporales (supra párr. 73).</w:t>
        <w:br/>
        <w:br/>
        <w:t>93.   La Corte ha declarado que dicha ley es incompatible con el artículo 5</w:t>
        <w:br/>
        <w:t>de la Convención Americana. Una vez que la Convención entró en  vigor  para</w:t>
        <w:br/>
        <w:t>Trinidad y Tobago,  el  Estado  debió  haber  adaptado  su  legislación  de</w:t>
        <w:br/>
        <w:t>conformidad con las obligaciones contenidas en dicho tratado, con el fin de</w:t>
        <w:br/>
        <w:t>asegurar la más efectiva protección de los derechos humanos consagrados  en</w:t>
        <w:br/>
        <w:t>la misma.  Es necesario reafirmar que, de conformidad con el artículo 2  de</w:t>
        <w:br/>
        <w:t>la Convención, la obligación de adaptar la legislación interna es,  por  su</w:t>
        <w:br/>
        <w:t>propia naturaleza, una de resultado y, consecuentemente, la denuncia de  la</w:t>
        <w:br/>
        <w:t>Convención por  parte  del  Estado  no  puede  extinguir  las  obligaciones</w:t>
        <w:br/>
        <w:t>internacionales por éste asumidas mientras  el  tratado  se  encontraba  en</w:t>
        <w:br/>
        <w:t>vigencia.  Dichas obligaciones tienen un carácter autónomo y automático,  y</w:t>
        <w:br/>
        <w:t>no dependen de ninguna declaración de los  órganos  de  supervisión  de  la</w:t>
        <w:br/>
        <w:t>Convención respecto de una legislación interna específica.</w:t>
        <w:br/>
        <w:br/>
        <w:t>94.   Al haber declarado la incompatibilidad de la Ley de Penas  Corporales</w:t>
        <w:br/>
        <w:t>con la Convención Americana, y por el hecho de que el Estado no derogó o de</w:t>
        <w:br/>
        <w:t>cualquier  manera  anuló  dicha  ley  después  de  la  ratificación  de  la</w:t>
        <w:br/>
        <w:t>Convención, la Corte debe declarar que Trinidad y Tobago incumplió con  las</w:t>
        <w:br/>
        <w:t>obligaciones establecidas en el artículo 2 de la  Convención,  en  relación</w:t>
        <w:br/>
        <w:t>con el artículo 5.1 y 5.2 de la misma.</w:t>
        <w:br/>
        <w:br/>
        <w:t xml:space="preserve">                                      *</w:t>
        <w:br/>
        <w:br/>
        <w:t>Respecto de la responsabilidad del Estado por las condiciones  de  detención</w:t>
        <w:br/>
        <w:t>a que ha sido sometido el señor Caesar, en los términos del artículo  5.1  y</w:t>
        <w:br/>
        <w:t>5.2 de la Convención Americana.</w:t>
        <w:br/>
        <w:br/>
        <w:t>95.   La  Comisión  alegó  que  el  Estado  es  responsable  por  ulteriores</w:t>
        <w:br/>
        <w:t>violaciones del derecho del señor Caesar a un trato humano  previsto  en  el</w:t>
        <w:br/>
        <w:t>artículo 5.1 y 5.2 de la Convención, debido a  las  condiciones  en  que  ha</w:t>
        <w:br/>
        <w:t>permanecido en prisión. La Comisión afirmó que debido a  dichas  condiciones</w:t>
        <w:br/>
        <w:t>de detención el Estado no ha cumplido con los estándares  internacionales  e</w:t>
        <w:br/>
        <w:t>internos en el trato debido al señor Caesar. Además, la Comisión señaló  que</w:t>
        <w:br/>
        <w:t>el  impacto  de  estas  condiciones  ha  incrementado   por   los   períodos</w:t>
        <w:br/>
        <w:t>prolongados en que el señor Caesar ha permanecido  encarcelado  en  relación</w:t>
        <w:br/>
        <w:t>con su proceso penal.</w:t>
        <w:br/>
        <w:br/>
        <w:t>96.   Al respecto, la Corte ha  especificado  que,  de  conformidad  con  el</w:t>
        <w:br/>
        <w:t>artículo 5.1 y 5.2 de la Convención:</w:t>
        <w:br/>
        <w:br/>
        <w:t xml:space="preserve">      […] toda  persona  privada  de  libertad  tiene  derecho  a  vivir  en</w:t>
        <w:br/>
        <w:t xml:space="preserve">      situación de detención compatible con su dignidad personal.  En  otras</w:t>
        <w:br/>
        <w:t xml:space="preserve">      oportunidades,  este  Tribunal  ha  señalado  que  la   detención   en</w:t>
        <w:br/>
        <w:t xml:space="preserve">      condiciones de hacinamiento, con falta de ventilación y  luz  natural,</w:t>
        <w:br/>
        <w:t xml:space="preserve">      sin cama para  el  reposo  ni  condiciones  adecuadas  de  higiene  en</w:t>
        <w:br/>
        <w:t xml:space="preserve">      aislamiento e incomunicación o con restricciones indebidas al  régimen</w:t>
        <w:br/>
        <w:t xml:space="preserve">      de visitas constituyen una violación a la integridad personal[37].</w:t>
        <w:br/>
        <w:br/>
        <w:t>97.   Al hacer referencia a la cuestión de las condiciones de detención,  la</w:t>
        <w:br/>
        <w:t>Corte   Interamericana    también    ha    evaluado    otros    instrumentos</w:t>
        <w:br/>
        <w:t>internacionales, así  como  la  jurisprudencia  de  otras  instituciones  de</w:t>
        <w:br/>
        <w:t>protección de derechos humanos. Recientemente  la  Corte  ha  declarado  que</w:t>
        <w:br/>
        <w:t>frente a las personas privadas de libertad, el Estado se  encuentra  en  una</w:t>
        <w:br/>
        <w:t>posición especial de garante, toda vez que  las  autoridades  penitenciarias</w:t>
        <w:br/>
        <w:t>ejercen un control o dominio total sobre  las  personas  que  se  encuentran</w:t>
        <w:br/>
        <w:t>sujetas a su custodia[38].  En este  particular  contexto  de  subordinación</w:t>
        <w:br/>
        <w:t>del detenido  frente  al  Estado,  este  último  tiene  una  responsabilidad</w:t>
        <w:br/>
        <w:t>especial de asegurar a aquellas personas bajo  su  control  las  condiciones</w:t>
        <w:br/>
        <w:t>que les permitan retener un grado de dignidad consistente con  sus  derechos</w:t>
        <w:br/>
        <w:t>humanos inherentes e inderogables[39].</w:t>
        <w:br/>
        <w:br/>
        <w:br/>
        <w:t>98.   En  el  Caso  Hilaire,  Constantine  y  Benjamin  y  otros,  la  Corte</w:t>
        <w:br/>
        <w:t>consideró que el grave hacinamiento, los  recursos  sanitarios  inadecuados,</w:t>
        <w:br/>
        <w:t>la falta de higiene y de tratamientos médicos, eran características  de  las</w:t>
        <w:br/>
        <w:t>condiciones de detención en varias prisiones en Trinidad y Tobago. La  Corte</w:t>
        <w:br/>
        <w:t>concluyó que las condiciones en  las  cuales  las  víctimas  de  dicho  caso</w:t>
        <w:br/>
        <w:t>habían sido encarceladas eran, de hecho,  indicativas  de  las  “condiciones</w:t>
        <w:br/>
        <w:t>generales del sistema carcelario de Trinidad  y  Tobago”,  por  lo  que  las</w:t>
        <w:br/>
        <w:t>víctimas fueron sometidas a vivir en  condiciones  que  “constituyen  tratos</w:t>
        <w:br/>
        <w:t>crueles, inhumanos o degradantes ya que […] afectan su integridad  física  y</w:t>
        <w:br/>
        <w:t>psíquica.”[40]</w:t>
        <w:br/>
        <w:br/>
        <w:t>99.   Tal como fue expuesto  en  los  hechos  probados  del  presente  caso,</w:t>
        <w:br/>
        <w:t>durante su detención, el señor Caesar ha permanecido encarcelado  junto  con</w:t>
        <w:br/>
        <w:t>otros prisioneros en celdas pequeñas, sin ventilación  y  equipadas  con  un</w:t>
        <w:br/>
        <w:t>balde en vez de servicios sanitarios, en las cuales se ha visto  obligado  a</w:t>
        <w:br/>
        <w:t>dormir en el suelo. Desde su encarcelamiento, el  señor  Caesar  también  ha</w:t>
        <w:br/>
        <w:t>padecido serios problemas de salud.   Pese  a  que  ha  sido  examinado  por</w:t>
        <w:br/>
        <w:t>personal médico en varias ocasiones, el tratamiento médico del señor  Caesar</w:t>
        <w:br/>
        <w:t>ha sido inadecuado y sus condiciones de salud  se  han  deteriorado  con  el</w:t>
        <w:br/>
        <w:t>paso del tiempo (supra párrs. 49.16 y 49.18).</w:t>
        <w:br/>
        <w:br/>
        <w:t>100.   La Corte estima que las condiciones de detención a las  que  ha  sido</w:t>
        <w:br/>
        <w:t>sometido el señor Caesar han irrespetado su integridad  física,  psíquica  y</w:t>
        <w:br/>
        <w:t>moral, tal como lo establece el artículo 5.1 de la Convención y  constituyen</w:t>
        <w:br/>
        <w:t>un trato inhumano y degradante contrario al artículo 5.2 de  la  Convención,</w:t>
        <w:br/>
        <w:t>teniendo estos preceptos el carácter  de  jus  cogens.   Por  lo  tanto,  el</w:t>
        <w:br/>
        <w:t>Estado es responsable, además, por la violación del artículo 5.1  y  5.2  de</w:t>
        <w:br/>
        <w:t>la Convención, en relación con el artículo 1.1 de  la  misma,  en  perjuicio</w:t>
        <w:br/>
        <w:t>del señor Caesar.</w:t>
        <w:br/>
        <w:br/>
        <w:br/>
        <w:br/>
        <w:t xml:space="preserve">                                     IX</w:t>
        <w:br/>
        <w:br/>
        <w:br/>
        <w:t xml:space="preserve">                 artículos 8 y 25 de la Convención Americana</w:t>
        <w:br/>
        <w:br/>
        <w:t xml:space="preserve">              en relación con los artículos 1.1 y 2 de la misma</w:t>
        <w:br/>
        <w:t xml:space="preserve">                (Garantías Judiciales y Protección Judicial)</w:t>
        <w:br/>
        <w:br/>
        <w:t>Alegatos de la Comisión</w:t>
        <w:br/>
        <w:br/>
        <w:t>101.  En relación con los artículos 8 y 25 de la  Convención  Americana,  la</w:t>
        <w:br/>
        <w:t>Comisión Interamericana señaló que:</w:t>
        <w:br/>
        <w:br/>
        <w:t xml:space="preserve">   a) el Estado es responsable por la violación al derecho del señor  Caesar</w:t>
        <w:br/>
        <w:t xml:space="preserve">      a ser juzgado dentro de un plazo razonable, en razón del retraso de su</w:t>
        <w:br/>
        <w:t xml:space="preserve">      proceso penal, de conformidad con el artículo 8.1 de la Convención;</w:t>
        <w:br/>
        <w:t xml:space="preserve">   b) el señor Caesar fue objeto de una demora  total  de  15  años  contada</w:t>
        <w:br/>
        <w:t xml:space="preserve">      desde su arresto inicial el 11 de noviembre de 1983 hasta que el 9  de</w:t>
        <w:br/>
        <w:t xml:space="preserve">      noviembre de 1998 el asesor informó al abogado del señor Caesar que su</w:t>
        <w:br/>
        <w:t xml:space="preserve">      intento de apelar ante el Comité Judicial del Privy Council  no  tenía</w:t>
        <w:br/>
        <w:t xml:space="preserve">      perspectivas  de  tener  éxito.   Este  período  implica  una   demora</w:t>
        <w:br/>
        <w:t xml:space="preserve">      irrazonable que supera las demoras de casos anteriores en los  que  la</w:t>
        <w:br/>
        <w:t xml:space="preserve">      Corte ha declarado violado el  artículo  8.1  de  la  Convención.   El</w:t>
        <w:br/>
        <w:t xml:space="preserve">      Estado no ha brindado explicación alguna por dicha  demora,  ni  surge</w:t>
        <w:br/>
        <w:t xml:space="preserve">      del expediente hecho alguno que pudiera explicarla;</w:t>
        <w:br/>
        <w:t xml:space="preserve">   c) la Sección 6 de la Constitución de Trinidad y  Tobago  no  permite  la</w:t>
        <w:br/>
        <w:t xml:space="preserve">      interposición de un recurso de inconstitucionalidad contra la  Ley  de</w:t>
        <w:br/>
        <w:t xml:space="preserve">      Penas Corporales;</w:t>
        <w:br/>
        <w:t xml:space="preserve">   d) el Estado es responsable por la violación del derecho del señor Caesar</w:t>
        <w:br/>
        <w:t xml:space="preserve">      a la  protección  judicial,  establecido  en  el  artículo  25  de  la</w:t>
        <w:br/>
        <w:t xml:space="preserve">      Convención, así como de las obligaciones que le impone el  artículo  2</w:t>
        <w:br/>
        <w:t xml:space="preserve">      de la misma en conexión con los artículos 7.5 y 8.1  de  ésta,  al  no</w:t>
        <w:br/>
        <w:t xml:space="preserve">      prever en su legislación interna el derecho a ser juzgado dentro de un</w:t>
        <w:br/>
        <w:t xml:space="preserve">      plazo razonable;</w:t>
        <w:br/>
        <w:t xml:space="preserve">   e) la Constitución de Trinidad y Tobago no incluye entre los  derechos  y</w:t>
        <w:br/>
        <w:t xml:space="preserve">      libertades fundamentales el derecho a un juicio  dentro  de  un  plazo</w:t>
        <w:br/>
        <w:t xml:space="preserve">      razonable, lo cual ha sido confirmado por el Comité Judicial del Privy</w:t>
        <w:br/>
        <w:t xml:space="preserve">      Council en varios casos; y</w:t>
        <w:br/>
        <w:t xml:space="preserve">   f) aunque el señor Caesar fue liberado por el Estado antes del juicio  y,</w:t>
        <w:br/>
        <w:t xml:space="preserve">      por tanto, no necesitó invocar el artículo 7.5 de  la  Convención,  la</w:t>
        <w:br/>
        <w:t xml:space="preserve">      prueba indica que al no haber  protegido  su  derecho  a  ser  juzgado</w:t>
        <w:br/>
        <w:t xml:space="preserve">      dentro de un plazo razonable, de acuerdo con el  artículo  8.1  de  la</w:t>
        <w:br/>
        <w:t xml:space="preserve">      misma, esto también implica necesariamente, como cuestión general,  el</w:t>
        <w:br/>
        <w:t xml:space="preserve">      incumplimiento por parte del Estado de la obligación de  proteger  ese</w:t>
        <w:br/>
        <w:t xml:space="preserve">      derecho en virtud del artículo 7.5 de la Convención.</w:t>
        <w:br/>
        <w:br/>
        <w:br/>
        <w:br/>
        <w:t>Alegatos de los representantes</w:t>
        <w:br/>
        <w:br/>
        <w:br/>
        <w:br/>
        <w:t>102.  En relación con los artículos 8 y 25 de la  Convención  Americana  los</w:t>
        <w:br/>
        <w:t xml:space="preserve">      representantes señalaron que:</w:t>
        <w:br/>
        <w:br/>
        <w:br/>
        <w:t xml:space="preserve">   a) el Estado violó el artículo 8 de la Convención al no brindar al  señor</w:t>
        <w:br/>
        <w:t xml:space="preserve">      Caesar un juicio y procedimiento de apelación en un plazo razonable;</w:t>
        <w:br/>
        <w:t xml:space="preserve">   b) el Estado violó el artículo 25 de la Convención, por no haber brindado</w:t>
        <w:br/>
        <w:t xml:space="preserve">      al señor Caesar un recurso interno efectivo;</w:t>
        <w:br/>
        <w:t xml:space="preserve">   c) el señor Caesar fue sometido a un retraso de 12 años,  contados  desde</w:t>
        <w:br/>
        <w:t xml:space="preserve">      su arresto inicial  hasta  su  intento  de  apelar  ante  el  Judicial</w:t>
        <w:br/>
        <w:t xml:space="preserve">      Committee del Privy Council;</w:t>
        <w:br/>
        <w:t xml:space="preserve">   d) la sentencia en sí y la manera en que fue ejecutada con contrarias  al</w:t>
        <w:br/>
        <w:t xml:space="preserve">      derecho establecido en la Sección 4.a)  y  la  Sección  5.2.b)  de  la</w:t>
        <w:br/>
        <w:t xml:space="preserve">      Constitución de Trinidad y Tobago. No obstante, las violaciones de los</w:t>
        <w:br/>
        <w:t xml:space="preserve">      derechos establecidos en dichas Secciones no pueden ser  recurridas  a</w:t>
        <w:br/>
        <w:t xml:space="preserve">      nivel interno debido a la “cláusula  de  exclusión”  contenida  en  la</w:t>
        <w:br/>
        <w:t xml:space="preserve">      Sección 6.1 de la misma. Sin embargo, los Estados no pueden evadir sus</w:t>
        <w:br/>
        <w:t xml:space="preserve">      obligaciones  establecidas  en  los  tratados  de   derechos   humanos</w:t>
        <w:br/>
        <w:t xml:space="preserve">      basándose en “cláusulas de exclusión” que tengan como efecto socavar o</w:t>
        <w:br/>
        <w:t xml:space="preserve">      atentar contra la implementación doméstica de dichas obligaciones; y</w:t>
        <w:br/>
        <w:t xml:space="preserve">   e) el Estado violó el artículo 2 de la Convención al no haber dado efecto</w:t>
        <w:br/>
        <w:t xml:space="preserve">      legal interno alguno a los derechos consagrados en el artículo 8 de la</w:t>
        <w:br/>
        <w:t xml:space="preserve">      Convención.</w:t>
        <w:br/>
        <w:br/>
        <w:br/>
        <w:t>Consideraciones de la Corte</w:t>
        <w:br/>
        <w:br/>
        <w:br/>
        <w:t>103.  El artículo 8.1 de la Convención  Americana  prevé  el  derecho  a  un</w:t>
        <w:br/>
        <w:t>debido proceso de la siguiente forma:</w:t>
        <w:br/>
        <w:br/>
        <w:t xml:space="preserve">     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104.  El artículo 25.1 de la Convención consagra el derecho a la  protección</w:t>
        <w:br/>
        <w:t>judicial de la siguiente manera:</w:t>
        <w:br/>
        <w:br/>
        <w:br/>
        <w:t xml:space="preserve">      Toda persona tiene  derecho  a 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>105.  La Corte abordará en este apartado los siguientes puntos, respecto  de</w:t>
        <w:br/>
        <w:t>las supuestas violaciones de  los  artículos  8.1  y  25  de  la  Convención</w:t>
        <w:br/>
        <w:t>Americana, en relación con los artículos 1.1 y 2 de la misma:</w:t>
        <w:br/>
        <w:br/>
        <w:t xml:space="preserve">     a) la razonabilidad de la duración del proceso penal; y</w:t>
        <w:br/>
        <w:t xml:space="preserve">     b) la existencia de un recurso efectivo en la legislación  interna,  a</w:t>
        <w:br/>
        <w:t xml:space="preserve">        disposición de la presunta víctima, para impugnar la  existencia  o</w:t>
        <w:br/>
        <w:t xml:space="preserve">        la imposición de penas  corporales.</w:t>
        <w:br/>
        <w:br/>
        <w:t xml:space="preserve">                                      *</w:t>
        <w:br/>
        <w:br/>
        <w:t>106.  La Corte debe destacar que, con  posterioridad  a  la  emisión  de  la</w:t>
        <w:br/>
        <w:t>sentencia de la Court of Appeal de Trinidad y Tobago el  28  de  febrero  de</w:t>
        <w:br/>
        <w:t>1996, el señor Caesar aún tenía la posibilidad de presentar  una  “solicitud</w:t>
        <w:br/>
        <w:t>especial de venia para apelar” ante  el  Privy  Council.  Este  Tribunal  no</w:t>
        <w:br/>
        <w:t>comparte la afirmación de la Comisión de que el proceso  seguido  contra  el</w:t>
        <w:br/>
        <w:t>señor Caesar se demoró un total de quince años, calculados desde su  arresto</w:t>
        <w:br/>
        <w:t>inicial en 1983 y su “intento de apelar ante el Court of  Appeal  del  Privy</w:t>
        <w:br/>
        <w:t>Council en 1998”.  Dicho “intento” consistió en una  opinión  legal  rendida</w:t>
        <w:br/>
        <w:t>en noviembre de 1998 por un asesor de Londres, a solicitud de  los  abogados</w:t>
        <w:br/>
        <w:t>del señor Caesar, razón por la cual no puede  ser  equiparada  a  una  etapa</w:t>
        <w:br/>
        <w:t>procesal dentro de un proceso judicial. En  consecuencia,  la  duración  del</w:t>
        <w:br/>
        <w:t>proceso debe calcularse considerando la decisión de la Court  of  Appeal  de</w:t>
        <w:br/>
        <w:t>28 de febrero de 1996 como la sentencia definitiva  emitida  en  el  proceso</w:t>
        <w:br/>
        <w:t>penal.</w:t>
        <w:br/>
        <w:br/>
        <w:t>107.  Aunque ni la Comisión ni los representantes abordaron la  cuestión  de</w:t>
        <w:br/>
        <w:t>la competencia ratione temporis de la Corte, es necesario  que  el  Tribunal</w:t>
        <w:br/>
        <w:t>considere esta cuestión en el contexto de la  duración  del  proceso  penal,</w:t>
        <w:br/>
        <w:t>con la finalidad de evaluar la  razonabilidad  de  dicha  duración,  con  el</w:t>
        <w:br/>
        <w:t>propósito de decidir si hubo una violación de los  derechos  consagrados  en</w:t>
        <w:br/>
        <w:t>el artículo 8.1 de la Convención.</w:t>
        <w:br/>
        <w:br/>
        <w:t>108.  Al respecto, la Corte ha sostenido que[41]:</w:t>
        <w:br/>
        <w:br/>
        <w:t xml:space="preserve">      […] Al codificar el derecho general sobre el tema, el artículo  28  de</w:t>
        <w:br/>
        <w:t xml:space="preserve">      la Convención de Viena sobre el Derecho de los Tratados establece que</w:t>
        <w:br/>
        <w:br/>
        <w:br/>
        <w:t xml:space="preserve">        Las disposiciones de un tratado no obligarán a una  parte  respecto</w:t>
        <w:br/>
        <w:t xml:space="preserve">        de ningún acto o hecho que haya tenido lugar con anterioridad a  la</w:t>
        <w:br/>
        <w:t xml:space="preserve">        fecha de entrada en vigor del tratado para esa parte ni de  ninguna</w:t>
        <w:br/>
        <w:t xml:space="preserve">        situación que en esa fecha haya dejado de existir,  salvo  que  una</w:t>
        <w:br/>
        <w:t xml:space="preserve">        intención diferente se desprenda del tratado o conste de otro modo.</w:t>
        <w:br/>
        <w:br/>
        <w:t>109.  En casos en que  la  Corte  ha  declarado  que  no  tenía  competencia</w:t>
        <w:br/>
        <w:t>ratione temporis para decidir sobre ciertos  hechos,  el  Tribunal  ha  sido</w:t>
        <w:br/>
        <w:t>claro  en  afirmar  que  esta  situación  no  implica  un  juicio  sobre  la</w:t>
        <w:br/>
        <w:t>existencia de los mismos[42].</w:t>
        <w:br/>
        <w:br/>
        <w:t>110.  En casos en que se ha alegado la violación de los artículos 5.3 o  6.1</w:t>
        <w:br/>
        <w:t>de la Convención Europea de Protección de los  Derechos  Humanos  y  de  las</w:t>
        <w:br/>
        <w:t>Libertades  Fundamentales,  la  Corte  Europea  de   Derechos   Humanos   ha</w:t>
        <w:br/>
        <w:t>restringido sus consideraciones a los períodos que se enmarcan dentro de  su</w:t>
        <w:br/>
        <w:t>jurisdicción ratione temporis, determinándolos desde  la  fecha  en  que  el</w:t>
        <w:br/>
        <w:t>Estado  reconoció  el  derecho  de  petición  individual  o  ratificó  dicha</w:t>
        <w:br/>
        <w:t>Convención.  Sin embargo, es importante destacar que, al determinar si  hubo</w:t>
        <w:br/>
        <w:t>violación de algún derecho en casos de detención o de duración  del  proceso</w:t>
        <w:br/>
        <w:t>interno, la Corte Europea toma  en  consideración  el  período  transcurrido</w:t>
        <w:br/>
        <w:t>desde la fecha en que dicha ratificación o reconocimiento tuvo efecto[43].</w:t>
        <w:br/>
        <w:br/>
        <w:t>111.  La Corte nota que el proceso penal duró  más  de  12  años,  si  dicho</w:t>
        <w:br/>
        <w:t>período se cuenta a partir del primer arresto del señor Caesar  ocurrido  el</w:t>
        <w:br/>
        <w:t>11 de  noviembre  de  1983,  tal  como  lo  han  hecho  la  Comisión  y  los</w:t>
        <w:br/>
        <w:t>representantes. No obstante, puesto que el reconocimiento de la  competencia</w:t>
        <w:br/>
        <w:t>contenciosa de la Corte por parte de Trinidad y Tobago tuvo efecto a  partir</w:t>
        <w:br/>
        <w:t>del 28 de mayo de 1991, este Tribunal sólo puede tomar en  consideración  el</w:t>
        <w:br/>
        <w:t>período transcurrido  desde  la  fecha  de  dicho  reconocimiento  hasta  la</w:t>
        <w:br/>
        <w:t>decisión de la Court of  Appeal  de  28  de  febrero  de  1996,  que  es  la</w:t>
        <w:br/>
        <w:t>sentencia definitiva dictada en  el  proceso  penal.  El  señor  Caesar  fue</w:t>
        <w:br/>
        <w:t>condenado el 10 de enero de 1992 por la High Court  de  Trinidad  y  Tobago.</w:t>
        <w:br/>
        <w:t>Sus abogados esperaron casi dos años para apelar la sentencia  y  el  28  de</w:t>
        <w:br/>
        <w:t>febrero de 1996 la Court of Appeal desestimó  la  apelación  y  confirmó  la</w:t>
        <w:br/>
        <w:t>sentencia. En consecuencia, la Corte estima  que  la  duración  del  proceso</w:t>
        <w:br/>
        <w:t>penal en el período comprendido entre el 28 de mayo  de  1991  y  el  28  de</w:t>
        <w:br/>
        <w:t>febrero de 1996, descontado el período de casi dos  años  que  los  abogados</w:t>
        <w:br/>
        <w:t>del señor Caesar tardaron en apelar la sentencia ante la  Court  of  Appeal,</w:t>
        <w:br/>
        <w:t>no constituye una demora que pueda ser calificada como irrazonable,  en  los</w:t>
        <w:br/>
        <w:t>términos del artículo 8.1 de la Convención.</w:t>
        <w:br/>
        <w:br/>
        <w:t>112.  Por lo anteriormente expuesto, la Corte considera que el Estado no  es</w:t>
        <w:br/>
        <w:t>responsable de la violación del artículo 8.1 de la Convención.</w:t>
        <w:br/>
        <w:br/>
        <w:t xml:space="preserve">                                      *</w:t>
        <w:br/>
        <w:br/>
        <w:t>113.  La Corte examinará ahora si la presunta víctima tuvo a su  disposición</w:t>
        <w:br/>
        <w:t>un recurso efectivo en la legislación interna para impugnar la existencia  o</w:t>
        <w:br/>
        <w:t>la imposición de penas corporales.</w:t>
        <w:br/>
        <w:br/>
        <w:t>114.  En el presente caso, los  jueces  internos  estaban  autorizados  para</w:t>
        <w:br/>
        <w:t>condenar al señor Caesar a ser flagelado con el “gato de  nueve  colas”,  en</w:t>
        <w:br/>
        <w:t>aplicación de las leyes de Trinidad y Tobago, específicamente de la  Ley  de</w:t>
        <w:br/>
        <w:t>Penas Corporales.</w:t>
        <w:br/>
        <w:br/>
        <w:t>115.  Es importante enfatizar que, si bien  el  señor  Caesar  no  apeló  su</w:t>
        <w:br/>
        <w:t>sentencia ante el Privy Council, al momento de  los  hechos  era  improbable</w:t>
        <w:br/>
        <w:t>que una apelación ante dicha  institución,  respecto  de  la  aplicación  de</w:t>
        <w:br/>
        <w:t>penas corporales, tuviera éxito.   Al  respecto,  el  perito  Desmond  Allum</w:t>
        <w:br/>
        <w:t>señaló que:</w:t>
        <w:br/>
        <w:br/>
        <w:t xml:space="preserve">      [u]na de las razones principales por las cuales no  se  ha  presentado</w:t>
        <w:br/>
        <w:t xml:space="preserve">      una impugnación sustancial a la legalidad de una  sentencia  de  penas</w:t>
        <w:br/>
        <w:t xml:space="preserve">      corporales es la “cláusula de exclusión”. Esta cláusula  ha  asegurado</w:t>
        <w:br/>
        <w:t xml:space="preserve">      efectivamente que los tribunales  [internos]  no  puedan  impugnar  la</w:t>
        <w:br/>
        <w:t xml:space="preserve">      constitucionalidad de una sentencia de castigo corporal, dado que esta</w:t>
        <w:br/>
        <w:t xml:space="preserve">      [cláusula] es anterior a la entrada en vigor  de  la  Constitución  de</w:t>
        <w:br/>
        <w:t xml:space="preserve">      1976, y consecuentemente, fue “salvada”  en  la  ley  de  [Trinidad  y</w:t>
        <w:br/>
        <w:t xml:space="preserve">      Tobago] como buen derecho [(“as good law”)].</w:t>
        <w:br/>
        <w:br/>
        <w:br/>
        <w:t xml:space="preserve">      En el reciente caso Matthew vs. el Estado de Trinidad y Tobago[44], el</w:t>
        <w:br/>
        <w:t xml:space="preserve">      Judicial Committee del Privy Council examinó la cláusula de  exclusión</w:t>
        <w:br/>
        <w:t xml:space="preserve">      en el contexto de la pena de muerte. La mayoría del  Pleno  del  Privy</w:t>
        <w:br/>
        <w:t xml:space="preserve">      Council sostuvo que la pena de muerte de imposición obligatoria es  un</w:t>
        <w:br/>
        <w:t xml:space="preserve">      castigo cruel  e  inusual  y,  por  ello,  es  inconsistente  con  las</w:t>
        <w:br/>
        <w:t xml:space="preserve">      Secciones 4.a) y 5.2.b) de la Constitución.  No obstante,  la  mayoría</w:t>
        <w:br/>
        <w:t xml:space="preserve">      del Pleno sostuvo que la legislación que impone la  obligatoriedad  de</w:t>
        <w:br/>
        <w:t xml:space="preserve">      la pena de muerte fue dictada con anterioridad a  la  Constitución  y,</w:t>
        <w:br/>
        <w:t xml:space="preserve">      con base en la “cláusula de exclusión” establecida en la Sección 6, no</w:t>
        <w:br/>
        <w:t xml:space="preserve">      podía ser invalidada  por  referencia  a  los  derechos  fundamentales</w:t>
        <w:br/>
        <w:t xml:space="preserve">      establecidos  en  las  Secciones   4   y   5   de   la   Constitución.</w:t>
        <w:br/>
        <w:t xml:space="preserve">      Consecuentemente, la mayoría sostuvo la validez de la pena  de  muerte</w:t>
        <w:br/>
        <w:t xml:space="preserve">      de imposición obligatoria.</w:t>
        <w:br/>
        <w:br/>
        <w:t>116.  En el mismo sentido, en una sentencia de 2002 referente a un  caso  en</w:t>
        <w:br/>
        <w:t>Bahamas, el Judicial  Committee  del  Privy  Council  observó  que  “[…]  es</w:t>
        <w:br/>
        <w:t>aceptado que la flagelación es un castigo inhumano  y  degradante  y,  salvo</w:t>
        <w:br/>
        <w:t>que esté protegido de impugnación constitucional por algún otro precepto  de</w:t>
        <w:br/>
        <w:t>la Constitución, se considera  inconstitucional  con  base  en  el  precepto</w:t>
        <w:br/>
        <w:t>constitucional [que prohíbe la tortura y  el  trato  o  castigo  inhumano  o</w:t>
        <w:br/>
        <w:t>degradante]”[45].  Sin embargo, con  base  en  la  “cláusula  de  exclusión”</w:t>
        <w:br/>
        <w:t>contenida en la Constitución  de  Bahamas,  el  Privy  Council  confirmó  la</w:t>
        <w:br/>
        <w:t>constitucionalidad de la legislación que prevé las penas corporales.</w:t>
        <w:br/>
        <w:br/>
        <w:t>117.  De lo anterior se desprende que el Estado no  proveyó  a  la  presunta</w:t>
        <w:br/>
        <w:t>víctima de un recurso efectivo para impugnar la imposición de la  mencionada</w:t>
        <w:br/>
        <w:t>pena corporal.  Consecuentemente, la Corte considera que Trinidad  y  Tobago</w:t>
        <w:br/>
        <w:t>es responsable por la  violación  del  artículo  25  de  la  Convención,  en</w:t>
        <w:br/>
        <w:t>relación con los artículos 1.1 y 2 de  la  misma,  en  perjuicio  del  señor</w:t>
        <w:br/>
        <w:t>Caesar.</w:t>
        <w:br/>
        <w:br/>
        <w:br/>
        <w:br/>
        <w:t xml:space="preserve">                                      X</w:t>
        <w:br/>
        <w:t xml:space="preserve">                                REPARACIONES</w:t>
        <w:br/>
        <w:t xml:space="preserve">          (Aplicación del artículo 63.1 de la Convención Americana)</w:t>
        <w:br/>
        <w:br/>
        <w:br/>
        <w:t>Alegatos de la Comisión</w:t>
        <w:br/>
        <w:br/>
        <w:t>118.  La Comisión argumentó que:</w:t>
        <w:br/>
        <w:br/>
        <w:t xml:space="preserve">   a) el Estado debe pagar una indemnización razonable y justificada por los</w:t>
        <w:br/>
        <w:t xml:space="preserve">      daños materiales e inmateriales en relación con  las  violaciones  que</w:t>
        <w:br/>
        <w:t xml:space="preserve">      sufrió el señor Caesar;</w:t>
        <w:br/>
        <w:t xml:space="preserve">   b) el señor Caesar tiene derecho a un monto de  indemnización  suficiente</w:t>
        <w:br/>
        <w:t xml:space="preserve">      para reflejar el carácter fundamental y serio de la naturaleza de  las</w:t>
        <w:br/>
        <w:t xml:space="preserve">      violaciones  cometidas  contra  él,  para  otorgarle  una   reparación</w:t>
        <w:br/>
        <w:t xml:space="preserve">      adecuada y evitar que violaciones similares se comentan en el futuro;</w:t>
        <w:br/>
        <w:t xml:space="preserve">   c) no tenía objeciones a la solicitud de los representantes  referente  a</w:t>
        <w:br/>
        <w:t xml:space="preserve">      la  excarcelación  adelantada  del  señor  Caesar,   basada   en   las</w:t>
        <w:br/>
        <w:t xml:space="preserve">      circunstancias del presente caso; y</w:t>
        <w:br/>
        <w:t xml:space="preserve">   d) las  medidas  para  asegurar  la  no  repetición  de  las  violaciones</w:t>
        <w:br/>
        <w:t xml:space="preserve">      padecidas por el señor Caesar son decisivas a través de  una  decisión</w:t>
        <w:br/>
        <w:t xml:space="preserve">      justa y efectiva por parte  de  la  Corte.   En  particular,  se  debe</w:t>
        <w:br/>
        <w:t xml:space="preserve">      obligar al Estado  a  adoptar  las  medidas  legislativas  o  de  otro</w:t>
        <w:br/>
        <w:t xml:space="preserve">      carácter que puedan resultar necesarias para:</w:t>
        <w:br/>
        <w:br/>
        <w:br/>
        <w:t xml:space="preserve">     i. hacer efectivo  el  derecho  a  ser  juzgado  dentro  de  un  plazo</w:t>
        <w:br/>
        <w:t xml:space="preserve">        razonable, de conformidad  con  los  artículos  7.5  y  8.1  de  la</w:t>
        <w:br/>
        <w:t xml:space="preserve">        Convención;</w:t>
        <w:br/>
        <w:t xml:space="preserve">    ii. derogar o prohibir la pena de flagelación dispuesta en  la  Ley  de</w:t>
        <w:br/>
        <w:t xml:space="preserve">        Penas Corporales;</w:t>
        <w:br/>
        <w:t xml:space="preserve">   iii. asegurar que las condiciones de detención  en  Trinidad  y  Tobago,</w:t>
        <w:br/>
        <w:t xml:space="preserve">        incluidas las del señor Caesar, cumplan con los  estándares  de  un</w:t>
        <w:br/>
        <w:t xml:space="preserve">        trato humano previstas por el artículo 5 de la  Convención; y</w:t>
        <w:br/>
        <w:t xml:space="preserve">    iv. derogar la “cláusula de exclusión” contenida en la Sección 6 de  la</w:t>
        <w:br/>
        <w:t xml:space="preserve">        Constitución de Trinidad y Tobago, en  cuanto  imposibilite  a  las</w:t>
        <w:br/>
        <w:t xml:space="preserve">        personas el acceso a un recurso efectivo ante una corte o  tribunal</w:t>
        <w:br/>
        <w:t xml:space="preserve">        competentes para la protección contra actos que violen sus derechos</w:t>
        <w:br/>
        <w:t xml:space="preserve">        fundamentales contenidos en la Constitución de Trinidad y Tobago.</w:t>
        <w:br/>
        <w:br/>
        <w:br/>
        <w:br/>
        <w:br/>
        <w:t>Alegatos de los Representantes</w:t>
        <w:br/>
        <w:br/>
        <w:br/>
        <w:t>119.  Los representantes no solicitaron compensación pecuniaria alguna  para</w:t>
        <w:br/>
        <w:t>el señor  Caesar,  debido  a  que  una  compensación  de  esta  índole,  que</w:t>
        <w:br/>
        <w:t>normalmente  podría  ser  una  reparación  apropiada,  le  sería  de  escasa</w:t>
        <w:br/>
        <w:t>utilidad en sus condiciones  actuales  recluido  en  una  cárcel  de  máxima</w:t>
        <w:br/>
        <w:t>seguridad. Los representantes sostuvieron que en los casos en los cuales  la</w:t>
        <w:br/>
        <w:t>violación ha sido  cometida  y  no  es  posible  la  plena  restitución,  la</w:t>
        <w:br/>
        <w:t>mitigación de la pena es el remedio apropiado para una  persona  privada  de</w:t>
        <w:br/>
        <w:t>libertad que cumple una sentencia.  Por tanto, un remedio adecuado  para  la</w:t>
        <w:br/>
        <w:t>violación de los derechos del señor Caesar sería que se le libere  ahora  de</w:t>
        <w:br/>
        <w:t>su sentencia y que el  resto  de  la  misma  sea  condonada.   Además,  como</w:t>
        <w:br/>
        <w:t>consecuencia de haber violado el artículo 2 de la  Convención  Americana  el</w:t>
        <w:br/>
        <w:t>Estado está obligado  a  tomar  las  medidas  necesarias  para  remediar  la</w:t>
        <w:br/>
        <w:t>incongruencia entre su ley  y  la  Convención  Americana.   Finalmente,  los</w:t>
        <w:br/>
        <w:t>representantes no solicitaron el pago de costas ante  la  Corte,  por  haber</w:t>
        <w:br/>
        <w:t>actuado pro bono.</w:t>
        <w:br/>
        <w:br/>
        <w:br/>
        <w:t>Consideraciones de la Corte</w:t>
        <w:br/>
        <w:br/>
        <w:t>120.   De  conformidad  con  el  análisis  realizado  en   los   capítulos</w:t>
        <w:br/>
        <w:t>precedentes, la Corte ha declarado, con base en los hechos  del  caso,  la</w:t>
        <w:br/>
        <w:t>violación de los artículos  5.1  y  5.2  de  la  Convención  Americana  en</w:t>
        <w:br/>
        <w:t>relación con el artículo 1.1 de la misma; del artículo 2 de la  Convención</w:t>
        <w:br/>
        <w:t>en relación con los artículos 5.1 y  5.2  del  mismo  instrumento;  y  del</w:t>
        <w:br/>
        <w:t>artículo 25 de la Convención Americana, en relación con los artículos 1  y</w:t>
        <w:br/>
        <w:t>2 de la misma.  La Corte ha establecido, en  varias  ocasiones,  que  toda</w:t>
        <w:br/>
        <w:t>violación de una obligación  internacional  que  haya  producido  un  daño</w:t>
        <w:br/>
        <w:t>comporta el deber de repararlo adecuadamente[46].   A  tales  efectos,  el</w:t>
        <w:br/>
        <w:t>artículo 63.1 de la Convención Americana establece que: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121.  Tal como lo ha señalado la Corte, el artículo 63.1  de  la  Convención</w:t>
        <w:br/>
        <w:t>Americana refleja una  norma  consuetudinaria  que  constituye  uno  de  los</w:t>
        <w:br/>
        <w:t>principios fundamentales del Derecho Internacional  contemporáneo  sobre  la</w:t>
        <w:br/>
        <w:t>responsabilidad de los Estados.  De esta  manera,  al  producirse  un  hecho</w:t>
        <w:br/>
        <w:t>ilícito imputable  a  un  Estado,  surge  de  inmediato  la  responsabilidad</w:t>
        <w:br/>
        <w:t>internacional de éste por la violación de la norma internacional de  que  se</w:t>
        <w:br/>
        <w:t>trata, con  el  consecuente  deber  de  reparación  y  de  hacer  cesar  las</w:t>
        <w:br/>
        <w:t>consecuencias de la violación[47].</w:t>
        <w:br/>
        <w:br/>
        <w:t>122.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 a la violación.  De no  ser  esto  posible,  como  en  el</w:t>
        <w:br/>
        <w:t>presente caso, cabe  al  tribunal  internacional  determinar  una  serie  de</w:t>
        <w:br/>
        <w:t>medidas  para  que,  además  de  garantizar  el  respeto  de  los   derechos</w:t>
        <w:br/>
        <w:t>conculcados, se reparen las consecuencias que produjeron las infracciones  y</w:t>
        <w:br/>
        <w:t>se establezca el pago de una indemnización como compensación por  los  daños</w:t>
        <w:br/>
        <w:t>ocasionados[48].  La obligación de reparar,  que  se  regula  en  todos  los</w:t>
        <w:br/>
        <w:t>aspectos  (alcance,  naturaleza,  modalidades   y   determinación   de   los</w:t>
        <w:br/>
        <w:t>beneficiarios) por el Derecho  Internacional,  no  puede  ser  modificada  o</w:t>
        <w:br/>
        <w:t>incumplida por el Estado obligado, invocando  disposiciones  de  su  derecho</w:t>
        <w:br/>
        <w:t>interno[49].</w:t>
        <w:br/>
        <w:br/>
        <w:t>123.  Las reparaciones, como el término lo indica, consisten en las  medidas</w:t>
        <w:br/>
        <w:t>que tienden a hacer desaparecer los efectos de  las  violaciones  cometidas.</w:t>
        <w:br/>
        <w:t>Su naturaleza y su monto dependen del daño ocasionado en  los  planos  tanto</w:t>
        <w:br/>
        <w:t>material  como  inmaterial.   Las  reparaciones  no   pueden   implicar   ni</w:t>
        <w:br/>
        <w:t>enriquecimiento ni empobrecimiento para la víctima o sus sucesores[50].</w:t>
        <w:br/>
        <w:br/>
        <w:t>124.   A la luz de los criterios anteriores, la  Corte  procede  a  analizar</w:t>
        <w:br/>
        <w:t>las pretensiones presentadas  por  la  Comisión  y  por  los  representantes</w:t>
        <w:br/>
        <w:t>respecto de  las  reparaciones,  con  el  objeto  de  disponer  las  medidas</w:t>
        <w:br/>
        <w:t>tendientes a reparar los daños en el presente caso.</w:t>
        <w:br/>
        <w:br/>
        <w:br/>
        <w:t xml:space="preserve">                                      *</w:t>
        <w:br/>
        <w:br/>
        <w:br/>
        <w:br/>
        <w:br/>
        <w:t xml:space="preserve">                             Daños inmateriales</w:t>
        <w:br/>
        <w:br/>
        <w:br/>
        <w:t>125.  El daño inmaterial puede  comprender  tanto  los  sufrimientos  y  las</w:t>
        <w:br/>
        <w:t>aflicciones  causados  a  las  víctimas  directas  y  a  sus  allegados,  el</w:t>
        <w:br/>
        <w:t>menoscabo de valores muy significativos para  las  personas,  así  como  las</w:t>
        <w:br/>
        <w:t>alteraciones, de carácter no pecuniario, en las  condiciones  de  existencia</w:t>
        <w:br/>
        <w:t>de la víctima o su familia.  No siendo posible asignar  al  daño  inmaterial</w:t>
        <w:br/>
        <w:t>un preciso  equivalente  monetario,  sólo  puede,  para  los  fines  de  las</w:t>
        <w:br/>
        <w:t>reparación integral a las víctimas, ser objeto de compensación,  y  ello  de</w:t>
        <w:br/>
        <w:t>dos maneras.  En primer lugar, mediante el pago de una cantidad de dinero  o</w:t>
        <w:br/>
        <w:t>la entrega de bienes o servicios apreciables  en  dinero,  que  el  Tribunal</w:t>
        <w:br/>
        <w:t>determine en aplicación razonable del arbitrio judicial  y  en  términos  de</w:t>
        <w:br/>
        <w:t>equidad.  Y, en segundo lugar, mediante la realización de actos u  obras  de</w:t>
        <w:br/>
        <w:t>alcance o repercusión públicos, tales como la transmisión de un  mensaje  de</w:t>
        <w:br/>
        <w:t>reprobación oficial a las violaciones de los  derechos  humanos  de  que  se</w:t>
        <w:br/>
        <w:t>trata y de compromiso con los  esfuerzos  tendientes  a  que  no  vuelvan  a</w:t>
        <w:br/>
        <w:t>ocurrir y que tengan como efecto,  entre  otros,  el  reconocimiento  de  la</w:t>
        <w:br/>
        <w:t>dignidad de la víctima[51].  El primer  aspecto  de  la  reparación  de  los</w:t>
        <w:br/>
        <w:t>daños inmateriales  se  analizará  en  esta  sección  y  el  segundo  en  la</w:t>
        <w:br/>
        <w:t>siguiente.</w:t>
        <w:br/>
        <w:br/>
        <w:t>126.  La jurisprudencia internacional ha establecido reiteradamente  que  la</w:t>
        <w:br/>
        <w:t>sentencia constituye,  per  se,  una  forma  de  reparación.   No  obstante,</w:t>
        <w:br/>
        <w:t>tomando en cuenta las circunstancias del presente caso y  sus  consecuencias</w:t>
        <w:br/>
        <w:t>de orden no material o no pecuniario que ha sufrido  la  víctima,  la  Corte</w:t>
        <w:br/>
        <w:t>estima pertinente que los daños inmateriales deben ser  reparados,  conforme</w:t>
        <w:br/>
        <w:t>a equidad, mediante el pago de una compensación[52].</w:t>
        <w:br/>
        <w:br/>
        <w:t>127.  Para establecer una compensación por el daño inmaterial  padecido  por</w:t>
        <w:br/>
        <w:t>la víctima, la Corte toma en cuenta  las  circunstancias  agravantes  de  la</w:t>
        <w:br/>
        <w:t>imposición  de  la  pena  corporal   con   el   “gato   de   nueve   colas”,</w:t>
        <w:br/>
        <w:t>específicamente la angustia, el profundo miedo y  la  humillación  padecidas</w:t>
        <w:br/>
        <w:t>por el señor Caesar antes y durante la  flagelación.  Además,  la  Corte  ha</w:t>
        <w:br/>
        <w:t>observado que la demora en ejecutar la sentencia de  flagelación  incrementó</w:t>
        <w:br/>
        <w:t>la  angustia  de  la  víctima  mientras  esperaba  a  ser  castigado.   Como</w:t>
        <w:br/>
        <w:t>consecuencia del castigo  corporal,  el  señor  Caesar  continua  padeciendo</w:t>
        <w:br/>
        <w:t>dolor en sus hombros y también ha  padecido,  inter  alia,  de  síntomas  de</w:t>
        <w:br/>
        <w:t>depresión, miedo y ansiedad lo  suficientemente  graves  como  para  que  el</w:t>
        <w:br/>
        <w:t>perito  Robert  Ferris  le  diagnosticara,  al  menos,  un   transtorno   de</w:t>
        <w:br/>
        <w:t>adaptación.  Por último, desde su encarcelamiento, la  víctima  ha  padecido</w:t>
        <w:br/>
        <w:t>serios problemas de salud que no han sido  tratados  adecuadamente  por  las</w:t>
        <w:br/>
        <w:t>autoridades (supra párrs. 49.18, 49.19, 49.21, 49.31, 49.32 y 89).</w:t>
        <w:br/>
        <w:br/>
        <w:t>128.  Tomando en cuenta todos los  elementos  del  presente  caso  la  Corte</w:t>
        <w:br/>
        <w:t>estima pertinente fijar, en equidad, la suma  de  US$  50.000,00  (cincuenta</w:t>
        <w:br/>
        <w:t>mil dólares de  los  Estados  Unidos  de  América)  como  indemnización  por</w:t>
        <w:br/>
        <w:t>concepto de daño inmaterial a favor del señor Caesar.  La Corte  hace  notar</w:t>
        <w:br/>
        <w:t>que  no  se  presentaron  solicitudes  específicas  en  relación   con   los</w:t>
        <w:br/>
        <w:t>familiares del señor Caesar.</w:t>
        <w:br/>
        <w:br/>
        <w:br/>
        <w:t xml:space="preserve">                                      *</w:t>
        <w:br/>
        <w:br/>
        <w:br/>
        <w:br/>
        <w:t xml:space="preserve">                      B)    Otras Formas de Reparación</w:t>
        <w:br/>
        <w:t xml:space="preserve">           (Medidas de Satisfacción y Garantías de no Repetición)</w:t>
        <w:br/>
        <w:br/>
        <w:br/>
        <w:t>129.   En  este  apartado  el  Tribunal  determinará  aquellas  medidas   de</w:t>
        <w:br/>
        <w:t>satisfacción que buscan reparar el daño inmaterial  que  no  tienen  alcance</w:t>
        <w:br/>
        <w:t>pecuniario, así como también dispondrá  medidas  de  alcance  o  repercusión</w:t>
        <w:br/>
        <w:t>pública[53].</w:t>
        <w:br/>
        <w:br/>
        <w:t>130.  La Corte ha declarado  que  la  imposición  de  penas  corporales  por</w:t>
        <w:br/>
        <w:t>flagelación es absolutamente incompatible con la  Convención.   El  carácter</w:t>
        <w:br/>
        <w:t>aberrante de dicha pena ha llevado a  la  Corte  a  declarar  que  el  señor</w:t>
        <w:br/>
        <w:t>Caesar fue  sometido  a  tortura,  así  como  a  otros  tratos  inhumanos  y</w:t>
        <w:br/>
        <w:t>degradantes debido a las condiciones de su detención (supra párrs. 70, 73  y</w:t>
        <w:br/>
        <w:t>101).</w:t>
        <w:br/>
        <w:br/>
        <w:t>131.  Asimismo, después de examinar la  prueba  presentada  en  el  presente</w:t>
        <w:br/>
        <w:t>caso, es claro que los problemas físicos y  psicológicos  del  señor  Caesar</w:t>
        <w:br/>
        <w:t>aún persisten y no han sido  tratados  adecuadamente  (supra  párr.  49.32).</w:t>
        <w:br/>
        <w:t>Consecuentemente, la Corte considera apropiado ordenar, como lo ha hecho  en</w:t>
        <w:br/>
        <w:t>otros casos[54], que el Estado debe  proveer  al  señor  Winston  Caesar,  a</w:t>
        <w:br/>
        <w:t>partir de la notificación de la presente Sentencia, por el  tiempo  que  sea</w:t>
        <w:br/>
        <w:t>necesario, sin cargo alguno,  por  medio  de  los  servicios  nacionales  de</w:t>
        <w:br/>
        <w:t>salud, un adecuado tratamiento médico y psicológico, incluida  la  provisión</w:t>
        <w:br/>
        <w:t>de medicamentos,  según  las  prescripciones  de  especialistas  debidamente</w:t>
        <w:br/>
        <w:t>calificados.</w:t>
        <w:br/>
        <w:br/>
        <w:t>132.  Por haber declarado que la Ley de  Penas  Corporales  es  incompatible</w:t>
        <w:br/>
        <w:t>con los términos del artículo 5.1 y 5.2 de la Convención (supra párr.  73  y</w:t>
        <w:br/>
        <w:t>94), la Corte requiere al Estado que adopte, dentro de un  plazo  razonable,</w:t>
        <w:br/>
        <w:t>las medidas legislativas o de otra índole necesarias para derogar la Ley  de</w:t>
        <w:br/>
        <w:t>Penas Corporales.</w:t>
        <w:br/>
        <w:br/>
        <w:t>133.  La Corte ha establecido que “la sección 6 de  la  Constitución  de  la</w:t>
        <w:br/>
        <w:t>República de Trinidad y Tobago, que data  de  1976,  establece  que  ninguna</w:t>
        <w:br/>
        <w:t>norma anterior a la entrada  en  vigencia  de  ésta,  puede  ser  objeto  de</w:t>
        <w:br/>
        <w:t>impugnación constitucional en cuanto a sus Secciones 4 y 5 […].  La  Ley  de</w:t>
        <w:br/>
        <w:t>Delitos contra la Persona es incompatible con  la  Convención  Americana  y,</w:t>
        <w:br/>
        <w:t>por lo tanto,  cualquier  disposición  que  determine  su  inimpugnabilidad,</w:t>
        <w:br/>
        <w:t>también lo es en virtud de que  Trinidad  y  Tobago,  al  ser  parte  de  la</w:t>
        <w:br/>
        <w:t>Convención en el momento de los hechos, no puede invocar  las  disposiciones</w:t>
        <w:br/>
        <w:t>de su derecho interno para justificar el incumplimiento de sus  obligaciones</w:t>
        <w:br/>
        <w:t>internacionales”[55]. En el mismo sentido, al imposibilitar que  la  Ley  de</w:t>
        <w:br/>
        <w:t>Penas Corporales sea impugnada, la “cláusula de exclusión” contenida  en  la</w:t>
        <w:br/>
        <w:t>Sección 6 de la Constitución de Trinidad y Tobago  es  incompatible  con  la</w:t>
        <w:br/>
        <w:t>Convención. En consecuencia, la Corte considera pertinente  ordenar  que  el</w:t>
        <w:br/>
        <w:t>Estado enmiende, dentro de un plazo razonable, la mencionada  Sección  6  de</w:t>
        <w:br/>
        <w:t>la Constitución de Trinidad y Tobago, en cuanto imposibilite a las  personas</w:t>
        <w:br/>
        <w:t>el acceso a  un  recurso  efectivo  ante  un  tribunal  competente  para  la</w:t>
        <w:br/>
        <w:t>protección violaciones de sus derechos humanos.</w:t>
        <w:br/>
        <w:br/>
        <w:t>134.   En  relación  con  los  párrafos  precedentes,  la  Comisión  y   los</w:t>
        <w:br/>
        <w:t>representantes también alegaron que  el  sistema  penitenciario  del  Estado</w:t>
        <w:br/>
        <w:t>mantiene a las personas privadas de libertad en condiciones que no  respetan</w:t>
        <w:br/>
        <w:t>sus derechos a la integridad física y mental y a recibir  un  trato  humano.</w:t>
        <w:br/>
        <w:t>Al respecto, la Corte declaró que las condiciones de detención a las  cuales</w:t>
        <w:br/>
        <w:t>ha sido sometido el señor Caesar  son  contrarias  al  artículo  5.2  de  la</w:t>
        <w:br/>
        <w:t>Convención y son  representativas  del  sistema  carcelario  de  Trinidad  y</w:t>
        <w:br/>
        <w:t>Tobago (supra párrs. 49.22 y 100). Por estas  razones,  la  Corte  considera</w:t>
        <w:br/>
        <w:t>oportuno requerir al Estado, como lo hizo en el caso  Hilaire,  Constantine,</w:t>
        <w:br/>
        <w:t>Benjamin y otros[56] y como una  garantía  de  no  repetición,  que  adopte,</w:t>
        <w:br/>
        <w:t>dentro  de  un  plazo  razonable,  las  medidas  necesarias  para  que   las</w:t>
        <w:br/>
        <w:t>condiciones de las cárceles se  adecuen  a  las  normas  internacionales  de</w:t>
        <w:br/>
        <w:t>derechos humanos en este tema.</w:t>
        <w:br/>
        <w:br/>
        <w:br/>
        <w:t xml:space="preserve">                                      *</w:t>
        <w:br/>
        <w:br/>
        <w:br/>
        <w:t xml:space="preserve">                             C) Gastos y costas</w:t>
        <w:br/>
        <w:br/>
        <w:br/>
        <w:t>135.  Dado que los representantes no solicitaron ni gastos  ni  costas  ante</w:t>
        <w:br/>
        <w:t>la Corte, ya que están actuando pro bono, y la  Comisión  no  ha  presentado</w:t>
        <w:br/>
        <w:t>ninguna observación al respecto, la Corte no otorga  particulares  gastos  y</w:t>
        <w:br/>
        <w:t>costas en el presente caso.</w:t>
        <w:br/>
        <w:br/>
        <w:br/>
        <w:br/>
        <w:t xml:space="preserve">                                     XI</w:t>
        <w:br/>
        <w:t xml:space="preserve">                          Modalidad de Cumplimiento</w:t>
        <w:br/>
        <w:br/>
        <w:br/>
        <w:t>136.  Para dar cumplimiento  a  la  presente  Sentencia,  el  Estado  deberá</w:t>
        <w:br/>
        <w:t>efectuar el pago de la indemnización (supra párr. 128) dentro del  plazo  de</w:t>
        <w:br/>
        <w:t>un año contado a partir  de  la  notificación  de  esta  Sentencia;  y  debe</w:t>
        <w:br/>
        <w:t>adoptar las otras medidas de reparación, según los términos de los  párrafos</w:t>
        <w:br/>
        <w:t>131 a 134.</w:t>
        <w:br/>
        <w:br/>
        <w:t>137.  El pago de la indemnización establecida a favor  de  la  víctima  será</w:t>
        <w:br/>
        <w:t>hecha directamente a él. Si la víctima hubiere fallecido  o  fallezca  antes</w:t>
        <w:br/>
        <w:t>del pago de la correspondiente indemnización, dicha cantidad se  distribuirá</w:t>
        <w:br/>
        <w:t>conforme el derecho nacional aplicable.</w:t>
        <w:br/>
        <w:br/>
        <w:t>138.  El Estado  puede  cumplir  sus  obligaciones  de  carácter  pecuniario</w:t>
        <w:br/>
        <w:t>mediante el pago en dólares de los  Estados  Unidos  de  América  o  en  una</w:t>
        <w:br/>
        <w:t>cantidad equivalente en moneda  nacional  del  Estado,  utilizando  para  el</w:t>
        <w:br/>
        <w:t>cálculo respectivo el tipo de cambio entre ambas monedas  que  esté  vigente</w:t>
        <w:br/>
        <w:t>en la plaza de Nueva York, Estados Unidos de América,  el  día  anterior  al</w:t>
        <w:br/>
        <w:t>pago.</w:t>
        <w:br/>
        <w:br/>
        <w:t>139.  Si por causas atribuibles  al  beneficiario  de  la  indemnización  no</w:t>
        <w:br/>
        <w:t>fuera posible que la reciba dentro del indicado plazo de un año,  contado  a</w:t>
        <w:br/>
        <w:t>partir de la notificación de la presente  Sentencia,  el  Estado  consignará</w:t>
        <w:br/>
        <w:t>dichos montos a favor del  beneficiario  en  una  cuenta  o  certificado  de</w:t>
        <w:br/>
        <w:t>depósito en una institución bancaria  solvente  de  Trinidad  y  Tobago,  en</w:t>
        <w:br/>
        <w:t>dólares estadounidenses y en las condiciones financieras más favorables  que</w:t>
        <w:br/>
        <w:t>permitan la legislación y la práctica bancarias.  Si al cabo  de  diez  años</w:t>
        <w:br/>
        <w:t>la indemnización no ha sido reclamada, la cantidad será devuelta  al  Estado</w:t>
        <w:br/>
        <w:t>con los intereses devengados.</w:t>
        <w:br/>
        <w:br/>
        <w:t>140.   El  monto  asignado  en  la  presente  Sentencia  bajo  concepto   de</w:t>
        <w:br/>
        <w:t>indemnización  del  daño  inmaterial  no  podrá  ser  afectado,  reducido  o</w:t>
        <w:br/>
        <w:t>condicionado por motivos fiscales  actuales  o  futuros.   En  consecuencia,</w:t>
        <w:br/>
        <w:t>deberá  ser  entregado  a  la  víctima  en  forma  íntegra  conforme  a   lo</w:t>
        <w:br/>
        <w:t>establecido en la Sentencia.</w:t>
        <w:br/>
        <w:br/>
        <w:t>141.  En caso de que el Estado incurriera en mora, deberá pagar  un  interés</w:t>
        <w:br/>
        <w:t>sobre la cantidad adeudada, correspondiente al  interés  bancario  moratorio</w:t>
        <w:br/>
        <w:t>en Trinidad y Tobago.</w:t>
        <w:br/>
        <w:br/>
        <w:t>142.  Conforme a su práctica constante, la  Corte  se  reserva  la  facultad</w:t>
        <w:br/>
        <w:t>inherente a sus atribuciones de supervisar el  cumplimiento  íntegro  de  la</w:t>
        <w:br/>
        <w:t>presente Sentencia.  El caso se dará por concluido una  vez  que  el  Estado</w:t>
        <w:br/>
        <w:t>haya dado cabal cumplimiento a lo dispuesto en el  presente  fallo.   Dentro</w:t>
        <w:br/>
        <w:t>del plazo de un año, contado a partir de la notificación de esta  Sentencia,</w:t>
        <w:br/>
        <w:t>el Estado deberá rendir a la Corte  un  primer  informe  sobre  las  medidas</w:t>
        <w:br/>
        <w:t>adoptadas para dar cumplimiento a esta Sentencia.</w:t>
        <w:br/>
        <w:br/>
        <w:br/>
        <w:br/>
        <w:t xml:space="preserve">                                     XII</w:t>
        <w:br/>
        <w:t xml:space="preserve">                             Puntos Resolutivos</w:t>
        <w:br/>
        <w:br/>
        <w:br/>
        <w:br/>
        <w:t>143.  Por tanto,</w:t>
        <w:br/>
        <w:br/>
        <w:br/>
        <w:br/>
        <w:t xml:space="preserve">      LA CORTE</w:t>
        <w:br/>
        <w:br/>
        <w:br/>
        <w:br/>
        <w:br/>
        <w:br/>
        <w:br/>
        <w:br/>
        <w:br/>
        <w:t>DECLARA,</w:t>
        <w:br/>
        <w:br/>
        <w:br/>
        <w:br/>
        <w:t>por unanimidad, que:</w:t>
        <w:br/>
        <w:br/>
        <w:br/>
        <w:t>1.    El Estado violó el derecho consagrado en el artículo 5.1 y 5.2  de  la</w:t>
        <w:br/>
        <w:t>Convención Americana sobre Derechos Humanos, en  relación  con  el  artículo</w:t>
        <w:br/>
        <w:t>1.1 de la misma, en perjuicio del señor Winston Caesar, en los  términos  de</w:t>
        <w:br/>
        <w:t>los párrafos 70, 73, 89 y 100 de esta Sentencia.</w:t>
        <w:br/>
        <w:br/>
        <w:br/>
        <w:t>2.    El Estado incumplió su obligación consagrada en el artículo  2  de  la</w:t>
        <w:br/>
        <w:t>Convención Americana sobre Derechos Humanos, en  relación  con  el  artículo</w:t>
        <w:br/>
        <w:t>5.1 y 5.2 de la misma,  en  perjuicio  del  señor  Winston  Caesar,  en  los</w:t>
        <w:br/>
        <w:t>términos del párrafo 94 de esta Sentencia.</w:t>
        <w:br/>
        <w:br/>
        <w:br/>
        <w:t>3.    El Estado no violó el derecho consagrado en  el  artículo  8.1  de  la</w:t>
        <w:br/>
        <w:t>Convención Americana sobre Derechos Humanos, por las  razones  expuestas  en</w:t>
        <w:br/>
        <w:t>los párrafos 106 a 112 de esta Sentencia.</w:t>
        <w:br/>
        <w:br/>
        <w:br/>
        <w:t>4.    El Estado violó  el  derecho  consagrado  en  el  artículo  25  de  la</w:t>
        <w:br/>
        <w:t>Convención Americana sobre Derechos Humanos, en relación con  los  artículos</w:t>
        <w:br/>
        <w:t>1.1 y 2 de la misma, en perjuicio del señor Winston Caesar, en los  términos</w:t>
        <w:br/>
        <w:t>del párrafo 113 a 117 de esta Sentencia.</w:t>
        <w:br/>
        <w:br/>
        <w:br/>
        <w:t>5.    Esta Sentencia constituye per se  una  forma  de  reparación,  en  los</w:t>
        <w:br/>
        <w:t>términos del párrafo 126 de la presente Sentencia.</w:t>
        <w:br/>
        <w:br/>
        <w:br/>
        <w:br/>
        <w:br/>
        <w:t>Y DECIDE:</w:t>
        <w:br/>
        <w:br/>
        <w:br/>
        <w:t>por unanimidad, que:</w:t>
        <w:br/>
        <w:br/>
        <w:br/>
        <w:br/>
        <w:t>1.    El Estado debe pagar al señor Winston Caesar,  por  concepto  de  daño</w:t>
        <w:br/>
        <w:t>inmaterial, la cantidad fijada en el párrafo 128 de la presente Sentencia.</w:t>
        <w:br/>
        <w:br/>
        <w:br/>
        <w:t>2.    El Estado debe proveer  al  señor  Winston  Caesar,  a  partir  de  la</w:t>
        <w:br/>
        <w:t>notificación de la presente Sentencia, por el tiempo que sea necesario,  sin</w:t>
        <w:br/>
        <w:t>cargo alguno, por medio de los servicios nacionales de  salud,  un  adecuado</w:t>
        <w:br/>
        <w:t>tratamiento médico y psicológico, incluida  la  provisión  de  medicamentos,</w:t>
        <w:br/>
        <w:t>según las prescripciones de especialistas debidamente  calificados,  en  los</w:t>
        <w:br/>
        <w:t>términos del párrafo 131 de la presente Sentencia.</w:t>
        <w:br/>
        <w:br/>
        <w:br/>
        <w:t>3.    El Estado debe adoptar, dentro de  un  plazo  razonable,  las  medidas</w:t>
        <w:br/>
        <w:t>legislativas o de otra índole  necesarias  para  derogar  la  Ley  de  Penas</w:t>
        <w:br/>
        <w:t>Corporales (para Delincuentes Mayores de  18  años),  en  los  términos  del</w:t>
        <w:br/>
        <w:t>párrafo 132 de la presente Sentencia.</w:t>
        <w:br/>
        <w:br/>
        <w:br/>
        <w:t>4.    El Estado debe enmendar, dentro de un plazo razonable,  la  Sección  6</w:t>
        <w:br/>
        <w:t>de la Constitución de Trinidad y Tobago, en los términos del párrafo 133  de</w:t>
        <w:br/>
        <w:t>la presente Sentencia.</w:t>
        <w:br/>
        <w:br/>
        <w:br/>
        <w:br/>
        <w:t>5.    El Estado debe adoptar, dentro de  un  plazo  razonable,  las  medidas</w:t>
        <w:br/>
        <w:t>necesarias para  que  las  condiciones  de  detención  en  las  cárceles  de</w:t>
        <w:br/>
        <w:t>Trinidad y Tobago se  adecuen  a  las  normas  internacionales  de  derechos</w:t>
        <w:br/>
        <w:t>humanos en este tema, en  los  términos  del  párrafo  134  de  la  presente</w:t>
        <w:br/>
        <w:t>Sentencia.</w:t>
        <w:br/>
        <w:br/>
        <w:br/>
        <w:t>6.    El Estado debe efectuar el pago de la indemnización directamente a  la</w:t>
        <w:br/>
        <w:t>víctima dentro del plazo de un año, contado a partir de la notificación  del</w:t>
        <w:br/>
        <w:t>presente fallo, en los términos del párrafo 128 de esta Sentencia.</w:t>
        <w:br/>
        <w:br/>
        <w:br/>
        <w:t>7.    El Estado  puede  cumplir  sus  obligaciones  de  carácter  pecuniario</w:t>
        <w:br/>
        <w:t>mediante el pago en dólares de los  Estados  Unidos  de  América  o  en  una</w:t>
        <w:br/>
        <w:t>cantidad equivalente en moneda  nacional  del  Estado,  utilizando  para  el</w:t>
        <w:br/>
        <w:t>cálculo respectivo el tipo de cambio entre ambas monedas  que  esté  vigente</w:t>
        <w:br/>
        <w:t>en la plaza de Nueva York, Estados Unidos de América,  el  día  anterior  al</w:t>
        <w:br/>
        <w:t>pago.</w:t>
        <w:br/>
        <w:br/>
        <w:br/>
        <w:t>8.    Si por causas atribuibles  al  beneficiario  de  la  indemnización  no</w:t>
        <w:br/>
        <w:t>fuera posible que éste las reciba dentro  del  indicado  plazo  de  un  año,</w:t>
        <w:br/>
        <w:t>contado a partir de la notificación de  la  presente  Sentencia,  el  Estado</w:t>
        <w:br/>
        <w:t>consignará dicho monto a favor del beneficiario en una cuenta o  certificado</w:t>
        <w:br/>
        <w:t>de  depósito  en  una  institución  bancaria  trinitaria  solvente,  en  los</w:t>
        <w:br/>
        <w:t>términos del párrafo 139 de la presente Sentencia.</w:t>
        <w:br/>
        <w:br/>
        <w:br/>
        <w:t>9.    El pago por  concepto  de  daño  inmaterial  no  podrá  ser  afectado,</w:t>
        <w:br/>
        <w:t>reducido o condicionado por motivos fiscales  actuales  o  futuros,  en  los</w:t>
        <w:br/>
        <w:t>términos del párrafo 140 de la presente Sentencia.</w:t>
        <w:br/>
        <w:br/>
        <w:br/>
        <w:t>10.   En caso de que el Estado incurriera en mora, deberá pagar  un  interés</w:t>
        <w:br/>
        <w:t>sobre la cantidad adeudada, correspondiente al  interés  bancario  moratorio</w:t>
        <w:br/>
        <w:t>en Trinidad y Tobago.</w:t>
        <w:br/>
        <w:br/>
        <w:br/>
        <w:t>11.   Supervisará el cumplimiento íntegro  de  esta  Sentencia  y  dará  por</w:t>
        <w:br/>
        <w:t>concluido  el  presente  caso  una  vez  que  el  Estado  haya  dado   cabal</w:t>
        <w:br/>
        <w:t>cumplimiento a lo dispuesto en la  misma. 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cumplimiento, en los términos del párrafo 142 de la misma.</w:t>
        <w:br/>
        <w:br/>
        <w:br/>
        <w:t>Los Jueces García  Ramírez,  Jackman,  Cançado  Trindade  y  Ventura  Robles</w:t>
        <w:br/>
        <w:t>hicieron conocer a la Corte sus Votos Razonados, los cuales  acompañan  esta</w:t>
        <w:br/>
        <w:t>Sentencia.</w:t>
        <w:br/>
        <w:br/>
        <w:t>Redactada en español y en inglés, haciendo fe los textos en  ambos  idiomas,</w:t>
        <w:br/>
        <w:t>en San José, Costa Rica, el día 11 de marzo de 2005.</w:t>
        <w:br/>
        <w:br/>
        <w:br/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|Sergio García Ramírez                                               |</w:t>
        <w:br/>
        <w:t>|Presidente                         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|Alirio Abreu Burelli             |Oliver Jackman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|Antônio A. Cançado Trindade      |Cecilia Medina Quiroga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|Manuel E. Ventura Robles         |Diego García-Sayán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|Pablo Saavedra Alessandri                                           |</w:t>
        <w:br/>
        <w:t>|Secretario                                                          |</w:t>
        <w:br/>
        <w:br/>
        <w:br/>
        <w:br/>
        <w:br/>
        <w:t>Comuníquese y ejecútese,</w:t>
        <w:br/>
        <w:br/>
        <w:br/>
        <w:br/>
        <w:br/>
        <w:t xml:space="preserve">                                       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|Sergio García Ramírez            |</w:t>
        <w:br/>
        <w:t>|                                 |Presidente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|Pablo Saavedra Alessandri        |                                 |</w:t>
        <w:br/>
        <w:t>|Secretario                       |                                 |</w:t>
        <w:br/>
        <w:t xml:space="preserve">               VOTO CONCURRENTE DEL JUEZ SERGIO GARCÍA RAMÍREZ</w:t>
        <w:br/>
        <w:br/>
        <w:t xml:space="preserve">                  A LA SENTENCIA DE LA CORTE INTERAMERICANA</w:t>
        <w:br/>
        <w:t xml:space="preserve">                             DE DERECHOS HUMANOS</w:t>
        <w:br/>
        <w:t xml:space="preserve">                   EN EL CASO CAESAR VS. TRINIDAD Y TOBAGO</w:t>
        <w:br/>
        <w:t xml:space="preserve">                            (11 DE MARZO DE 2005)</w:t>
        <w:br/>
        <w:br/>
        <w:br/>
        <w:t>1.    La sentencia de la Corte Interamericana de Derechos Humanos a  la  que</w:t>
        <w:br/>
        <w:t>agrego este Voto razonado, emitida el 11 de marzo  de  2005  en  el  proceso</w:t>
        <w:br/>
        <w:t>sobre el Caso Caesar vs. Trinidad  y  Tobago,  suscita  diversas  cuestiones</w:t>
        <w:br/>
        <w:t>vinculadas  con  temas  relevantes.  Entre  aquéllas  figuran:  extensión  y</w:t>
        <w:br/>
        <w:t>vigencia de los  deberes  asumidos  por  el  Estado  parte  en  un  convenio</w:t>
        <w:br/>
        <w:t>internacional;  legitimidad  de  ciertas  penas  a  la  luz  de  las  normas</w:t>
        <w:br/>
        <w:t>nacionales e internacionales acerca de la tortura y  otros  tratos  crueles,</w:t>
        <w:br/>
        <w:t>inhumanos  o  degradantes;  algunos  extremos  del  debido  proceso   legal,</w:t>
        <w:br/>
        <w:t>señaladamente  la  observancia  del  “plazo   razonable”;   condiciones   de</w:t>
        <w:br/>
        <w:t>detención de individuos procesados o sentenciados; y proporcionalidad  entre</w:t>
        <w:br/>
        <w:t>el delito cometido y la sanción  prevista  en  la  ley  y  aplicada  por  el</w:t>
        <w:br/>
        <w:t>tribunal.</w:t>
        <w:br/>
        <w:br/>
        <w:t>2.    Todos esos temas, con la salvedad del mencionado  en  último  término,</w:t>
        <w:br/>
        <w:t>fueron abarcados  por  la  Corte  Interamericana  en  la  consideración  del</w:t>
        <w:br/>
        <w:t>presente caso y en los puntos resolutivos de la  sentencia  respectiva.  Por</w:t>
        <w:br/>
        <w:t>supuesto, también fue examinada la competencia  del  Tribunal  para  conocer</w:t>
        <w:br/>
        <w:t>este asunto, no obstante la denuncia  de  la  Convención  Americana  por  el</w:t>
        <w:br/>
        <w:t>Estado, que no compareció en el proceso, y la posible argumentación  adversa</w:t>
        <w:br/>
        <w:t>a la competencia de la Corte Interamericana en  función  de  la  reserva  –o</w:t>
        <w:br/>
        <w:t>limitación en el reconocimiento de la competencia-- formulada por  aquél  al</w:t>
        <w:br/>
        <w:t>tiempo de ratificar la Convención.</w:t>
        <w:br/>
        <w:br/>
        <w:br/>
        <w:br/>
        <w:t>I.    COMPETENCIA DE LA CORTE</w:t>
        <w:br/>
        <w:br/>
        <w:br/>
        <w:t>3.    En lo que concierne a la denuncia, conviene tomar en  cuenta  que  los</w:t>
        <w:br/>
        <w:t>hechos sub judice ocurrieron cuando el Estado era  parte  en  la  Convención</w:t>
        <w:br/>
        <w:t>Americana. Por lo tanto quedan sujetos a la competencia ratione temporis  de</w:t>
        <w:br/>
        <w:t>la Corte. Aun cuando el Estado no concurrió al juicio, la Corte  impulsó  de</w:t>
        <w:br/>
        <w:t>oficio el procedimiento. La normativa  vigente  confiere  al  Tribunal  esta</w:t>
        <w:br/>
        <w:t>potestad, que  constituye,  al  mismo  tiempo,  una  obligación  del  órgano</w:t>
        <w:br/>
        <w:t>jurisdiccional.</w:t>
        <w:br/>
        <w:br/>
        <w:t>4.    Por lo  que  atañe  a  la  restricción  en  el  reconocimiento  de  la</w:t>
        <w:br/>
        <w:t>competencia ratione materiae, conviene  considerar  el  criterio  sustentado</w:t>
        <w:br/>
        <w:t>anteriormente  por   la   Corte  a  este  respecto  en  los  Casos  Hilaire,</w:t>
        <w:br/>
        <w:t>Constantine  y  Benjamín  y   otros   (Trinidad   y   Tobago).   Excepciones</w:t>
        <w:br/>
        <w:t>preliminares. Sentencias del 1º de septiembre de 2001). En  esa  oportunidad</w:t>
        <w:br/>
        <w:t>se desestimó la restricción establecida por el  Estado  cuando  ratificó  la</w:t>
        <w:br/>
        <w:t>Convención y aceptó la competencia contenciosa del Tribunal  interamericano.</w:t>
        <w:br/>
        <w:t>El rechazo obedeció a que la restricción fue formulada  en  términos  a  tal</w:t>
        <w:br/>
        <w:t>punto generales que afectan el objeto  y  fin  del  tratado  e  implican  el</w:t>
        <w:br/>
        <w:t>condicionamiento total de la jurisdicción internacional por los  órganos  de</w:t>
        <w:br/>
        <w:t>justicia interna. Si se tuviera en pie  una  restricción  de  este  carácter</w:t>
        <w:br/>
        <w:t>sería imposible conocer el alcance de la  jurisdicción  internacional,  cuya</w:t>
        <w:br/>
        <w:t>actividad se vería sujeta a valoración y admisión de los  órganos  internos,</w:t>
        <w:br/>
        <w:t>caso por caso.</w:t>
        <w:br/>
        <w:br/>
        <w:t>5.    En el Voto razonado que acompañé a  la  citada  sentencia  del  1º  de</w:t>
        <w:br/>
        <w:t>septiembre de 2001 señalé lo que a continuación transcribo  y  hoy  reitero:</w:t>
        <w:br/>
        <w:t>“coincido con los Jueces que integran la Corte en el señalamiento de que  la</w:t>
        <w:br/>
        <w:t>reserva o declaración formulada por Trinidad y Tobago en el  instrumento  de</w:t>
        <w:br/>
        <w:t>ratificación de la Convención (del 3 de abril de 1991, depositado el  28  de</w:t>
        <w:br/>
        <w:t>mayo del mismo año), a propósito de la jurisdicción contenciosa de la  Corte</w:t>
        <w:br/>
        <w:t>Interamericana,  tendría  el  efecto  de  excluir  al  Estado  del   sistema</w:t>
        <w:br/>
        <w:t>jurisdiccional que en ese  mismo  instrumento  declara  aceptar,  en  cuanto</w:t>
        <w:br/>
        <w:t>contiene una condición de carácter general que subordina el ejercicio de  la</w:t>
        <w:br/>
        <w:t>jurisdicción, en forma  prácticamente  absoluta,  a  las  disposiciones  del</w:t>
        <w:br/>
        <w:t>Derecho  interno.  En  efecto,  dicha  declaración  admite   la   mencionada</w:t>
        <w:br/>
        <w:t>jurisdicción contenciosa --pieza clave en la efectiva vigencia  del  sistema</w:t>
        <w:br/>
        <w:t>interamericano  de  derechos  humanos--  ‘sólo  en  la  medida  en  que  (su</w:t>
        <w:br/>
        <w:t>ejercicio) sea compatible con las secciones pertinentes de  la  Constitución</w:t>
        <w:br/>
        <w:t>de la República de Trinidad y Tobago’.</w:t>
        <w:br/>
        <w:br/>
        <w:t>“Como es fácil advertir, la fórmula utilizada por el Estado no  precisa  --a</w:t>
        <w:br/>
        <w:t>diferencia de lo que suele  ocurrir  en  otras  declaraciones  de  la  misma</w:t>
        <w:br/>
        <w:t>naturaleza--  cuáles  son,  específicamente,  los   puntos   sustraídos   al</w:t>
        <w:br/>
        <w:t>conocimiento y a la resolución de la Corte,  que  necesariamente  aplica  la</w:t>
        <w:br/>
        <w:t>Convención Americana,  no  las  disposiciones  del  Derecho  interno  de  un</w:t>
        <w:br/>
        <w:t>Estado. Así las cosas, ese tribunal  internacional  estaría  privado  de  la</w:t>
        <w:br/>
        <w:t>posibilidad de ejercer con independencia las atribuciones que le  asigna  la</w:t>
        <w:br/>
        <w:t>Convención y debería sujetarse a una modalidad de  cotejo  casuístico  entre</w:t>
        <w:br/>
        <w:t>las normas de ésta y las del Derecho interno,  que  a  su  vez  se  hallaría</w:t>
        <w:br/>
        <w:t>sometido a la interpretación de los tribunales nacionales.</w:t>
        <w:br/>
        <w:br/>
        <w:t>“Evidentemente, semejante limitación --establecida, como  se  ha  dicho,  en</w:t>
        <w:br/>
        <w:t>forma general e indeterminada--, no es consecuente con el objeto  y  fin  de</w:t>
        <w:br/>
        <w:t>la  Convención  Americana  sobre  Derechos  Humanos,  ni  corresponde  a  la</w:t>
        <w:br/>
        <w:t>naturaleza  de  la  jurisdicción  interamericana  llamada  a  tutelar   esos</w:t>
        <w:br/>
        <w:t>derechos.</w:t>
        <w:br/>
        <w:br/>
        <w:t>“Por otra parte, la  fórmula  que  se  analiza  incluye  igualmente  algunas</w:t>
        <w:br/>
        <w:t>expresiones de muy difícil  comprensión,  que  resultan  equívocas  para  el</w:t>
        <w:br/>
        <w:t>intérprete    --y   que   podrían   obstruir   íntegramente   el    quehacer</w:t>
        <w:br/>
        <w:t>jurisdiccional de la Corte--, como la de que  se  reconoce  la  jurisdicción</w:t>
        <w:br/>
        <w:t>obligatoria del tribunal internacional ‘siempre que una sentencia de  (éste)</w:t>
        <w:br/>
        <w:t>no  contravenga,  establezca  o  anule  derechos  o  deberes  existentes  de</w:t>
        <w:br/>
        <w:t>ciudadanos particulares¡.  Es  posible  citar  algunos  ejemplos  sobre  las</w:t>
        <w:br/>
        <w:t>implicaciones que podría tener esta  expresión  oscura.  Evidentemente,  una</w:t>
        <w:br/>
        <w:t>sentencia de la  Corte  podría  incidir  sobre  supuestos  ‘deberes  de  los</w:t>
        <w:br/>
        <w:t>individuos’  derivados  de  actos  o  medidas  que  el  tribunal   considere</w:t>
        <w:br/>
        <w:t>violatorios de la Convención. Las resoluciones del  tribunal  interamericano</w:t>
        <w:br/>
        <w:t>también repercutirían sobre ‘derechos de los particulares’  si  reconocieran</w:t>
        <w:br/>
        <w:t>a  favor  de  éstos  ciertas  consecuencias  jurídicas  con  motivo  de  las</w:t>
        <w:br/>
        <w:t>violaciones cometidas: así, el derecho a reparaciones. Por  otra  parte,  no</w:t>
        <w:br/>
        <w:t>está claro lo que se quiere decir al señalar que las sentencias de la  Corte</w:t>
        <w:br/>
        <w:t>no  podrían  establecer  ‘derechos  o  deberes  existentes’  de   ciudadanos</w:t>
        <w:br/>
        <w:t>particulares.</w:t>
        <w:br/>
        <w:br/>
        <w:t>“En suma,  por todo lo expuesto en los párrafos precedentes   --en  los  que</w:t>
        <w:br/>
        <w:t>se proyecta el criterio que funda las sentencias de la Corte en los casos  a</w:t>
        <w:br/>
        <w:t>los que se refiere este  Voto--  no  es  posible  reconocer  eficacia  a  la</w:t>
        <w:br/>
        <w:t>declaración formulada por el Estado en el instrumento  de  ratificación  del</w:t>
        <w:br/>
        <w:t>28 de mayo de 1991,  y sustentar en ella  la  excepción  preliminar  que  se</w:t>
        <w:br/>
        <w:t>invoca”.</w:t>
        <w:br/>
        <w:br/>
        <w:t>6.    Me parece pertinente subrayar que esta desestimación por parte  de  la</w:t>
        <w:br/>
        <w:t>Corte de una restricción establecida por  un  Estado  no  implica,  en  modo</w:t>
        <w:br/>
        <w:t>alguno, que el Tribunal ignore o  soslaye  cualquier  limitación  que  aquél</w:t>
        <w:br/>
        <w:t>pudiera  fijar.  La  Corte,  instrumento  de  seguridad  y  justicia,   debe</w:t>
        <w:br/>
        <w:t>preservar cuidadosamente ambos valores jurídicos.  Si  impusiera  al  Estado</w:t>
        <w:br/>
        <w:t>una competencia que éste ha  excluido  específicamente,  estaría  afectando,</w:t>
        <w:br/>
        <w:t>por lo menos, el principio de seguridad jurídica. La Convención Americana  y</w:t>
        <w:br/>
        <w:t>el desempeño del Tribunal instituido por aquélla se mantienen atentos a  las</w:t>
        <w:br/>
        <w:t>decisiones  legítimas  de  los  Estados  en  el  marco  de  las  reservas  y</w:t>
        <w:br/>
        <w:t>restricciones admisibles.</w:t>
        <w:br/>
        <w:br/>
        <w:t>7.    El respeto a  esta  circunstancia  --que  tampoco  implica,  por  otra</w:t>
        <w:br/>
        <w:t>parte,   negar   que   pudo   haber   violaciones   a   derechos    humanos,</w:t>
        <w:br/>
        <w:t>independientemente de que la Corte se abstenga de pronunciarse sobre ellas--</w:t>
        <w:br/>
        <w:t xml:space="preserve"> se ha visto en las  decisiones  del  Tribunal  que  debieron  ponderar  los</w:t>
        <w:br/>
        <w:t>efectos de una reserva o  una  restricción.  El  ejemplo  más  reciente  del</w:t>
        <w:br/>
        <w:t>cumplimiento por la Corte de su deber en este campo aparece en  la  decisión</w:t>
        <w:br/>
        <w:t>dictada en el Caso Serrano Cruz. La situación que se  analiza  ahora  no  es</w:t>
        <w:br/>
        <w:t>igual a la existente en ese caso.  De  ahí  las  diferentes  determinaciones</w:t>
        <w:br/>
        <w:t>adoptadas.  En  una  hipótesis  se  restringe  la  competencia  en  términos</w:t>
        <w:br/>
        <w:t>admisibles,  aunque  quizás  no  deseables;  en  la  otra,   se   condiciona</w:t>
        <w:br/>
        <w:t>totalmente.</w:t>
        <w:br/>
        <w:br/>
        <w:t>8.    Constituye motivo de la más viva preocupación desde la perspectiva  de</w:t>
        <w:br/>
        <w:t>la eficacia  del  sistema  interamericano  de  protección  de  los  derechos</w:t>
        <w:br/>
        <w:t>humanos la negativa  de  un  Estado  a  asumir  plenamente  los  compromisos</w:t>
        <w:br/>
        <w:t>contraídos, de los que deriva la responsabilidad internacional  que  declara</w:t>
        <w:br/>
        <w:t>el Tribunal  interamericano.  Es  posible  que  un  Estado  se  abstenga  de</w:t>
        <w:br/>
        <w:t>suscribir o de ratificar un tratado; lo es que incorpore  al  reconocimiento</w:t>
        <w:br/>
        <w:t>de la jurisdicción contenciosa los  límites  que  expresamente  autoriza  la</w:t>
        <w:br/>
        <w:t>Convención; y lo es, finalmente, que denuncie  ésta.  Pero  resulta  por  lo</w:t>
        <w:br/>
        <w:t>menos inexplicable que habiendo concurrido al Pacto resuelva  posteriormente</w:t>
        <w:br/>
        <w:t>desatender las obligaciones que derivan de éste o sujetarlas  a  condiciones</w:t>
        <w:br/>
        <w:t>o modalidades no previstas por el tratado.</w:t>
        <w:br/>
        <w:br/>
        <w:t>9.    Es muy deseable que una profunda reflexión  sobre  estos  problemas  y</w:t>
        <w:br/>
        <w:t>acerca de la necesidad de fortalecer el sistema protector  de  los  derechos</w:t>
        <w:br/>
        <w:t>humanos, conduzca a una reconsideración que contribuya a  lograr  los  altos</w:t>
        <w:br/>
        <w:t>objetivos  que  proclaman  la  Carta  de  la  Organización  de  los  Estados</w:t>
        <w:br/>
        <w:t>Americanos, la Declaración Americana y el Pacto de San José, conforme a  las</w:t>
        <w:br/>
        <w:t>decisiones adoptadas por los  propios  Estados  que  integran  la  comunidad</w:t>
        <w:br/>
        <w:t>interamericana.</w:t>
        <w:br/>
        <w:br/>
        <w:br/>
        <w:t>II.   PENA DE AZOTES</w:t>
        <w:br/>
        <w:br/>
        <w:br/>
        <w:t>10.   Probablemente el asunto más llamativo en cuanto al fondo de este  caso</w:t>
        <w:br/>
        <w:t>es la persistencia y aplicación --prevista en la  legislación  del  Estado--</w:t>
        <w:br/>
        <w:t>de la pena corporal de azotes, ejecutada con el llamado “gato de  las  nueve</w:t>
        <w:br/>
        <w:t>colas”. Las características de  este  instrumento  quedan  descritas  en  la</w:t>
        <w:br/>
        <w:t>sentencia conforme a las pruebas reunidas en el expediente. No hay  duda  de</w:t>
        <w:br/>
        <w:t>que su empleo causa muy graves sufrimientos a quien recibe  el  castigo.  La</w:t>
        <w:br/>
        <w:t>posición de la Corte a este respecto,  expresada  en  la  sentencia,  es  de</w:t>
        <w:br/>
        <w:t>terminante y absoluto rechazo. Para ello, el Tribunal ha  tomado  en  cuenta</w:t>
        <w:br/>
        <w:t>una corriente razonada y dominante en el  orden  nacional  e  internacional,</w:t>
        <w:br/>
        <w:t>que repudia el empleo de métodos  punitivos  que  tienen  características  e</w:t>
        <w:br/>
        <w:t>infligen al condenado sufrimientos incompatibles  con  su  dignidad  humana,</w:t>
        <w:br/>
        <w:t>por una parte, y con los fines generalmente reconocidos a  la  pena  que  se</w:t>
        <w:br/>
        <w:t>aplica a los responsables de los delitos, por la otra.</w:t>
        <w:br/>
        <w:br/>
        <w:t>11.   Con ello, el  condenado  deviene  víctima  de  la  función  penal  del</w:t>
        <w:br/>
        <w:t>Estado, desviada de su cauce y objetivo. No se cuestiona, por  supuesto,  la</w:t>
        <w:br/>
        <w:t>necesidad --y el deber público-- de enfrentar con firmeza la delincuencia  y</w:t>
        <w:br/>
        <w:t>sancionar a quienes perpetran  delitos.  Lo  que  se  rechaza  es  que  esta</w:t>
        <w:br/>
        <w:t>función punitiva, en sí misma legítima, se despliegue en  una  forma  y  con</w:t>
        <w:br/>
        <w:t>unos métodos que lesionan la dignidad  humana  y  pugnan  con  la  condición</w:t>
        <w:br/>
        <w:t>ética que debe caracterizar al Estado  democrático  en  el  cumplimiento  de</w:t>
        <w:br/>
        <w:t>todas sus atribuciones, incluso la de carácter punitivo.  Como  otras  veces</w:t>
        <w:br/>
        <w:t>he dicho, en el orden punitivo  quedan  de  manifiesto,  acaso  más  que  en</w:t>
        <w:br/>
        <w:t>otros, la convicción política y el designio moral del Estado.</w:t>
        <w:br/>
        <w:br/>
        <w:t>12.    Lo anterior es independiente,  por  supuesto,  de  que  el  individuo</w:t>
        <w:br/>
        <w:t>afectado sea, a su vez, victimario  en   la   comisión  del  delito  que  se</w:t>
        <w:br/>
        <w:t>procura sancionar.  Si se  establece  su  responsabilidad  penal,  debe  ser</w:t>
        <w:br/>
        <w:t>sancionado. Parece innecesario decir --pero quizás sea preciso insistir  una</w:t>
        <w:br/>
        <w:t>vez más-- que en el proceso por violación a derechos humanos se juzga  única</w:t>
        <w:br/>
        <w:t>y exclusivamente la comisión de violaciones de esta naturaleza,  no  así  la</w:t>
        <w:br/>
        <w:t>participación delictuosa del sujeto, que debe ser comprobada conforme  a  la</w:t>
        <w:br/>
        <w:t>legislación nacional y por los tribunales locales competentes, y  sancionada</w:t>
        <w:br/>
        <w:t>en forma  legítima,  esto  es,  compatible  con  las  estipulaciones  de  la</w:t>
        <w:br/>
        <w:t>Constitución doméstica y con las disposiciones internacionales acogidas  por</w:t>
        <w:br/>
        <w:t>el Estado, a través de la vía convencional, o imperativas en  el  marco  del</w:t>
        <w:br/>
        <w:t>jus cogens. De nueva cuenta conviene afirmar  que  los  objetivos  legítimos</w:t>
        <w:br/>
        <w:t>deben ser alcanzados por medios igualmente legítimos.</w:t>
        <w:br/>
        <w:br/>
        <w:t>13.   La subsistencia de medidas como la flagelación de una persona pone  de</w:t>
        <w:br/>
        <w:t>manifiesto  nuevamente, en pleno  siglo  XXI,  la  existencia  de  capítulos</w:t>
        <w:br/>
        <w:t>paralelos en las  historias  del  crimen  y  de  la  justicia  erigida  para</w:t>
        <w:br/>
        <w:t>enfrentarlo en nombre de la sociedad y del Estado. Se trata,  por  supuesto,</w:t>
        <w:br/>
        <w:t>de un extraño y deplorable paralelismo, cuya crónica excede los límites  del</w:t>
        <w:br/>
        <w:t>Voto razonado que acompaña una sentencia. No siempre ha  existido  entre  el</w:t>
        <w:br/>
        <w:t>delito y la justicia penal la frontera evidente y rigurosa que  debe  mediar</w:t>
        <w:br/>
        <w:t>entre el injusto empleo de la violencia  que  despliega  el  criminal  y  la</w:t>
        <w:br/>
        <w:t>función penal que desempeña  el  Estado.  Esta  debiera  justificarse,  como</w:t>
        <w:br/>
        <w:t>mencioné,  por  la  calidad  ética  de  su  fundamento,  sus  medios  y  sus</w:t>
        <w:br/>
        <w:t>objetivos. La “justicia” penal ha traspuesto ese lindero con frecuencia.  En</w:t>
        <w:br/>
        <w:t>este orden, la Corte Interamericana ha hecho suya la elocuente reflexión  de</w:t>
        <w:br/>
        <w:t>la Corte Europea en el Caso Tyrer v.  United  Kingdom,  a  propósito  de  la</w:t>
        <w:br/>
        <w:t>sanción corporal: ésta es simple violencia institucionalizada,  un  “asalto”</w:t>
        <w:br/>
        <w:t>contra la dignidad personal y la integridad física. De ahí  que  contravenga</w:t>
        <w:br/>
        <w:t>el jus cogens y resulte, por lo mismo, totalmente  inaceptable.  El  rechazo</w:t>
        <w:br/>
        <w:t>es absoluto, por encima de los motivos históricos,  sociológicos  o  penales</w:t>
        <w:br/>
        <w:t>con que se pretenda sostener esa sanción.</w:t>
        <w:br/>
        <w:br/>
        <w:t>14.   La obstinada presencia de estos métodos de  castigo,  que  constituyen</w:t>
        <w:br/>
        <w:t>reminiscencias de antiguas prácticas opresivas,  conduce  a  replantear  los</w:t>
        <w:br/>
        <w:t>fines de la pena que el Estado impone al responsable de un delito. No  niego</w:t>
        <w:br/>
        <w:t>el carácter retributivo que formalmente posee la  sanción  penal  y  que  en</w:t>
        <w:br/>
        <w:t>ocasiones ha contribuido a limitar el despliegue de la violencia,  ajustando</w:t>
        <w:br/>
        <w:t>la gravedad de la pena a la gravedad de la falta. Tampoco  impugno  en  este</w:t>
        <w:br/>
        <w:t>momento su eficacia  --más  supuesta  que  real--  como  medio  de  prevenir</w:t>
        <w:br/>
        <w:t>(prevención general) la comisión  de  delitos.  Pero  conviene  retener  por</w:t>
        <w:br/>
        <w:t>ahora, en ausencia de mejor opción garantista, el proyecto de  readaptación,</w:t>
        <w:br/>
        <w:t>resocialización o rehabilitación que se ha asignado a la consecuencia  penal</w:t>
        <w:br/>
        <w:t>del delito y que figura, extensamente, en numerosos instrumentos  nacionales</w:t>
        <w:br/>
        <w:t>e  internacionales,  particularmente  aquellos  que  conciernen  a  la  pena</w:t>
        <w:br/>
        <w:t>privativa de libertad, que en la historia de las sanciones acudió a  relevar</w:t>
        <w:br/>
        <w:t>la sanción capital y las penas corporales.</w:t>
        <w:br/>
        <w:br/>
        <w:t>15.   Ciertamente, se han expuesto críticas relevantes sobre  este  proyecto</w:t>
        <w:br/>
        <w:t>asociado a la pena. Se trata, a menudo, de  observaciones   razonables   que</w:t>
        <w:br/>
        <w:t>es posible compartir. Sin  embargo,  aún  carecemos  --en  términos  reales,</w:t>
        <w:br/>
        <w:t>efectivos, no sólo ideales o conceptuales-- de sustitutos que lo releven  de</w:t>
        <w:br/>
        <w:t>inmediato, con ventaja y eficacia.  Tras  la  decadencia  de  la  concepción</w:t>
        <w:br/>
        <w:t>readaptadora de la pena aguardan las opciones eliminativas y aflictivas,  de</w:t>
        <w:br/>
        <w:t>las que son ejemplos la sanción capital y las  penas  corporales  --como  la</w:t>
        <w:br/>
        <w:t>mutilación, la  marca  o  los  azotes--,  respectivamente.  De  ahí  que  la</w:t>
        <w:br/>
        <w:t>readaptación  siga   constituyendo,   a   pesar   de   sus   debilidades   y</w:t>
        <w:br/>
        <w:t>contradicciones, un límite razonable al poder  penal  absoluto  del  Estado,</w:t>
        <w:br/>
        <w:t>que de otra suerte se desbordaría.</w:t>
        <w:br/>
        <w:br/>
        <w:t>16.   El  designio  readaptador  se  localiza  en  el  artículo  6.5  de  la</w:t>
        <w:br/>
        <w:t>Convención Americana, que atribuye a las penas  privativas  de  libertad  la</w:t>
        <w:br/>
        <w:t>“finalidad esencial” de promover “la reforma y  la  readaptación  social  de</w:t>
        <w:br/>
        <w:t>los condenados”. Si este es  el  objetivo  de  aquellas  penas  --su  misión</w:t>
        <w:br/>
        <w:t>finalista, que da sentido a la actuación “positiva” del Estado con  respecto</w:t>
        <w:br/>
        <w:t>a los condenados--, el límite para esa acción --frontera insalvable para  la</w:t>
        <w:br/>
        <w:t>autoridad-- se halla en la preservación de la dignidad humana.  Es  así  que</w:t>
        <w:br/>
        <w:t>“toda persona privada de libertad será tratada con el respeto  debido  a  la</w:t>
        <w:br/>
        <w:t>dignidad inherente al ser humano” (artículo 5.2 de la misma Convención).</w:t>
        <w:br/>
        <w:br/>
        <w:t>17.   Es verdad que estas disposiciones se asocian  a  la  privación  de  la</w:t>
        <w:br/>
        <w:t>libertad, pero también lo es que las ideas en las que aquéllas  se  informan</w:t>
        <w:br/>
        <w:t>permean el sistema de las penas en  su  conjunto,  sin  perjuicio  de  otros</w:t>
        <w:br/>
        <w:t>objetivos vinculados   con  ese  conjunto  --como  la  satisfacción  de  los</w:t>
        <w:br/>
        <w:t>derechos  e  intereses  del  ofendido--  o  con  algunas  penas  y   medidas</w:t>
        <w:br/>
        <w:t>específicamente. No es posible  suponer,  ni  remotamente,  que  los  azotes</w:t>
        <w:br/>
        <w:t>infligidos al condenado dejan a salvo  el  “respeto  debido  a  la  dignidad</w:t>
        <w:br/>
        <w:t>inherente  al  ser  humano”,  o  que  tienden  a  alcanzar  la  “reforma   y</w:t>
        <w:br/>
        <w:t>readaptación” del sentenciado, en el único sentido que éstas poseen  en  una</w:t>
        <w:br/>
        <w:t>sociedad democrática y que ciertamente no es la  devastación  intelectual  o</w:t>
        <w:br/>
        <w:t>moral del sujeto, su reducción  absoluta  por  medio  de  la  violencia,  la</w:t>
        <w:br/>
        <w:t>imposición del puro dolor físico, la humillación del  flagelado.  Todo  esto</w:t>
        <w:br/>
        <w:t>caracterizó la idea social y estatal sobre la pena en  un  pasado  cada  vez</w:t>
        <w:br/>
        <w:t>más distante, que debiéramos confinar, de una vez  y  para  siempre,  en  el</w:t>
        <w:br/>
        <w:t>arcón de la historia.</w:t>
        <w:br/>
        <w:br/>
        <w:t>18.    La censura al método de castigo utilizado en este caso  --azotes  con</w:t>
        <w:br/>
        <w:t>el “gato de  las  nueve  colas”--  se  sustenta  en  el  artículo  5  de  la</w:t>
        <w:br/>
        <w:t>Convención Americana, como lo aprecia la Corte. Se trata, sin  duda,  de  un</w:t>
        <w:br/>
        <w:t>ataque brutal a la integridad personal. En ese precepto  de  la  Convención,</w:t>
        <w:br/>
        <w:t>que alude a acciones contraventoras del jus cogens,  como  se  ha  observado</w:t>
        <w:br/>
        <w:t>con gran frecuencia, se reprueban la tortura y las penas o  tratos  crueles,</w:t>
        <w:br/>
        <w:t>inhumanos o degradantes, especies del ataque a la integridad personal  y  de</w:t>
        <w:br/>
        <w:t>la violación del derecho que sobre  este  punto  se  reconoce  a  todas  las</w:t>
        <w:br/>
        <w:t>personas. En mi concepto, la flagelación que ahora se  analiza  reviste  los</w:t>
        <w:br/>
        <w:t>rasgos de la tortura, cualquiera que  sea  el  texto  internacional  que  se</w:t>
        <w:br/>
        <w:t>tenga a la vista para   caracterizar  ésta:  trátese  de  la  Convención  de</w:t>
        <w:br/>
        <w:t>Naciones  Unidas,  de  1984,  trátese  de  la   correspondiente   Convención</w:t>
        <w:br/>
        <w:t>Interamericana, de  1985, mas allá de las diferencias   que   median   entre</w:t>
        <w:br/>
        <w:t>ambas.</w:t>
        <w:br/>
        <w:br/>
        <w:t>19.   En los hechos que ahora nos ocupan aparecen los elementos   enunciados</w:t>
        <w:br/>
        <w:t>en aquellos textos, entre otros: sufrimientos  --que  en  el  presente  caso</w:t>
        <w:br/>
        <w:t>revistieron gran intensidad-- causados  intencionalmente  con  finalidad  de</w:t>
        <w:br/>
        <w:t>castigo. Viene  al  caso,  sin  duda,  una  forma  de  infligir  muy  graves</w:t>
        <w:br/>
        <w:t>penalidades, de manera deliberada, por la mano de un agente del Estado,  con</w:t>
        <w:br/>
        <w:t>propósito de castigo  corporal.  Todo  esto  encuadra  perfectamente  en  la</w:t>
        <w:br/>
        <w:t>caracterización internacional de  la  tortura.  Desde  luego,  al  citar  la</w:t>
        <w:br/>
        <w:t>Convención Interamericana no pretendo que ésta se aplique al Estado, que  no</w:t>
        <w:br/>
        <w:t>la ha ratificado. La menciono como instrumento cuya  consideración  es  útil</w:t>
        <w:br/>
        <w:t>para  interpretar  las  referencias  contenidas  en  el  artículo  5  de  la</w:t>
        <w:br/>
        <w:t>Convención Americana. La Corte ha invocado tratados cuya aplicación  directa</w:t>
        <w:br/>
        <w:t>no le corresponde, para el debido  entendimiento  de  las  normas  que  debe</w:t>
        <w:br/>
        <w:t>aplicar, como son las contenidas en el artículo 5.1 y 2 de la Convención.</w:t>
        <w:br/>
        <w:br/>
        <w:t>20.    La Corte Interamericana ha  tenido  oportunidad  de  pronunciarse  en</w:t>
        <w:br/>
        <w:t>otros casos sobre la existencia de torturas o de tratos  crueles,  inhumanos</w:t>
        <w:br/>
        <w:t>o degradantes. Al hacerlo, ha tomado en cuenta, entre  otros  factores  --no</w:t>
        <w:br/>
        <w:t>exclusivamente,  pues--,  la  mayor  o  menor  intensidad  del   sufrimiento</w:t>
        <w:br/>
        <w:t>ocasionado a la víctima por la agresión a la integridad  personal.  En  este</w:t>
        <w:br/>
        <w:t>orden, ha entendido  que  existe  tortura  cuando  el  padecimiento  causado</w:t>
        <w:br/>
        <w:t>reviste  especial  severidad,  que  pudiera  ser   menor   –aunque   siempre</w:t>
        <w:br/>
        <w:t>reprobable, desde luego-- en otras manifestaciones  del  maltrato  recogidas</w:t>
        <w:br/>
        <w:t>en  el  artículo  5.2  de  la  Convención  Americana.   Evidentemente,   los</w:t>
        <w:br/>
        <w:t>sufrimientos causados a la víctima por medio de la flagelación con el  “gato</w:t>
        <w:br/>
        <w:t>de las nueve colas” corresponden a aquellos que pueden ser calificados  como</w:t>
        <w:br/>
        <w:t>tortura.</w:t>
        <w:br/>
        <w:br/>
        <w:t>21.   Es obvio que esta calificación sobre la sanción ordenada  e  infligida</w:t>
        <w:br/>
        <w:t>en el presente caso no pierde validez por el hecho de que se halle  prevista</w:t>
        <w:br/>
        <w:t>en la legislación nacional, como antes lo  estuvo  en  otras  disposiciones,</w:t>
        <w:br/>
        <w:t>afortunadamente suprimidas, de tiempo atrás, por  la  gran  mayoría  de  los</w:t>
        <w:br/>
        <w:t>Estados. La ‘legalidad’ formal de una conducta  no  modifica  necesariamente</w:t>
        <w:br/>
        <w:t>su intrínseca ‘injusticia’ o ‘ilegitimidad’, cuestión, ésta,  que  con  gran</w:t>
        <w:br/>
        <w:t>frecuencia viene al  caso  a  la  hora  de  apreciar  la  compatibilidad  de</w:t>
        <w:br/>
        <w:t>disposiciones o actos de autoridad nacionales con principios  y  normas  del</w:t>
        <w:br/>
        <w:t>Derecho  internacional  de  los  derechos  humanos,  tarea  natural  de  los</w:t>
        <w:br/>
        <w:t>tribunales de esta especialidad. Son aleccionadoras las  expresiones  que  a</w:t>
        <w:br/>
        <w:t>este respecto ha vertido Nigel S. Rodley: “no es posible aceptar la idea  de</w:t>
        <w:br/>
        <w:t>que la administración de castigos tales como la lapidación, los azotes y  la</w:t>
        <w:br/>
        <w:t>mutilación (…) deban ser consideradas legítimas simplemente porque han  sido</w:t>
        <w:br/>
        <w:t>autorizadas por una vía formalmente válida (…)”.</w:t>
        <w:br/>
        <w:br/>
        <w:t>22.   De ahí que no se trate, en la especie,  de  sufrimientos  naturalmente</w:t>
        <w:br/>
        <w:t>derivados de la ejecución de una pena legítima, es  decir,  de  una  sanción</w:t>
        <w:br/>
        <w:t>que no milita, por si misma, contra la dignidad humana, que es la  hipótesis</w:t>
        <w:br/>
        <w:t>de justificación a la que se refiere,  por  ejemplo,  la  última  frase  del</w:t>
        <w:br/>
        <w:t>artículo 1.1 de la Convención contra la  tortura  y  otros  tratos  o  penas</w:t>
        <w:br/>
        <w:t>crueles, inhumanos o degradantes,  de  1984.  Lo  que  he  afirmado  y  aquí</w:t>
        <w:br/>
        <w:t>destaco es que la pena de azotes  resulta  contraria,  en  sí  misma,  a  la</w:t>
        <w:br/>
        <w:t>dignidad humana.</w:t>
        <w:br/>
        <w:br/>
        <w:t>23.   No estamos ante una sanción inevitable e  irreductible,  absolutamente</w:t>
        <w:br/>
        <w:t>necesaria,  cuya  omisión  o  sustitución  ponga  en  peligro  la  seguridad</w:t>
        <w:br/>
        <w:t>colectiva o la paz pública, en forma tal que no  exista  medio  menos  cruel</w:t>
        <w:br/>
        <w:t>para preservar el orden jurídico y asegurar el imperio de  la  justicia.  Se</w:t>
        <w:br/>
        <w:t>dirige única y  exclusivamente  a  causar  sufrimiento,  sin  obtener  y  ni</w:t>
        <w:br/>
        <w:t>siquiera pretender un objetivo moral plausible. Humilla a quien la recibe  y</w:t>
        <w:br/>
        <w:t>envilece a quien la inflige.  Al  levantar  su  mano  contra  un  semejante,</w:t>
        <w:br/>
        <w:t>esgrimiendo un instrumento ideado para  castigar  el  cuerpo  y  dominar  el</w:t>
        <w:br/>
        <w:t>ánimo del infractor, así sea por mandato del Estado, el  ejecutor  retrocede</w:t>
        <w:br/>
        <w:t>varios siglos en la historia de nuestra especie. La flagelación es, en  fin,</w:t>
        <w:br/>
        <w:t>pura violencia, que como tal se vuelca sobre el ejecutado y el  ejecutor,  y</w:t>
        <w:br/>
        <w:t>que dista mucho de acreditar la autoridad moral y  la  serenidad  justiciera</w:t>
        <w:br/>
        <w:t>del Estado que la dispone y practica.</w:t>
        <w:br/>
        <w:br/>
        <w:t>24.   Cuando un Estado se constituye en parte de  un  tratado  internacional</w:t>
        <w:br/>
        <w:t>que prohíbe este  género  de  sanciones  contrae,  a  título  de  obligación</w:t>
        <w:br/>
        <w:t>general, el deber  de  reformar  su  legislación  interna  para  atender  al</w:t>
        <w:br/>
        <w:t>compromiso  internacional  adquirido  y  satisfacer  las  normas  que  aquél</w:t>
        <w:br/>
        <w:t>contiene. Esto puede dar lugar a tensiones entre el Derecho doméstico  y  el</w:t>
        <w:br/>
        <w:t>orden internacional --en el que el Estado se inscribe a través  de  un  acto</w:t>
        <w:br/>
        <w:t>de  voluntad  soberana--,  como  también  entre  el  Derecho  constitucional</w:t>
        <w:br/>
        <w:t>interno y el sistema jurídico secundario.</w:t>
        <w:br/>
        <w:br/>
        <w:t>25.   Lo anterior ha ocurrido bajo la  denominada  “cláusula  de  exclusión”</w:t>
        <w:br/>
        <w:t>(savings clause). En la sentencia del presente caso se cita  una  resolución</w:t>
        <w:br/>
        <w:t>del Judicial Committee del Privy Council, de 2002, en  torno  a  un  proceso</w:t>
        <w:br/>
        <w:t>seguido en Bahamas y relacionado, precisamente, con la pena  de  flagelación</w:t>
        <w:br/>
        <w:t>(Prince Pinder v. The Queen, Privy Council  Appeal  No.  40/2001  (Bahamas),</w:t>
        <w:br/>
        <w:t>September 23, 2002 (2003) 1 AC 620, para. 5). Esta pena --dice  el  Judicial</w:t>
        <w:br/>
        <w:t>Committee-- es un castigo inhumano y degradante, y  como  tal  se  encuentra</w:t>
        <w:br/>
        <w:t>prohibida por las previsiones constitucionales que reprueban  la  tortura  y</w:t>
        <w:br/>
        <w:t>los tratos o penas inhumanas o  degradantes.  Empero,  subsiste  el  ilícito</w:t>
        <w:br/>
        <w:t>castigo merced a la “savings clause” de la Constitución local.</w:t>
        <w:br/>
        <w:br/>
        <w:t>26.   La reforma de la ley doméstica para ajustarla al patrón  internacional</w:t>
        <w:br/>
        <w:t>aceptado por el Estado  es una consecuencia obvia de la incorporación  a  un</w:t>
        <w:br/>
        <w:t>instrumento internacional. No es relevante, para este  efecto,  la  salvedad</w:t>
        <w:br/>
        <w:t>contenida en la mencionada “cláusula de  exclusión”  (savings  clause),  que</w:t>
        <w:br/>
        <w:t>pretende dejar ciertas antiguas disposiciones de la legislación  estatal  al</w:t>
        <w:br/>
        <w:t>margen  de  los  mandamientos  constitucionales,  que  en  este   caso   son</w:t>
        <w:br/>
        <w:t>disposiciones concernientes a la tutela de los derechos humanos  y,  por  lo</w:t>
        <w:br/>
        <w:t>tanto, al tema principal, el más  entrañable,  del  Estado  de  Derecho.  Al</w:t>
        <w:br/>
        <w:t>respecto, tómese en cuenta, más aún, que el Estado  ratificó  la  Convención</w:t>
        <w:br/>
        <w:t>Americana y aceptó la jurisdicción contenciosa  de  la  Corte  en  1991,  es</w:t>
        <w:br/>
        <w:t>decir, muchos años después de la  emisión  de  la  Corporal  Punishment  Act</w:t>
        <w:br/>
        <w:t>(1953) y de la Constitución (1976).</w:t>
        <w:br/>
        <w:br/>
        <w:t>27.    En la  especie,  la  cláusula  mencionada  significa  una  anticipada</w:t>
        <w:br/>
        <w:t>derogación de  la  Constitución:  ésta  no  se  aplicará  sobre  situaciones</w:t>
        <w:br/>
        <w:t>regidas por leyes preexistentes, aunque la  nueva  ley  suprema  recoja  las</w:t>
        <w:br/>
        <w:t>mejores preocupaciones protectoras del individuo  --el  ciudadano,  en  cuyo</w:t>
        <w:br/>
        <w:t>beneficio se construye el Estado--, y  la  antigua  ley  persista  en  ideas</w:t>
        <w:br/>
        <w:t>todavía más antiguas que la fecha de su expedición. El sentido de una  nueva</w:t>
        <w:br/>
        <w:t>ley progresista es, precisamente, crear una nueva  situación  plausible.  La</w:t>
        <w:br/>
        <w:t>savings clause impide que esto ocurra y mantiene el pasado vigente hacia  el</w:t>
        <w:br/>
        <w:t>futuro. Subordina un propósito superior --la salvaguardia  de  los  derechos</w:t>
        <w:br/>
        <w:t>humanos-- a una decisión inferior --la retención de un  castigo  desahuciado</w:t>
        <w:br/>
        <w:t>por la propia Constitución.</w:t>
        <w:br/>
        <w:br/>
        <w:t>28.   Sorprende que semejante cláusula pueda dejar en  suspenso  nada  menos</w:t>
        <w:br/>
        <w:t>que las normas que constituyen la entraña del moderno Estado de Derecho,  la</w:t>
        <w:br/>
        <w:t>sustancia misma de la  Constitución  y  la  razón  de  ser  de  la  sociedad</w:t>
        <w:br/>
        <w:t>política, esto es, los derechos  fundamentales  del  individuo,  reconocidos</w:t>
        <w:br/>
        <w:t>por  una  disposición  suprema  actual   pero   desconocidos   --eficazmente</w:t>
        <w:br/>
        <w:t>desconocidos-- por una disposición secundaria instalada en  el  pretérito  y</w:t>
        <w:br/>
        <w:t>que sigue operando, sin embargo --y a contrapelo de la Constitución  misma--</w:t>
        <w:br/>
        <w:t>, en el presente y aspira a hacerlo, puesto que rige sine die, por  todo  el</w:t>
        <w:br/>
        <w:t>porvenir.</w:t>
        <w:br/>
        <w:br/>
        <w:br/>
        <w:t>III.  PLAZO RAZONABLE</w:t>
        <w:br/>
        <w:br/>
        <w:br/>
        <w:t>29.   En el  presente  caso  se  hizo  notar  la  inobservancia  del  “plazo</w:t>
        <w:br/>
        <w:t>razonable” para concluir un proceso y aplicar una  pena,  inobservancia  que</w:t>
        <w:br/>
        <w:t>afectaría el debido proceso legal.  Este  problema  se  ha  observado  tanto</w:t>
        <w:br/>
        <w:t>desde el ángulo  del  enjuiciamiento  en  si  mismo,  que  culmina  con  una</w:t>
        <w:br/>
        <w:t>sentencia, como desde la perspectiva de la ejecución penal que  tiene,  como</w:t>
        <w:br/>
        <w:t>título  ejecutivo,  esa  resolución  final.  No  ingresó  la  Corte  en   la</w:t>
        <w:br/>
        <w:t>consideración del carácter procesal que pudiera tener la ejecución, o  bien,</w:t>
        <w:br/>
        <w:t>visto bajo otro lente, de la aplicabilidad a  ésta  de  los  principios  que</w:t>
        <w:br/>
        <w:t>informan el debido proceso penal.</w:t>
        <w:br/>
        <w:br/>
        <w:t>30.   Es obvio que  la  desatención  al  plazo  razonable  sigue  siendo  un</w:t>
        <w:br/>
        <w:t>problema central de la justicia penal,  cuyas  reformas  no  han  conseguido</w:t>
        <w:br/>
        <w:t>responder  con  suficiencia  y  definitividad  a  la  demanda  de  brevedad,</w:t>
        <w:br/>
        <w:t>diligencia, expeditez en la administración de justicia. Ahora bien,  en  las</w:t>
        <w:br/>
        <w:t>circunstancias  del  caso  sub  judice  resulta  evidente   que   la   Corte</w:t>
        <w:br/>
        <w:t>Interamericana no podía considerar  que  la  sanción de azotes, en sí  misma</w:t>
        <w:br/>
        <w:t>ilícita, se debió ejecutar con celeridad --conforme a las disposiciones  del</w:t>
        <w:br/>
        <w:t>Derecho interno--, para atender los requerimientos del  debido  proceso.  La</w:t>
        <w:br/>
        <w:t>ilegitimidad de la medida es flagrante, cualesquiera que sean el plazo y  la</w:t>
        <w:br/>
        <w:t>fecha para disponerla e infligirla. La demora  contra  legem  no  genera  la</w:t>
        <w:br/>
        <w:t>violación; sólo exhibe su existencia y agrava sus consecuencias.</w:t>
        <w:br/>
        <w:br/>
        <w:br/>
        <w:t>IV.   CONDICIONES DE DETENCIÓN</w:t>
        <w:br/>
        <w:br/>
        <w:br/>
        <w:t>31.   También llama la atención, a propósito  de  los  hechos  del  presente</w:t>
        <w:br/>
        <w:t>caso,  la persistencia de un problema mayor en  el  ámbito  de  la  justicia</w:t>
        <w:br/>
        <w:t>penal, observado constantemente en un creciente número de asuntos  sometidos</w:t>
        <w:br/>
        <w:t>a la jurisdicción contenciosa de la Corte y examinado, inclusive, en  alguna</w:t>
        <w:br/>
        <w:t>opinión consultiva. Me refiero a las condiciones de  detención  en  la  gran</w:t>
        <w:br/>
        <w:t>mayoría de las prisiones --sean instituciones para  menores  de  edad,  sean</w:t>
        <w:br/>
        <w:t>reclusorios para adultos--, que resultan radicalmente incompatibles  con  la</w:t>
        <w:br/>
        <w:t>Convención Americana y con los denominados “estándares”  internacionales  en</w:t>
        <w:br/>
        <w:t>esta materia, expuestos en diversos  instrumentos  mundiales  y  regionales,</w:t>
        <w:br/>
        <w:t>sobre todo  a  partir  de  las  Reglas  Mínimas  de  Naciones  Unidas  sobre</w:t>
        <w:br/>
        <w:t>Tratamiento de los Reclusos (Ginebra, 1955), que han cumplido medio siglo  y</w:t>
        <w:br/>
        <w:t>son ampliamente conocidas, pero frecuentemente desatendidas.  Una  vez  más,</w:t>
        <w:br/>
        <w:t>la realidad se ha rebelado contra las normas. Los  discursos  y  los  hechos</w:t>
        <w:br/>
        <w:t>corren por separado.</w:t>
        <w:br/>
        <w:br/>
        <w:t>32.   De la situación prevaleciente   -como  se  percibe  a  través  de  las</w:t>
        <w:br/>
        <w:t>sentencias de la Corte Interamericana y de  diversas  medidas  provisionales</w:t>
        <w:br/>
        <w:t>ordenadas por ésta-- y del concepto  reiterado por el mismo Tribunal  acerca</w:t>
        <w:br/>
        <w:t>de la función de garante que  corresponde  al  Estado  con  respecto  a  las</w:t>
        <w:br/>
        <w:t>personas sujetas a custodia --adultos o  menores,  sanos  o  enfermos--,  se</w:t>
        <w:br/>
        <w:t>desprende la necesidad imperiosa  de  emprender  cuanto  antes  una  reforma</w:t>
        <w:br/>
        <w:t>verdadera e  integral de los sistemas  de  detención.  Esto  abarca  normas,</w:t>
        <w:br/>
        <w:t>medidas,  establecimientos,  personal  de  custodia  y  alternativas  a   la</w:t>
        <w:br/>
        <w:t>reclusión,  entre  otras  cosas.  Son  muchas,  de  suyo,  las  paradojas  e</w:t>
        <w:br/>
        <w:t>insuficiencias de la prisión. A ello se añade, para  agravar  el  estado  de</w:t>
        <w:br/>
        <w:t>cosas que tenemos a la vista, el quebranto  reiterado  o  constante  de  las</w:t>
        <w:br/>
        <w:t>reglas cuya observancia pudiera aportar un  sistema  de  reclusión  siquiera</w:t>
        <w:br/>
        <w:t>medianamente aceptable.</w:t>
        <w:br/>
        <w:br/>
        <w:t>33.   Se ha  señalado,  con  abundantes  elementos  para  hacerlo,  que  las</w:t>
        <w:br/>
        <w:t>instituciones de  internamiento  constituyen  el  escenario  de  constantes,</w:t>
        <w:br/>
        <w:t>sistemáticas y arraigadas  violaciones  a  los  derechos  humanos,  que  con</w:t>
        <w:br/>
        <w:t>frecuencia revisten, además, la mayor gravedad.  A  este  respecto  hay  que</w:t>
        <w:br/>
        <w:t>volver los ojos a un  amplio  número  de  sentencias  o  resoluciones  sobre</w:t>
        <w:br/>
        <w:t>medidas provisionales emitidas en los últimos años: por ejemplo,  Cárcel  de</w:t>
        <w:br/>
        <w:t>Urso Branco, Instituto de Reeducación del Menor “Panchito  López”,  Bulacio,</w:t>
        <w:br/>
        <w:t>Neira  Alegría,  Penitenciarías  de   Mendoza,   Lori   Berenson,   Hilaire,</w:t>
        <w:br/>
        <w:t>Constantine y Benjamín y otros, etcétera. Esta relación  se  incrementa  con</w:t>
        <w:br/>
        <w:t>la sentencia sobre el Caso César vs. Trinidad  y  Tobago.  La  violación  de</w:t>
        <w:br/>
        <w:t>derechos que  trae  consigo  la  insoportable  situación  que  prevalece  en</w:t>
        <w:br/>
        <w:t>numerosas prisiones constituye ya uno de los grandes temas  planteados  ante</w:t>
        <w:br/>
        <w:t>la jurisdicción interamericana.</w:t>
        <w:br/>
        <w:br/>
        <w:br/>
        <w:t>V.    PROPORCIONALIDAD DE LA PENA</w:t>
        <w:br/>
        <w:br/>
        <w:br/>
        <w:t>34.   En este caso pudo figurar la consideración sobre  la  racionalidad  --</w:t>
        <w:br/>
        <w:t>que implica, en la especie, legitimidad-- de la pena privativa  de  libertad</w:t>
        <w:br/>
        <w:t>prevista por la ley e impuesta por el juzgador.  En  el  marco  del  Derecho</w:t>
        <w:br/>
        <w:t>penal de la sociedad democrática, que supone la  cuidadosa  tipificación  de</w:t>
        <w:br/>
        <w:t>las conductas ilícitas y la medición razonable de  sus  consecuencias,  debe</w:t>
        <w:br/>
        <w:t>existir una graduación adecuada de las reacciones punitivas conforme  a  los</w:t>
        <w:br/>
        <w:t>bienes jurídicos afectados y a la lesión causada o al  peligro  corrido.  La</w:t>
        <w:br/>
        <w:t>mayor jerarquía del bien protegido a través de los tipos penales y la  mayor</w:t>
        <w:br/>
        <w:t>gravedad del daño ocasionado o del peligro corrido determinan  la  severidad</w:t>
        <w:br/>
        <w:t>de la sanción aplicable. No es admisible sancionar la tentativa, que  es  la</w:t>
        <w:br/>
        <w:t>figura a la que se refiere el expediente integrado  en  este  caso  por  las</w:t>
        <w:br/>
        <w:t>autoridades competentes, con penas muy elevadas que  debieran  asignarse  al</w:t>
        <w:br/>
        <w:t>delito consumado. Si se pierde de  vista  este  principio,  como  en  efecto</w:t>
        <w:br/>
        <w:t>sucedió, se habrá mellado el principio de proporcionalidad de la pena.</w:t>
        <w:br/>
        <w:br/>
        <w:t>35.   El problema de la sanción destaca más todavía  cuando  se  observa  la</w:t>
        <w:br/>
        <w:t>imprecisión legal cuantitativa de ésta, con lo que ello implica en  términos</w:t>
        <w:br/>
        <w:t>de exceso potencial, que se volvió actual en  el  caso  presentado  ante  la</w:t>
        <w:br/>
        <w:t>jurisdicción interna, que no suministra razón alguna para optar  por  cierta</w:t>
        <w:br/>
        <w:t>duración en la privación penal de  la  libertad.  A  falta  de  razonamiento</w:t>
        <w:br/>
        <w:t>suficiente, la pena impuesta se sustenta en el arbitrio. La sección 31.1  de</w:t>
        <w:br/>
        <w:t>la  Offences  against  the  Person  Act,  que   contiene   el   tipo   penal</w:t>
        <w:br/>
        <w:t>(aparentemente) considerado en este caso, manifiesta:  “Any  person  who  is</w:t>
        <w:br/>
        <w:t>convicted on the crime of rape is liable to imprisonment  for  life  or  for</w:t>
        <w:br/>
        <w:t>any   term   of   years”.   De   esta   suerte,   toda   violación   carnal,</w:t>
        <w:br/>
        <w:t>independientemente de las condiciones en las que hubiera  sido  cometida,  e</w:t>
        <w:br/>
        <w:t>incluso del grado de  ejecución  al  que  se  hubiese  llegado  en  el  iter</w:t>
        <w:br/>
        <w:t>criminis --que, en la especie, fue el de tentativa-- se halla sujeta  a  una</w:t>
        <w:br/>
        <w:t>pena que puede oscilar entre un año y reclusión perpetua, a  discreción  del</w:t>
        <w:br/>
        <w:t>tribunal.</w:t>
        <w:br/>
        <w:br/>
        <w:t>36.    Así,  la  ley  prevé  una  sola  punibilidad  para  dos   situaciones</w:t>
        <w:br/>
        <w:t>obviamente diferentes: la violación consumada y la tentativa  de  violación.</w:t>
        <w:br/>
        <w:t>La ley no contiene regla alguna para  deslindar  las  consecuencias  penales</w:t>
        <w:br/>
        <w:t>que pudieran derivar, en un caso  concreto,  de  esta  identidad   punitiva.</w:t>
        <w:br/>
        <w:t>Todo esto se desprende no sólo de la lectura del ordenamiento, sino  también</w:t>
        <w:br/>
        <w:t>de  la  explícita  apreciación  hecha  por  el  juez  y  por  los   abogados</w:t>
        <w:br/>
        <w:t>participantes --defensor y acusador--, acerca del sentido y  el  alcance  de</w:t>
        <w:br/>
        <w:t>las normas correspondientes, apreciación de la que existe constancia  en  el</w:t>
        <w:br/>
        <w:t>expediente. Semejante  indeterminación  difícilmente  se  podría  mirar  con</w:t>
        <w:br/>
        <w:t>naturalidad a la luz de la legalidad penal y de los derechos del  inculpado.</w:t>
        <w:br/>
        <w:br/>
        <w:br/>
        <w:t xml:space="preserve">    37. Nos encontramos de nueva cuenta ante una situación  de  tabla  rasa</w:t>
        <w:br/>
        <w:t xml:space="preserve">        como la que se presentó con respecto a la Mandatory Death  Penalty,</w:t>
        <w:br/>
        <w:t xml:space="preserve">        acerca de la cual se pronunció la Corte en una resolución (Hilaire,</w:t>
        <w:br/>
        <w:t xml:space="preserve">        Constantine y Benjamín y otros vs. Trinidad y Tobago, sentencia del</w:t>
        <w:br/>
        <w:t xml:space="preserve">        21 de junio de 2002) a la que acompañé un Voto razonado, algunas de</w:t>
        <w:br/>
        <w:t xml:space="preserve">        cuyas consideraciones son aplicables al presente caso, en cuanto se</w:t>
        <w:br/>
        <w:t xml:space="preserve">        refieren a principios generales del Derecho penal desatendidos  por</w:t>
        <w:br/>
        <w:t xml:space="preserve">        la  legislación  aplicada  entones  y  ahora.   Es  obvio  que   la</w:t>
        <w:br/>
        <w:t xml:space="preserve">        racionalidad penal no entraña, por sí misma, conflicto alguno entre</w:t>
        <w:br/>
        <w:t xml:space="preserve">        los derechos del inculpado, por una parte, y la seguridad pública y</w:t>
        <w:br/>
        <w:t xml:space="preserve">        la  protección a la víctima, por la otra.</w:t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      Juez</w:t>
        <w:br/>
        <w:br/>
        <w:br/>
        <w:br/>
        <w:br/>
        <w:br/>
        <w:br/>
        <w:t>Pablo Saavedra Alessandri</w:t>
        <w:br/>
        <w:t xml:space="preserve">         Secretario</w:t>
        <w:br/>
        <w:br/>
        <w:t xml:space="preserve">                      VOTO CONCURRENTE DEL JUEZ Jackman</w:t>
        <w:br/>
        <w:br/>
        <w:br/>
        <w:br/>
        <w:t xml:space="preserve">            La presente sentencia, con la que concurro en su  totalidad,  es</w:t>
        <w:br/>
        <w:t>de especial importancia por al menos tres razones: su  reafirmación  de  que</w:t>
        <w:br/>
        <w:t>la práctica de imponer penas corporales por parte de los  Estados  Partes  a</w:t>
        <w:br/>
        <w:t>la  Convención  Americana  de  Derechos  Humanos  (“la  Convención”)  es  un</w:t>
        <w:br/>
        <w:t>incumplimiento flagrante de dicho tratado; su  insistencia  en  la  absoluta</w:t>
        <w:br/>
        <w:t>necesidad de que los Estados respeten sus obligaciones  establecidas  en  el</w:t>
        <w:br/>
        <w:t>tratado; y su rechazo de la tétrica herramienta conocida como “cláusulas  de</w:t>
        <w:br/>
        <w:t>excepción”  que  tiene  el  efecto  de  permitirle  a  ciertos  estados  del</w:t>
        <w:br/>
        <w:t>Commonwealth del Caribe  el  lujo  de  simultáneamente  reprobar  y  aprobar</w:t>
        <w:br/>
        <w:t>comportamientos que son internacionalmente ilícitos.</w:t>
        <w:br/>
        <w:br/>
        <w:br/>
        <w:t>Penas Corporales</w:t>
        <w:br/>
        <w:br/>
        <w:t xml:space="preserve">           La sentencia de la Corte detalla de manera adecuada el  grado  al</w:t>
        <w:br/>
        <w:t>cual la jurisprudencia internacional de derechos humanos ha  prohibido  esta</w:t>
        <w:br/>
        <w:t>pena cruel, inhumana y degradante, de manera que no hay necesidad de que  yo</w:t>
        <w:br/>
        <w:t>me dilate más en este tema. Sin embargo, no vale de  nada  que,  aparte  del</w:t>
        <w:br/>
        <w:t>oprobio internacional que ha atraído esta práctica, la Corte Suprema de  una</w:t>
        <w:br/>
        <w:t>jurisdicción con gran similitud constitucional a Trinidad y Tobago  no  tuvo</w:t>
        <w:br/>
        <w:t>ninguna dificultad, en el caso de Barbados de Hobbs  y  otros  vs.  R,  para</w:t>
        <w:br/>
        <w:t>encontrar que los azotes con un látigo con nueve correas de  cuerda  anudada</w:t>
        <w:br/>
        <w:t>es, en las palabras del Presidente de  la  Corte  Suprema  de  Justica,  Sir</w:t>
        <w:br/>
        <w:t>Denys Williams, “…inhumano dentro del significado de la sección 15.1 [de  la</w:t>
        <w:br/>
        <w:t>Constitución de Barbados]” y  “…degradante  dentro  del  significado  de  la</w:t>
        <w:br/>
        <w:t>sección 15.1”.  La sección a la que hace referencia  el  versado  Presidente</w:t>
        <w:br/>
        <w:t>de la Corte Suprema de Justicia dice lo siguiente:</w:t>
        <w:br/>
        <w:t xml:space="preserve">       </w:t>
        <w:br/>
        <w:t xml:space="preserve">      15.1 Ninguna persona será sujeta a  tortura  o  a  penas  inhumanas  o</w:t>
        <w:br/>
        <w:t xml:space="preserve">      degradantes de otra naturaleza.</w:t>
        <w:br/>
        <w:br/>
        <w:t>La disposición relevante en la constitución de Trinidad y  Tobago  establece</w:t>
        <w:br/>
        <w:t>que:</w:t>
        <w:br/>
        <w:br/>
        <w:t xml:space="preserve">      […El] Parlamento no podrá …  imponer  o  autorizar  la  imposición  de</w:t>
        <w:br/>
        <w:t xml:space="preserve">      tratamientos o penas crueles e inusuales […]</w:t>
        <w:br/>
        <w:br/>
        <w:br/>
        <w:t>Pacta sunt servanda</w:t>
        <w:br/>
        <w:br/>
        <w:t xml:space="preserve">          Pero, cumplirá Trinidad y Tobago con  la  decisión  de  la  Corte?</w:t>
        <w:br/>
        <w:t>Juzgando con base en su falta de participación en  las  audiencias  de  este</w:t>
        <w:br/>
        <w:t>caso, y dada su previa actitud  desobediente  en  el  caso  de  Hilaire,  el</w:t>
        <w:br/>
        <w:t>cumplimiento  es,  como  mínimo,  poco  probable.  Esto  a   pesar   de   la</w:t>
        <w:br/>
        <w:t>indisputable responsabilidad del Estado según las  leyes  internacionales  a</w:t>
        <w:br/>
        <w:t>responder ante el sistema interamericano de derechos humanos  por  cualquier</w:t>
        <w:br/>
        <w:t>supuesta violación a la Convención que haya ocurrido entre  el  período  del</w:t>
        <w:br/>
        <w:t>28 de mayo de 1991, día en que el estado ratificó la Convención y  reconoció</w:t>
        <w:br/>
        <w:t>la competencia obligatoria del Tribunal, y el 26 de mayo  de  1999,  día  en</w:t>
        <w:br/>
        <w:t>que su denuncia de la Convención tuvo efecto legal.</w:t>
        <w:br/>
        <w:br/>
        <w:t xml:space="preserve">      El principio que establece que los estados deben cumplir de  buena  fe</w:t>
        <w:br/>
        <w:t>con los términos de los tratados a los  que  ingresa  de  manera  voluntaria</w:t>
        <w:br/>
        <w:t>(pacta sunt servanda) es la piedra  angular  de  la  cortesía  internacional</w:t>
        <w:br/>
        <w:t>entre naciones y el derecho internacional.  El Artículo 26 de la  Convención</w:t>
        <w:br/>
        <w:t>de Viena sobre el  Derecho  de  los  Tratados  (“la  Convención  de  Viena”)</w:t>
        <w:br/>
        <w:t>establece lo siguiente: Todo tratado en vigor obliga a  las  partes  y  debe</w:t>
        <w:br/>
        <w:t>ser cumplido por ellas de buena fe”. (Énfasis agregado.)</w:t>
        <w:br/>
        <w:br/>
        <w:br/>
        <w:t xml:space="preserve">      Debiera ser  obvio  que  el  cumplimiento  de  buena  fe  es  aún  más</w:t>
        <w:br/>
        <w:t>importante en el área del derecho internacional de derechos  humanos,  donde</w:t>
        <w:br/>
        <w:t>lo que está en juego no son los intereses impersonales de los  estados  sino</w:t>
        <w:br/>
        <w:t>la protección de los derechos fundamentales del individuo. La  denuncia  por</w:t>
        <w:br/>
        <w:t>parte de Trinidad y Tobago de la Convención fue  realmente  lamentable  para</w:t>
        <w:br/>
        <w:t>la causa de un régimen universal de  protección  de  los  derechos  humanos,</w:t>
        <w:br/>
        <w:t>pero el Estado estaba dentro de  todo  su  derecho  a  tomar  ese  paso  sin</w:t>
        <w:br/>
        <w:t>precedentes. Pero su contumeliosa  negativa  a  reconocer  sus  obligaciones</w:t>
        <w:br/>
        <w:t>continuadas bajo un tratado  que  seguía  estando  en  vigencia  para  ellos</w:t>
        <w:br/>
        <w:t>cuando  ocurrieron  las  violaciones  de  este  caso  representa  un  ataque</w:t>
        <w:br/>
        <w:t>injustificado al Estado de Derecho, aún más sorprendente en un  Estado  que,</w:t>
        <w:br/>
        <w:t>como otros estados del  Commonwealth  del  Caribe,  se  enorgullece  de  sus</w:t>
        <w:br/>
        <w:t>tradiciones de Derecho Consuetudinario, donde el respeto  por  los  derechos</w:t>
        <w:br/>
        <w:t>humanos y por el Estado de Derecho están profundamente  incorporados  en  la</w:t>
        <w:br/>
        <w:t>cultura legal.</w:t>
        <w:br/>
        <w:br/>
        <w:t xml:space="preserve">            Actualmente, debido a la breve estancia y retiro precipitado  de</w:t>
        <w:br/>
        <w:t>Trinidad y Tobago, solo cuatro de esos estados son parte de  la  Convención.</w:t>
        <w:br/>
        <w:t>Solo uno, Barbados, ha aceptado la competencia contenciosa de la Corte.  Con</w:t>
        <w:br/>
        <w:t>base en la reciente negativa del Estado, dentro del contexto  de  su  primer</w:t>
        <w:br/>
        <w:t>contacto procesal con la Corte, de  obedecer  una  Orden  Incidental  de  la</w:t>
        <w:br/>
        <w:t>Corte en un tema referido a la Corte por  la  Comisión  Interamericana  bajo</w:t>
        <w:br/>
        <w:t>los términos del artículo 63.2 de la Convención, pareciera que  Barbados  se</w:t>
        <w:br/>
        <w:t>está inclinando a seguir el ejemplo de infracción de su colega y vecino  del</w:t>
        <w:br/>
        <w:t>CARICOM.</w:t>
        <w:br/>
        <w:br/>
        <w:t xml:space="preserve">      Aunque – a diferencia de Trinidad y  Tobago  en  el  presente  caso  –</w:t>
        <w:br/>
        <w:t>Barbados ha mostrado un mínimo de cortesía  al  responder  a  la  Orden  del</w:t>
        <w:br/>
        <w:t>Tribunal, dicha respuesta es en la forma de una alegación de que  el  estado</w:t>
        <w:br/>
        <w:t>está eximido de la jurisdicción de la Corte,  sobre  la  base  jurídicamente</w:t>
        <w:br/>
        <w:t>incoherente de que obedecer dicha orden los haría entrar  en  conflicto  con</w:t>
        <w:br/>
        <w:t>su Constitución. Esto en  directa  antítesis  al  precepto  incluido  en  el</w:t>
        <w:br/>
        <w:t>artículo 27 de la Convención de  Viena: “Una  parte  no  podrá  invocar  las</w:t>
        <w:br/>
        <w:t>disposiciones de su derecho interno como  justificación  del  incumplimiento</w:t>
        <w:br/>
        <w:t>de un tratado”.</w:t>
        <w:br/>
        <w:br/>
        <w:br/>
        <w:t xml:space="preserve">      Desafortunadamente no hay pruebas de que ninguno de  los  Estados  del</w:t>
        <w:br/>
        <w:t>Commonwealth del Caribe que  sean  Partes  de  la  Convención  hayan  tomado</w:t>
        <w:br/>
        <w:t>medidas para cumplir con la obligación establecida en el artículo 2,  “Deber</w:t>
        <w:br/>
        <w:t>de Adoptar Disposiciones de Derecho Interno”, viz:</w:t>
        <w:br/>
        <w:br/>
        <w:t xml:space="preserve">      “Si el ejercicio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libertades”.</w:t>
        <w:br/>
        <w:br/>
        <w:br/>
        <w:t>“Cláusulas de Excepción”</w:t>
        <w:br/>
        <w:br/>
        <w:t xml:space="preserve">           Tal como ha sido determinado por la Corte tanto  en  el  presente</w:t>
        <w:br/>
        <w:t>case como en el caso de Hilaire, Sección 6 de la Constitución de Trinidad  y</w:t>
        <w:br/>
        <w:t>Tobago, la llamada “cláusula  de  excepción”,  (reflejada  en  disposiciones</w:t>
        <w:br/>
        <w:t>constitucionales en el Commonwealth del Caribe) tiene el efecto de  proteger</w:t>
        <w:br/>
        <w:t>contra el escrutinio, en las Cortes nacionales, de ciertos actos del  Estado</w:t>
        <w:br/>
        <w:t>que de otra manera estarían incumpliendo las disposiciones de  los  derechos</w:t>
        <w:br/>
        <w:t>fundamentales  de  dicha  Constitución.  Sin  embargo,  por  virtud  de  los</w:t>
        <w:br/>
        <w:t>principios establecidos en el artículo 26 de la Convención  de  Viena,  esto</w:t>
        <w:br/>
        <w:t>no exime al estado de su deberes según el derecho  internacional;  al  grado</w:t>
        <w:br/>
        <w:t>al  que  dicha   disposición   pretenda   hacerlo,   constituye   un   claro</w:t>
        <w:br/>
        <w:t>incumplimiento de las obligaciones internacionales relevantes.</w:t>
        <w:br/>
        <w:t xml:space="preserve">  </w:t>
        <w:br/>
        <w:t xml:space="preserve">           Los países que entraron de manera voluntaria  y  soberana  a  los</w:t>
        <w:br/>
        <w:t>tratados no pueden elegir cuáles obligaciones de los mismos van  a  obedecer</w:t>
        <w:br/>
        <w:t>y  cuales  van  a  despreciar.  Aún  cuando  se  presenten  reservas,   está</w:t>
        <w:br/>
        <w:t>claramente establecido en el derecho y la práctica internacional que  dichas</w:t>
        <w:br/>
        <w:t>reservas no deben ser “incompatibles con el objeto y el  fin  del  tratado”.</w:t>
        <w:br/>
        <w:t xml:space="preserve"> (Convención de Viena:  Artículo 19).</w:t>
        <w:br/>
        <w:br/>
        <w:t xml:space="preserve">           Trinidad y Tobago ha ejercitado su derecho soberana  a  denunciar</w:t>
        <w:br/>
        <w:t>y retirarse de la  Convención.  Sin  embargo,  ningún  estado  que  se  haya</w:t>
        <w:br/>
        <w:t>comprometido a un tratado internacional,  puede  de  buena  fe  rehusarse  a</w:t>
        <w:br/>
        <w:t>cumplir las obligaciones que de modo inequívoco se obligó a  honrar  durante</w:t>
        <w:br/>
        <w:t>el plazo de validez del  tratado.  Eso  sería  una  burla  para  el  derecho</w:t>
        <w:br/>
        <w:t>internacional y, en el caso de los tratados de derechos  humanos,  socavaría</w:t>
        <w:br/>
        <w:t>un régimen de preocupación internacional por el ser  humano  como  individuo</w:t>
        <w:br/>
        <w:t>que se remonta hasta al menos la Declaración Universal de Derechos Humanos.</w:t>
        <w:br/>
        <w:br/>
        <w:t xml:space="preserve">           El hecho de que esté surgiendo una clara tendencia por  parte  de</w:t>
        <w:br/>
        <w:t>los estados del Commonwealth del Caribe en esta sombría dirección,  con  sus</w:t>
        <w:br/>
        <w:t>implicaciones para la integridad y aceptación  del  sistema  interamericano,</w:t>
        <w:br/>
        <w:t>es un tema de gran preocupación.</w:t>
        <w:br/>
        <w:br/>
        <w:br/>
        <w:br/>
        <w:br/>
        <w:br/>
        <w:br/>
        <w:br/>
        <w:br/>
        <w:br/>
        <w:t xml:space="preserve">                                                                            </w:t>
        <w:br/>
        <w:t xml:space="preserve">              Oliver Jackman</w:t>
        <w:br/>
        <w:t xml:space="preserve">                                                                            </w:t>
        <w:br/>
        <w:t xml:space="preserve">                    Juez</w:t>
        <w:br/>
        <w:br/>
        <w:br/>
        <w:t xml:space="preserve">           </w:t>
        <w:br/>
        <w:br/>
        <w:t>Pablo Saavedra Alessandri</w:t>
        <w:br/>
        <w:t xml:space="preserve">       Secretario</w:t>
        <w:br/>
        <w:br/>
        <w:t xml:space="preserve">                VOTO RAZONADO DEL JUEZ A.A. CANÇADO TRINDADE</w:t>
        <w:br/>
        <w:br/>
        <w:br/>
        <w:t>1.    He concurrido con mi voto en la adopción de la presente  Sentencia  de</w:t>
        <w:br/>
        <w:t>la Corte Interamericana de Derechos Humanos en  el  caso  de  Caesar  versus</w:t>
        <w:br/>
        <w:t>Trinidad y Tobago. Dada la relevancia legal de los  temas  tratados  por  la</w:t>
        <w:br/>
        <w:t>Corte en su decisión, así como los subyacentes  al  mismo  y  referentes  al</w:t>
        <w:br/>
        <w:t>presente caso, me siento obligado a  dejar  constancia  de  mis  reflexiones</w:t>
        <w:br/>
        <w:t>personales sobre los mismos como los fundamentos para mi posición  sobre  el</w:t>
        <w:br/>
        <w:t>tema. Me referiré, en el presente Voto Razonado,  a  los  siguientes  puntos</w:t>
        <w:br/>
        <w:t>que considero claves, no solo para  lograr  un  mejor  entendimiento  de  la</w:t>
        <w:br/>
        <w:t>decisión de la Corte en el presente case de Caesar,  pero  también  para  el</w:t>
        <w:br/>
        <w:t>manejo de futuros casos en que también puedan surgir  dichos  temas:  a)  la</w:t>
        <w:br/>
        <w:t>humanización de la ley de los tratados, como se ilustra por los  desarrollos</w:t>
        <w:br/>
        <w:t>respecto a la interpretación de tratados, reservas a los tratados,  denuncia</w:t>
        <w:br/>
        <w:t>de los tratados y la  terminación  y  suspensión  de  la  operación  de  los</w:t>
        <w:br/>
        <w:t>tratados; b) el estado de derecho internacional: no  comparecencia  ante  un</w:t>
        <w:br/>
        <w:t>tribunal internacional y la obligación de cumplir con sus sentencias;  y  c)</w:t>
        <w:br/>
        <w:t>el creciente contenido material y alcance  del  jus  cogens  en  el  derecho</w:t>
        <w:br/>
        <w:t>internacional contemporáneo.</w:t>
        <w:br/>
        <w:br/>
        <w:t xml:space="preserve">      I.    La Humanización de la Ley de los Tratados.</w:t>
        <w:br/>
        <w:br/>
        <w:t>2.    No es de sorprenderse que las consideraciones básicas de la  humanidad</w:t>
        <w:br/>
        <w:t>rodean los dominios recientemente surgidos  de  las  leyes  internacionales,</w:t>
        <w:br/>
        <w:t>tales como el de la protección internacional de los derechos  humanos.  Pero</w:t>
        <w:br/>
        <w:t>la incidencia de esas consideraciones sobre las áreas más tradicionales  del</w:t>
        <w:br/>
        <w:t>derecho   internacional,   que   en   el   pasado   eran   abarcadas,   casi</w:t>
        <w:br/>
        <w:t>invariablemente, desde el  ángulo  de  la  “voluntad”  de  los  Estados,  es</w:t>
        <w:br/>
        <w:t>indicativo de nuevos tiempos y una nueva mentalidad  centrada  más  bien  en</w:t>
        <w:br/>
        <w:t>los últimos destinatarios de las normas internacionales, los seres  humanos.</w:t>
        <w:br/>
        <w:br/>
        <w:br/>
        <w:t>3.     El  derecho  de  los  tratados  merece  una  ilustración  pertinente,</w:t>
        <w:br/>
        <w:t>revelando que ya no está más a merced de la “voluntad” de los Estados y  que</w:t>
        <w:br/>
        <w:t>ella, también, reconoce ciertos valores comunes superiores que la  comunidad</w:t>
        <w:br/>
        <w:t>internacional  como  un  todo  considera  deben  ser  preservados.   Algunos</w:t>
        <w:br/>
        <w:t>ejemplos pertinentes pueden ser encontrados en  áreas  del  derecho  de  los</w:t>
        <w:br/>
        <w:t>tratados que se refieren a la interpretación de  los  tratados,  reservas  a</w:t>
        <w:br/>
        <w:t>los tratados,  denuncia  de  tratados  y  terminación  y  suspensión  de  la</w:t>
        <w:br/>
        <w:t>operación  de  tratados.  Sin  embargo,  yo  revisaré  cada  uno  de   ellos</w:t>
        <w:br/>
        <w:t>brevemente antes de presentar mis observaciones de  cierre  sobre  el  tema.</w:t>
        <w:br/>
        <w:br/>
        <w:br/>
        <w:t xml:space="preserve">      1.    Consideraciones sobre la Interpretación de los Tratados.</w:t>
        <w:br/>
        <w:br/>
        <w:t xml:space="preserve">      a)    Comentarios Generales.</w:t>
        <w:br/>
        <w:br/>
        <w:t>4.    Cuando uno procede a interpretar los  tratados  de  derechos  humanos,</w:t>
        <w:br/>
        <w:t>así como otros tratados internacionales, uno se inclina a  recurrir  primero</w:t>
        <w:br/>
        <w:t>a  las  disposiciones  establecidas  en  los  artículos  31-33  de  las  dos</w:t>
        <w:br/>
        <w:t>Convenciones de Viena sobre el Derecho de los  Tratados  (de  1969  y  1986,</w:t>
        <w:br/>
        <w:t>respectivamente), y en particular a la combinación según el artículo  31  de</w:t>
        <w:br/>
        <w:t>los elementos del significado normal de  los  términos,  el  contexto  y  el</w:t>
        <w:br/>
        <w:t>objeto y fin  de  los  tratados  en  cuestión[57].  Entonces  es  muy  fácil</w:t>
        <w:br/>
        <w:t>encontrar que, en la práctica, mientras que en  el  derecho  tradicional  ha</w:t>
        <w:br/>
        <w:t>habido una marcada tendencia  a  buscar  más  bien  una  interpretación  más</w:t>
        <w:br/>
        <w:t>restrictiva que le da la mayor precisión posible a las obligaciones  de  los</w:t>
        <w:br/>
        <w:t>Estados Partes, en el derecho internacional  de  los  derechos  humanos,  de</w:t>
        <w:br/>
        <w:t>manera un poco distintiva, ha existido un énfasis claro y especial sobre  el</w:t>
        <w:br/>
        <w:t>elemento del  objeto  y  fin  del  tratado,  con  el  fin  de  asegurar  una</w:t>
        <w:br/>
        <w:t>protección efectiva (effet utile)[58] de los derechos garantizados.</w:t>
        <w:br/>
        <w:br/>
        <w:t>5.    Mientras que en el derecho internacional general  los  elementos  para</w:t>
        <w:br/>
        <w:t>la  interpretación  de   los   tratados   evolucionó   principalmente   como</w:t>
        <w:br/>
        <w:t>lineamientos para el  proceso  de  interpretación  por  los  Estados  Partes</w:t>
        <w:br/>
        <w:t>mismos, los tratados de derechos humanos, por su parte,  han  requerido  una</w:t>
        <w:br/>
        <w:t>interpretación  de  sus  disposiciones  tomando  en  cuenta  la   naturaleza</w:t>
        <w:br/>
        <w:t>esencialmente objetiva de las obligaciones asumidas por los Estados  Partes:</w:t>
        <w:br/>
        <w:t>dichas obligaciones buscan la protección de los derechos  humanos  y  no  el</w:t>
        <w:br/>
        <w:t>establecimiento  de  derechos  subjetivos  y  recíprocos  para  los  Estados</w:t>
        <w:br/>
        <w:t>Partes. De ahí, el especial énfasis en el elemento del objeto y fin  de  los</w:t>
        <w:br/>
        <w:t>tratados de derechos humanos, de  lo  cual  la  jurisprudencia  de  los  dos</w:t>
        <w:br/>
        <w:t>Tribunales regionales de Derechos Humanos – el Interamericano y  el  Europeo</w:t>
        <w:br/>
        <w:t>– ofrecen un testimonio elocuente.</w:t>
        <w:br/>
        <w:br/>
        <w:t>6.    La interpretación y aplicación de los tratados de derechos humanos  ha</w:t>
        <w:br/>
        <w:t>sido guiada por las consideraciones de un interés general superior  u  ordre</w:t>
        <w:br/>
        <w:t>public  que  trasciende   los   intereses   individuales   de   las   Partes</w:t>
        <w:br/>
        <w:t>Contratantes. Tal como ha sido indicado por la  jurisprudence  constante  de</w:t>
        <w:br/>
        <w:t>los dos tribunales internacionales de derechos humanos,  esos  tratados  son</w:t>
        <w:br/>
        <w:t>diferentes a los tratados clásicos,  incluyendo  concesiones  y  compromisos</w:t>
        <w:br/>
        <w:t>recíprocamente restrictivos; los tratados  de  derechos  humanos  prescriben</w:t>
        <w:br/>
        <w:t>obligaciones de una  naturaleza  esencialmente  objetiva,  implementadas  de</w:t>
        <w:br/>
        <w:t>manera  colectiva  por  medios   de   supervisión   propios[59].   La   rica</w:t>
        <w:br/>
        <w:t>jurisprudencia sobre métodos de interpretación de los tratados  de  derechos</w:t>
        <w:br/>
        <w:t>humanos ha mejorado la protección del ser humano a nivel internacional y  ha</w:t>
        <w:br/>
        <w:t>enriquecido  el  Derecho  Internacional  bajo   el   impacto   del   Derecho</w:t>
        <w:br/>
        <w:t>Internacional de Derechos Humanos.</w:t>
        <w:br/>
        <w:br/>
        <w:t>7.     La  convergente  jurisprudencia  en  este  sentido  ha  generado   el</w:t>
        <w:br/>
        <w:t>entendimiento común, en los sistemas regionales (Europeo  e  Interamericano)</w:t>
        <w:br/>
        <w:t>de protección a los derechos humanos, que los tratados de  derechos  humanos</w:t>
        <w:br/>
        <w:t>están dotados de una naturaleza especial (como se distingue de los  tratados</w:t>
        <w:br/>
        <w:t>multilaterales tradicionales); que los tratados de derechos  humanos  tienen</w:t>
        <w:br/>
        <w:t>un  carácter  normativo,  de  ordre  public;  que  sus  términos  deben  ser</w:t>
        <w:br/>
        <w:t>interpretados de manera autónoma; que en su  aplicación  uno  debe  asegurar</w:t>
        <w:br/>
        <w:t>una protección efectiva (effet utile) de los derechos garantizados; que  las</w:t>
        <w:br/>
        <w:t>obligaciones ahí consagradas tienen una  naturaleza  objetiva  y  deben  ser</w:t>
        <w:br/>
        <w:t>cumplidas por los Estados Partes, que tienen el  deber  adicional  común  de</w:t>
        <w:br/>
        <w:t>ejercitar la garantía colectiva  de  los  derechos  protegidos;  y  que  las</w:t>
        <w:br/>
        <w:t>restricciones permisivas (limitaciones y derogaciones) al ejercicio  de  los</w:t>
        <w:br/>
        <w:t>derechos garantizados deben ser  interpretados  de  manera  restrictiva.  El</w:t>
        <w:br/>
        <w:t>trabajo de los Tribunales Interamericanos y  Europeos  de  Derechos  Humanos</w:t>
        <w:br/>
        <w:t>sin duda ha contribuido a la  creación  de  un  ordre  public  internacional</w:t>
        <w:br/>
        <w:t>basado   en   el   respeto   por   los   derechos   humanos   en   cualquier</w:t>
        <w:br/>
        <w:t>circunstancia[60].</w:t>
        <w:br/>
        <w:br/>
        <w:t>8.    Tal y como he ponderado en mi  Voto  Razonado  en  el  case  de  Blake</w:t>
        <w:br/>
        <w:t>versus Guatemala (reparaciones, 1999) ante  el  Tribunal  Interamericano  de</w:t>
        <w:br/>
        <w:t>Derechos Humanos,</w:t>
        <w:br/>
        <w:br/>
        <w:t xml:space="preserve">            "(...) así, en materia de tratados  de  derechos  humanos,  cabe</w:t>
        <w:br/>
        <w:t xml:space="preserve">      tener siempre presente el carácter objetivo de  las  obligaciones  que</w:t>
        <w:br/>
        <w:t xml:space="preserve">      encierran, el sentido autónomo (en relación con el derecho interno  de</w:t>
        <w:br/>
        <w:t xml:space="preserve">      los Estados) de los términos de dichos tratados, la garantía colectiva</w:t>
        <w:br/>
        <w:t xml:space="preserve">      subyacente  a  éstos,  el  amplio  alcance  de  las  obligaciones   de</w:t>
        <w:br/>
        <w:t xml:space="preserve">      protección  y  la  interpretación  restrictiva  de  las  restricciones</w:t>
        <w:br/>
        <w:t xml:space="preserve">      permisibles. Estos elementos convergen al sostener  la  integridad  de</w:t>
        <w:br/>
        <w:t xml:space="preserve">      los tratados de derechos humanos,  al  buscar  la  realización  de  su</w:t>
        <w:br/>
        <w:t xml:space="preserve">      objeto y propósito, y, por  consiguiente,  al  establecer  límites  al</w:t>
        <w:br/>
        <w:t xml:space="preserve">      voluntarismo estatal. De todo esto se desprende una  nueva  visión  de</w:t>
        <w:br/>
        <w:t xml:space="preserve">      las relaciones entre el poder público y el ser humano, que se  resume,</w:t>
        <w:br/>
        <w:t xml:space="preserve">      en última instancia, en el reconocimiento de que el Estado existe para</w:t>
        <w:br/>
        <w:t xml:space="preserve">      el ser humano, y no viceversa[61].”</w:t>
        <w:br/>
        <w:br/>
        <w:t>9.    Otro aspecto a ser recordado aquí es el del  significado  autónomo  de</w:t>
        <w:br/>
        <w:t>los términos de los  tratados  de  derechos  humanos  (a  diferencia  de  su</w:t>
        <w:br/>
        <w:t>significado por ejemplo en el derecho nacional). El  punto,  enfatizado  por</w:t>
        <w:br/>
        <w:t>el Comité de Derechos Humanos  (bajo  el  Pacto  Internacional  de  Derechos</w:t>
        <w:br/>
        <w:t>Civiles y Políticos de las ONUA) en la adopción de sus puntos  de  vista  en</w:t>
        <w:br/>
        <w:t>el caso de Van Duzen versus Canada (en 1982), ha sido  tratado  también  por</w:t>
        <w:br/>
        <w:t>los dos Tribunales regionales –  europeo  e  interamericano  –  de  Derechos</w:t>
        <w:br/>
        <w:t>Humanos. La Corte Europea ha  endosado  la  doctrina  de  la  interpretación</w:t>
        <w:br/>
        <w:t>autónoma en sus sentencias, por ejemplo, en los casos de  Ringeisen  (1971),</w:t>
        <w:br/>
        <w:t>König  (1978)  y  Le  Compte  (1981  y  1983).  Por  su  parte,   la   Corte</w:t>
        <w:br/>
        <w:t>Interamericana en su sexta Opinión Consultiva sobre La Expresión “Leyes”  en</w:t>
        <w:br/>
        <w:t>el Artículo 30 de la Convención Americana  sobre  Derechos  Humanos  (1986),</w:t>
        <w:br/>
        <w:t>aclaró que la palabra “leyes” en el artículo 30 de la Convención  Americana,</w:t>
        <w:br/>
        <w:t>a ser examinada no solo según el principio de legalidad,  pero  también  con</w:t>
        <w:br/>
        <w:t>el de legitimidad, implica una norma jurídica  de  una  naturaleza  general,</w:t>
        <w:br/>
        <w:t>referida al “bienestar general”,  que  emana  de  los  órganos  legislativos</w:t>
        <w:br/>
        <w:t>establecidos  de  manera  constitucional  y  elegidos   democráticamente   y</w:t>
        <w:br/>
        <w:t>elaborado según el procedimiento de creación de leyes  establecido  por  las</w:t>
        <w:br/>
        <w:t>Constituciones de los Estados Partes.</w:t>
        <w:br/>
        <w:br/>
        <w:t>10.   Además, la interpretación dinámica  o  evolutiva  de  las  respectivas</w:t>
        <w:br/>
        <w:t>Convenciones de  derechos  humanos  (la  dimensión  intertemporal)  ha  sido</w:t>
        <w:br/>
        <w:t>seguido tanto por la Corte Europea[62]  como  la  Corte  Interamericana[63],</w:t>
        <w:br/>
        <w:t>para cumplir con las cambiantes necesidades de protección  del  ser  humano;</w:t>
        <w:br/>
        <w:t>en su décimo sexta y pionera Opinión  Consultiva,  sobre  El  Derecho  a  la</w:t>
        <w:br/>
        <w:t>Información sobre la Asistencia Consular en el Marco de  las  Garantías  del</w:t>
        <w:br/>
        <w:t>Debido  Proceso  Legal  (1999),   que   ha   inspirado   la   jurisprudencia</w:t>
        <w:br/>
        <w:t>internacional in statu nascendi sobre el tema, la  Corte  Interamericana  ha</w:t>
        <w:br/>
        <w:t>aclarado  que,  en  su  interpretación  de  las  normas  de  la   Convención</w:t>
        <w:br/>
        <w:t>Americana, se debe extender la protección en situaciones nuevas (tales  como</w:t>
        <w:br/>
        <w:t>la referente a la observancia del derecho  a  información  sobre  asistencia</w:t>
        <w:br/>
        <w:t>consular) sobre la base de derechos preexistentes. La misma visión  ha  sido</w:t>
        <w:br/>
        <w:t>planteada por la Corte Interamericana en su posterior y  progresista  décimo</w:t>
        <w:br/>
        <w:t>octava Opinión Consultiva, sobre la Condición Jurídica  y  Derechos  de  los</w:t>
        <w:br/>
        <w:t>Migrantes Indocumentados (2003).</w:t>
        <w:br/>
        <w:br/>
        <w:t>11.   Hay una jurisprudencia convergente  de  las  dos  Cortes  de  Derechos</w:t>
        <w:br/>
        <w:t>Humanos – y sin  duda  de  otros  órganos  internacionales  supervisores  de</w:t>
        <w:br/>
        <w:t>derechos humanos – sobre este tema.  Por  lo  tanto,  la  Corte  Europea  de</w:t>
        <w:br/>
        <w:t>Derechos Humanos se ha pronunciado de manera reiterada en este  sentido[64];</w:t>
        <w:br/>
        <w:t>en el caso de Loizidou versus Turquía (1995), por ejemplo, la Corte  Europea</w:t>
        <w:br/>
        <w:t>expresamente  descartó  restricciones  indebidas  que  solo  servirían  para</w:t>
        <w:br/>
        <w:t>“seriamente debilitar” su papel  en  el  cumplimiento  de  sus  funciones  y</w:t>
        <w:br/>
        <w:t>“además disminuirían la efectividad de la  Convención  como  un  instrumento</w:t>
        <w:br/>
        <w:t>constitucional del orden  público  Europeo  (ordre  public)"[65].  La  Corte</w:t>
        <w:br/>
        <w:t>Interamericana de Derechos Humanos, por su parte, ha  de  manera  similar  y</w:t>
        <w:br/>
        <w:t>repetida enfatizado el objeto y fin de los tratados de  derechos  humanos  y</w:t>
        <w:br/>
        <w:t>la naturaleza objetiva de las obligaciones que  surgen  de  los  mismos[66],</w:t>
        <w:br/>
        <w:t>así como el  carácter  especial  de  los  tratados  de  derechos  humanos  a</w:t>
        <w:br/>
        <w:t>diferencia de los tratados multilaterales tradicionales[67].</w:t>
        <w:br/>
        <w:br/>
        <w:t>12.    Dicha  convergencia  de  puntos  de  vistas  de  los  dos  Tribunales</w:t>
        <w:br/>
        <w:t>regionales  de  Derechos  Humanos  sobre   el   tema   fundamental   de   la</w:t>
        <w:br/>
        <w:t>interpretación adecuada de los tratados  de  derechos  humanos  naturalmente</w:t>
        <w:br/>
        <w:t>resulta de la identidad preponderante del objeto y fin de esos tratados.  El</w:t>
        <w:br/>
        <w:t>derecho  internacional  general  en  sí  mismo  es  testigo  del   principio</w:t>
        <w:br/>
        <w:t>(aparentemente subsumido bajo la regla  general  de  la  interpretación  del</w:t>
        <w:br/>
        <w:t>artículo 31 de las dos Convenciones de Viena sobre la Ley de  los  Tratados)</w:t>
        <w:br/>
        <w:t>según la cual la  interpretación  es  permitirle  a  un  tratado  tener  los</w:t>
        <w:br/>
        <w:t>efectos apropiados[68], - un principio al que se ha recurrido  en  casos  de</w:t>
        <w:br/>
        <w:t>eventuales llamadas indebidas a una interpretación  restrictiva  .  Hay  una</w:t>
        <w:br/>
        <w:t>jurisprudence constante que lleva hacia  la  interpretación  restrictiva  de</w:t>
        <w:br/>
        <w:t>disposiciones que limitan o restringen  el  ejercicio  de  derechos  humanos</w:t>
        <w:br/>
        <w:t>reconocidos[69].</w:t>
        <w:br/>
        <w:br/>
        <w:t>13.   Un aspecto que no debe pasar desapercibido en este sentido es que  las</w:t>
        <w:br/>
        <w:t>medidas de derogación y las limitaciones no  deben  ser  inconsistentes  con</w:t>
        <w:br/>
        <w:t>las otras obligaciones según el derecho internacional  de  incumbencia  para</w:t>
        <w:br/>
        <w:t>el Estado Parte involucrado: por lo tanto, ni las  cláusulas  de  derogación</w:t>
        <w:br/>
        <w:t>ni las disposiciones de limitaciones de un tratado  específico  de  derechos</w:t>
        <w:br/>
        <w:t>humanos  deberán  ser  interpretados  como  restrictivos  del  ejercicio  de</w:t>
        <w:br/>
        <w:t>cualquier derecho humano protegido en mayor  grado  por  otros  tratados  de</w:t>
        <w:br/>
        <w:t>derechos humanos en los  cuales  el  Estado  Parte  involucrado  también  es</w:t>
        <w:br/>
        <w:t>Parte.  Dicho  entendimiento  encuentra  apoyo  en  la  regla   de   derecho</w:t>
        <w:br/>
        <w:t>internacional según la cual la interpretación y aplicación de un tratado  no</w:t>
        <w:br/>
        <w:t>puede restringir  las  obligaciones  de  un  estado  que  resulte  de  otros</w:t>
        <w:br/>
        <w:t>tratados sobre el tema – en el presente  caso,  la  protección  de  derechos</w:t>
        <w:br/>
        <w:t>humanos -– de los cuales el Estado en  cuestión  es  también  Parte.  En  el</w:t>
        <w:br/>
        <w:t>presente dominio, el derecho internacional ha sido utilizado para mejorar  y</w:t>
        <w:br/>
        <w:t>fortalecer – y nunca para debilitar o minar – la protección de los  derechos</w:t>
        <w:br/>
        <w:t>humanos reconocidos[70].</w:t>
        <w:br/>
        <w:br/>
        <w:t>14.    La  especificidad  del  derecho  internacional  de  derechos  humanos</w:t>
        <w:br/>
        <w:t>encuentra su expresión no solo en  la  interpretación  de  los  tratados  de</w:t>
        <w:br/>
        <w:t>derechos  humanos  en  general  pero  también  en   la   interpretación   de</w:t>
        <w:br/>
        <w:t>disposiciones  específicas  de  dichos   tratados.   Se   pueden   encontrar</w:t>
        <w:br/>
        <w:t>ilustraciones  pertinentes  por  ejemplo  en  disposiciones  que   contienen</w:t>
        <w:br/>
        <w:t>referencias al derecho internacional general. Tal es el caso,  por  ejemplo,</w:t>
        <w:br/>
        <w:t>del requisito del agotamiento previo de remedios locales como una  condición</w:t>
        <w:br/>
        <w:t>de admisibilidad de las denuncias o comunicaciones  según  los  tratados  de</w:t>
        <w:br/>
        <w:t>derechos humanos;  la  regla  de  los  remedios  locales  es  prueba  de  la</w:t>
        <w:br/>
        <w:t>interacción entre el derecho internacional  y  el  derecho  nacional  en  el</w:t>
        <w:br/>
        <w:t>presente dominio de protección,  que  es  fundamentalmente  orientado  a  la</w:t>
        <w:br/>
        <w:t>víctima, preocupado con los derechos de los seres  humanos  individuales  en</w:t>
        <w:br/>
        <w:t>lugar  de  los  de  los  Estados.  Los  principios  o  reglas   generalmente</w:t>
        <w:br/>
        <w:t>reconocidos del derechos internacional – al que se  refiere  la  formulación</w:t>
        <w:br/>
        <w:t>de la regla de remedios locales en los tratados de  derechos  internacional,</w:t>
        <w:br/>
        <w:t>- además de seguir una evolución propia en los contextos distintivos en  que</w:t>
        <w:br/>
        <w:t>se deben aplicar, necesariamente sufren, al ser insertados en  los  tratados</w:t>
        <w:br/>
        <w:t>de derechos humanos, de un cierto grado de ajuste o adaptación[71],  dictado</w:t>
        <w:br/>
        <w:t>por la naturaleza especial del objeto y  fin  de  esos  tratados  y  por  la</w:t>
        <w:br/>
        <w:t>ampliamente reconocida especificidad del derecho internacional  de  derechos</w:t>
        <w:br/>
        <w:t>humanos[72].</w:t>
        <w:br/>
        <w:br/>
        <w:br/>
        <w:t xml:space="preserve">      b)    Temas Procesales.</w:t>
        <w:br/>
        <w:br/>
        <w:t>15.   Tanto la Corte Europea como la Interamericana han  fijado,  de  manera</w:t>
        <w:br/>
        <w:t>correcta, límites al voluntarismo del Estado, han  protegido  la  integridad</w:t>
        <w:br/>
        <w:t>de las correspondientes Convenciones de derechos humanos y  la  primacía  de</w:t>
        <w:br/>
        <w:t>las consideraciones de  ordre  public  sobre  la  voluntad  de  los  Estados</w:t>
        <w:br/>
        <w:t>individuales, han fijado mayores estándares al comportamiento del  Estado  y</w:t>
        <w:br/>
        <w:t>establecido algún grado de control sobre la interposición  de  restricciones</w:t>
        <w:br/>
        <w:t>indebidas por los Estados  y  han  mejorado  de  manera  tranquilizadora  la</w:t>
        <w:br/>
        <w:t>posición de  los  individuos  como  sujetos  del  Derecho  Internacional  de</w:t>
        <w:br/>
        <w:t>Derechos Humanos con completa capacidad procesal. En lo que se refiere a  la</w:t>
        <w:br/>
        <w:t>base de  su  jurisdicción  en  cuestiones  contenciosas,  hay  ilustraciones</w:t>
        <w:br/>
        <w:t>elocuentes de su posición firme en apoyo a la integridad de  los  mecanismos</w:t>
        <w:br/>
        <w:t>de protección de las dos Convenciones, como por ejemplo, en  las  decisiones</w:t>
        <w:br/>
        <w:t>de la Corte Europea en el caso de Belilos versus Suiza (1988),  en  el  caso</w:t>
        <w:br/>
        <w:t>de Loizidou versus Turquía (Objeciones Preliminares, 1995), y en el caso  de</w:t>
        <w:br/>
        <w:t>I. Ilascu, A. Lesco, A. Ivantoc y T. Petrov-Popa versus Moldovia y  el  caso</w:t>
        <w:br/>
        <w:t>de la Federación Rusa (2001), así  como  por  las  decisiones  de  la  Corte</w:t>
        <w:br/>
        <w:t>Interamericana en los casos del Tribunal Constitucional e  Ivcher  Bronstein</w:t>
        <w:br/>
        <w:t>versus Perú (Jurisdicción, 1999), y en el caso  de  Hilaire,  Constantine  y</w:t>
        <w:br/>
        <w:t>Benjamin et al. versus Trinidad y Tobago (Objeciones Preliminares, 2001).</w:t>
        <w:br/>
        <w:br/>
        <w:t>16.   Los dos Tribunales internacionales de derechos  humanos,  al  resolver</w:t>
        <w:br/>
        <w:t>correctamente asuntos procesales básicos presentados  en  los  casos  arriba</w:t>
        <w:br/>
        <w:t>mencionados,  han  utilizado  adecuadamente   las   técnicas   del   derecho</w:t>
        <w:br/>
        <w:t>internacional  público  con   el   fin   de   fortalecer   sus   respectivas</w:t>
        <w:br/>
        <w:t>jurisdicciones de  protección  del  ser  humano.  Han  protegido  de  manera</w:t>
        <w:br/>
        <w:t>decisiva la integridad de los mecanismos de protección de  las  Convenciones</w:t>
        <w:br/>
        <w:t>Americana y Europea de Derechos Humanos, a través de las cuales se logra  la</w:t>
        <w:br/>
        <w:t>emancipación jurídica de la persona humana vis-à-vis de  su  propio  Estado.</w:t>
        <w:br/>
        <w:t>Adicionalmente  han  logrado  una   construcción   jurisprudencial   notable</w:t>
        <w:br/>
        <w:t>respecto  al  derecho  de  acceso  a  la  justicia  (y   la   obtención   de</w:t>
        <w:br/>
        <w:t>reparaciones) a nivel internacional.</w:t>
        <w:br/>
        <w:br/>
        <w:t>17.   En su Sentencia histórica en el caso, respecto a Perú, de  la  masacre</w:t>
        <w:br/>
        <w:t>de Barrios Altos (2001), v.g., la  Corte  Interamericana  advirtió  que  las</w:t>
        <w:br/>
        <w:t>disposiciones de amnistía, de prescripción  y  de  factores  excluyentes  de</w:t>
        <w:br/>
        <w:t>responsabilidad, que  pretendían  impedir  la  investigación  y  castigo  de</w:t>
        <w:br/>
        <w:t>aquellos responsables por las violaciones graves de derechos humanos  (tales</w:t>
        <w:br/>
        <w:t>como  tortura,  ejecuciones  sumarias,   extra-legales   o   arbitrarias   y</w:t>
        <w:br/>
        <w:t>desapariciones forzosas) son inadmisibles;  violan  derechos  no  derogables</w:t>
        <w:br/>
        <w:t>reconocidas  por  el  Derecho  Internacional  de  Derechos   Humanos.   Esta</w:t>
        <w:br/>
        <w:t>jurisprudencia  ha  sido  reiterada  por  la  Corte  (con  respecto   a   la</w:t>
        <w:br/>
        <w:t>prescripción) en su decisión en el caso de Bulacio versus Argentina  (2003).</w:t>
        <w:br/>
        <w:br/>
        <w:br/>
        <w:t xml:space="preserve">      c)    Derecho Positivo.</w:t>
        <w:br/>
        <w:br/>
        <w:t>18.   En cuanto al derecho positivo,  la  contribución  de  las  dos  Cortes</w:t>
        <w:br/>
        <w:t>internacionales de  derechos  humanos  en  este  sentido  es  ilustrado  por</w:t>
        <w:br/>
        <w:t>numerosos ejemplos  de  sus  respectivas  jurisdicciones  en  cuanto  a  los</w:t>
        <w:br/>
        <w:t>derechos protegidos por las dos Convenciones regionales.  La  Corte  Europea</w:t>
        <w:br/>
        <w:t>tiene una amplia e  impresionante  jurisprudencia,  por  ejemplo,  sobre  el</w:t>
        <w:br/>
        <w:t>derecho a la protección de la libertad y seguridad de la  persona  (artículo</w:t>
        <w:br/>
        <w:t>5 de la Convención Europea) y el derecho a un juicio justo (artículo 6).  La</w:t>
        <w:br/>
        <w:t>Corte  Interamericana  tiene  una  jurisprudencia  significativa  sobre   el</w:t>
        <w:br/>
        <w:t>derecho fundamental a la vida, que incluye también las condiciones de  vida,</w:t>
        <w:br/>
        <w:t>como por ejemplo en su decisión en el caso  paradigmático  de  los  llamados</w:t>
        <w:br/>
        <w:t>“Niños de la Calle” (Villagrán  Morales  et  al.  versus  Guatemala,  Fondo,</w:t>
        <w:br/>
        <w:t>1999).</w:t>
        <w:br/>
        <w:br/>
        <w:t>19.   Hay también otro ejemplo que se puede traer a colación. La  definición</w:t>
        <w:br/>
        <w:t>del crimen de tortura encontrado hoy día en dos  de  las  tres  Convenciones</w:t>
        <w:br/>
        <w:t>coexistentes contra la Tortura (la Convención de la ONU de 1984, artículo  1</w:t>
        <w:br/>
        <w:t>y la Convención Interamericana de 1985, artículo 2) le debe su  contenido  a</w:t>
        <w:br/>
        <w:t>la jurisprudencia del derecho internacional de derechos humanos en lugar  de</w:t>
        <w:br/>
        <w:t>a la tipificación del crimen de tortura a nivel  del  derecho  nacional.  De</w:t>
        <w:br/>
        <w:t>hecho,  los  elementos  constitutivos  de  la  tortura  en   la   definición</w:t>
        <w:br/>
        <w:t>encontrada en las dos Convenciones  arriba  mencionadas[73]  resulta  de  la</w:t>
        <w:br/>
        <w:t>construcción jurisprudencial de la  antigua  Comisión  Europea  de  Derechos</w:t>
        <w:br/>
        <w:t>Humanos en el caso de Grecia (1967-1970), discutido luego por la Comisión  y</w:t>
        <w:br/>
        <w:t>la Corte Europea en el case de Irlanda versus el Reino Unido (1971-1978).</w:t>
        <w:br/>
        <w:br/>
        <w:t>20.   En esta instancia particular, la jurisprudencia internacional  influyó</w:t>
        <w:br/>
        <w:t>en la legislación  internacional  en  el  campo  de  la  protección  de  los</w:t>
        <w:br/>
        <w:t>derechos humanos. La extensa jurisprudencia de la Corte Europea  cubre  casi</w:t>
        <w:br/>
        <w:t>la totalidad de los derechos protegidos por la Convención Europea y  algunos</w:t>
        <w:br/>
        <w:t>de sus Protocolos. Por su parte la  creciente  jurisprudencia  de  la  Corte</w:t>
        <w:br/>
        <w:t>Interamericana parece ser innovadora y progresista con respecto  al  derecho</w:t>
        <w:br/>
        <w:t>a la vida, reparaciones en sus múltiples formas y medidas  provisionales  de</w:t>
        <w:br/>
        <w:t>protección, estas últimas beneficiando algunas veces a los miembros  de  las</w:t>
        <w:br/>
        <w:t>colectividades humanas completas[74].</w:t>
        <w:br/>
        <w:br/>
        <w:t xml:space="preserve">      2.    Consideraciones sobre las Reservas a los Tratados.</w:t>
        <w:br/>
        <w:br/>
        <w:t>21.    Los  cuerpos  de  supervisión  internacional  en  el  dominio  de  la</w:t>
        <w:br/>
        <w:t>protección  de  derechos  humanos  han,  en  años  recientes,  revelado   su</w:t>
        <w:br/>
        <w:t>consciencia – y, en algunas ocasiones, su determinación  –  con  el  fin  de</w:t>
        <w:br/>
        <w:t>preservar la integridad de  los  tratados  de  derechos  humanos.  Se  puede</w:t>
        <w:br/>
        <w:t>recordar  que,  inspirados  en  el  criterio  sostenido  por   el   Tribunal</w:t>
        <w:br/>
        <w:t>Internacional de Justicia  en  su  Opinión  Consultiva  de  1951  sobre  las</w:t>
        <w:br/>
        <w:t>Reservas a la Convención Contra Genocidio[75], que el  presente  sistema  de</w:t>
        <w:br/>
        <w:t>reservas establecido en las dos Convenciones de Viena sobre  el  Derecho  de</w:t>
        <w:br/>
        <w:t>los Tratados (de 1969 y 1986, artículos 19-23)[76], al unir  la  formulación</w:t>
        <w:br/>
        <w:t>de reservas a la  aquiescencia  o  las  objeciones  a  los  mismos  para  la</w:t>
        <w:br/>
        <w:t>determinación de su compatibilidad con el objeto y fin de  los  tratados  es</w:t>
        <w:br/>
        <w:t>de una naturaleza marcadamente voluntaria y contractual.</w:t>
        <w:br/>
        <w:br/>
        <w:t>22.    Dicho  sistema  lleva  a  una  fragmentación   (en   las   relaciones</w:t>
        <w:br/>
        <w:t>bilaterales) de las obligaciones convencionales de los Estados Partes a  los</w:t>
        <w:br/>
        <w:t>tratados  multilaterales,  apareciendo  inadecuado  para  los  tratados   de</w:t>
        <w:br/>
        <w:t>derechos humanos, los cuales se inspiran en valores comunes superiores y  se</w:t>
        <w:br/>
        <w:t>aplican de conformidad con la noción de garantía colectiva. Ese  sistema  de</w:t>
        <w:br/>
        <w:t>reservas[77] sufre de insuficiencias  notorias  cuando  es  transpuesto  del</w:t>
        <w:br/>
        <w:t>derechos de tratados en general al  dominio  del  Derecho  Internacional  de</w:t>
        <w:br/>
        <w:t>Derechos  Humanos.  Para  comenzar,  no  distingue  entre  los  tratados  de</w:t>
        <w:br/>
        <w:t>derechos humanos  y  los  tratados  clásicos,  haciendo  abstracción  de  la</w:t>
        <w:br/>
        <w:t>jurisprudence constante de  los  cuerpos  de  supervisión  internacional  de</w:t>
        <w:br/>
        <w:t>derechos humanos, convergiendo en resaltar dicha distinción.</w:t>
        <w:br/>
        <w:br/>
        <w:t>23.   Permite las reservas (no objetadas) de un amplio alcance que  amenazan</w:t>
        <w:br/>
        <w:t>la integridad misma  de  los  tratados  de  derechos  humanos;  permite  las</w:t>
        <w:br/>
        <w:t>reservas (no objetadas) a  disposiciones  de  estos  tratados  que  incluyen</w:t>
        <w:br/>
        <w:t>estándares mínimos universales  (minando,  v.g.,  las  garantías  judiciales</w:t>
        <w:br/>
        <w:t>básicas de los derechos inviolables). Si ciertos  derechos  fundamentales  –</w:t>
        <w:br/>
        <w:t>comenzando con el derecho a la vida – son inderogables (en los  términos  de</w:t>
        <w:br/>
        <w:t>los  tratados  de  derechos  humanos  mismos),  prohibiendo  así   cualquier</w:t>
        <w:br/>
        <w:t>derogación que, por definición, sea de un carácter temporal  o  transitorio,</w:t>
        <w:br/>
        <w:t>- con más razón, me parecería a mi, a fortiori  que  no  admitirían  ninguna</w:t>
        <w:br/>
        <w:t>reserva, perpetuada en el tiempo hasta que y salvo que sea retirado  por  el</w:t>
        <w:br/>
        <w:t>Estado en cuestión; dichas reservas serían, en mi entendimiento, sin  ningún</w:t>
        <w:br/>
        <w:t>caveat, incompatible con el objeto y fin de esos tratados.</w:t>
        <w:br/>
        <w:br/>
        <w:t>24.   Aunque las dos Convenciones de Viena sobre el Derecho de los  Tratados</w:t>
        <w:br/>
        <w:t>prohíben la aceptación de reservas incompatibles con el  objeto  y  fin  del</w:t>
        <w:br/>
        <w:t>tratado en cuestión, dejan, sin embargo, varias preguntas sin responder.  El</w:t>
        <w:br/>
        <w:t>criterio de la compatibilidad es aplicado en las relaciones con los  Estados</w:t>
        <w:br/>
        <w:t>que efectivamente objetaron las reservas, aunque dichas objeciones a  menudo</w:t>
        <w:br/>
        <w:t>son motivadas  por  factores  –  incluyendo  políticos  –  distintos  a  una</w:t>
        <w:br/>
        <w:t>preocupación sincera y genuina por parte de los Estados objetantes  respecto</w:t>
        <w:br/>
        <w:t>al objeto y fin  del  tratado  correspondiente.  Por  la  misma  razón,  del</w:t>
        <w:br/>
        <w:t>silencio o aquiescencia  de  los  Estados  Partes  con  respecto  a  ciertas</w:t>
        <w:br/>
        <w:t>reservas uno no puede inferir una creencia por su parte de que las  reservas</w:t>
        <w:br/>
        <w:t>son compatibles con el objeto y fin del tratado en cuestión.</w:t>
        <w:br/>
        <w:br/>
        <w:t>25.   Además, dicho silencio o aquiescencia pareciera  minar  la  aplicación</w:t>
        <w:br/>
        <w:t>del criterio de la compatibilidad de una reserva con el  objeto  y  fin  del</w:t>
        <w:br/>
        <w:t>tratado. Y las dos Convenciones de Viena a las que se  ha  hecho  referencia</w:t>
        <w:br/>
        <w:t>tampoco son claras en cuanto  a  los  efectos  legales  de  una  reserva  no</w:t>
        <w:br/>
        <w:t>permitida o de una objeción a una reserva considerada  incompatible  con  el</w:t>
        <w:br/>
        <w:t>objeto y fin del tratado en cuestión. Tampoco clarifican  quien  debiera  en</w:t>
        <w:br/>
        <w:t>última instancia determinar la permisibilidad u otro de una reserva, o  debe</w:t>
        <w:br/>
        <w:t>pronunciarse sobre su compatibilidad u otro con el objeto y fin del  tratado</w:t>
        <w:br/>
        <w:t>en cuestión.</w:t>
        <w:br/>
        <w:br/>
        <w:t>26.    El  presente  sistema  de  reservas  permite  incluso  reservas   (no</w:t>
        <w:br/>
        <w:t>objetadas) que  dificultan  las  posibilidades  de  acción  de  los  cuerpos</w:t>
        <w:br/>
        <w:t>supervisores  internacionales  (creados  por  los   tratados   de   derechos</w:t>
        <w:br/>
        <w:t>humanos), haciendo difícil el cumplimiento de su objeto y  fin.  Las  arriba</w:t>
        <w:br/>
        <w:t>mencionadas Convenciones de Viena no solo no establecen  un  mecanismo  para</w:t>
        <w:br/>
        <w:t>determinar la compatibilidad u otro de una reserva con el objeto  y  fin  de</w:t>
        <w:br/>
        <w:t>un tratado específico[78], pero – aún más grave –  tampoco  impiden  ciertas</w:t>
        <w:br/>
        <w:t>reservas o restricciones formuladas (en la aceptación de la jurisdicción  de</w:t>
        <w:br/>
        <w:t>los cuerpos de protección internacional)[79] lo cual viene a  dificultar  la</w:t>
        <w:br/>
        <w:t>operación de los mecanismos de supervisión  internacional  creados  por  los</w:t>
        <w:br/>
        <w:t>tratados de derechos humanos en el ejercicio de la garantía colectiva.</w:t>
        <w:br/>
        <w:br/>
        <w:t>27.   El presente sistema  de  reservas,  el  cual  recuerda  a  la  antigua</w:t>
        <w:br/>
        <w:t>práctica  panamericana,  rescatada  por   el   Tribunal   Internacional   de</w:t>
        <w:br/>
        <w:t>Justicia[80] y las dos Convenciones de Viena sobre el Derecho  de  Tratados,</w:t>
        <w:br/>
        <w:t>por haberse cristalizado en las  relaciones  entre  Estados,  no  de  manera</w:t>
        <w:br/>
        <w:t>sorprendente  aparece  completamente  inadecuado  para  los  tratados  cuyos</w:t>
        <w:br/>
        <w:t>beneficiarios finales son los seres humanos y no  las  Partes  Contratantes.</w:t>
        <w:br/>
        <w:t>Definitivamente, los  tratados  de  derechos  humanos,  volcados  hacia  las</w:t>
        <w:br/>
        <w:t>relaciones entre los Estados  y  seres  humanos  bajo  su  jurisdicción,  no</w:t>
        <w:br/>
        <w:t>representa  un  sistema  de  reservas  que  lo  vea  desde  una  perspectiva</w:t>
        <w:br/>
        <w:t>esencialmente contractual y voluntaria, minando su  integridad,  permitiendo</w:t>
        <w:br/>
        <w:t>su  fragmentación,  dejando  a  discreción   de   las   Partes   mismas   la</w:t>
        <w:br/>
        <w:t>determinación final del grado de sus obligaciones convencionales.</w:t>
        <w:br/>
        <w:br/>
        <w:t>28.   Dado que las dos Convenciones de Viena  de  1969  y  1986  no  ofrecen</w:t>
        <w:br/>
        <w:t>ninguna  indicación  para  una   aplicación   objetiva   del   criterio   de</w:t>
        <w:br/>
        <w:t>compatibilidad u otro de una reserva con el objeto y fin de un  tratado,  al</w:t>
        <w:br/>
        <w:t>contrario, lo dejan para ser aplicado de manera individual y  subjetiva  por</w:t>
        <w:br/>
        <w:t>las Partes Contratantes mismas, de manera tal que, al final, solo el  Estado</w:t>
        <w:br/>
        <w:t>que hace la reserva sabe bien el grado de las implicaciones de  su  reserva.</w:t>
        <w:br/>
        <w:t>A pesar de los esfuerzos en textos de expertos  realizados  con  el  fin  de</w:t>
        <w:br/>
        <w:t>sistematizar la práctica de los Estados  sobre  este  tema[81],  es  difícil</w:t>
        <w:br/>
        <w:t>evitar  la  impresión  de  que  dicha  práctica  ha   estado   rodeada   por</w:t>
        <w:br/>
        <w:t>incertidumbres y ambigüedades y ha continuado siendo  no  concluyente  hasta</w:t>
        <w:br/>
        <w:t>esta fecha. Esta falta de definición no es para  nada  tranquilizadora  para</w:t>
        <w:br/>
        <w:t>los tratados de derechos humanos,  dotados  como  están  con  mecanismos  de</w:t>
        <w:br/>
        <w:t>supervisión  internacional  propios.  Esta  visión  general  de   falta   de</w:t>
        <w:br/>
        <w:t>definición han por lo tanto, de manera no sorpresiva, llevado a la  Comisión</w:t>
        <w:br/>
        <w:t>de Derecho Internacional de la ONU (CDI)  a  comprometerse  a  preparar  una</w:t>
        <w:br/>
        <w:t>Guía de la Práctica sobre Reservas a los Tratados[82] (cf. infra).</w:t>
        <w:br/>
        <w:br/>
        <w:t>29.   Llama la atención,  por  ejemplo,  encontrarse  la  lista  extensa  de</w:t>
        <w:br/>
        <w:t>reservas, numerosas y a momentos larga, y  a  menudo  incongruente,  de  los</w:t>
        <w:br/>
        <w:t>Estados Partes al Pacto Internacional de Derechos Civiles y Políticos de  la</w:t>
        <w:br/>
        <w:t>OUN[83]; y los problemas prácticos generados  por  muchas  de  las  reservas</w:t>
        <w:br/>
        <w:t>(también numerosas y no siempre consistentes) de los  Estados  Partes  a  la</w:t>
        <w:br/>
        <w:t>Convención sobre la  eliminación  de  todas  las  formas  de  discriminación</w:t>
        <w:br/>
        <w:t>contra la mujer de la ONU son bien conocidos, - a lo que uno podría  agregar</w:t>
        <w:br/>
        <w:t>las reservas a la Convención contra la Tortura de la ONU  y  la  Declaración</w:t>
        <w:br/>
        <w:t>sobre la eliminación de todas las formas de discriminación racial[84].</w:t>
        <w:br/>
        <w:br/>
        <w:t>30.   Con la persistencia de lo inadecuado y las insuficiencias del  sistema</w:t>
        <w:br/>
        <w:t>actual de reservas, no es del  todo  sorprendente  que,  primero  que  todo,</w:t>
        <w:br/>
        <w:t>múltiples expresiones de insatisfacción  en  este  sentido  en  la  doctrina</w:t>
        <w:br/>
        <w:t>legal contemporánea (tanto en los estudios generales  sobre  el  tema[85]  y</w:t>
        <w:br/>
        <w:t>con respecto a tratados específicos de derechos humanos[86]); y  en  segundo</w:t>
        <w:br/>
        <w:t>lugar, la preparación de  los  cuerpos  internacionales  de  supervisión  de</w:t>
        <w:br/>
        <w:t>derechos humanos para afirmar su competencia para aplicar por si  mismos  el</w:t>
        <w:br/>
        <w:t>criterio  de  compatibilidad  (supra)  y  contribuir  así  a   asegurar   la</w:t>
        <w:br/>
        <w:t>integridad de los respectivos tratados de derechos humanos.</w:t>
        <w:br/>
        <w:br/>
        <w:t>31.   A nivel regional, en su conocida  sentencia  en  el  caso  de  Belilos</w:t>
        <w:br/>
        <w:t>versus Suiza (1988)[87], locus classicus sobre el tema, la Corte Europea  de</w:t>
        <w:br/>
        <w:t>Derechos Humanos consideró la declaración de una  reserva  (de  un  carácter</w:t>
        <w:br/>
        <w:t>general) de Suiza a la Convención Europea de Derechos  Humanos  incompatible</w:t>
        <w:br/>
        <w:t>con el objeto y fin de este último (a  la  luz  del  artículo  64).  Por  su</w:t>
        <w:br/>
        <w:t>parte, la Corte Interamericana de Derechos Humanos, en su segunda  y  tercer</w:t>
        <w:br/>
        <w:t>Opinión Consultiva[88], resaltó las dificultades de una  transposición  pura</w:t>
        <w:br/>
        <w:t>y simple del sistema de reservas de la Convención de Viena sobre el  Derecho</w:t>
        <w:br/>
        <w:t>de los Tratados de 1969 al dominio de la  protección  internacional  de  los</w:t>
        <w:br/>
        <w:t>derechos humanos.</w:t>
        <w:br/>
        <w:br/>
        <w:t>32.   A nivel global, en el caso de I. Gueye et alii versus Francia  (1989),</w:t>
        <w:br/>
        <w:t>v.g., el  Comité  de  Derechos  Humanos  (bajo  el  Pacto  Internacional  de</w:t>
        <w:br/>
        <w:t>Derechos Civiles y Políticos de la ONU), a  pesar  de  una  reserva  ratione</w:t>
        <w:br/>
        <w:t>temporis del Estado demandado[89], entendió que la pregunta en  cuestión[90]</w:t>
        <w:br/>
        <w:t>era justiciable según el Pacto[91], y concluyó que había una  violación  del</w:t>
        <w:br/>
        <w:t>artículo 26 del Pacto[92]. El mismo Comité,  en  su  comentario  general  n.</w:t>
        <w:br/>
        <w:t>24(52), de noviembre de 1994, advirtió que  las  disposiciones  de  las  dos</w:t>
        <w:br/>
        <w:t>Convenciones de Viena y las reglas clásicas sobre las reservas  (basadas  en</w:t>
        <w:br/>
        <w:t>la reciprocidad) no eran apropiadas para los tratados  de  derechos  humanos</w:t>
        <w:br/>
        <w:t>dada la especial  naturaleza   en  el  Convenio  como  tratado  de  derechos</w:t>
        <w:br/>
        <w:t>humanos del tema de la compatibilidad de una reserva con su  objeto  y  fin,</w:t>
        <w:br/>
        <w:t>que en lugar de dejarse a discreción de las manifestaciones de  los  Estados</w:t>
        <w:br/>
        <w:t>Partes inter se, debe ser determinada de manera objetiva por  el  Comité  de</w:t>
        <w:br/>
        <w:t>Derechos Humanos mismo con base en los principios jurídicos[93].</w:t>
        <w:br/>
        <w:br/>
        <w:t>33.   Dada la especificidad del Derecho Internacional de  Derechos  Humanos,</w:t>
        <w:br/>
        <w:t>parece  haber  una  posición  fuerte  para  dejar  la  determinación  de  la</w:t>
        <w:br/>
        <w:t>compatibilidad u otra de las reservas con el objeto y fin  de  los  tratados</w:t>
        <w:br/>
        <w:t>de los  derechos  humanos  a  los  cuerpos  internacionales  de  supervisión</w:t>
        <w:br/>
        <w:t>establecidos por ellos, en lugar de  en  los  Estados  Partes  mismos;  esto</w:t>
        <w:br/>
        <w:t>sería más acorde con la naturaleza especial  de  los  tratados  de  derechos</w:t>
        <w:br/>
        <w:t>humanos. Los dos tribunales internacionales de derechos humanos (el  europeo</w:t>
        <w:br/>
        <w:t>y el interamericano) consideran que el sistema individualista de reserva  no</w:t>
        <w:br/>
        <w:t>pareciera estar acorde con la noción  de  maquinaria  colectiva  de  control</w:t>
        <w:br/>
        <w:t>propia de los tratados de derechos humanos.  El  obiter  dicta  de  las  dos</w:t>
        <w:br/>
        <w:t>Cortes regionales de Derechos Humanos han sido emitidos a  pesar  del  hecho</w:t>
        <w:br/>
        <w:t>de que la Convención Europea (artículo 64)[94]  y  la  Convención  Americana</w:t>
        <w:br/>
        <w:t>(artículo 75) sobre Derechos Humanos no les confieren a ellas  esta  función</w:t>
        <w:br/>
        <w:t>de manera expresa; de hecho la Convención Americana se limita a referirse  a</w:t>
        <w:br/>
        <w:t>las disposiciones correspondientes de la Convención de Viena de  1969  sobre</w:t>
        <w:br/>
        <w:t>el Derecho de los Tratados.</w:t>
        <w:br/>
        <w:br/>
        <w:t>34.   Dadas las incertidumbres, ambigüedades y lagunas en el sistema  actual</w:t>
        <w:br/>
        <w:t>de reservas a los tratados de las dos Convenciones de Viena de 1969  y  1986</w:t>
        <w:br/>
        <w:t>(supra),  se  ha  avanzado  en  las  propuestas  dentro   de   la   doctrina</w:t>
        <w:br/>
        <w:t>contemporánea[95] tendiendo al menos a reducir la tensión  en  cuanto  a  la</w:t>
        <w:br/>
        <w:t>aplicación adecuada de los tratados de derechos humanos en el  tema  de  las</w:t>
        <w:br/>
        <w:t>reservas, específicamente: primero, la inclusión de una  indicación  expresa</w:t>
        <w:br/>
        <w:t>en los tratados de derechos humanos de  las  disposiciones  que  no  aceptan</w:t>
        <w:br/>
        <w:t>reservas  (tales  como  los  referentes   a   los   derechos   fundamentales</w:t>
        <w:br/>
        <w:t>inderogables),  como  un  mínimo  irreducible  para  participar  en   dichos</w:t>
        <w:br/>
        <w:t>tratados; segundo, en  cuanto  los  Estados  Partes  han  procedido  con  la</w:t>
        <w:br/>
        <w:t>armonización de su ordenamiento jurídico interno  con  las  normas  de  esos</w:t>
        <w:br/>
        <w:t>tratados (tal y como se requiere según estos  últimos),  el  retiro  de  sus</w:t>
        <w:br/>
        <w:t>reservas a las mismas[96]; tercero, la modificación o rectificación, por  el</w:t>
        <w:br/>
        <w:t>Estado Parte, de una reserva considerada no-permitida o incompatible con  el</w:t>
        <w:br/>
        <w:t>objetivo y fin del tratado[97], por medio de  la  cual  una  reserva  ya  no</w:t>
        <w:br/>
        <w:t>sería vista como  un  elemento  formal  y  final  de  la  manifestación  del</w:t>
        <w:br/>
        <w:t>consentimiento del Estado, si no que más bien como una medida  esencialmente</w:t>
        <w:br/>
        <w:t>temporal, a ser modificada o removida lo  más  pronto  posible;  cuarto,  la</w:t>
        <w:br/>
        <w:t>adopción  de  un  posible  “sistema  colegiado”  para   la   aceptación   de</w:t>
        <w:br/>
        <w:t>reservas[98], para proteger la  naturaleza  normativa  de  los  tratados  de</w:t>
        <w:br/>
        <w:t>derechos humanos, tomando en cuenta, en este sentido, el ejemplo  particular</w:t>
        <w:br/>
        <w:t>de la Convención sobre la Eliminación de todas las Formas de  Discriminación</w:t>
        <w:br/>
        <w:t>Racial[99];  quinto,  la  elaboración  de  lineamientos  (aunque   no   sean</w:t>
        <w:br/>
        <w:t>vinculantes) sobre las reglas existentes (de las dos Convenciones  de  Viena</w:t>
        <w:br/>
        <w:t>de 1969 y 1986) sobre el tema de las reservas con el  fin  de  clarificarlas</w:t>
        <w:br/>
        <w:t>en la práctica[100]; y sexto,  la  atribución  a  los  depositarios  de  los</w:t>
        <w:br/>
        <w:t>tratados de derechos humanos  de  la  facultad  para  solicitar  información</w:t>
        <w:br/>
        <w:t>periódica de los Estados que emiten una reserva sobre las  razones  por  las</w:t>
        <w:br/>
        <w:t>cuales aún no han retirado sus reservas a dichos tratados.</w:t>
        <w:br/>
        <w:br/>
        <w:t>35.   El reciente trabajo (a partir de  1993)  de  la  Comisión  de  Derecho</w:t>
        <w:br/>
        <w:t>Internacional de las  Naciones  Unidas  sobre  el  tema  del  Derecho  y  la</w:t>
        <w:br/>
        <w:t>Práctica Respecto a Reservas a los Tratados tiende a identificar la  esencia</w:t>
        <w:br/>
        <w:t>de la cuestión en la necesidad de determinar las facultades de  los  cuerpos</w:t>
        <w:br/>
        <w:t>internacionales de supervisión de los derechos humanos en el tema, a la  luz</w:t>
        <w:br/>
        <w:t>de las reglas generales del derecho  de  los  tratados[101].  Esta  posición</w:t>
        <w:br/>
        <w:t>lleva a la abstracción de la  especificidad  del  Derecho  Internacional  de</w:t>
        <w:br/>
        <w:t>Derechos Humanos, apegándose a los postulados existentes del Derecho de  los</w:t>
        <w:br/>
        <w:t>tratados. Los debates de 1997 de la Comisión  de  Derecho  Internacional  se</w:t>
        <w:br/>
        <w:t>enfocaron de manera efectiva en el tema de la aplicabilidad del  sistema  de</w:t>
        <w:br/>
        <w:t>reservas de las Convenciones  de  Viena  con  relación  a  los  tratados  de</w:t>
        <w:br/>
        <w:t>derechos  humanos.  Aunque  prevaleció  el  punto  de  vista  de   que   las</w:t>
        <w:br/>
        <w:t>disposiciones  correspondientes  de  estas  Convenciones  no  debieran   ser</w:t>
        <w:br/>
        <w:t>modificadas[102],  se  reconoció  que  el  sistema  de  reservas  debe   ser</w:t>
        <w:br/>
        <w:t>mejorado, dadas sus lagunas, especialmente con relación a  las  reservas  no</w:t>
        <w:br/>
        <w:t>permisibles[103].</w:t>
        <w:br/>
        <w:br/>
        <w:t>36.   En los debates de la Comisión, incluso  se  admitió  que  los  cuerpos</w:t>
        <w:br/>
        <w:t>convencionales de protección de naturaleza judicial (las  Cortes  regionales</w:t>
        <w:br/>
        <w:t>Europeas e Interamericanas de  Derechos  Humanos)  se  pronuncien  sobre  la</w:t>
        <w:br/>
        <w:t>permisibilidad de las reservas cuando sea necesario  para  el  ejercicio  de</w:t>
        <w:br/>
        <w:t>sus  funciones[104];  dichas  consideraciones  fueron  reflejadas   en   las</w:t>
        <w:br/>
        <w:t>“Conclusiones  Preliminares  sobre  las  Reservas  a   Tratados   Normativos</w:t>
        <w:br/>
        <w:t>Multilaterales Incluyendo Tratados de Derechos  Humanos",  adoptado  por  la</w:t>
        <w:br/>
        <w:t>Comisión en 1997 (párrafos  4-7)[105].  En  mi  entendimiento,  hay  razones</w:t>
        <w:br/>
        <w:t>convincentes para ir más allá, y el trabajo relevante de  la  CDI  sobre  el</w:t>
        <w:br/>
        <w:t>tema  podría  llevar  a  soluciones  satisfactorias  para  los  cuerpos   de</w:t>
        <w:br/>
        <w:t>supervisión internacional de derechos humanos al grado que  comenzó  con  el</w:t>
        <w:br/>
        <w:t>reconocimiento de  la  naturaleza  especial  de  los  tratados  de  derechos</w:t>
        <w:br/>
        <w:t>humanos y otorgarle así precisión a las consecuencias jurídicas  –  para  el</w:t>
        <w:br/>
        <w:t>tratamiento  de  la  cuestión  de   reservas   –   que   resulten   de   ese</w:t>
        <w:br/>
        <w:t>reconocimiento.</w:t>
        <w:br/>
        <w:br/>
        <w:t>37.   Sin embargo, no parece probable, que  esté  preparado  para  continuar</w:t>
        <w:br/>
        <w:t>con ese enfoque. En su más reciente versión de  sus  Lineamentos  sobre  las</w:t>
        <w:br/>
        <w:t>Reservas a los Tratados (2003), adoptados de manera provisional por la  CDI,</w:t>
        <w:br/>
        <w:t>instó a los Estados y las organizaciones  internacionales  a  “realizar  una</w:t>
        <w:br/>
        <w:t>revisión periódica” de sus reservas a los tratados y a  “considerar  retirar</w:t>
        <w:br/>
        <w:t>aquellas que ya no sirven a su propósito "[106], -  aunque no  continúe  con</w:t>
        <w:br/>
        <w:t>el arriba mencionado enfoque. Dicha revisión,  -  agregó  la  CDI,  -  “debe</w:t>
        <w:br/>
        <w:t>prestar especial atención al objetivo de  preservar  la  integridad  de  los</w:t>
        <w:br/>
        <w:t>tratados multilaterales"[107]. Por lo tanto, el  lineamiento  2.5.3  refleja</w:t>
        <w:br/>
        <w:t>las preocupaciones de  los  cuerpos  supervisores  (“especialmente  pero  no</w:t>
        <w:br/>
        <w:t>exclusivo al campo de los derechos humanos”), para llamar  a  menudo  a  los</w:t>
        <w:br/>
        <w:t>Estados a reconsiderar sus reservas y si es posible  a  retirarlas[108].  La</w:t>
        <w:br/>
        <w:t>CDI ha concedido que</w:t>
        <w:br/>
        <w:br/>
        <w:t xml:space="preserve">            "La referencia a la integridad de los tratados multilaterales es</w:t>
        <w:br/>
        <w:t xml:space="preserve">      una alusión al retiro de reservas, que podría afectar  la  unidad  del</w:t>
        <w:br/>
        <w:t xml:space="preserve">      régimen de los tratados"[109].</w:t>
        <w:br/>
        <w:br/>
        <w:t>38.   Se puede resaltar que los tratados de derechos humanos han  de  alguna</w:t>
        <w:br/>
        <w:t>manera sido separados en lo que se refiere a la  denuncia  y  terminación  y</w:t>
        <w:br/>
        <w:t>suspensión de la operación de los tratados; por lo tanto yo no  veo  ninguna</w:t>
        <w:br/>
        <w:t>razón epistemológica o jurídica por la cual no podría ser hecho  también  en</w:t>
        <w:br/>
        <w:t>relación con las reservas. Desde mi punto  de  vista,  la  concesión  de  la</w:t>
        <w:br/>
        <w:t>facultad de determinar la compatibilidad u  otro  de  las  reservas  con  el</w:t>
        <w:br/>
        <w:t>objeto  y  fin  de  los  tratados  de  derechos  humanos   a   los   cuerpos</w:t>
        <w:br/>
        <w:t>internacionales de supervisión mismos creados  por  dichos  tratados,  sería</w:t>
        <w:br/>
        <w:t>mucho más conformes con la naturaleza especial de estos  últimos  y  con  el</w:t>
        <w:br/>
        <w:t>carácter objetivo de las obligaciones convencionales de protección[110].</w:t>
        <w:br/>
        <w:br/>
        <w:t>39.   Hay todo un sentido lógico y común en la atribución de dicha  facultad</w:t>
        <w:br/>
        <w:t>a esos cuerpos, como guardianes que son de la integridad de los tratados  de</w:t>
        <w:br/>
        <w:t>derechos humanos, en lugar de abandonar dicha determinación  a  los  Estados</w:t>
        <w:br/>
        <w:t>Partes Interesados mismos, como si fueran,  o  pudieran  ser,  los  árbitros</w:t>
        <w:br/>
        <w:t>finales del alcance de sus obligaciones convencionales[111].  Dicho  sistema</w:t>
        <w:br/>
        <w:t>de determinación objetiva  promovería  el  proceso  de  institucionalización</w:t>
        <w:br/>
        <w:t>progresiva de la protección  internacional  de  derechos  humanos[112],  así</w:t>
        <w:br/>
        <w:t>como la creación de un verdadero orden público internacional (ordre  public)</w:t>
        <w:br/>
        <w:t>basado en el completo respeto a, y observación de los derechos  humanos.  Va</w:t>
        <w:br/>
        <w:t>siendo  tiempo  que  el  proceso  actual   de   humanización   del   Derecho</w:t>
        <w:br/>
        <w:t>Internacional[113] abarca también el dominio del derecho  de  los  tratados,</w:t>
        <w:br/>
        <w:t>que tradicionalmente ha sido tan vulnerable  ante  las  manifestaciones  del</w:t>
        <w:br/>
        <w:t>voluntarismo de los Estados.</w:t>
        <w:br/>
        <w:br/>
        <w:t>40.    Es  mi  entender  que,  desde  la  perspectiva   de   una   comunidad</w:t>
        <w:br/>
        <w:t>internacional con una institucionalización mínima, el sistema de reservas  a</w:t>
        <w:br/>
        <w:t>los  tratados,  tal  y  como  prevalece  aún  hoy  en  nuestros   días,   es</w:t>
        <w:br/>
        <w:t>rudimentario y algo primitivo. Hay una necesidad latente de  desarrollar  un</w:t>
        <w:br/>
        <w:t>sistema de determinación  objetiva  de  la  compatibilidad  u  otra  de  las</w:t>
        <w:br/>
        <w:t>reservas con el objeto y fin de los tratados de derechos humanos, aunque  se</w:t>
        <w:br/>
        <w:t>puede considerar necesario que para eso haya una disposición expresa en  los</w:t>
        <w:br/>
        <w:t>futuros tratados de derechos humanos,  o  la  adopción  en  ese  sentido  de</w:t>
        <w:br/>
        <w:t>protocolos a los instrumentos existentes[114].</w:t>
        <w:br/>
        <w:br/>
        <w:t>41.   Solo con un sistema de ese tipo de  determinación  objetiva  tendremos</w:t>
        <w:br/>
        <w:t>éxito en ser coherentes con  la  especial  naturaleza  de  los  tratados  de</w:t>
        <w:br/>
        <w:t>derechos humanos, que establecen obligaciones de un carácter objetivo y  son</w:t>
        <w:br/>
        <w:t>aplicados por medio del ejercicio de la garantía  colectiva.  Solo  entonces</w:t>
        <w:br/>
        <w:t>lograremos establecer, en el ámbito del derecho de los tratados,  estándares</w:t>
        <w:br/>
        <w:t>de comportamiento que contribuirán a  la  creación  de  un  verdadero  ordre</w:t>
        <w:br/>
        <w:t>public  internacional  basado  en  el  respeto  y  observación  de  derechos</w:t>
        <w:br/>
        <w:t>humanos, con las correspondientes obligaciones  erga  omnes  de  protección.</w:t>
        <w:br/>
        <w:t>Estamos ante la necesidad de la renovación y  humanización  del  derecho  de</w:t>
        <w:br/>
        <w:t>los tratados como un todo, incluyendo también las  formas  de  manifestación</w:t>
        <w:br/>
        <w:t>del consentimiento del Estado.</w:t>
        <w:br/>
        <w:br/>
        <w:t>42.   Yo no  visualizo  como  no  tomar  en  cuenta  la  experiencia  de  la</w:t>
        <w:br/>
        <w:t>supervisión  internacional  acumulada  por  los  cuerpos  convencionales  de</w:t>
        <w:br/>
        <w:t>protección de  los  derechos  humanos  en  las  últimas  décadas.  Cualquier</w:t>
        <w:br/>
        <w:t>evaluación seria del sistema actual de reservas  a  los  tratados  no  puede</w:t>
        <w:br/>
        <w:t>obviar tomar en cuenta la práctica, sobre este tema, de  dichos  cuerpos  de</w:t>
        <w:br/>
        <w:t>protección. No puede pasar inadvertido  que  el  Tribunal  Internacional  de</w:t>
        <w:br/>
        <w:t>Justicia, en su Opinión Consultiva  ya  mencionada  de  1951,  efectivamente</w:t>
        <w:br/>
        <w:t>reconoció de manera pionera, la naturaleza especial de  la  Convención  para</w:t>
        <w:br/>
        <w:t>la Prevención y el Castigo del Crimen de Genocidio de 1948, pero  sin  haber</w:t>
        <w:br/>
        <w:t>extraído de su reconocimiento todas  las  consecuencias  jurídicas  para  el</w:t>
        <w:br/>
        <w:t>régimen de reservas a los tratados.</w:t>
        <w:br/>
        <w:br/>
        <w:t>43.   Después de casi medio siglo, esta es la tarea que  nos  corresponde  a</w:t>
        <w:br/>
        <w:t>todos aquellos que tenemos la responsabilidad y el privilegio de  actuar  en</w:t>
        <w:br/>
        <w:t>el dominio de la protección  internacional  de  los  derechos  humanos.  Las</w:t>
        <w:br/>
        <w:t>palabras pronunciadas por el Tribunal de la Haya en 1951  siguen  siendo  de</w:t>
        <w:br/>
        <w:t>interés actual, al establecer que,  en  una  Convención  como  la  de  1948,</w:t>
        <w:br/>
        <w:t>adoptada con fines “puramente humanitarios,</w:t>
        <w:br/>
        <w:t xml:space="preserve">            "(...) los Estados Contratantes no tienen ningún interés propio;</w:t>
        <w:br/>
        <w:t xml:space="preserve">      simplemente tienen, cada uno y  todos  de  ellos,  un  interés  común,</w:t>
        <w:br/>
        <w:t xml:space="preserve">      específicamente, el cumplimiento de aquellos propósitos superiores que</w:t>
        <w:br/>
        <w:t xml:space="preserve">      son la raison d'être de la Convención. De manera consecuente,  en  una</w:t>
        <w:br/>
        <w:t xml:space="preserve">      Convención de este tipo uno no puede hablar de ventajas o  desventajas</w:t>
        <w:br/>
        <w:t xml:space="preserve">      individuales para los estados,  del  mantenimiento  de  un  equilibrio</w:t>
        <w:br/>
        <w:t xml:space="preserve">      contractual perfecto entre los derechos y las obligaciones. Los  altos</w:t>
        <w:br/>
        <w:t xml:space="preserve">      ideales que  inspiraron  la  Convención  ofrecen,  por  virtud  de  la</w:t>
        <w:br/>
        <w:t xml:space="preserve">      voluntad común de las Partes, los fundamentos y medidas de  todas  sus</w:t>
        <w:br/>
        <w:t xml:space="preserve">      disposiciones"[115].</w:t>
        <w:br/>
        <w:br/>
        <w:t>44.   No le veo ningún sentido a tratar de escapar del reconocimiento de  la</w:t>
        <w:br/>
        <w:t>especificidad del Derecho Internacional de  los  Derechos  Humanos  como  un</w:t>
        <w:br/>
        <w:t>todo, reconocimiento que hasta donde yo  entiendo,  no  amenaza  de  ninguna</w:t>
        <w:br/>
        <w:t>manera la unidad  del  Derecho  Internacional  Público;  muy  al  contrario,</w:t>
        <w:br/>
        <w:t>contribuye al desarrollo de la aptitud de este último para asegurar,  dentro</w:t>
        <w:br/>
        <w:t>del presente dominio, cumplimiento con las  obligaciones  convencionales  de</w:t>
        <w:br/>
        <w:t>protección de los  Estados  vis-à-vis  todos  los  seres  humanos  bajo  sus</w:t>
        <w:br/>
        <w:t>jurisdicciones. Con la  evolución  del  Derecho  Internacional  de  Derechos</w:t>
        <w:br/>
        <w:t>Humanos, es el Derecho Internacional Público mismo el  que  se  justifica  y</w:t>
        <w:br/>
        <w:t>legitimiza al afirmar principios jurídicos, conceptos y  categorías  propias</w:t>
        <w:br/>
        <w:t>del presente dominio de protección, con base  en  premisas  fundamentalmente</w:t>
        <w:br/>
        <w:t>distintas a las que han guiado la  aplicación  de  sus  postulados  a  nivel</w:t>
        <w:br/>
        <w:t>puramente de las relaciones inter-estatales.[116].</w:t>
        <w:br/>
        <w:br/>
        <w:t>45.   Por lo tanto, yo no estoy  proponiendo  aquí  que  el  desarrollo  del</w:t>
        <w:br/>
        <w:t>Derecho Internacional de Derechos Humanos sea realizado  en  detrimento  del</w:t>
        <w:br/>
        <w:t>derecho de los tratados; mi entendimiento, completamente distinto, es en  el</w:t>
        <w:br/>
        <w:t>sentido de que las normas del  derecho  de  los  tratados  (tales  como  las</w:t>
        <w:br/>
        <w:t>establecidas en las dos Convenciones de Viena  arriba  mencionadas,  que  de</w:t>
        <w:br/>
        <w:t>por sí son de una naturaleza residual) puede  enriquecerse  en  gran  medida</w:t>
        <w:br/>
        <w:t>con el impacto del Derecho Internacional de Derechos Humanos, y  desarrollar</w:t>
        <w:br/>
        <w:t>su aptitud para regular de manera adecuada las relaciones legales a  niveles</w:t>
        <w:br/>
        <w:t>inter-estatales y intra-estatales, bajo  los  correspondientes  tratados  de</w:t>
        <w:br/>
        <w:t>protección.  En  el  sostenimiento  del  desarrollo   de   un   sistema   de</w:t>
        <w:br/>
        <w:t>determinación objetiva – que nos parece  completamente  necesario  –  de  la</w:t>
        <w:br/>
        <w:t>compatibilidad u otro de las reservas con el objeto o fin de los tratado  de</w:t>
        <w:br/>
        <w:t>derechos humanos de manera específica, en  que  los  cuerpos  de  protección</w:t>
        <w:br/>
        <w:t>internacional creados por dichos tratados jugarían un papel  importante,  no</w:t>
        <w:br/>
        <w:t>vemos ninguna amenaza a la “unidad” del derecho de los tratados.</w:t>
        <w:br/>
        <w:br/>
        <w:t>46.    Al  contrario,  es  difícil  que  haya  algo   más   fragmentador   y</w:t>
        <w:br/>
        <w:t>subdesarrollado que el sistema actual de reservas de  las  dos  Convenciones</w:t>
        <w:br/>
        <w:t>de Viena, razón  por  la  cual  sería  completamente  ilusorio  asumir  que,</w:t>
        <w:br/>
        <w:t>continuar aplicándolo como se ha hecho hasta ahora,  estaría  por  lo  tanto</w:t>
        <w:br/>
        <w:t>promoviendo la “unidad” del derecho de los  tratados.  La  verdadera  unidad</w:t>
        <w:br/>
        <w:t>del derecho de los tratados, dentro  del  marco  del  Derecho  Internacional</w:t>
        <w:br/>
        <w:t>Público, estaría mejor servido por la búsqueda  de  mejoras  en  esta  área,</w:t>
        <w:br/>
        <w:t>superando las ambigüedades, incertidumbres y lagunas del sistema  actual  de</w:t>
        <w:br/>
        <w:t>reservas, a través del desarrollo de un sistema  de  determinación  objetiva</w:t>
        <w:br/>
        <w:t>(supra), de conformidad con  la  naturaleza  especial  de  los  tratados  de</w:t>
        <w:br/>
        <w:t>derechos humanos y el carácter objetivo de las  obligaciones  convencionales</w:t>
        <w:br/>
        <w:t>de protección. La unidad del Derecho Internacional  Público  mismo  se  mide</w:t>
        <w:br/>
        <w:t>más bien por su capacidad de regular las relaciones  legales  en  diferentes</w:t>
        <w:br/>
        <w:t>contextos con igual adecuación y efectividad.</w:t>
        <w:br/>
        <w:br/>
        <w:t xml:space="preserve">      3.    Consideraciones sobre la Denuncia de los Tratados.</w:t>
        <w:br/>
        <w:br/>
        <w:t>47.   Las dos Convenciones de Viena sobre el Derecho de los  Tratados  (1969</w:t>
        <w:br/>
        <w:t>y 1986) determinan que un tratado que no contiene ninguna disposición  sobre</w:t>
        <w:br/>
        <w:t>la denuncia no está sujeto a ser denunciado, salvo que se  pueda  establecer</w:t>
        <w:br/>
        <w:t>que la intención de las partes era admitir la posibilidad de denuncia y  que</w:t>
        <w:br/>
        <w:t>esto último “puede estar implícito en la naturaleza del  tratado"  (artículo</w:t>
        <w:br/>
        <w:t>56.1). Por lo tanto, las dos Convenciones de Viena abren el camino  a  tomar</w:t>
        <w:br/>
        <w:t>en cuenta la naturaleza o especificidad de ciertos tratados. Como ya  se  ha</w:t>
        <w:br/>
        <w:t>visto, la naturaleza especial de los tratados  de  un  carácter  humanitario</w:t>
        <w:br/>
        <w:t>(tales como los tratados de derechos humaos) ha  sin  duda  sido  tomado  en</w:t>
        <w:br/>
        <w:t>cuenta  y  ha  sido  ampliamente  reconocido.  Por  consiguiente,   se   han</w:t>
        <w:br/>
        <w:t>establecido ciertos límites con respecto a la denuncia de  dichos  tratados.</w:t>
        <w:br/>
        <w:br/>
        <w:br/>
        <w:t>48.   De hecho, las consideraciones  básicas  de  humanidad  han  impregnado</w:t>
        <w:br/>
        <w:t>también las cláusulas de denuncia de ciertos  tratados.  Esto  es  aptamente</w:t>
        <w:br/>
        <w:t>ilustrado, v.g.,  por  las  disposiciones  sobre  denuncias  de  las  cuatro</w:t>
        <w:br/>
        <w:t>Convenciones de Ginebra sobre el Derecho Internacional Humanitario de  1949.</w:t>
        <w:br/>
        <w:t>Según esas disposiciones (artículo común 63/62/142/158),  la  denuncia,  que</w:t>
        <w:br/>
        <w:t>entrará en efecto  un  año  después  de  su  notificación,  no  deberá,  sin</w:t>
        <w:br/>
        <w:t>embargo,  mientras  que  la  facultad  de  denuncia  esté  envuelto  en   un</w:t>
        <w:br/>
        <w:t>conflicto, tener ningún efecto “hasta que  se  haya  concluido  la  paz”,  y</w:t>
        <w:br/>
        <w:t>hasta que las “operaciones relacionadas con la liberación y repatriación  de</w:t>
        <w:br/>
        <w:t>las  personas  protegidas”  por  las  Convenciones  de  Ginebra  “han   sido</w:t>
        <w:br/>
        <w:t>terminadas”. De esta manera, las obligaciones de las  Partes  en  cuanto  al</w:t>
        <w:br/>
        <w:t>resguardo de las personas protegidas  por  esas  Convenciones  subsiste,  en</w:t>
        <w:br/>
        <w:t>cualquier circunstancia, vis-à-vis la facultad de  denuncia,  mientras  dure</w:t>
        <w:br/>
        <w:t>el conflicto y no se haya concluido la  liberación  y  repatriación  de  las</w:t>
        <w:br/>
        <w:t>personas protegidas[117].</w:t>
        <w:br/>
        <w:br/>
        <w:t>49.   Adicionalmente, las disposiciones sobre  la  denuncia  de  las  arriba</w:t>
        <w:br/>
        <w:t>mencionadas cuatro Convenciones de Ginebra  (artículo  común  63/62/142/158)</w:t>
        <w:br/>
        <w:t>expresamente mantienen las  obligaciones  basadas  en  “los  principios  del</w:t>
        <w:br/>
        <w:t>derecho de las naciones” conforme resultan de “las leyes de la humanidad”  y</w:t>
        <w:br/>
        <w:t>“los dictados de  la  conciencia  pública"  (la  cláusula  Martens).  Dichas</w:t>
        <w:br/>
        <w:t>obligaciones,  como  fue  correctamente  establecido  por   B.V.A.   Röling,</w:t>
        <w:br/>
        <w:t>continúan gobernando la conducta humana aún cuando los tratados  ya  no  son</w:t>
        <w:br/>
        <w:t>vinculantes[118], - contrario a,  yo  agregaría,  lo  que  los  positivistas</w:t>
        <w:br/>
        <w:t>argumentarían de manera mecánica. Tal y como he sostenido en detalle  en  mi</w:t>
        <w:br/>
        <w:t>Voto Concurrente en la Opinión Consultiva n.  18  de  esta  Corte  sobre  la</w:t>
        <w:br/>
        <w:t>Condición Jurídica y Derechos de los  Migrantes  Indocumentados  (2003),  la</w:t>
        <w:br/>
        <w:t>ley para la protección de los seres humanos no se  agota  en  las  normas  y</w:t>
        <w:br/>
        <w:t>reglas del derecho positivo, envuelve también los principios  (que  informan</w:t>
        <w:br/>
        <w:t>y conforman aquellas normas y reglas), sin los cuales no hay ningún  sistema</w:t>
        <w:br/>
        <w:t>legal del todo.</w:t>
        <w:br/>
        <w:br/>
        <w:t>50.   Media década después de la adopción de la Convención de Viena de  1969</w:t>
        <w:br/>
        <w:t>sobre  el  Derecho  de  los  Tratados,  H.W.  Briggs  resaltó,   de   manera</w:t>
        <w:br/>
        <w:t>pertinente, que la consideración de esta  Convención  en  la  jurisprudencia</w:t>
        <w:br/>
        <w:t>internacional</w:t>
        <w:br/>
        <w:br/>
        <w:t xml:space="preserve">            "ha sido de ayuda en favorecer la consolidación de la ley contra</w:t>
        <w:br/>
        <w:t xml:space="preserve">      las  denuncias  unilaterales  de  los  acuerdos  internacionales   sin</w:t>
        <w:br/>
        <w:t xml:space="preserve">      responsabilidad por las mismas "[119].</w:t>
        <w:br/>
        <w:br/>
        <w:t>La Convención de la ONU  de  1984  contra  la  Tortura,  en  esta  línea  de</w:t>
        <w:br/>
        <w:t>preocupación, establece (artículo 31.2) que una  denuncia  de  la  misma  no</w:t>
        <w:br/>
        <w:t>deberá  tener  el  efecto  de  liberar  a  la  Parte  denunciante   de   sus</w:t>
        <w:br/>
        <w:t>obligaciones según la Convención con respecto a “cualquier  acto  u  omisión</w:t>
        <w:br/>
        <w:t>que ocurre antes de la fecha en que la  denuncia  se  vuelve  efectivo”,  ni</w:t>
        <w:br/>
        <w:t>deberá la denuncia perjudicar de ninguna manera la “consideración  continúa”</w:t>
        <w:br/>
        <w:t>de cualquier asunto que ya esté bajo el escrutinio  del  Comité  de  la  ONU</w:t>
        <w:br/>
        <w:t>contra la  Tortura  “antes  de  la  fecha  en  que  la  denuncia  se  vuelve</w:t>
        <w:br/>
        <w:t>efectiva".</w:t>
        <w:br/>
        <w:br/>
        <w:t>51.   A nivel regional, la Convención Europea sobre Derechos Humanos,  según</w:t>
        <w:br/>
        <w:t>fue enmendada por el Protocolo n. 11, establece (artículo 58) así mismo  que</w:t>
        <w:br/>
        <w:t>una denuncia de la  misma  no  tendrá  el  efecto  de  liberar  a  la  Parte</w:t>
        <w:br/>
        <w:t>denunciante  de  sus  obligaciones  según  la  Convención  con  respecto   a</w:t>
        <w:br/>
        <w:t>“cualquier acto que, siendo capaz de  constituir  una  violación  de  dichas</w:t>
        <w:br/>
        <w:t>obligaciones, puede haber sido realizado por el mismo antes de la  fecha  en</w:t>
        <w:br/>
        <w:t>que la denuncia  se  vuelva  efectiva”.  Por  su  parte,  en  una  línea  de</w:t>
        <w:br/>
        <w:t>pensamiento  similar,  la  Convención  Interamericana  de   1999   para   la</w:t>
        <w:br/>
        <w:t>Eliminación de Todas las Formas de Discriminación contra  las  Personas  con</w:t>
        <w:br/>
        <w:t>Discapacidad determina (Artículo XIII) que una  denuncia  de  la  misma  “no</w:t>
        <w:br/>
        <w:t>eximirá” al Estado Parte de las obligaciones impuestas sobre  el  mismo  por</w:t>
        <w:br/>
        <w:t>la Convención con respecto a “toda acción u omisión  ocurrida  antes  de  la</w:t>
        <w:br/>
        <w:t>fecha en que haya surtido efecto la denuncia".</w:t>
        <w:br/>
        <w:br/>
        <w:t>52.   Y la Convención Americana sobre Derechos Humanos  (artículo  78)  solo</w:t>
        <w:br/>
        <w:t>permite la denuncia “después de la expiración de un plazo de  cinco  años  a</w:t>
        <w:br/>
        <w:t>partir de la fecha de entrada en vigor de la misma”,  y  por  medio  de  “un</w:t>
        <w:br/>
        <w:t>preaviso de un años”. Además, dicha denuncia no tendrá el efecto de  liberar</w:t>
        <w:br/>
        <w:t>al Estado Parte que denuncia de las obligaciones incluidas en la  Convención</w:t>
        <w:br/>
        <w:t>con respecto a “todo hecho que, pudiendo constituir una  violación  de  esas</w:t>
        <w:br/>
        <w:t>obligaciones” y que “haya sido cumplido por él anteriormente a la  fecha  en</w:t>
        <w:br/>
        <w:t>la cual la denuncia produce efecto". El tema de los efectos de la  denuncia,</w:t>
        <w:br/>
        <w:t>dentro de dichos límites, se volvió importante en casos  recientes  respecto</w:t>
        <w:br/>
        <w:t>a Trinidad y Tobago bajo la Convención Americana de Derechos Humanos.</w:t>
        <w:br/>
        <w:br/>
        <w:t>53.   Trinidad y Tobago se volvió Parte de  la  Convención  Americana  sobre</w:t>
        <w:br/>
        <w:t>Derechos Humanas el  28.05.1991,  y  aceptó  la  jurisdicción  de  la  Corte</w:t>
        <w:br/>
        <w:t>Interamericana en asuntos contenciosos en esa misma fecha. Más adelante,  el</w:t>
        <w:br/>
        <w:t>26.05.1998, denunció la Convención Americana; según el  artículo  78  de  la</w:t>
        <w:br/>
        <w:t>Convención, dicha denuncia comenzó  a  tener  efectos  un  año  después,  el</w:t>
        <w:br/>
        <w:t>26.05.1999. Un día  antes  de  esta  fecha  la  Comisión  Interamericana  de</w:t>
        <w:br/>
        <w:t>Derechos Humanos presentó ante la Corte el caso de Hilaire;  posteriormente,</w:t>
        <w:br/>
        <w:t>después de esta fecha, le presentó a la Corte el caso de Constantine et  al.</w:t>
        <w:br/>
        <w:t>(el 22.02.2000) y el caso de Benjamin et al. (el 05.10.2000), - los tres  de</w:t>
        <w:br/>
        <w:t>ellos respecto a Trinidad y Tobago.</w:t>
        <w:br/>
        <w:br/>
        <w:t>54.   Dado que los mismos se referían  a  actos  realizados  por  el  Estado</w:t>
        <w:br/>
        <w:t>antes de la fecha de su denuncia, la Corte mantenía su jurisdicción y  entró</w:t>
        <w:br/>
        <w:t>a conocerlos casos (según el artículo 78.2 de la Convención), y  emitió  sus</w:t>
        <w:br/>
        <w:t>Sentencias  sobre  las  objeciones  preliminares  en  los  tres   casos   el</w:t>
        <w:br/>
        <w:t>01.09.2001, rechazando una restricción indebida presentada por el Estado  en</w:t>
        <w:br/>
        <w:t>su instrumento de aceptación de  la  competencia  obligatoria  de  la  Corte</w:t>
        <w:br/>
        <w:t>(reiterada en los tres casos en la forma de una objeción preliminar).  Dicha</w:t>
        <w:br/>
        <w:t>restricción habría limitado la jurisdicción de la Corte al grado en  que  su</w:t>
        <w:br/>
        <w:t>ejercicio sería consistente con  la  Constitución  nacional;  la  Corte  los</w:t>
        <w:br/>
        <w:t>consideró incompatible con el objeto y fin de la Convención y un intento  de</w:t>
        <w:br/>
        <w:t>subordinar  esta  última  a  la  Constitución  nacional,   lo   cual   sería</w:t>
        <w:br/>
        <w:t>inadmisible[120].</w:t>
        <w:br/>
        <w:br/>
        <w:t>55.   La Corte  luego  ordenó  la  acumulación  de  los  tres  casos  y  sus</w:t>
        <w:br/>
        <w:t>respectivos procedimientos (el 30.11.2001), y emitió su Sentencia  sobre  el</w:t>
        <w:br/>
        <w:t>fondo, encontrando violaciones a  la  Convención  Americana  el  21.06.2002.</w:t>
        <w:br/>
        <w:t>Paralelo a eso, también después de que la denuncia de Trinidad y  Tobago  se</w:t>
        <w:br/>
        <w:t>volvió  efectiva  (el  26.05.1999),  la  Corte  ordenó   sucesivas   Medidas</w:t>
        <w:br/>
        <w:t>Provisionales de Protección, del 27.05.1999 al 02.12.2003,  en  el  caso  de</w:t>
        <w:br/>
        <w:t>James et al. versus Trinidad y Tobago (dado que también se referían a  actos</w:t>
        <w:br/>
        <w:t>realizados por el Estado antes de la fecha de su denuncia a la  Convención).</w:t>
        <w:br/>
        <w:t>Todas estas decisiones de la Corte siguen siendo vinculantes para el  Estado</w:t>
        <w:br/>
        <w:t>denunciado; su denuncia de la Convención no tiene el efecto radical que  uno</w:t>
        <w:br/>
        <w:t>podría tender a asumir prima facie, ya que la cláusula de denuncia  bajo  la</w:t>
        <w:br/>
        <w:t>Convención Americana (supra) estaba rodeada de  limitaciones  temporales  de</w:t>
        <w:br/>
        <w:t>manera que no le permitirá minar la protección de los derechos  humanos  ahí</w:t>
        <w:br/>
        <w:t>establecida.</w:t>
        <w:br/>
        <w:br/>
        <w:t>56.   Por lo tanto, ni la institución de la  denuncia  de  tratados  es  tan</w:t>
        <w:br/>
        <w:t>absoluta en sus efectos como una podría  tender  a  asumir  prima  facie.  A</w:t>
        <w:br/>
        <w:t>pesar de su apertura a las manifestaciones del voluntarismo del  estado,  la</w:t>
        <w:br/>
        <w:t>denuncia ha sido, sin embargo, impregnada también  con  las  consideraciones</w:t>
        <w:br/>
        <w:t>básicas de la humanidad  en  lo  que  se  refiere  a  los  tratados  de  una</w:t>
        <w:br/>
        <w:t>naturaleza humanitaria. En última instancia, uno se  enfrenta  aquí  con  el</w:t>
        <w:br/>
        <w:t>principio fundamental, superior e inescapable de buena fe  (bona  fides),  y</w:t>
        <w:br/>
        <w:t>uno debe actuar según el mismo.</w:t>
        <w:br/>
        <w:br/>
        <w:t xml:space="preserve">      4.     Consideraciones  sobre  la  Terminación  y  Suspensión  de   la</w:t>
        <w:br/>
        <w:t xml:space="preserve">           Operación de los Tratados.</w:t>
        <w:br/>
        <w:br/>
        <w:t>57.   La interpretación y aplicación de los tratados de derechos humanos  es</w:t>
        <w:br/>
        <w:t>testigo  de  la  penumbra  de  la  reciprocidad  y  de  la  prominencia   de</w:t>
        <w:br/>
        <w:t>consideraciones de ordre  public  en  el  presente  dominio.  De  hecho,  la</w:t>
        <w:br/>
        <w:t>prohibición de la invocación de reciprocidad como  un  subterfugio  para  el</w:t>
        <w:br/>
        <w:t>incumplimiento  de  las   obligaciones   convencionales   humanitarias,   es</w:t>
        <w:br/>
        <w:t>corroborada en términos inequívocos por  la  Convención  de  Viena  de  1969</w:t>
        <w:br/>
        <w:t>sobre el Derecho de los Tratados, la cual, al disponer la  condición  en  la</w:t>
        <w:br/>
        <w:t>que una violación  del  tratado  puede  resultar  en  su  terminación  o  la</w:t>
        <w:br/>
        <w:t>suspensión  de  su  operación,  expresa  y  específicamente   exceptúa   las</w:t>
        <w:br/>
        <w:t>“disposiciones relacionadas con la protección del ser  humano  incluidas  en</w:t>
        <w:br/>
        <w:t>los tratados de una naturaleza humanitaria" (artículo 60.5).</w:t>
        <w:br/>
        <w:br/>
        <w:t>58.   La disposición del artículo 60.5 de  las  dos  Convenciones  de  Viena</w:t>
        <w:br/>
        <w:t>sobre el Derecho de los Tratados (1969 y 1986), reconociendo  la  naturaleza</w:t>
        <w:br/>
        <w:t>especial de los “tratados de carácter humanitario” y  estableciendo  una  de</w:t>
        <w:br/>
        <w:t>las  consecuencias  jurídicas  resultante  de  los  mismos,  constituye  una</w:t>
        <w:br/>
        <w:t>cláusula de resguardo en defensa del ser humano. En este  sentido  consideré</w:t>
        <w:br/>
        <w:t>apropiado resaltar, en un estudio sobre el tema publicado hace 14 años, que</w:t>
        <w:br/>
        <w:br/>
        <w:t xml:space="preserve">            "el derecho de los tratados mismo en nuestros días, tal  y  como</w:t>
        <w:br/>
        <w:t xml:space="preserve">      lo confirma el artículo 60.5 de  la  Convención  de  Viena  [sobre  el</w:t>
        <w:br/>
        <w:t xml:space="preserve">      Derecho de los Tratados], descarta el precepto de reciprocidad  en  la</w:t>
        <w:br/>
        <w:t xml:space="preserve">      implementación de los tratados  de  protección  internacional  de  los</w:t>
        <w:br/>
        <w:t xml:space="preserve">      derechos humanos y del Derecho Internacional Humanitario,  por  virtud</w:t>
        <w:br/>
        <w:t xml:space="preserve">      precisamente del carácter humanitario de esos instrumentos.  Al  abrir</w:t>
        <w:br/>
        <w:t xml:space="preserve">      una brecha en el velo de un dominio de derecho internacional – como al</w:t>
        <w:br/>
        <w:t xml:space="preserve">      que se refiere los  tratados  -  tan  fuertemente  infiltrado  por  el</w:t>
        <w:br/>
        <w:t xml:space="preserve">      voluntarismo de los Estados, la anterior  mencionada  disposición  del</w:t>
        <w:br/>
        <w:t xml:space="preserve">      artículo 60.5 de la Convención de Viena  constituye  una  cláusula  de</w:t>
        <w:br/>
        <w:t xml:space="preserve">      resguardo en defensa del ser humano"[121].</w:t>
        <w:br/>
        <w:br/>
        <w:t>59.   En la explicación de uno de los participantes  en  la  Conferencia  de</w:t>
        <w:br/>
        <w:t>Viena de 1968-1969 de la cual surgió la primera Convención  de  Viena  sobre</w:t>
        <w:br/>
        <w:t>el Derecho de los Tratados (1969), la disposición  en  cuestión  resultó  de</w:t>
        <w:br/>
        <w:t>una enmienda Suiza, rápidamente apoyada por varias Delegaciones,  al  efecto</w:t>
        <w:br/>
        <w:t>de que el fundamento para la terminación o suspensión  de  la  operación  de</w:t>
        <w:br/>
        <w:t>los  tratados  no  debe  ser  aplicado  a  los  tratados  de   un   carácter</w:t>
        <w:br/>
        <w:t>humanitario, que abarcan disposiciones de protección  del  ser  humano[122].</w:t>
        <w:br/>
        <w:t>El artículo 60.5 se mantuvo en la  segunda  Convención  de  Viena  sobre  el</w:t>
        <w:br/>
        <w:t>Derecho de los Tratados (1986).  Otro  participante  en  la  Conferencia  de</w:t>
        <w:br/>
        <w:t>Viena de 1968-1969 ponderó que hay ciertas obligaciones – de protección  del</w:t>
        <w:br/>
        <w:t>ser humano - dotadas con un “carácter absoluto” que  no  se  puede  permitir</w:t>
        <w:br/>
        <w:t>sean reducidas a</w:t>
        <w:br/>
        <w:br/>
        <w:t xml:space="preserve">            "l'idée d'une régression définitive de la conscience humaine est</w:t>
        <w:br/>
        <w:t xml:space="preserve">      difficile à  accepter.  En  revanche  il  serait  souhaitable  que  la</w:t>
        <w:br/>
        <w:t xml:space="preserve">      pratique internationale se moralise dans tous les domaines et acquière</w:t>
        <w:br/>
        <w:t xml:space="preserve">      ainsi, par la reconnaissance des États, un niveau croissant de valeur:</w:t>
        <w:br/>
        <w:t xml:space="preserve">      il pourrait et il devrait y  avoir  normalement  de  nouvelles  règles</w:t>
        <w:br/>
        <w:t xml:space="preserve">      progressives. Sans qu'il soit nécessaire d'insister sur ce point,  les</w:t>
        <w:br/>
        <w:t xml:space="preserve">      racines profondes d'une telle conception rejoignent  la  tradition  du</w:t>
        <w:br/>
        <w:t xml:space="preserve">      droit naturel, rajeunie de  nos  jours  par  la  conception  du  droit</w:t>
        <w:br/>
        <w:t xml:space="preserve">      naturel à contenu progressif. En ce sens aussi, on  pourrait  soutenir</w:t>
        <w:br/>
        <w:t xml:space="preserve">      que les  règles  impératives  ont  dépassé  le  stade  coutumier  pour</w:t>
        <w:br/>
        <w:t xml:space="preserve">      atteindre un niveau plus stable qui est celui des  principes  généraux</w:t>
        <w:br/>
        <w:t xml:space="preserve">      du droit international public"[123].</w:t>
        <w:br/>
        <w:br/>
        <w:t>60.   Por lo tanto, el derecho contemporáneo mismo de  los  tratados,  según</w:t>
        <w:br/>
        <w:t>lo establecido por el artículo 60.5 de las Convenciones de Viena de  1969  y</w:t>
        <w:br/>
        <w:t>1986, superando el precepto de reciprocidad  en  la  implementación  de  los</w:t>
        <w:br/>
        <w:t>tratados de un carácter humanitario,  considera  que  las  obligaciones  ahí</w:t>
        <w:br/>
        <w:t>consagradas son de ordre public, y pueden generar  efectos  erga  omnes.  La</w:t>
        <w:br/>
        <w:t>superación de la reciprocidad  en  la  protección  de  derechos  humanos  ha</w:t>
        <w:br/>
        <w:t>ocurrido en medio de la constante búsqueda por una expansión del  ámbito  de</w:t>
        <w:br/>
        <w:t>protección (para el  resguardo  de  una  círculo  cada  vez  más  amplio  de</w:t>
        <w:br/>
        <w:t>individuos, en cualquier circunstancia), para lograr un mayor  grado  de  la</w:t>
        <w:br/>
        <w:t>protección debida  y  para  el  fortalecimiento  gradual  del  mecanismo  de</w:t>
        <w:br/>
        <w:t>supervisión en defensa de los valores superiores comunes.</w:t>
        <w:br/>
        <w:br/>
        <w:t xml:space="preserve">      5.    Observaciones Finales.</w:t>
        <w:br/>
        <w:br/>
        <w:t>61.   Por último, pero no por eso  menos  importante,  se  le  debe  prestar</w:t>
        <w:br/>
        <w:t>atención a la interacción de los tratados de derechos humanos en el  proceso</w:t>
        <w:br/>
        <w:t>de interpretación.  Dada  la  multiplicidad  de  esos  tratados,  no  es  de</w:t>
        <w:br/>
        <w:t>sorprenderse que se haya recurrido  a  la  interpretación  y  aplicación  de</w:t>
        <w:br/>
        <w:t>ciertas  disposiciones  de  tratados  definidos  de  derechos  humanos  como</w:t>
        <w:br/>
        <w:t>orientación para la interpretación de las disposiciones correspondientes  de</w:t>
        <w:br/>
        <w:t>otro tratado de derechos humanos – normalmente más reciente. La práctica  de</w:t>
        <w:br/>
        <w:t>los cuerpos  internacionales  de  supervisión  –  incluyendo  bajo  los  dos</w:t>
        <w:br/>
        <w:t>sistemas de protección regionales, Europea e Interamericano – ofrece  varios</w:t>
        <w:br/>
        <w:t>ejemplos de dicha interacción interpretativo[124].</w:t>
        <w:br/>
        <w:br/>
        <w:t>62.    Además,  dada  la   posible   interpretación   concurrente   de   las</w:t>
        <w:br/>
        <w:t>disposiciones equivalentes de dos o más tratados de  derechos  humanos,  hay</w:t>
        <w:br/>
        <w:t>espacio para la  búsqueda  de  la  norma  más  favorable  para  la  supuesta</w:t>
        <w:br/>
        <w:t>víctima.  Esta  prueba  –  primacía  de  la  norma  más  favorable  para  el</w:t>
        <w:br/>
        <w:t>individuo, -  reúne  apoyo  expreso  en  ciertas  disposiciones  de  ciertos</w:t>
        <w:br/>
        <w:t>tratados de derechos humanos tales como el artículo 29.b  de  la  Convención</w:t>
        <w:br/>
        <w:t>Americana sobre Derechos Humanos y ha encontrado aplicación en la práctica.</w:t>
        <w:br/>
        <w:br/>
        <w:t>63.   La  motivación  esencial  que  subyace  a  la  interpretación  de  los</w:t>
        <w:br/>
        <w:t>tratados de derechos humanos ha sido, en lugar de  asegurar  la  uniformidad</w:t>
        <w:br/>
        <w:t>del  derecho  internacional  en  general  y  en   cualquier   circunstancia,</w:t>
        <w:br/>
        <w:t>responder  de  manera  efectiva  a  las  necesidades  e  imperativos  de  la</w:t>
        <w:br/>
        <w:t>protección internacional de los seres humanos. Al proceder de  esta  manera,</w:t>
        <w:br/>
        <w:t>los cuerpos internacionales de supervisión  –  tales  como  las  dos  Cortes</w:t>
        <w:br/>
        <w:t>regionales  de  Derechos  Humanos  –  han  construido   una   jurisprudencia</w:t>
        <w:br/>
        <w:t>convergente en cuanto a la naturaleza especial de los tratados  de  derechos</w:t>
        <w:br/>
        <w:t>humanos y las implicaciones y consecuencias  que  resultan  de  los  mismos.</w:t>
        <w:br/>
        <w:t>Esto se ha debido en gran parte a la identidad preponderante  del  objeto  y</w:t>
        <w:br/>
        <w:t>fin  de  esos  tratados.   El   resultado   tranquilizador   ha   sido   una</w:t>
        <w:br/>
        <w:t>interpretación uniforme  del  Derecho  Internacional  de  Derechos  Humanos.</w:t>
        <w:br/>
        <w:t>Esto, a la vez, ha contribuido de manera  significativa  al  desarrollo  del</w:t>
        <w:br/>
        <w:t>derecho internacional en el dominio actual de protección.</w:t>
        <w:br/>
        <w:br/>
        <w:t>64.   Por  lo  tanto,  un  capítulo  de  derecho  internacional  normalmente</w:t>
        <w:br/>
        <w:t>abordado en el pasado desde el enfoque del voluntarismo de los estados,  hoy</w:t>
        <w:br/>
        <w:t>en  día  es  visto  bajo  una  luz  diferente,   bajo   la   influencia   de</w:t>
        <w:br/>
        <w:t>consideraciones básicas  de  humanidad.  Aunque  este  capítulo  de  derecho</w:t>
        <w:br/>
        <w:t>internacional,  -  el  derecho  de  los  tratados,  -  ha  sido  abierto   a</w:t>
        <w:br/>
        <w:t>manifestaciones de la “voluntad” individual de los  Estados,  así  como  del</w:t>
        <w:br/>
        <w:t>tema del poder mismo de  creación  de  tratados,  -  el  hecho  de  que  las</w:t>
        <w:br/>
        <w:t>consideraciones básicas de la humanidad han también marcado su presencia  en</w:t>
        <w:br/>
        <w:t>el derecho de los tratados  no  puede  continuar  dejándose  de  lado.  Como</w:t>
        <w:br/>
        <w:t>prueba de esta evolución, los desarrollos referentes a la interpretación  de</w:t>
        <w:br/>
        <w:t>los tratados y la terminación y suspensión de la operación de  los  tratados</w:t>
        <w:br/>
        <w:t>reveló una cierta preparación para elaborar libremente en áreas  como  esas,</w:t>
        <w:br/>
        <w:t>para así buscar las  respuestas  a  las  necesidades  contemporáneas  de  la</w:t>
        <w:br/>
        <w:t>comunidad internacional.</w:t>
        <w:br/>
        <w:br/>
        <w:t>65.   Al igual que el Derecho Internacional en general, el  derecho  de  los</w:t>
        <w:br/>
        <w:t>tratados en particular también está pasando  por  un  proceso  histórico  de</w:t>
        <w:br/>
        <w:t>humanización. No puede pasar desapercibido, como fue  bien  establecido  por</w:t>
        <w:br/>
        <w:t>Egon Schwelb hace tres décadas[125], que los preámbulos mismos  de  las  dos</w:t>
        <w:br/>
        <w:t>Convenciones de Viena sobre el Derecho de los  Tratados  (de  1969  y  1986)</w:t>
        <w:br/>
        <w:t>incluyen  una  reafirmación  del  principio  de  respeto  universal  por,  y</w:t>
        <w:br/>
        <w:t>observancia de, los derechos humanos[126]. La facultad de realizar  tratados</w:t>
        <w:br/>
        <w:t>ya no es una prerrogativa exclusiva de los Estados, como  solía  ser  en  el</w:t>
        <w:br/>
        <w:t>pasado; la [segunda] Convención de Viena de 1986 sobre  el  Derecho  de  los</w:t>
        <w:br/>
        <w:t>Tratados vino a tratar la creación de tratados por parte  de  organizaciones</w:t>
        <w:br/>
        <w:t>internacionales, algunas de las cuales están dedicadas a causas  de  interés</w:t>
        <w:br/>
        <w:t>directo de los seres humanos y la humanidad como un todo.</w:t>
        <w:br/>
        <w:br/>
        <w:t>66.   La interpretación de  los  tratados  ha  sido  enriquecida  de  manera</w:t>
        <w:br/>
        <w:t>considerable por la  metodología  seguida  por  cuerpos  internacionales  de</w:t>
        <w:br/>
        <w:t>supervisión de los tratados de derechos humanos. Dicha interpretación se  ha</w:t>
        <w:br/>
        <w:t>ajustado a la  especificidad  de  los  tratados  de  derechos  humanos[127].</w:t>
        <w:br/>
        <w:t>Además, ha favorecido una armonización de los estándares  de  implementación</w:t>
        <w:br/>
        <w:t>de los derechos protegidos en el orden  jurídico  nacional  de  los  Estados</w:t>
        <w:br/>
        <w:t>Partes a esos tratados[128]. Los dos Tribunales internacionales de  derechos</w:t>
        <w:br/>
        <w:t>humanos (la Corte Europea y la Interamericana) han estado comprometidas  con</w:t>
        <w:br/>
        <w:t>la construcción  de  una  jurisprudencia  convergente  con  respecto  a  las</w:t>
        <w:br/>
        <w:t>reservas a los tratados  con  el  fin  de  evitar  privar  los  tratados  de</w:t>
        <w:br/>
        <w:t>derechos humanos de su  effet  utile,  preservando  así  los  mecanismos  de</w:t>
        <w:br/>
        <w:t>protección del ser humano establecido por los mismos.</w:t>
        <w:br/>
        <w:br/>
        <w:t xml:space="preserve">      III.  Estado Internacional de Derecho: No-Comparecencia y el Deber  de</w:t>
        <w:br/>
        <w:t xml:space="preserve">                 Cumplimiento.</w:t>
        <w:br/>
        <w:br/>
        <w:t>67.    Hasta  las  Sentencias  de  la  Corte  Interamericana  de  01.09.2001</w:t>
        <w:br/>
        <w:t>rechazando las objeciones preliminares de Trinidad y Tobago en los casos  de</w:t>
        <w:br/>
        <w:t>Hilaire, Constantine et al., y  Benjamin  et  al.  (cf.  supra),  el  Estado</w:t>
        <w:br/>
        <w:t>demandado apareció ante la Corte habiendo participado en los  procedimientos</w:t>
        <w:br/>
        <w:t>contenciosos y presentado sus argumentos  ante  la  Corte.  En  el  caso  de</w:t>
        <w:br/>
        <w:t>Hilaire, en particular, apareció ante la Corte en la audiencia  pública  del</w:t>
        <w:br/>
        <w:t>10 de agosto de 2000, donde presentó sus  puntos  de  vista  de  una  manera</w:t>
        <w:br/>
        <w:t>ordenada y procesalmente constructiva. Después de haber sido notificados  de</w:t>
        <w:br/>
        <w:t>la decisión adversa de la Corte, Trinidad y  Tobago  no  volvió  a  aparecer</w:t>
        <w:br/>
        <w:t>ante la Corte, ni en  los  procedimientos  sobre  el  fondo  en  los  arriba</w:t>
        <w:br/>
        <w:t>mencionados casos  (unidos),  ni  en  los  procedimientos  del  posterior  y</w:t>
        <w:br/>
        <w:t>presente caso de Caesar.</w:t>
        <w:br/>
        <w:t>68.   A pesar de su no-comparecencia[129], Trinidad y Tobago  sigue  estando</w:t>
        <w:br/>
        <w:t>obligado por las Sentencias de la Corte en todos  estos  casos:  que  aunque</w:t>
        <w:br/>
        <w:t>presentados después de su denuncia de la Convención Americana,  se  refieren</w:t>
        <w:br/>
        <w:t>a actos cometidos por el Estado antes de la  denuncia,  según  los  términos</w:t>
        <w:br/>
        <w:t>del artículo 78  de  la  Convención  Americana.  Junto  con  las  Sentencias</w:t>
        <w:br/>
        <w:t>posteriores sobre el fondo y reparaciones, todas las decisiones de la  Corte</w:t>
        <w:br/>
        <w:t>continúan siendo vinculantes  para  el  Estado  demandado,  y  una  eventual</w:t>
        <w:br/>
        <w:t>incapacidad de este último de cumplir con las Sentencias de la  Corte  sobre</w:t>
        <w:br/>
        <w:t>el fondo y las  reparaciones  en  esos  casos  previos  y  con  la  presente</w:t>
        <w:br/>
        <w:t>Sentencia en el caso de Caesar, representarían una violación adicional a  la</w:t>
        <w:br/>
        <w:t>Convención Americana (artículo  68),  así  como  del  derecho  internacional</w:t>
        <w:br/>
        <w:t>general (pacta sunt servanda), con todas  las  consecuencias  jurídicas  que</w:t>
        <w:br/>
        <w:t>deriven de eso.</w:t>
        <w:br/>
        <w:br/>
        <w:t>69.    Cualquier  interpretación  contraria,   que   busque   “explicar”   o</w:t>
        <w:br/>
        <w:t>“justificar” el incumplimiento con las Sentencias, representaría contumaz  y</w:t>
        <w:br/>
        <w:t>revelaría una falta de familiaridad con los principios más  elementales  del</w:t>
        <w:br/>
        <w:t>procedimiento legal internacional. Un Estado puede, por supuesto, elegir  no</w:t>
        <w:br/>
        <w:t>aparecer ante la Corte, pero al hacerlo deberá asumir las  consecuencias  de</w:t>
        <w:br/>
        <w:t>dicha  no-comparecencia,  considerándose  incapaz  de  refutar  las  pruebas</w:t>
        <w:br/>
        <w:t>presentadas[130] y de defenderse. Lo que un Estado no tiene derecho a  hacer</w:t>
        <w:br/>
        <w:t>es ignorar una Sentencia que es claramente vinculante para el mismo, ya  que</w:t>
        <w:br/>
        <w:t>eso minaría los fundamentos mismos de  la  jurisdicción  internacional,  los</w:t>
        <w:br/>
        <w:t>cuales han requerido tanto esfuerzo de las  generaciones  pasadas  para  ser</w:t>
        <w:br/>
        <w:t>construidos y establecidos en esta parte del mundo.</w:t>
        <w:br/>
        <w:br/>
        <w:t>70.   Habiendo sido siempre un fuerte partidario de la causa de la  justicia</w:t>
        <w:br/>
        <w:t>internacional, me siento obligado a establecer en el presente Voto  Razonado</w:t>
        <w:br/>
        <w:t>que la jurisdicción internacional no puede ser dejado a merced del  capricho</w:t>
        <w:br/>
        <w:t>de  los  gobiernos,  usualmente  bajo  la  presión  de  factores  domésticos</w:t>
        <w:br/>
        <w:t>incoherentes, - y aquellos que no tienen restricciones para minarlo  deberán</w:t>
        <w:br/>
        <w:t>cargar con la responsabilidad histórica de dicha deconstrucción.  Me  siento</w:t>
        <w:br/>
        <w:t>confiado de que Trinidad y Tobago no llegará a este extremo.</w:t>
        <w:br/>
        <w:br/>
        <w:t>71.    Trinidad  y  Tobago  parece  estar  conciente  de  las   limitaciones</w:t>
        <w:br/>
        <w:t>temporales  y  materiales  de  la  denuncia  según  el  artículo  78  de  la</w:t>
        <w:br/>
        <w:t>Convención Americana (supra), ya que participó en  los  procedimientos  ante</w:t>
        <w:br/>
        <w:t>la Corte después de eso, incluyendo una audiencia pública del 10  de  agosto</w:t>
        <w:br/>
        <w:t>de 2000 en el caso de Hilaire, más de un año después de que su  denuncia  de</w:t>
        <w:br/>
        <w:t>la  Convención  Americana  comenzara  a  tener   efectos   (a   partir   del</w:t>
        <w:br/>
        <w:t>26.05.1999). Lo que es un poco enigmático es su posterior y  prolongada  no-</w:t>
        <w:br/>
        <w:t>comparecencia – para no decir “desaparición" – ante la Corte después de  sus</w:t>
        <w:br/>
        <w:t>Sentencias sobre objeciones preliminares  (supra),  en  su  contra.  La  no-</w:t>
        <w:br/>
        <w:t>comparecencia no abre de ningún modo el camino para  el  incumplimiento.  Un</w:t>
        <w:br/>
        <w:t>Estado puede elegir no aparecer ante la Corte, en  cualquier  etapa  de  los</w:t>
        <w:br/>
        <w:t>procedimientos, a su propio riesgo, pero no puede ignorar  la  Sentencia  de</w:t>
        <w:br/>
        <w:t>la Corte sin que su responsabilidad  internacional  se  vea  por  esa  razón</w:t>
        <w:br/>
        <w:t>comprometida.</w:t>
        <w:br/>
        <w:br/>
        <w:t>72.   La repentina no-comparecencia de Trinidad y Tobago ante la Corte, -  o</w:t>
        <w:br/>
        <w:t>más bien su desaparición de la misma, - es sin  duda  un  hecho  lamentable.</w:t>
        <w:br/>
        <w:t>Como mínimo no promueve el estado  de  derecho  a  nivel  internacional.  Si</w:t>
        <w:br/>
        <w:t>pretende ser una notificación  previa  de  falta  de  cumplimiento  con  las</w:t>
        <w:br/>
        <w:t>decisiones de la Corte, entonces el Estado demandado tiene  fuertes  motivos</w:t>
        <w:br/>
        <w:t>para estar preocupado, ya que la Ley no estará de  su  lado.  Esperamos  que</w:t>
        <w:br/>
        <w:t>este no sea el caso. Pero si fuera así, entonces Trinidad y  Tobago  estaría</w:t>
        <w:br/>
        <w:t>fuera  del  Derecho,  incurriendo  así  en  una  violación  adicional  a  la</w:t>
        <w:br/>
        <w:t>Convención Americana.</w:t>
        <w:br/>
        <w:br/>
        <w:t>73.   Aunque la no-comparecencia ha ocurrido algunas veces en  los  litigios</w:t>
        <w:br/>
        <w:t>interestatales  (por  ejemplo,  ante  la  Corte   Permanente   de   Justicia</w:t>
        <w:br/>
        <w:t>Internacional [PCIJ] y la Corte Internacional de  Justicia  [CIJ])[131],  no</w:t>
        <w:br/>
        <w:t>hay  ninguna  razón  convincente  por  la  cual  debiera  ocurrir   en   los</w:t>
        <w:br/>
        <w:t>procedimientos de los casos de derechos humanos, oponiendo a los  estados  a</w:t>
        <w:br/>
        <w:t>los individuos, la parte aparentemente más débil. Si  al  no  comparecer  el</w:t>
        <w:br/>
        <w:t>Estado está anunciando un eventual incumplimiento  con  las  decisiones  del</w:t>
        <w:br/>
        <w:t>Tribunal, deberá asumir las consecuencias jurídicas de su actitud, -  y  los</w:t>
        <w:br/>
        <w:t>demás Estados Partes deberían reaccionar ante eso, en  el  ejercicio  de  la</w:t>
        <w:br/>
        <w:t>garantía colectiva que subyace a todos los tratados de derechos humanos.  La</w:t>
        <w:br/>
        <w:t>no-comparecencia no afecta la condición del Estado como parte  en  el  caso;</w:t>
        <w:br/>
        <w:t>le guste o no,  sigue  siendo  el  Estado  demandado  en  el  caso,  aún  in</w:t>
        <w:br/>
        <w:t>absentia.</w:t>
        <w:br/>
        <w:br/>
        <w:t>74.   El artículo 68.1 de la Convención Americana  es  claro  al  determinar</w:t>
        <w:br/>
        <w:t>que “los Estados Partes  en  la  Convención  se  comprometen  a  cumplir  la</w:t>
        <w:br/>
        <w:t>decisión de la Corte en todo caso en que sean partes”. Los  Estados  que  no</w:t>
        <w:br/>
        <w:t>comparecen siguen siendo partes en  los  casos  en  cuestión.  Su  deber  de</w:t>
        <w:br/>
        <w:t>cumplimiento  corresponde  a  un  principio  básico  de  a  ley   sobre   la</w:t>
        <w:br/>
        <w:t>responsabilidad  internacional  del  Estado,  fuertemente  apoyado  por   la</w:t>
        <w:br/>
        <w:t>jurisprudencia internacional, según la cual los Estados deberán cumplir  con</w:t>
        <w:br/>
        <w:t>sus obligaciones convencionales de buena fe (pacta sunt servanda).</w:t>
        <w:br/>
        <w:br/>
        <w:t>75.   Es algo sorprendente ver que, conforme  pasa  el  tiempo  y  el  viejo</w:t>
        <w:br/>
        <w:t>ideal de la realización de la justicia  internacional  gana  terreno  (como,</w:t>
        <w:br/>
        <w:t>por  ejemplo,  con  el   reciente   establecimiento   del   Tribunal   Penal</w:t>
        <w:br/>
        <w:t>Internacional, según una propuesta originalmente presentada por  Trinidad  y</w:t>
        <w:br/>
        <w:t>Tobago en las Naciones Unidas), algunos Estados  continúan  resistiéndose  a</w:t>
        <w:br/>
        <w:t>los medios más perfeccionados de arreglo de disputas a nivel  internacional,</w:t>
        <w:br/>
        <w:t>eso es, a un arreglo judicial[132] (como lo ilustra, de manera  irónica,  la</w:t>
        <w:br/>
        <w:t>posición de Trinidad y Tobago en los casos  arriba  mencionados  dentro  del</w:t>
        <w:br/>
        <w:t>sistema interamericano de derechos humanos).</w:t>
        <w:br/>
        <w:br/>
        <w:t>76.   El precedente – entre otros – establecido por los Estados  Unidos,  de</w:t>
        <w:br/>
        <w:t>“retiro” y no-comparecencia ante la CIJ, después de  una  Sentencia  adversa</w:t>
        <w:br/>
        <w:t>para ellos sobre objeciones preliminares (en 1984) en el caso  de  Nicaragua</w:t>
        <w:br/>
        <w:t>versus Estados Unidos, sería un muy mal ejemplo  a  seguir  por  Trinidad  y</w:t>
        <w:br/>
        <w:t>Tobago. En esa ocasión, Estados Unidos fue  objeto  de  muchas  críticas  de</w:t>
        <w:br/>
        <w:t>diferentes partes de la comunidad internacional, incluyendo algunos  de  sus</w:t>
        <w:br/>
        <w:t>más distinguidos juristas  (como  el  difunto  Keith  Highet[133]),  por  su</w:t>
        <w:br/>
        <w:t>perjuicio al estado internacional de derecho. En las palabras de K.  Highet,</w:t>
        <w:br/>
        <w:t>la estrategia de no-comparecencia "puede también fracasar”, y</w:t>
        <w:br/>
        <w:br/>
        <w:t xml:space="preserve">            "podría sufrir un retraso, una vez que lo absurdo  e  inutilidad</w:t>
        <w:br/>
        <w:t xml:space="preserve">      general que  representan  sean  percibidos  correctamente.  (...)  Las</w:t>
        <w:br/>
        <w:t xml:space="preserve">      fuerzas  negativas  minando  el  desarrollo  progresivo  del   derecho</w:t>
        <w:br/>
        <w:t xml:space="preserve">      internacional – falta  de  producción,  falta  de  cooperación  y  no-</w:t>
        <w:br/>
        <w:t xml:space="preserve">      comparecencia - (...) serán ahora vistas  por  lo  que  realmente  son</w:t>
        <w:br/>
        <w:t xml:space="preserve">      "[134].</w:t>
        <w:br/>
        <w:br/>
        <w:t>77.    En  la  misma  línea  de  pensamiento,  se  agregó  luego,  en  otros</w:t>
        <w:br/>
        <w:t>comentarios, que el comportamiento  desafiante  de  los  Estados  Unidos  de</w:t>
        <w:br/>
        <w:t>retirarse de ese caso y no comparecer más en sus procedimientos ante la  CIJ</w:t>
        <w:br/>
        <w:br/>
        <w:br/>
        <w:t xml:space="preserve">            "parece ser no solo injurioso a la eficacia  de  la  competencia</w:t>
        <w:br/>
        <w:t xml:space="preserve">      obligatoria según el artículo 36.2, pero también dañino al  desarrollo</w:t>
        <w:br/>
        <w:t xml:space="preserve">      de  la  juridicidad  internacional.   Dicha   juridicidad   no   podrá</w:t>
        <w:br/>
        <w:t xml:space="preserve">      desarrollarse mientras los estados estén inclinados a colocarse  a  sí</w:t>
        <w:br/>
        <w:t xml:space="preserve">      mismos sobre la ley"[135].</w:t>
        <w:br/>
        <w:br/>
        <w:t>78.   Es este el triste ejemplo  que  realmente  quiere  seguir  Trinidad  y</w:t>
        <w:br/>
        <w:t>Tobago? Me costaría trabajo creerlo. Cómo se vería eso en los  ojos  de  las</w:t>
        <w:br/>
        <w:t>futuras generaciones de  sus  propios  juristas?  Las  expectativas  de  las</w:t>
        <w:br/>
        <w:t>nuevas generaciones de juristas  siempre  son  elevadas  –  esperando  poder</w:t>
        <w:br/>
        <w:t>tener éxito en corregir los errores de sus antecesores, - mientras que,  por</w:t>
        <w:br/>
        <w:t>el otro lado, los políticos (también llamados de  manera  un  poco  elegante</w:t>
        <w:br/>
        <w:t>“tomadores de decisiones”) se ven iguales en todas partes del muerdo,  y  no</w:t>
        <w:br/>
        <w:t>parece haber ninguna razón de peso para esperar mucho de ellos.</w:t>
        <w:br/>
        <w:br/>
        <w:t>79.   No solo se ven igual en todas partes, sino que  además  se  han  visto</w:t>
        <w:br/>
        <w:t>igual a lo largo de todos los tiempos. Hace más  de  tres  siglos  antes  de</w:t>
        <w:br/>
        <w:t>nuestros tiempos, en  su  publicación  Nicomachean  Ethics,  Aristóteles  no</w:t>
        <w:br/>
        <w:t>podía ocultar o disimular su  preocupación  en  cuanto  a  lo  que  estarían</w:t>
        <w:br/>
        <w:t>pensando los políticos o las decisiones que estaban a punto  de  tomar[136].</w:t>
        <w:br/>
        <w:t>En el siglo XIII, en su Tratado de la Ley, Tomás de Aquino se preguntaba  si</w:t>
        <w:br/>
        <w:t>el recta ratio podría ser aprendido por  los  que  ostentan  el  poder[137].</w:t>
        <w:br/>
        <w:t>Sería  difícil  negar  que,  con  excepciones  extremadamente   raras,   los</w:t>
        <w:br/>
        <w:t>políticos, siempre y en todo lugar, han parecido mucho  más  interesados  en</w:t>
        <w:br/>
        <w:t>obtener y retener el poder (por  el  poder  mismo),  que  en  garantizar  la</w:t>
        <w:br/>
        <w:t>observancia de los derechos humanos de los gobernados por ellos  o  los  que</w:t>
        <w:br/>
        <w:t>se supone que deben representar.</w:t>
        <w:br/>
        <w:br/>
        <w:t>80.   Los Estados que, en la historia de las sentencias internacionales,  se</w:t>
        <w:br/>
        <w:t>han  “retirado”  de  procedimientos  contenciosos  iniciados  en  su  contra</w:t>
        <w:br/>
        <w:t>(especialmente después de una decisión inicial del Tribunal  contra  ellos),</w:t>
        <w:br/>
        <w:t>han adoptado un “comportamiento de auto-juzgamiento”, dañino para el  estado</w:t>
        <w:br/>
        <w:t>internacional de derecho y, por último, para ellos mismos,  para  su  propia</w:t>
        <w:br/>
        <w:t>reputación, ya que</w:t>
        <w:br/>
        <w:br/>
        <w:t xml:space="preserve">            "Un Estado que sea juez  de  su  propia  causa  es  un  defensor</w:t>
        <w:br/>
        <w:t xml:space="preserve">      alegando una ilusión de  la  cual  no  se  obtiene  ninguna  respuesta</w:t>
        <w:br/>
        <w:t xml:space="preserve">      clara"[138].</w:t>
        <w:br/>
        <w:br/>
        <w:t>81.   De hecho, la no-comparecencia se  establece  en  el  artículo  53  del</w:t>
        <w:br/>
        <w:t>Estatuto de la CIJ, su raison d'être siendo asegurar  que  la  Corte  cumpla</w:t>
        <w:br/>
        <w:t>con sus funciones cuando una de las partes no aparece  ante  él;  el  Estado</w:t>
        <w:br/>
        <w:t>que no comparece continúa siendo  una  de  las  partes  del  caso,  y  sigue</w:t>
        <w:br/>
        <w:t>estando completamente obligado por la decisión  emitida  por  la  Corte[139]</w:t>
        <w:br/>
        <w:t>(como si hubiese aparecido ante la Corte). Esto es lo  que  resulta  también</w:t>
        <w:br/>
        <w:t>del artículo 27 (sobre procedimientos en rebeldía) del Reglamento actual  de</w:t>
        <w:br/>
        <w:t>la Corte Interamericana, que también prevé la no comparecencia en  el  mismo</w:t>
        <w:br/>
        <w:t>entendimiento, y le da la posibilidad a la Corte, cuando una de  las  partes</w:t>
        <w:br/>
        <w:t>no comparece en o no continúa con un caso, a tomar las medidas,  de  oficio,</w:t>
        <w:br/>
        <w:t>necesarias para completar la consideración del caso. El artículo  27  agrega</w:t>
        <w:br/>
        <w:t>que cuando una parte se apersone tardíamente, tomará el procedimiento en  el</w:t>
        <w:br/>
        <w:t>estado en que se encuentre.</w:t>
        <w:br/>
        <w:br/>
        <w:t>82.   En la mayoría de los casos, se  ha  recurrido  a  la  no-comparecencia</w:t>
        <w:br/>
        <w:t>para buscar ejercer presión sobre la parte recurrente y la  Corte,  pero  la</w:t>
        <w:br/>
        <w:t>experiencia ha mostrado que el Estado que no comparece prácticamente  no  ha</w:t>
        <w:br/>
        <w:t>ganado nada  –  salvo  críticas  –  con  dicho  comportamiento  dañino[140].</w:t>
        <w:br/>
        <w:t>Adicionalmente, siempre se debe mantener en mente que la no comparecencia  y</w:t>
        <w:br/>
        <w:t>el incumplimiento no son sinónimos del todo; los Estados que  no  comparecen</w:t>
        <w:br/>
        <w:t>– o “desparecidos” – tienen el  deber  de  cumplir  con  las  Sentencias  in</w:t>
        <w:br/>
        <w:t>absentia (pacta sunt servanda).</w:t>
        <w:br/>
        <w:br/>
        <w:t>83.   Sobre este tema particular, el Institut de Droit International  adoptó</w:t>
        <w:br/>
        <w:t>una resolución aclaradora[141] en su sesión de Basel de  1991,  en  la  cual</w:t>
        <w:br/>
        <w:t>tomó en cuenta las dificultades que  la  no  comparecencia  de  una  de  las</w:t>
        <w:br/>
        <w:t>partes puede significar para la otra parte y  la  Corte  misma[142].  En  su</w:t>
        <w:br/>
        <w:t>preámbulo, la resolución ponderó inter alia  que "la ausencia de una de  las</w:t>
        <w:br/>
        <w:t>partes  es  tal  como  para  dificultar  la  conducción   regular   de   los</w:t>
        <w:br/>
        <w:t>procedimientos  y   podría   afectar   la   buena   administración   de   la</w:t>
        <w:br/>
        <w:t>justicia"[143]. La resolución  recordó,  en  sus  párrafos  resolutivos,  el</w:t>
        <w:br/>
        <w:t>“deber” del  Estado  “de  cooperar  con  la  realización  de  las  funciones</w:t>
        <w:br/>
        <w:t>judiciales de la Corte" (artículo 2), y agregó que</w:t>
        <w:br/>
        <w:br/>
        <w:t xml:space="preserve">            "Cada Estado con derecho (...) a  aparecer  ante  la  Corte  con</w:t>
        <w:br/>
        <w:t xml:space="preserve">      respecto al cual la Corte es incautado para  un  caso  es  ipso  facto</w:t>
        <w:br/>
        <w:t xml:space="preserve">      (...) una  parte  de  los  procedimientos,  independientemente  de  si</w:t>
        <w:br/>
        <w:t xml:space="preserve">      comparece o no" (artículo 1).</w:t>
        <w:br/>
        <w:br/>
        <w:t>84.   La resolución del Institut estableció además que, a  pesar  de  la  no</w:t>
        <w:br/>
        <w:t>comparecencia de un Estado, este último sigue estando</w:t>
        <w:br/>
        <w:br/>
        <w:t xml:space="preserve">            "obligado por cualquier  decisión  de  la  Corte  en  ese  caso,</w:t>
        <w:br/>
        <w:t xml:space="preserve">      independientemente de que sea sobre jurisdicción, admisibilidad  o  el</w:t>
        <w:br/>
        <w:t xml:space="preserve">      fondo" (artículo 4).</w:t>
        <w:br/>
        <w:br/>
        <w:t>Y la resolución concluyó que “la no  comparecencia  de  un  Estado  ante  la</w:t>
        <w:br/>
        <w:t>Corte no es en sí mismo un obstáculo al ejercicio por parte de la  Corte  de</w:t>
        <w:br/>
        <w:t>sus funciones" (artículo 5). Esta es  una  declaración  certera  de  la  ley</w:t>
        <w:br/>
        <w:t>aplicable en los casos de no comparecencia, lo  cual  no  puede  de  ninguna</w:t>
        <w:br/>
        <w:t>manera ser interpretado  como  conducente  al  incumplimiento,  siendo  este</w:t>
        <w:br/>
        <w:t>último una violación adicional del derecho internacional.</w:t>
        <w:br/>
        <w:br/>
        <w:t xml:space="preserve">      IV.   El Creciente Contenido Material y Alcance del Jus Cogens  en  el</w:t>
        <w:br/>
        <w:t xml:space="preserve">           Derecho Internacional Contemporáneo.</w:t>
        <w:br/>
        <w:br/>
        <w:t>85.   Me gustaría concluir este Voto Razonado en el presente caso de  Caesar</w:t>
        <w:br/>
        <w:t>en un tono positivo, con una expresión de apoyo para la  presente  Sentencia</w:t>
        <w:br/>
        <w:t>en absentia de la Corte Interamericana,  con  respecto  en  especial  a  dos</w:t>
        <w:br/>
        <w:t>aspectos restantes que creo conveniente retomar aquí. Primero, la  Corte  ha</w:t>
        <w:br/>
        <w:t>admitido de manera expresa y correcta en el presente  caso  de  Caesar  que,</w:t>
        <w:br/>
        <w:t>bajo ciertas circunstancias, la existencia de una ley (tal y como la Ley  de</w:t>
        <w:br/>
        <w:t>Penas Corporales de Trinidad y Tobago), abiertamente  incompatible  con  las</w:t>
        <w:br/>
        <w:t>disposiciones relevantes de la  Convención  Americana  (artículo  5.1  y  2)</w:t>
        <w:br/>
        <w:t>puede per se constituir – debido a su naturaleza y efectos –  una  violación</w:t>
        <w:br/>
        <w:t>de está última[144]. En apoyo a este punto de vista, me  gustaría  referirme</w:t>
        <w:br/>
        <w:t>a mis argumentos, en este sentido, en mi Voto Disidente en  el  caso  de  El</w:t>
        <w:br/>
        <w:t>Amparo,  respecto  a   Venezuela   (Sentencias   sobre   Reparaciones,   del</w:t>
        <w:br/>
        <w:t>14.09.1996), así como en mi Voto Disidente en el caso de  Caballero  Delgado</w:t>
        <w:br/>
        <w:t>y  Santana,  respecto  a  Colombia  (Sentencia   sobre   reparaciones,   del</w:t>
        <w:br/>
        <w:t>29.01.1997), - lo cual no considero necesario reiterar de manera literal  en</w:t>
        <w:br/>
        <w:t>el presente.</w:t>
        <w:br/>
        <w:br/>
        <w:t>86.   Segundo, y más importante, en la presente  Sentencia  en  el  caso  de</w:t>
        <w:br/>
        <w:t>Caesar, la Corte ha reconocido de manera correcta que la prohibición  de  la</w:t>
        <w:br/>
        <w:t>tortura así como de otros tratamientos crueles, inhumanos y degradantes,  ha</w:t>
        <w:br/>
        <w:t>entrado al dominio del jus cogens.  Las  penas  corporales,  tales  como  la</w:t>
        <w:br/>
        <w:t>examinada en el cas d'espèce, es per  se  una  violación  de  la  Convención</w:t>
        <w:br/>
        <w:t>(artículo 5(1) y (2)) y de las normas perentorias del derecho  internacional</w:t>
        <w:br/>
        <w:t>(párrafos 70, 88 y 100). En varios de mis Votos Individuales presentados  en</w:t>
        <w:br/>
        <w:t>esta Corte, he resaltado la relevancia del creciente  contenido  material  y</w:t>
        <w:br/>
        <w:t>alcance del  jus  cogens.  La  presente  Sentencia  está  incluida  en  esta</w:t>
        <w:br/>
        <w:t>construcción jurisprudencial evolutiva tranquilizadora.</w:t>
        <w:br/>
        <w:br/>
        <w:t>87.   Así, en su histórica Opinión  Consultiva  n.  18  sobre  La  Condición</w:t>
        <w:br/>
        <w:t>Jurídica y Derechos de los Migrantes  Indocumentados  (del  17.09.2003),  la</w:t>
        <w:br/>
        <w:t>Corte Interamericana  de  manera  significativa  sostuvo  que  el  principio</w:t>
        <w:br/>
        <w:t>fundamental  de  equidad  y  no-discriminación  arriba  mencionado,  en   la</w:t>
        <w:br/>
        <w:t>presente etapa de evolución  del  Derecho  Internacional  “ha  ingresado  al</w:t>
        <w:br/>
        <w:t>dominio del jus cogens"; sobre dicho principio,  que  “impregna  todo  orden</w:t>
        <w:br/>
        <w:t>legal", - la Corte correctamente  agrega,  -  "descansa  todo  el  andamiaje</w:t>
        <w:br/>
        <w:t>jurídico del orden público nacional e  internacional"[145].  Adicionalmente,</w:t>
        <w:br/>
        <w:t>la  Corte  se  refirió  a  la  evolución  del  concepto  del   jus   cogens,</w:t>
        <w:br/>
        <w:t>transcendiendo el ámbito tanto del derecho de los tratados y del derecho  de</w:t>
        <w:br/>
        <w:t>la responsabilidad internacional del Estado, para alcanzar  así  el  derecho</w:t>
        <w:br/>
        <w:t>internacional  general  y  los  propios  fundamentos  del   orden   jurídico</w:t>
        <w:br/>
        <w:t>internacional[146].</w:t>
        <w:br/>
        <w:br/>
        <w:t>88.   En apoyo a  este  punto  de  vista,  en  mi  Voto  Concurrente  a  ese</w:t>
        <w:br/>
        <w:t>pronunciamiento de la Corte (Opinión Consultiva n. 18), después  de  resumir</w:t>
        <w:br/>
        <w:t>la historia de la entrada del jus cogens al universo conceptual del  derecho</w:t>
        <w:br/>
        <w:t>internacional, sostuve que</w:t>
        <w:br/>
        <w:br/>
        <w:t xml:space="preserve">           "La emergencia y consagración  del  jus  cogens  en  el  Derecho</w:t>
        <w:br/>
        <w:t xml:space="preserve">      Internacional contemporáneo atienden a la necesidad de un  mínimo  de</w:t>
        <w:br/>
        <w:t xml:space="preserve">      verticalización en el ordenamiento  jurídico  internacional,  erigido</w:t>
        <w:br/>
        <w:t xml:space="preserve">      sobre pilares en que se fusionan lo jurídico y lo ético. (...)</w:t>
        <w:br/>
        <w:br/>
        <w:br/>
        <w:t xml:space="preserve">            De mi parte,  siempre  he  sostenido  que  es  una  consecuencia</w:t>
        <w:br/>
        <w:t xml:space="preserve">      ineludible  de  la  afirmación  y  la  propia  existencia  de  normas</w:t>
        <w:br/>
        <w:t xml:space="preserve">      imperativas del Derecho Internacional el no se limitar  éstas  a  las</w:t>
        <w:br/>
        <w:t xml:space="preserve">      normas convencionales, al derecho de los tratados, y el extenderse  a</w:t>
        <w:br/>
        <w:t xml:space="preserve">      todo y cualquier acto jurídico[147]. Desarrollos recientes apuntan en</w:t>
        <w:br/>
        <w:t xml:space="preserve">      el mismo sentido, o sea, de que el dominio del jus cogens,  más  allá</w:t>
        <w:br/>
        <w:t xml:space="preserve">      del  derecho  de  los  tratados,  alcanza   igualmente   el   derecho</w:t>
        <w:br/>
        <w:t xml:space="preserve">      internacional general[148]. Además, el jus cogens, en mi entender, es</w:t>
        <w:br/>
        <w:t xml:space="preserve">      una categoría abierta,  que  se  expande  en  la  medida  en  que  se</w:t>
        <w:br/>
        <w:t xml:space="preserve">      despierta la conciencia jurídica universal (fuente material  de  todo</w:t>
        <w:br/>
        <w:t xml:space="preserve">      el Derecho) para la necesidad de proteger los derechos  inherentes  a</w:t>
        <w:br/>
        <w:t xml:space="preserve">      todo ser humano en toda y cualquier situación".</w:t>
        <w:br/>
        <w:br/>
        <w:br/>
        <w:t xml:space="preserve">           A la  responsabilidad  internacional  objetiva  de  los  Estados</w:t>
        <w:br/>
        <w:t xml:space="preserve">      corresponde necesariamente la noción de ilegalidad objetiva  (uno  de</w:t>
        <w:br/>
        <w:t xml:space="preserve">      los elementos subyacentes al concepto de  jus  cogens).  En  nuestros</w:t>
        <w:br/>
        <w:t xml:space="preserve">      días,  nadie  osaría  negar  la  ilegalidad  objetiva  de  actos   de</w:t>
        <w:br/>
        <w:t xml:space="preserve">      genocidio[149], de prácticas sistemáticas de tortura, de  ejecuciones</w:t>
        <w:br/>
        <w:t xml:space="preserve">      sumarias y extra-legales, y de desaparición forzada  de  personas,  -</w:t>
        <w:br/>
        <w:t xml:space="preserve">      prácticas  éstas  que  representan  crímenes  de  lesa-humanidad,   -</w:t>
        <w:br/>
        <w:t xml:space="preserve">      condenadas por la conciencia jurídica universal[150], a la par de  la</w:t>
        <w:br/>
        <w:t xml:space="preserve">      aplicación de tratados. Ya en su Opinión Consultiva de 1951 sobre las</w:t>
        <w:br/>
        <w:t xml:space="preserve">      Reservas a la Convención contra el Genocidio, la Corte  Internacional</w:t>
        <w:br/>
        <w:t xml:space="preserve">      de Justicia señaló que  los  principios  humanitarios  subyacentes  a</w:t>
        <w:br/>
        <w:t xml:space="preserve">      aquella  Convención  eran  reconocidamente  "obligatorios  para   los</w:t>
        <w:br/>
        <w:t xml:space="preserve">      Estados, aún en la ausencia de cualquier obligación convencional”.</w:t>
        <w:br/>
        <w:br/>
        <w:br/>
        <w:t xml:space="preserve">            (...)En  suma  y  conclusión  sobre  el  punto  en  examen,  la</w:t>
        <w:br/>
        <w:t xml:space="preserve">      emergencia y consagración del jus cogens evocan las nociones de órden</w:t>
        <w:br/>
        <w:t xml:space="preserve">      público internacional y de una jerarquía  de  normas  jurídicas,  así</w:t>
        <w:br/>
        <w:t xml:space="preserve">      como la prevalencia del jus necessarium sobre el jus voluntarium;  el</w:t>
        <w:br/>
        <w:t xml:space="preserve">      jus cogens se presenta  como  la  expresión  jurídica  de  la  propia</w:t>
        <w:br/>
        <w:t xml:space="preserve">      comunidad  internacional  como  un  todo,  la  cual,  en  fin,   toma</w:t>
        <w:br/>
        <w:t xml:space="preserve">      conciencia de sí misma, y de los principios y  valores  fundamentales</w:t>
        <w:br/>
        <w:t xml:space="preserve">      que la guían"[151].</w:t>
        <w:br/>
        <w:br/>
        <w:t>89.   En la misma línea de razonamiento, en mi Voto Razonado en el  caso  de</w:t>
        <w:br/>
        <w:t>la  Masacre  Plan  de  Sánchez,  respecto   a   Guatemala   (Sentencia   del</w:t>
        <w:br/>
        <w:t>29.04.2004), consideré conveniente insistir en el tema de</w:t>
        <w:br/>
        <w:br/>
        <w:t xml:space="preserve">            “El propio concepto de jus cogens, en mi entender, trasciende el</w:t>
        <w:br/>
        <w:t xml:space="preserve">      ámbito tanto del derecho de los tratados[152] como del derecho  de  la</w:t>
        <w:br/>
        <w:t xml:space="preserve">      responsabilidad internacional de los Estados[153], de modo a  alcanzar</w:t>
        <w:br/>
        <w:t xml:space="preserve">      el derecho internacional general y los propios fundamentos  del  orden</w:t>
        <w:br/>
        <w:t xml:space="preserve">      jurídico internacional"[154].</w:t>
        <w:br/>
        <w:br/>
        <w:t>90.   Y en mi Voto Razonado del caso de Tibi versus Ecuador  (Sentencia  del</w:t>
        <w:br/>
        <w:t>07.09.2004), me permití agregar que el jus cogens, además  de  su  dimensión</w:t>
        <w:br/>
        <w:t>horizontal la cual tiene un efecto sobre los fundamentos mismos del  derecho</w:t>
        <w:br/>
        <w:t>internacional, se expande también en</w:t>
        <w:br/>
        <w:br/>
        <w:t xml:space="preserve">            "una dimensión vertical, de la interacción de los  ordenamientos</w:t>
        <w:br/>
        <w:t xml:space="preserve">      jurídicos  internacional  y  nacional  en  el  presente   dominio   de</w:t>
        <w:br/>
        <w:t xml:space="preserve">      protección.  El  efecto  del  jus  cogens,  en  este   segundo   plano</w:t>
        <w:br/>
        <w:t xml:space="preserve">      (vertical), es en el sentido de  invalidar  toda  y  cualquier  medida</w:t>
        <w:br/>
        <w:t xml:space="preserve">      legislativa, administrativa o judicial que, en el  plano  del  derecho</w:t>
        <w:br/>
        <w:t xml:space="preserve">      interno de los Estados, intente autorizar o tolerar la tortura" (párr.</w:t>
        <w:br/>
        <w:t xml:space="preserve">      32).</w:t>
        <w:br/>
        <w:br/>
        <w:t>91.   Adicionalmente, en su Sentencia del 08.07.2004 en  el  caso  de  Gómez</w:t>
        <w:br/>
        <w:t>Paquiyauri versus Perú, la Corte Interamericana  expresamente  admitió  que,</w:t>
        <w:br/>
        <w:t>en nuestros días, un régimen jurídico internacional ha sido formado con  una</w:t>
        <w:br/>
        <w:t>prohibición  absoluta  de  cualquier  forma  de  tortura  y  de  ejecuciones</w:t>
        <w:br/>
        <w:t>extrajudiciales, y que dicha prohibición pertenece hoy día  al  dominio  del</w:t>
        <w:br/>
        <w:t>jus cogens internacional (párrs. 115-116 y 131)[155]. En  mi  Voto  Razonado</w:t>
        <w:br/>
        <w:t>en ese caso ponderé que dicho reconocimiento del jus  cogens,  en  constante</w:t>
        <w:br/>
        <w:t>expansión, a su vez “revela precisamente la alentadora apertura del  derecho</w:t>
        <w:br/>
        <w:t>internacional contemporáneo a valores superiores y fundamentales",  llevando</w:t>
        <w:br/>
        <w:t>hacia el surgimiento de un derecho  internacional  verdaderamente  universal</w:t>
        <w:br/>
        <w:t>(párr. 44). Reafirmé este entendimiento, de una prohibición absoluta por  el</w:t>
        <w:br/>
        <w:t>jus cogens, de la tortura, en cualquier circunstancia, en mi  Voto  Razonado</w:t>
        <w:br/>
        <w:t>(párr. 26) en el caso de Tibi versus Ecuador (Sentencia del 07.09.2004).</w:t>
        <w:br/>
        <w:br/>
        <w:t>92.   La Sentencia que acaba de adoptar esta Corte en el  presente  caso  de</w:t>
        <w:br/>
        <w:t>Caesar versus Trinidad y Tobago  calza  perfectamente  en  su  jurisprudence</w:t>
        <w:br/>
        <w:t>constante sobre la interpretación evolutiva del jus cogens mismo. La  Corte,</w:t>
        <w:br/>
        <w:t>de manera bastante acertada, toma un paso hacia  delante,  en  confirmar  la</w:t>
        <w:br/>
        <w:t>prohibición absoluta, propia del dominio del jus cogens, de la  tortura  así</w:t>
        <w:br/>
        <w:t>como cualquier otro tratamiento cruel, inhumano y degradante. Es  importante</w:t>
        <w:br/>
        <w:t>que se siga identificando el contenido material y alcance en  expansión  del</w:t>
        <w:br/>
        <w:t>jus cogens, tal y como lo ha estado haciendo la Corte Interamericana en  los</w:t>
        <w:br/>
        <w:t>últimos años. Es probable que la Corte Interamericana haya hecho más  en  la</w:t>
        <w:br/>
        <w:t>identificación de la expansión del jus cogens que  cualquier  otro  tribunal</w:t>
        <w:br/>
        <w:t>internacional contemporáneo. Es importante  que  lo  siga  haciendo,  en  la</w:t>
        <w:br/>
        <w:t>construcción gradual, en  este  inicio  del  siglo  XXI,  de  un  nuevo  jus</w:t>
        <w:br/>
        <w:t>gentium, el derecho internacional para la humanidad.</w:t>
        <w:br/>
        <w:br/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br/>
        <w:br/>
        <w:t>Pablo Saavedra-Alessandri</w:t>
        <w:br/>
        <w:t xml:space="preserve">       Secretario</w:t>
        <w:br/>
        <w:br/>
        <w:br/>
        <w:br/>
        <w:br/>
        <w:br/>
        <w:br/>
        <w:t xml:space="preserve">                      CASO CAESAR VS TRINIDAD Y TOBAGO</w:t>
        <w:br/>
        <w:br/>
        <w:br/>
        <w:t xml:space="preserve">                                VOTO RAZONADO</w:t>
        <w:br/>
        <w:br/>
        <w:br/>
        <w:br/>
        <w:t xml:space="preserve">                        JUEZ MANUEL E. VENTURA ROBLES</w:t>
        <w:br/>
        <w:br/>
        <w:br/>
        <w:t xml:space="preserve">        La necesidad de establecer en la Organización de los Estados</w:t>
        <w:br/>
        <w:t xml:space="preserve">     Americanos un grupo de trabajo permanente dedicado a supervisar el</w:t>
        <w:br/>
        <w:t xml:space="preserve">       cumplimiento, por parte de los Estados Partes en la Convención</w:t>
        <w:br/>
        <w:t xml:space="preserve">        Americana sobre Derechos Humanos, de las sentencias y medidas</w:t>
        <w:br/>
        <w:t xml:space="preserve">    provisionales que dicta la Corte Interamericana de Derechos Humanos.</w:t>
        <w:br/>
        <w:br/>
        <w:br/>
        <w:t xml:space="preserve">                                      I</w:t>
        <w:br/>
        <w:t xml:space="preserve">                                Introducción.</w:t>
        <w:br/>
        <w:br/>
        <w:br/>
        <w:t xml:space="preserve">                                     II</w:t>
        <w:br/>
        <w:br/>
        <w:t xml:space="preserve">   Las propuestas hechas por el Consejo Interamericano de Jurisconsultos,</w:t>
        <w:br/>
        <w:t xml:space="preserve">       los Estados de Chile y Uruguay y la Comisión Interamericana de</w:t>
        <w:br/>
        <w:t xml:space="preserve">       Derechos Humanos en sus proyectos de Convención Americana sobre</w:t>
        <w:br/>
        <w:t xml:space="preserve">     Derechos Humanos sobre el actual texto del artículo 65 de la misma.</w:t>
        <w:br/>
        <w:br/>
        <w:br/>
        <w:t xml:space="preserve">                                     III</w:t>
        <w:br/>
        <w:br/>
        <w:t xml:space="preserve">    La Conferencia Especializada Interamericana sobre Derechos Humanos de</w:t>
        <w:br/>
        <w:t xml:space="preserve">                                    1969.</w:t>
        <w:br/>
        <w:br/>
        <w:br/>
        <w:t xml:space="preserve">                                     IV</w:t>
        <w:br/>
        <w:br/>
        <w:t xml:space="preserve">     La propuesta de solución presentada por la Corte Interamericana de</w:t>
        <w:br/>
        <w:t xml:space="preserve">                                  Derechos</w:t>
        <w:br/>
        <w:t xml:space="preserve">       Humanos a los órganos pertinentes de la OEA en relación con la</w:t>
        <w:br/>
        <w:t xml:space="preserve">                               implementación</w:t>
        <w:br/>
        <w:t xml:space="preserve">                 del artículo 65 de la Convención Americana</w:t>
        <w:br/>
        <w:br/>
        <w:t xml:space="preserve">                                      V</w:t>
        <w:br/>
        <w:t xml:space="preserve">   La solicitud de interpretación de sentencia en el caso Baena Ricardo y</w:t>
        <w:br/>
        <w:t xml:space="preserve">                                    otros</w:t>
        <w:br/>
        <w:t xml:space="preserve">                     presentada por el Estado de Panamá.</w:t>
        <w:br/>
        <w:br/>
        <w:t xml:space="preserve">                                     VI</w:t>
        <w:br/>
        <w:t xml:space="preserve">       Como funciona actualmente el sistema en la Comisión de Asuntos</w:t>
        <w:br/>
        <w:t xml:space="preserve">                            Jurídicos y Políticos</w:t>
        <w:br/>
        <w:t xml:space="preserve">       del Consejo Permanente de la OEA y la necesidad de modificarlo.</w:t>
        <w:br/>
        <w:br/>
        <w:t xml:space="preserve">                                     VII</w:t>
        <w:br/>
        <w:t xml:space="preserve">     Las consecuencias de la laguna existente en la Convención Americana</w:t>
        <w:br/>
        <w:t xml:space="preserve">                                    sobre</w:t>
        <w:br/>
        <w:t xml:space="preserve">      Derechos Humanos para dar efecto útil al artículo 65 de la misma.</w:t>
        <w:br/>
        <w:br/>
        <w:t xml:space="preserve">                                    VIII</w:t>
        <w:br/>
        <w:t xml:space="preserve">                           Propuesta de solución.</w:t>
        <w:br/>
        <w:br/>
        <w:t xml:space="preserve">                                     IX</w:t>
        <w:br/>
        <w:t xml:space="preserve">                                Conclusiones.</w:t>
        <w:br/>
        <w:br/>
        <w:t xml:space="preserve">                                      I</w:t>
        <w:br/>
        <w:br/>
        <w:t xml:space="preserve">                                Introducción</w:t>
        <w:br/>
        <w:br/>
        <w:t>1.    Al concurrir con mi voto, junto con el de  mis  colegas  jueces,</w:t>
        <w:br/>
        <w:t>para  determinar  la  responsabilidad  internacional  del  Estado   de</w:t>
        <w:br/>
        <w:t>Trinidad y Tobago (en adelante “el Estado” o “Trinidad y Tobago”)  por</w:t>
        <w:br/>
        <w:t>violaciones a la  Convención  Americana  sobre  Derechos  Humanos  (en</w:t>
        <w:br/>
        <w:t>adelante “la Convención” o  “la  Convención  Americana”)  en  el  caso</w:t>
        <w:br/>
        <w:t>Caesar, me han surgido  preocupaciones  muy  puntuales  acerca  de  la</w:t>
        <w:br/>
        <w:t>actitud de este Estado Miembro  de  la  Organización  de  los  Estados</w:t>
        <w:br/>
        <w:t>Americanos (en  adelante  “la  OEA”  o  “la  Organización”)  sobre  el</w:t>
        <w:br/>
        <w:t>cumplimiento de sus obligaciones internacionales, en relación con  las</w:t>
        <w:br/>
        <w:t>funciones que cumplen  la  Comisión  y  la  Corte  Interamericanas  de</w:t>
        <w:br/>
        <w:t>Derechos  Humanos  (en  adelante  “la   Comisión”   o   “la   Comisión</w:t>
        <w:br/>
        <w:t>Interamericana” y “la Corte” o “la Corte Interamericana”)  dentro  del</w:t>
        <w:br/>
        <w:t>sistema interamericano de protección de los derechos humanos.  Iguales</w:t>
        <w:br/>
        <w:t>preocupaciones tuve como Secretario del Tribunal entre los años 2000 y</w:t>
        <w:br/>
        <w:t>2003 durante toda la tramitación de los  casos  Hilaire,  Constantine,</w:t>
        <w:br/>
        <w:t>Benjamin y otros contra  el  mismo  Estado,  las  cuales  ahora  puedo</w:t>
        <w:br/>
        <w:t>explicitar en mi condición de Juez en el presente caso.</w:t>
        <w:br/>
        <w:br/>
        <w:t>2.    Cabe recordar, antes que nada, que Trinidad y Tobago depositó su</w:t>
        <w:br/>
        <w:t>instrumento de ratificación de la Convención Americana el 28  de  mayo</w:t>
        <w:br/>
        <w:t>de 1991, en la Secretaría General de la  OEA,  y  que  ese  mismo  día</w:t>
        <w:br/>
        <w:t>reconoció la competencia contenciosa de la Corte.  Posteriormente,  de</w:t>
        <w:br/>
        <w:t>acuerdo con el artículo 78  de  la  Convención  Americana,  el  Estado</w:t>
        <w:br/>
        <w:t>procedió a denunciar la misma, denuncia que surtió efecto un  año  más</w:t>
        <w:br/>
        <w:t>tarde, el 26 de mayo de 1999. Consecuentemente, la  Corte  se  declaró</w:t>
        <w:br/>
        <w:t>competente,  en  su  momento,  para   conocer   los   casos   Hilaire,</w:t>
        <w:br/>
        <w:t>Constantine, Benjamin y otros, así como el presente  caso  de  Winston</w:t>
        <w:br/>
        <w:t>Caesar, debido a que los hechos que se refieren a  todos  estos  casos</w:t>
        <w:br/>
        <w:t>ocurrieron con anterioridad a la entrada en vigor de la denuncia hecha</w:t>
        <w:br/>
        <w:t>por el Estado.</w:t>
        <w:br/>
        <w:br/>
        <w:t>3.    Es de hacer notar que si bien el Estado, entre los años  1997  y</w:t>
        <w:br/>
        <w:t>2000, presentó escritos a la Comisión Interamericana en  relación  con</w:t>
        <w:br/>
        <w:t>los casos Hilaire, Constantine, Benjamin y otros, en el presente  caso</w:t>
        <w:br/>
        <w:t>Caesar, Trinidad y Tobago, con posterioridad a la presentación  de  la</w:t>
        <w:br/>
        <w:t>denuncia en la Comisión el 13 de mayo de 1999, no presentó  ante  este</w:t>
        <w:br/>
        <w:t>órgano de protección convencional  ningún  escrito  con  observaciones</w:t>
        <w:br/>
        <w:t>sobre la admisibilidad de la  misma,  pese  a  las  peticiones  de  la</w:t>
        <w:br/>
        <w:t>Comisión en ese sentido, ni tampoco presentó  la  información  que  la</w:t>
        <w:br/>
        <w:t>Comisión le solicitó durante la tramitación del fondo del caso. El  10</w:t>
        <w:br/>
        <w:t>de octubre de 2001 la Comisión Interamericana  aprobó  el  Informe  de</w:t>
        <w:br/>
        <w:t>Admisibilidad No. 88/01 y, el 10 de octubre de 2002, adoptó el Informe</w:t>
        <w:br/>
        <w:t>sobre el Fondo No. 35/02. Finalmente el 16  de  febrero  de  2003,  la</w:t>
        <w:br/>
        <w:t>Comisión sometió el caso a consideración de la Corte.</w:t>
        <w:br/>
        <w:br/>
        <w:t>4.    Debe señalarse también que si bien Trinidad y Tobago  compareció</w:t>
        <w:br/>
        <w:t>ante la  Corte  en  la  tramitación  inicial  de  los  casos  Hilaire,</w:t>
        <w:br/>
        <w:t>Constantine, Benjamin y  otros  y  presentó  excepciones  preliminares</w:t>
        <w:br/>
        <w:t>argumentando que la Corte carecía de  competencia  para  conocer  esos</w:t>
        <w:br/>
        <w:t>casos, una vez que el Tribunal rechazó las excepciones preliminares el</w:t>
        <w:br/>
        <w:t>1 de septiembre de 2001[156] y  asumió  jurisdicción,  el  Estado,  en</w:t>
        <w:br/>
        <w:t>cuanto al procedimiento del fondo  ante  la  Corte,  no  contestó  las</w:t>
        <w:br/>
        <w:t>demandas, no nombró representantes ni tampoco designó Juez ad hoc.  Lo</w:t>
        <w:br/>
        <w:t>mismo ha sucedido durante la tramitación del  fondo  del  caso  Caesar</w:t>
        <w:br/>
        <w:t>ante la Corte Interamericana.</w:t>
        <w:br/>
        <w:br/>
        <w:t>5.    Con posterioridad a que la Corte  dictó  sentencia  de  fondo  y</w:t>
        <w:br/>
        <w:t>reparaciones en los tres casos citados, el 21 de junio  de  2002[157],</w:t>
        <w:br/>
        <w:t>el Estado no ha proveído a la Corte con información  alguna  sobre  el</w:t>
        <w:br/>
        <w:t>cumplimiento  de  la  sentencia  pese  a  la  gravedad  de  los  temas</w:t>
        <w:br/>
        <w:t>involucrados, entre ellos  el  derecho  a  la  vida.  Esto  obligó  al</w:t>
        <w:br/>
        <w:t>Tribunal en su Informe Anual correspondiente al año 2003,  de  acuerdo</w:t>
        <w:br/>
        <w:t>con el artículo 65 de  la  Convención  Americana,  a  comunicar  a  la</w:t>
        <w:br/>
        <w:t>Asamblea General que:</w:t>
        <w:br/>
        <w:br/>
        <w:t xml:space="preserve">      En el caso “Hilaire, Constantine, Benjamin  y  otros  vs.  Trinidad  y</w:t>
        <w:br/>
        <w:t xml:space="preserve">      Tobago”, el Estado no ha cumplido con su deber de informar a la  Corte</w:t>
        <w:br/>
        <w:t xml:space="preserve">      sobre las medidas que haya adoptado para dar cumplimiento  efectivo  a</w:t>
        <w:br/>
        <w:t xml:space="preserve">      lo ordenado por el Tribunal en su sentencia de  fondo  y  reparaciones</w:t>
        <w:br/>
        <w:t xml:space="preserve">      del presente caso.</w:t>
        <w:br/>
        <w:br/>
        <w:br/>
        <w:t xml:space="preserve">      Al respecto, la Corte insta a  la  Asamblea  General  de  la  OEA  que</w:t>
        <w:br/>
        <w:t xml:space="preserve">      exhorte al Estado de Trinidad y Tobago para que  informe  al  Tribunal</w:t>
        <w:br/>
        <w:t xml:space="preserve">      sobre  las  medidas   adoptadas   para   dar   cumplimiento   con   su</w:t>
        <w:br/>
        <w:t xml:space="preserve">      sentencia[158].</w:t>
        <w:br/>
        <w:br/>
        <w:t>Esta comunicación de la Corte a la Asamblea General no produjo  efecto</w:t>
        <w:br/>
        <w:t>alguno, por las razones que se darán más adelante.</w:t>
        <w:br/>
        <w:br/>
        <w:t>6.    Aún más, el derecho a la vida  de  las  víctimas  de  los  casos</w:t>
        <w:br/>
        <w:t>mencionados, condenados a  pena  de  muerte,  fue  protegido  mediante</w:t>
        <w:br/>
        <w:t>medidas provisionales por la Corte y, pese a esto, el Estado  procedió</w:t>
        <w:br/>
        <w:t>a ejecutar a dos de ellos, los señores Joey Ramiah y  Anthony  Briggs,</w:t>
        <w:br/>
        <w:t>en abierto desacato a lo ordenado por la Corte. Esto ocurrió el  4  de</w:t>
        <w:br/>
        <w:t>junio y 28 de julio de 1999, respectivamente, por lo que la Corte,  en</w:t>
        <w:br/>
        <w:t>su Informe Anual correspondiente al año 1999, comunicó a  la  Asamblea</w:t>
        <w:br/>
        <w:t>General, también sin éxito alguno, lo siguiente:</w:t>
        <w:br/>
        <w:br/>
        <w:t xml:space="preserve">      El 24 de mayo de 1999 la  Corte  envió  una  nota  al  Presidente  del</w:t>
        <w:br/>
        <w:t xml:space="preserve">      Consejo Permanente de la Organización de los Estados Americanos, señor</w:t>
        <w:br/>
        <w:t xml:space="preserve">      Julio César Araoz, refiriéndose al incumplimiento de Trinidad y Tobago</w:t>
        <w:br/>
        <w:t xml:space="preserve">      de las resoluciones emitidas por la Corte Interamericana. Debido a que</w:t>
        <w:br/>
        <w:t xml:space="preserve">      el   incumplimiento,  señalado  en  el  Informe  Anual  de  la   Corte</w:t>
        <w:br/>
        <w:t xml:space="preserve">      correspondiente al año 1998, no había sido  incorporado  en  la  parte</w:t>
        <w:br/>
        <w:t xml:space="preserve">      resolutiva de las recomendaciones emitidas por la Comisión de  Asuntos</w:t>
        <w:br/>
        <w:t xml:space="preserve">      Jurídicos y Políticos de la Organización a  la  Asamblea  General,  la</w:t>
        <w:br/>
        <w:t xml:space="preserve">      Corte solicitó al Presidente del Consejo Permanente incluir un párrafo</w:t>
        <w:br/>
        <w:t xml:space="preserve">      resolutivo en el proyecto de resolución a ser sometido a  la  Asamblea</w:t>
        <w:br/>
        <w:t xml:space="preserve">      General en el cual se exhortara al Estado  a  dar  cumplimiento  a  lo</w:t>
        <w:br/>
        <w:t xml:space="preserve">      ordenado por la Corte con respecto de las medidas provisionales en  el</w:t>
        <w:br/>
        <w:t xml:space="preserve">      caso James y otros.  La  Corte  también  solicitó  al  Presidente  del</w:t>
        <w:br/>
        <w:t xml:space="preserve">      Consejo Permanente someter la presente nota  a  la  sesión  que  dicho</w:t>
        <w:br/>
        <w:t xml:space="preserve">      Consejo celebraría el día 26 de mayo siguiente.</w:t>
        <w:br/>
        <w:br/>
        <w:br/>
        <w:t xml:space="preserve">      El 25 de mayo de 1999 la Corte envió una segunda  nota  al  Presidente</w:t>
        <w:br/>
        <w:t xml:space="preserve">      del Consejo Permanente de la OEA, acusando recibo de su nota  del  día</w:t>
        <w:br/>
        <w:t xml:space="preserve">      anterior, y reiterándole la necesidad de incluir un párrafo resolutivo</w:t>
        <w:br/>
        <w:t xml:space="preserve">      sobre el incumplimiento de los mandatos  del  Tribunal  por  parte  de</w:t>
        <w:br/>
        <w:t xml:space="preserve">      Trinidad y Tobago para que el mismo fuera conocido y  decidido  en  el</w:t>
        <w:br/>
        <w:t xml:space="preserve">      seno del Consejo Permanente de la OEA.</w:t>
        <w:br/>
        <w:br/>
        <w:br/>
        <w:t xml:space="preserve">      El 28 de mayo de 1999 la Corte envió una nota al Secretario General de</w:t>
        <w:br/>
        <w:t xml:space="preserve">      la OEA, señor César Gaviria, en la cual se refirió al  incumplimiento,</w:t>
        <w:br/>
        <w:t xml:space="preserve">      por parte de Trinidad y Tobago, de las resoluciones  emitidas  por  la</w:t>
        <w:br/>
        <w:t xml:space="preserve">      Corte. Debido a que dicho  incumplimiento no había sido incorporado en</w:t>
        <w:br/>
        <w:t xml:space="preserve">      la parte resolutiva del proyecto de  resolución  por  la  Comisión  de</w:t>
        <w:br/>
        <w:t xml:space="preserve">      Asuntos Jurídicos y Políticos ni  por  el  Consejo  Permanente  de  la</w:t>
        <w:br/>
        <w:t xml:space="preserve">      Organización, la Corte solicitó al Secretario General poner dicha nota</w:t>
        <w:br/>
        <w:t xml:space="preserve">      “en conocimiento  de  las  autoridades  del  Vigésimo  Noveno  Período</w:t>
        <w:br/>
        <w:t xml:space="preserve">      Ordinario de Sesiones de la Asamblea General de la OEA”.</w:t>
        <w:br/>
        <w:br/>
        <w:br/>
        <w:t xml:space="preserve">      Durante la presentación del Informe Anual de la Corte ante el  Consejo</w:t>
        <w:br/>
        <w:t xml:space="preserve">      Permanente de la OEA, el Presidente de la Corte  dejó  constancia  del</w:t>
        <w:br/>
        <w:t xml:space="preserve">      incumplimiento, por parte del Estado de Trinidad y Tobago,  de  varias</w:t>
        <w:br/>
        <w:t xml:space="preserve">      resoluciones de la Corte en materia de  medidas  provisionales  en  el</w:t>
        <w:br/>
        <w:t xml:space="preserve">      caso James y otros, en trámite ante la Comisión Interamericana.</w:t>
        <w:br/>
        <w:br/>
        <w:br/>
        <w:t xml:space="preserve">      El 4 de junio y el 28 de julio de 1999 el Estado ejecutó a los señores</w:t>
        <w:br/>
        <w:t xml:space="preserve">      Joey Ramiah y Anthony Briggs, respectivamente, ambos beneficiarios  de</w:t>
        <w:br/>
        <w:t xml:space="preserve">      las medidas provisionales ordenadas por la Corte[159].</w:t>
        <w:br/>
        <w:br/>
        <w:t>En el Informe del año anterior, 1998, debido a la falta de cooperación</w:t>
        <w:br/>
        <w:t>del  Estado  en  la  implementación  de   las   ya   citadas   medidas</w:t>
        <w:br/>
        <w:t>provisionales en los casos Hilaire, Constantine, Benjamin y otros,  la</w:t>
        <w:br/>
        <w:t>Corte se vió en la necesidad de informar a la Asamblea General  de  la</w:t>
        <w:br/>
        <w:t>OEA lo siguiente:</w:t>
        <w:br/>
        <w:br/>
        <w:t xml:space="preserve">      El 22 de mayo de 1998 la Comisión Interamericana, de  acuerdo  con  el</w:t>
        <w:br/>
        <w:t xml:space="preserve">      artículo 63.2 de la Convención Americana y 25  del  Reglamento  de  la</w:t>
        <w:br/>
        <w:t xml:space="preserve">      Corte, presentó a la Corte Interamericana una solicitud de adopción de</w:t>
        <w:br/>
        <w:t xml:space="preserve">      medidas provisionales en favor de cinco  personas  que  se  encuentran</w:t>
        <w:br/>
        <w:t xml:space="preserve">      bajo la jurisdicción del  Estado  de  Trinidad  y  Tobago  (Wenceslaus</w:t>
        <w:br/>
        <w:t xml:space="preserve">      James, Anthony Briggs, Anderson Noel,  Anthony  Garcia  y  Christopher</w:t>
        <w:br/>
        <w:t xml:space="preserve">      Bethel) y cuyos casos se encuentran en consideración de la Comisión.</w:t>
        <w:br/>
        <w:br/>
        <w:br/>
        <w:t xml:space="preserve">      El 14 de junio de 1998, la Corte ratificó la resolución del Presidente</w:t>
        <w:br/>
        <w:t xml:space="preserve">      del 27 de mayo de 1998, en la cual  había  adoptado  medidas  urgentes</w:t>
        <w:br/>
        <w:t xml:space="preserve">      para preservar la vida de dichas personas debido a  que  su  ejecución</w:t>
        <w:br/>
        <w:t xml:space="preserve">      dejaría sin objeto cualquier decisión a tomar en  relación  con  estas</w:t>
        <w:br/>
        <w:t xml:space="preserve">      medidas.</w:t>
        <w:br/>
        <w:br/>
        <w:br/>
        <w:t xml:space="preserve">      Posteriormente, la Comisión presentó tres solicitudes de ampliación de</w:t>
        <w:br/>
        <w:t xml:space="preserve">      las medidas adoptadas en este caso. Por medio de resoluciones de 29 de</w:t>
        <w:br/>
        <w:t xml:space="preserve">      junio, 13 de julio y 22 de julio de 1998,  dictadas,  respectivamente,</w:t>
        <w:br/>
        <w:t xml:space="preserve">      en favor de los señores Darrin Roger Thomas, Haniff  Hilaire  y  Denny</w:t>
        <w:br/>
        <w:t xml:space="preserve">      Baptiste,  el  Presidente  requirió  al  Estado  adoptar  las  medidas</w:t>
        <w:br/>
        <w:t xml:space="preserve">      necesarias para preservar la vida e integridad de dichas personas.</w:t>
        <w:br/>
        <w:br/>
        <w:br/>
        <w:t xml:space="preserve">      La Corte convocó al Estado de Trinidad y Tobago y a la Comisión a  una</w:t>
        <w:br/>
        <w:t xml:space="preserve">      audiencia pública que celebraría en su sede el 28 de agosto  de  1998.</w:t>
        <w:br/>
        <w:t xml:space="preserve">      El 11 y 27 de dichos mes  y  año,  el  Estado  de  Trinidad  y  Tobago</w:t>
        <w:br/>
        <w:t xml:space="preserve">      comunicó a la Corte que no asistiría a la audiencia y que no aceptaría</w:t>
        <w:br/>
        <w:t xml:space="preserve">      responsabilidad alguna como consecuencia de la falta  de  la  Comisión</w:t>
        <w:br/>
        <w:t xml:space="preserve">      Interamericana para organizar sus procedimientos en relación con casos</w:t>
        <w:br/>
        <w:t xml:space="preserve">      sometidos a ella de personas procesadas a pena de muerte dentro de los</w:t>
        <w:br/>
        <w:t xml:space="preserve">      plazos establecidos en el derecho interno de Trinidad y Tobago.</w:t>
        <w:br/>
        <w:br/>
        <w:br/>
        <w:t xml:space="preserve">      El 19 de agosto el Presidente envió una nota al  Primer  Ministro  del</w:t>
        <w:br/>
        <w:t xml:space="preserve">      Estado de Trinidad y Tobago en la que indicó  la  preocupación  de  la</w:t>
        <w:br/>
        <w:t xml:space="preserve">      Corte por la negativa del Estado a participar en la audiencia dicha.</w:t>
        <w:br/>
        <w:br/>
        <w:br/>
        <w:t xml:space="preserve">      El 28 de agosto de 1998 la Corte  celebró  en  su  sede  la  audiencia</w:t>
        <w:br/>
        <w:t xml:space="preserve">      pública y después de escuchar las observaciones de la Comisión, el  29</w:t>
        <w:br/>
        <w:t xml:space="preserve">      de agosto de 1998 dictó una Resolución ratificando las  decisiones  de</w:t>
        <w:br/>
        <w:t xml:space="preserve">      su Presidente de 29 de junio, 13 de julio y 22  de  julio  de  1998  y</w:t>
        <w:br/>
        <w:t xml:space="preserve">      solicitó a Trinidad y Tobago que tomara todas las  medidas  necesarias</w:t>
        <w:br/>
        <w:t xml:space="preserve">      para preservar la  vida  e  integridad  física  de  Wenceslaus  James,</w:t>
        <w:br/>
        <w:t xml:space="preserve">      Anthony Briggs, Anderson Noel,  Anthony  Garcia,  Christopher  Bethel,</w:t>
        <w:br/>
        <w:t xml:space="preserve">      Darrin Roger Thomas, Haniff Hilaire y  Denny  Baptiste,  así  como  no</w:t>
        <w:br/>
        <w:t xml:space="preserve">      obstruir el procedimiento de sus casos ante el sistema interamericano.</w:t>
        <w:br/>
        <w:t xml:space="preserve">      Dicha resolución fue notificada al Estado.</w:t>
        <w:br/>
        <w:br/>
        <w:br/>
        <w:t xml:space="preserve">      El 1 de septiembre de 1998, el Estado informó que, en el futuro, no se</w:t>
        <w:br/>
        <w:t xml:space="preserve">      referiría más a este asunto ni con la Corte ni con la Comisión.</w:t>
        <w:br/>
        <w:br/>
        <w:br/>
        <w:t xml:space="preserve">      A la fecha  de  redacción  del  presente  informe,  el  Estado  no  ha</w:t>
        <w:br/>
        <w:t xml:space="preserve">      presentado ninguno de los informes periódicos que le fueron requeridos</w:t>
        <w:br/>
        <w:t xml:space="preserve">      por la Corte en su  resolución  de  29  de  agosto  de  1998,  pese  a</w:t>
        <w:br/>
        <w:t xml:space="preserve">      constantes solicitudes del Tribunal en este sentido[160].</w:t>
        <w:br/>
        <w:br/>
        <w:br/>
        <w:t xml:space="preserve">      La  Corte  ha  constatado  la  negativa  del  Estado  a  reconocer  la</w:t>
        <w:br/>
        <w:t xml:space="preserve">      obligatoriedad de sus decisiones en este asunto y, en  lo  particular,</w:t>
        <w:br/>
        <w:t xml:space="preserve">      su no comparecencia ante el Tribunal pese  a  haber  sido  debidamente</w:t>
        <w:br/>
        <w:t xml:space="preserve">      convocado y la falta de cumplimiento de lo resuelto con respecto a los</w:t>
        <w:br/>
        <w:t xml:space="preserve">      informes periódicos.</w:t>
        <w:br/>
        <w:br/>
        <w:br/>
        <w:t xml:space="preserve">      De conformidad con el artículo 65 de la Convención Americana, la Corte</w:t>
        <w:br/>
        <w:t xml:space="preserve">      informa a la Asamblea  General  de  la  Organización  de  los  Estados</w:t>
        <w:br/>
        <w:t xml:space="preserve">      Americanos que la República de Trinidad y Tobago, Estado Parte  en  la</w:t>
        <w:br/>
        <w:t xml:space="preserve">      Convención Americana sobre Derechos Humanos, no ha dado cumplimiento a</w:t>
        <w:br/>
        <w:t xml:space="preserve">      sus decisiones respecto de las medidas provisionales adoptadas  en  el</w:t>
        <w:br/>
        <w:t xml:space="preserve">      caso James y otros, por lo que solicita que la Asamblea General  inste</w:t>
        <w:br/>
        <w:t xml:space="preserve">      a la República de Trinidad y Tobago a cumplir con las resoluciones  de</w:t>
        <w:br/>
        <w:t xml:space="preserve">      la Corte.</w:t>
        <w:br/>
        <w:br/>
        <w:br/>
        <w:t xml:space="preserve">      También la Corte desea dejar constancia de su preocupación debido a la</w:t>
        <w:br/>
        <w:t xml:space="preserve">      denuncia de la Convención Americana que hiciera Trinidad y Tobago y de</w:t>
        <w:br/>
        <w:t xml:space="preserve">      la cual notificó a la Secretaría General el 26 de mayo  de  1998.  Esa</w:t>
        <w:br/>
        <w:t xml:space="preserve">      decisión,  que  no  tiene  precedentes  en  la  historia  del  sistema</w:t>
        <w:br/>
        <w:t xml:space="preserve">      interamericano de protección de derechos humanos, no surte efectos  en</w:t>
        <w:br/>
        <w:t xml:space="preserve">      cuanto al cumplimiento  de  las  medidas  provisionales  anteriormente</w:t>
        <w:br/>
        <w:t xml:space="preserve">      examinadas, pues el artículo 78.2 de la Convención Americana dispone:</w:t>
        <w:br/>
        <w:br/>
        <w:br/>
        <w:t xml:space="preserve">           … Dicha denuncia no tendrá por efecto desligar al  Estado  parte</w:t>
        <w:br/>
        <w:t xml:space="preserve">           interesado de las obligaciones contenidas en esta Convención  en</w:t>
        <w:br/>
        <w:t xml:space="preserve">           lo que concierne a  todo  hecho  que,  pudiendo  constituir  una</w:t>
        <w:br/>
        <w:t xml:space="preserve">           violación de  esas  obligaciones,  haya  sido  cumplido  por  él</w:t>
        <w:br/>
        <w:t xml:space="preserve">           anteriormente a la fecha en la cual la denuncia produce efecto.</w:t>
        <w:br/>
        <w:br/>
        <w:br/>
        <w:t xml:space="preserve">      Finalmente, la  Corte  considera  que,  si  bien  la  denuncia  de  un</w:t>
        <w:br/>
        <w:t xml:space="preserve">      instrumento internacional es un derecho de los Estados Partes  en  él,</w:t>
        <w:br/>
        <w:t xml:space="preserve">      en los tratados de derechos humanos, debido a su especial  naturaleza,</w:t>
        <w:br/>
        <w:t xml:space="preserve">      esa denuncia afecta como un todo al sistema internacional  o  regional</w:t>
        <w:br/>
        <w:t xml:space="preserve">      de derechos humanos de que se trate, lo cual, en este caso particular,</w:t>
        <w:br/>
        <w:t xml:space="preserve">      justifica  una  gestión  de  parte  de  la  Asamblea  General  de   la</w:t>
        <w:br/>
        <w:t xml:space="preserve">      Organización tendiente a obtener que  Trinidad  y  Tobago  reconsidere</w:t>
        <w:br/>
        <w:t xml:space="preserve">      dicha decisión[161].</w:t>
        <w:br/>
        <w:br/>
        <w:t>No hubo ningún pronunciamiento de la Asamblea General al respecto.</w:t>
        <w:br/>
        <w:br/>
        <w:t>7.    La pregunta que cabe hacerse  es:  ¿cómo  es  posible  que  esto</w:t>
        <w:br/>
        <w:t>suceda si en la  Carta  de  la  OEA,  en  su  capítulo  II  denominado</w:t>
        <w:br/>
        <w:t>Principios,  en  su  artículo  3.L,  se  establece  que  “Los  Estados</w:t>
        <w:br/>
        <w:t>Americanos proclaman los derechos fundamentales de la  persona  humana</w:t>
        <w:br/>
        <w:t>sin hacer  distinción  de  raza,  nacionalidad,  credo  o  sexo”?[162]</w:t>
        <w:br/>
        <w:t>Además, los Jefes de Estado y de  Gobierno  de  las  Américas,  en  la</w:t>
        <w:br/>
        <w:t>Declaración de la Ciudad  de  Québec  emitida  en  el  año  2001[163],</w:t>
        <w:br/>
        <w:t>expresaron que su “compromiso de  asegurar  el  pleno  respeto  a  los</w:t>
        <w:br/>
        <w:t>derechos humanos y las libertades fundamentales se basa en  principios</w:t>
        <w:br/>
        <w:t>y en convicciones compartidos”, y apoyaron, lo mismo que ha  hecho  la</w:t>
        <w:br/>
        <w:t>Asamblea General en reiteradas ocasiones,</w:t>
        <w:br/>
        <w:br/>
        <w:t xml:space="preserve">      “el fortalecimiento y perfeccionamiento de  la  eficacia  del  sistema</w:t>
        <w:br/>
        <w:t xml:space="preserve">      interamericano  de  derechos  humanos,   que   incluye   la   Comisión</w:t>
        <w:br/>
        <w:t xml:space="preserve">      Interamericana de  Derechos  Humanos  y  la  Corte  Interamericana  de</w:t>
        <w:br/>
        <w:t xml:space="preserve">      Derechos Humanos”[164].</w:t>
        <w:br/>
        <w:br/>
        <w:t>8.    Pero,  además,  cabe  preguntarse  también  ¿por  qué  razón  el</w:t>
        <w:br/>
        <w:t>artículo 65 de la Convención Americana, que señala la obligación de la</w:t>
        <w:br/>
        <w:t>Corte  de  informar  a  la  Asamblea  General  de  la   OEA   de   los</w:t>
        <w:br/>
        <w:t>incumplimientos de sentencias,  no  incluyó  un  procedimiento  y  una</w:t>
        <w:br/>
        <w:t>institución dentro de la organización, que tuviera la  responsabilidad</w:t>
        <w:br/>
        <w:t>de implementar tal disposición?</w:t>
        <w:br/>
        <w:br/>
        <w:t>9.    La pertinencia de estas preguntas es aún mayor si,  como  se  ha</w:t>
        <w:br/>
        <w:t>debidamente fundamentado, el texto de la Convención Americana se basó,</w:t>
        <w:br/>
        <w:t>en muchos aspectos, en el del Convenio [Europeo] para la Protección de</w:t>
        <w:br/>
        <w:t>los Derechos Humanos y de las Libertades Fundamentales de 1950, que en</w:t>
        <w:br/>
        <w:t>su artículo 46 dispone lo siguiente:</w:t>
        <w:br/>
        <w:br/>
        <w:t xml:space="preserve">              Fuerza obligatoria y ejecución de las sentencias</w:t>
        <w:br/>
        <w:br/>
        <w:br/>
        <w:t xml:space="preserve">     1.  Las  Altas  partes  Contratantes  se  comprometen  a  acatar   las</w:t>
        <w:br/>
        <w:t xml:space="preserve">        sentencias definitivas  del  Tribunal  en  los  litigios  que  sean</w:t>
        <w:br/>
        <w:t xml:space="preserve">        partes.</w:t>
        <w:br/>
        <w:br/>
        <w:br/>
        <w:t xml:space="preserve">     2. La sentencia definitiva del Tribunal será transmitida al Comité  de</w:t>
        <w:br/>
        <w:t xml:space="preserve">        Ministros, que velará por su ejecución.</w:t>
        <w:br/>
        <w:br/>
        <w:t>Pero, por su  parte,  el  texto  del  artículo  65  de  la  Convención</w:t>
        <w:br/>
        <w:t>Americana únicamente señala:</w:t>
        <w:br/>
        <w:br/>
        <w:t xml:space="preserve">      La Corte someterá a la consideración de  la  Asamblea  General  de  la</w:t>
        <w:br/>
        <w:t xml:space="preserve">      Organización en cada período ordinario de sesiones un informe sobre su</w:t>
        <w:br/>
        <w:t xml:space="preserve">      labor en el año anterior. De manera especial y con las recomendaciones</w:t>
        <w:br/>
        <w:t xml:space="preserve">      pertinentes, señalará  los  casos  en  que  un  Estado  no  haya  dado</w:t>
        <w:br/>
        <w:t xml:space="preserve">      cumplimiento a sus fallos.</w:t>
        <w:br/>
        <w:br/>
        <w:t>La comparación de ambos textos pone en evidencia  que  en  el  sistema</w:t>
        <w:br/>
        <w:t>europeo de derechos humanos existe un  órgano  colegiado  de  carácter</w:t>
        <w:br/>
        <w:t>político, el Comité de Ministros, encargado de velar por la  ejecución</w:t>
        <w:br/>
        <w:t>de las sentencias, mientras que en el sistema interamericano no existe</w:t>
        <w:br/>
        <w:t>tal órgano, por lo  que  la  propia  Corte,  en  uso  de  los  poderes</w:t>
        <w:br/>
        <w:t>inherentes a su  jurisdicción,  ha  tenido  que  asumir  la  tarea  de</w:t>
        <w:br/>
        <w:t>verificar el cumplimiento de las sentencias para poder  determinar  si</w:t>
        <w:br/>
        <w:t>existe o no un incumplimiento con el fin de  informar,  al  tenor  del</w:t>
        <w:br/>
        <w:t>artículo 65 de la Convención Americana, de lo sucedido a  la  Asamblea</w:t>
        <w:br/>
        <w:t>General. Surge entonces una nueva pregunta porque, luego de presentado</w:t>
        <w:br/>
        <w:t>el informe por la  Corte,  como  ha  acontecido  en  una  ocasión,  la</w:t>
        <w:br/>
        <w:t>Asamblea General exhortó al Estado de Suriname a brindar  al  Tribunal</w:t>
        <w:br/>
        <w:t>la  información  requerida[165],  hecho  que  posteriormente  permitió</w:t>
        <w:br/>
        <w:t>archivar los casos Aloeboetoe y otros y Gangaram Panday.</w:t>
        <w:br/>
        <w:br/>
        <w:t>Y, en el caso de Trinidad y Tobago, eso no sucedió.  La  pregunta  es:</w:t>
        <w:br/>
        <w:t>¿no  existe  una  evidente  laguna  en  la  Convención  Americana   y,</w:t>
        <w:br/>
        <w:t>concretamente, en el texto del artículo 65? ¿Cómo se  puede  solventar</w:t>
        <w:br/>
        <w:t>esa  situación  que,  como  se  verá  más  adelante,  está   afectando</w:t>
        <w:br/>
        <w:t>seriamente la labor  de  la  Comisión,  de  la  Corte  y  del  sistema</w:t>
        <w:br/>
        <w:t>interamericano de protección de los derechos humanos como un todo?</w:t>
        <w:br/>
        <w:br/>
        <w:t>Para responder a esta pregunta se deben investigar los antecedentes  y</w:t>
        <w:br/>
        <w:t>los trabajos preparatorios de la Convención Americana en relación  con</w:t>
        <w:br/>
        <w:t>su artículo 65.</w:t>
        <w:br/>
        <w:br/>
        <w:t>10.   La preocupación que tengo en relación con la  actitud  sobre  el</w:t>
        <w:br/>
        <w:t>cumplimiento de la sentencia sobre el fondo y reparaciones en el  caso</w:t>
        <w:br/>
        <w:t>Hilaire, Constantine,  Benjamin  y  otros  por  parte  del  Estado  de</w:t>
        <w:br/>
        <w:t>Trinidad y Tobago  y  la  que  eventualmente  pudiera  asumir  con  la</w:t>
        <w:br/>
        <w:t>sentencia que la Corte ha dictado en el presente caso  Caesar,  radica</w:t>
        <w:br/>
        <w:t>en que, en términos generales, la actitud de los Estados Partes acerca</w:t>
        <w:br/>
        <w:t>del cumplimiento de las sentencias y  medidas  provisionales  ha  sido</w:t>
        <w:br/>
        <w:t>ejemplar. Además, es precisamente la  ausencia  de  un  foro  político</w:t>
        <w:br/>
        <w:t>donde se analizan los muchos cumplimientos parciales que  han  habido,</w:t>
        <w:br/>
        <w:t>en presencia de los representantes del Estado, de las víctimas y de la</w:t>
        <w:br/>
        <w:t>Comisión, lo que considero no ha permitido el avance, en mucho  casos,</w:t>
        <w:br/>
        <w:t>en algunos de los aspectos del cumplimiento de las sentencias  que  ha</w:t>
        <w:br/>
        <w:t>dictado la Corte. Un informe de la Corte de la naturaleza del apuntado</w:t>
        <w:br/>
        <w:t>posiblemente permitirá encontrar soluciones a nivel  de  un  grupo  de</w:t>
        <w:br/>
        <w:t>trabajo y, eventualmente poder cerrar los casos que no se  han  podido</w:t>
        <w:br/>
        <w:t>borrar de la lista de asuntos pendientes por  mucho  tiempo,  como  se</w:t>
        <w:br/>
        <w:t>verá más adelante. Esta solución posiblemente sea el  camino  correcto</w:t>
        <w:br/>
        <w:t>para que no se repita lo ocurrido en  el  caso  Hilaire,  Constantine,</w:t>
        <w:br/>
        <w:t>Benjamin y otros. Este es un precedente que no debe repetirse.</w:t>
        <w:br/>
        <w:br/>
        <w:t>La OEA es un foro  fundamentalmente  político  y  la  defensa  de  los</w:t>
        <w:br/>
        <w:t>derechos humanos es  un  tema  que  debe  abordarse  por  los  Estados</w:t>
        <w:br/>
        <w:t>miembros con valentía y franqueza.  Soslayar  la  discusión  de  estos</w:t>
        <w:br/>
        <w:t>temas no permite que la Organización pueda  cumplir  con  uno  de  sus</w:t>
        <w:br/>
        <w:t>fines primordiales, de acuerdo con la propia Carta de la OEA.</w:t>
        <w:br/>
        <w:br/>
        <w:br/>
        <w:t xml:space="preserve">                                     II</w:t>
        <w:br/>
        <w:br/>
        <w:t xml:space="preserve">   Las propuestas hechas por el Consejo Interamericano de Jurisconsultos,</w:t>
        <w:br/>
        <w:t xml:space="preserve">       los Estados de Chile y Uruguay y la Comisión Interamericana de</w:t>
        <w:br/>
        <w:t xml:space="preserve">       Derechos Humanos en sus proyectos de Convención Americana sobre</w:t>
        <w:br/>
        <w:t xml:space="preserve">     Derechos Humanos sobre el actual texto del artículo 65 de la misma.</w:t>
        <w:br/>
        <w:br/>
        <w:t>11.   El primer antecedente de la Convención  Americana  al  que  cabe</w:t>
        <w:br/>
        <w:t>hacer  referencia,  es  el  “Proyecto  de  Convención  sobre  Derechos</w:t>
        <w:br/>
        <w:t>Humanos” preparado por el Consejo Interamericano de Jurisconsultos  en</w:t>
        <w:br/>
        <w:t>el año 1959  por  solicitud  de  la  Quinta  Reunión  de  Consulta  de</w:t>
        <w:br/>
        <w:t>Ministros de Relaciones Exteriores, celebrada en Santiago de Chile ese</w:t>
        <w:br/>
        <w:t>mismo año. En el texto  de  dicho  proyecto  se  encuentra  el  primer</w:t>
        <w:br/>
        <w:t>antecedente del actual artículo 65 de la Convención Americana, ya  que</w:t>
        <w:br/>
        <w:t>en su artículo 80 disponía lo siguiente:</w:t>
        <w:br/>
        <w:br/>
        <w:t xml:space="preserve">      El fallo de la Corte será transmitido al Consejo de la Organización de</w:t>
        <w:br/>
        <w:t xml:space="preserve">      los Estados Americanos[166].</w:t>
        <w:br/>
        <w:br/>
        <w:t>12.     Correspondió   a   la   Segunda   Conferencia   Interamericana</w:t>
        <w:br/>
        <w:t>Extraordinaria, celebrada en Río de  Janeiro  en  noviembre  de  1965,</w:t>
        <w:br/>
        <w:t>considerar  el  proyecto  de  Convención  elaborado  por  el   Consejo</w:t>
        <w:br/>
        <w:t>Interamericano de Jurisconsultos, junto con dos proyectos  adicionales</w:t>
        <w:br/>
        <w:t>presentados por los gobiernos de Chile y Uruguay, respectivamente.</w:t>
        <w:br/>
        <w:br/>
        <w:t>En el proyecto de “Convención sobre Derechos Humanos” elaborado por el</w:t>
        <w:br/>
        <w:t>Gobierno de Chile, se retoma la norma del proyecto anterior, ya que en</w:t>
        <w:br/>
        <w:t>el artículo 72 se expresa que:</w:t>
        <w:br/>
        <w:br/>
        <w:t xml:space="preserve">      Copia de la sentencia será entregada a a las partes interesadas  y  al</w:t>
        <w:br/>
        <w:t xml:space="preserve">      Consejo de la Organización de Estados Americanos[167].</w:t>
        <w:br/>
        <w:br/>
        <w:br/>
        <w:t>En el “Proyecto de Convención sobre Derechos Humanos”  presentado  por</w:t>
        <w:br/>
        <w:t>Uruguay, existen ya disposiciones más precisas y similares  al  actual</w:t>
        <w:br/>
        <w:t>artículo 65 de la Convención Americana.</w:t>
        <w:br/>
        <w:br/>
        <w:t>El artículo 85 del mencionado proyecto dice textualmente a la letra:</w:t>
        <w:br/>
        <w:br/>
        <w:t xml:space="preserve">      1.    El  fallo  de  la  Corte  será  transmitido  el  Consejo  de  la</w:t>
        <w:br/>
        <w:t xml:space="preserve">      Organización de los Estados Americanos  y  a  todos  los  Estados  que</w:t>
        <w:br/>
        <w:t xml:space="preserve">      ratifiquen la presente Convención.</w:t>
        <w:br/>
        <w:br/>
        <w:br/>
        <w:t xml:space="preserve">      2.    La Corte hará saber al Consejo de la Organización de los Estados</w:t>
        <w:br/>
        <w:t xml:space="preserve">      Americanos los casos en que su fallo no se haya ejecutado[168].</w:t>
        <w:br/>
        <w:br/>
        <w:t>Cabe recordar aquí que no es sino hasta 1970 que  entra  en  vigor  la</w:t>
        <w:br/>
        <w:t>Carta de la OEA reformada  por  el  Protocolo  de  Buenos  Aires,  que</w:t>
        <w:br/>
        <w:t>establece la Asamblea General como órgano máximo de la Organización, y</w:t>
        <w:br/>
        <w:t>que estos proyectos se prepararon antes de 1970, por lo que  solamente</w:t>
        <w:br/>
        <w:t>hacen  referencia  al  “Consejo  de  la  Organización”,  hoy   Consejo</w:t>
        <w:br/>
        <w:t>Permanente de la OEA.</w:t>
        <w:br/>
        <w:br/>
        <w:t>13.   La Segunda Conferencia  Interamericana  Extraordinaria  resuelve</w:t>
        <w:br/>
        <w:t>remitir los tres proyectos antes citados así como  las  actas  de  los</w:t>
        <w:br/>
        <w:t>debates registrados en ella sobre la materia al  Consejo  de  la  OEA,</w:t>
        <w:br/>
        <w:t>para que éste, escuchando el parecer de la Comisión  Interamericana  y</w:t>
        <w:br/>
        <w:t>de otros órganos y entidades que estimara conveniente, le  introdujera</w:t>
        <w:br/>
        <w:t>las enmiendas que considerara convenientes  al  Proyecto  del  Consejo</w:t>
        <w:br/>
        <w:t>Interamericano de Jurisconsultos. Finalmente, el 18 de mayo  de  1966,</w:t>
        <w:br/>
        <w:t>el  Consejo  de  la  OEA  remitió  a  la  Comisión  Interamericana  el</w:t>
        <w:br/>
        <w:t>mencionado proyecto, así como los de Chile  y  Uruguay,  para  que  le</w:t>
        <w:br/>
        <w:t>comunicara su opinión y le hiciera las recomendaciones pertinentes. La</w:t>
        <w:br/>
        <w:t>Comisión elaboró dos dictámenes, que fueron enviados al Consejo de  la</w:t>
        <w:br/>
        <w:t>Organización el 4 de noviembre de 1966 y  el  10  de  abril  de  1967,</w:t>
        <w:br/>
        <w:t>respectivamente. El Consejo de la Organización  tomó  conocimiento  de</w:t>
        <w:br/>
        <w:t>los documentos remitiéndolos, como es usual, a la Comisión de  Asuntos</w:t>
        <w:br/>
        <w:t>Jurídicos y Políticos (en adelante la “CAJP”). En la consideración  de</w:t>
        <w:br/>
        <w:t>estos temas se suscitaron varias importantes discusiones y consultas a</w:t>
        <w:br/>
        <w:t>los Estados en relación con la aprobación, en diciembre  de  1966,  de</w:t>
        <w:br/>
        <w:t>los Pactos de Derechos Humanos de las  Naciones  Unidas,  asuntos  que</w:t>
        <w:br/>
        <w:t>fueron puestos en conocimiento del Consejo de la OEA, el  que  incluso</w:t>
        <w:br/>
        <w:t>formuló muchas consultas a los Estados Miembros, hasta que el  Consejo</w:t>
        <w:br/>
        <w:t>de la Organización, el 12 de junio  de  1968,  aprobó  una  Resolución</w:t>
        <w:br/>
        <w:t>(OEA/Ser.G/IV/C-i-837 rev 3)[169]  mediante  la  cual  solicitó  a  la</w:t>
        <w:br/>
        <w:t>Comisión Interamericana que redactara un texto revisado y completo  de</w:t>
        <w:br/>
        <w:t>anteproyecto de Convención, para cuyo  fin  ésta  celebró  un  Período</w:t>
        <w:br/>
        <w:t>Extraordinario de Sesiones el 1 y 2 de  junio  de  1968.  La  Comisión</w:t>
        <w:br/>
        <w:t>transmitió al Consejo de la Organización el anteproyecto de Convención</w:t>
        <w:br/>
        <w:t>el 18  de  julio  de  1968,  el  cual  adoptó  dicho  anteproyecto  de</w:t>
        <w:br/>
        <w:t>Convención como documento de trabajo de la  Conferencia  Especializada</w:t>
        <w:br/>
        <w:t>Interamericana sobre Derechos Humanos, incluyendo las observaciones  y</w:t>
        <w:br/>
        <w:t>enmiendas formuladas por los Estados Miembros[170].</w:t>
        <w:br/>
        <w:br/>
        <w:t>14.   En el “Proyecto de Convención Interamericana sobre Protección de</w:t>
        <w:br/>
        <w:t>Derechos Humanos” elaborado por la  Comisión  Interamericana  hubo  un</w:t>
        <w:br/>
        <w:t>retroceso en relación con el texto de la propuesta uruguaya, ya que se</w:t>
        <w:br/>
        <w:t>volvió  a  la  anterior  propuesta  del  Consejo   Interamericano   de</w:t>
        <w:br/>
        <w:t>Jurisconsultos y de Chile. En efecto el artículo 57 de proyecto señala</w:t>
        <w:br/>
        <w:t>que:</w:t>
        <w:br/>
        <w:br/>
        <w:t xml:space="preserve">      El fallo de la Corte será transmitido al Consejo de la Organización de</w:t>
        <w:br/>
        <w:t xml:space="preserve">      los Estados Americanos[171].</w:t>
        <w:br/>
        <w:br/>
        <w:br/>
        <w:br/>
        <w:br/>
        <w:br/>
        <w:br/>
        <w:t xml:space="preserve">                                     III</w:t>
        <w:br/>
        <w:br/>
        <w:t xml:space="preserve">                 La Conferencia Especializada Interamericana</w:t>
        <w:br/>
        <w:t xml:space="preserve">                       sobre Derechos Humanos de 1969</w:t>
        <w:br/>
        <w:br/>
        <w:t>15.   Es finalmente en  la  Conferencia  Especializada  Interamericana</w:t>
        <w:br/>
        <w:t>sobre Derechos Humanos, que se celebró en San José, Costa Rica, del  7</w:t>
        <w:br/>
        <w:t>al 22 de noviembre de 1969, cuando se suscribe la Convención Americana</w:t>
        <w:br/>
        <w:t>sobre Derechos  Humanos  y,  consecuentemente,  se  aprueba  el  texto</w:t>
        <w:br/>
        <w:t>actual, de lo que en el proyecto de la Comisión era  el  artículo  57,</w:t>
        <w:br/>
        <w:t>que se convierte en el actual párrafo 69. Es aquí precisamente, cuando</w:t>
        <w:br/>
        <w:t>surge un artículo  nuevo,  que  es  el  actual  65  de  la  Convención</w:t>
        <w:br/>
        <w:t>Americana.</w:t>
        <w:br/>
        <w:br/>
        <w:t>16.   En la publicación oficial  que  hace  la  OEA  de  las  Actas  y</w:t>
        <w:br/>
        <w:t>Documentos  de  la  Conferencia  Especializada  Interamericana   sobre</w:t>
        <w:br/>
        <w:t>Derechos Humanos[172], se encuentra  el  Informe  del  Relator  de  la</w:t>
        <w:br/>
        <w:t>Comisión II, el señor Robert J. Redington de  los  Estados  Unidos  de</w:t>
        <w:br/>
        <w:t>América, que  versa  sobre  “Órganos  de  Protección  y  Disposiciones</w:t>
        <w:br/>
        <w:t>Generales”. En la parte pertinente se lee lo siguiente:</w:t>
        <w:br/>
        <w:br/>
        <w:t xml:space="preserve">      El Artículo 66, que es nuevo,  establece  que  la  Corte  someterá  un</w:t>
        <w:br/>
        <w:t xml:space="preserve">      informe sobre sus trabajos a  la Asamblea General de  la  Organización</w:t>
        <w:br/>
        <w:t xml:space="preserve">      en su reunión anual, de conformidad con lo dispuesto en el Artículo 52</w:t>
        <w:br/>
        <w:t xml:space="preserve">      de la Carta de la Organización reformada por el  Protocolo  de  Buenos</w:t>
        <w:br/>
        <w:t xml:space="preserve">      Aires. Además, el Artículo 66 establece que la Corte podrá incluir  en</w:t>
        <w:br/>
        <w:t xml:space="preserve">      su informe aquellos casos en los cuales  un  Estado  no  hubiere  dado</w:t>
        <w:br/>
        <w:t xml:space="preserve">      cumplimiento  a  sus  fallos,  y  formular  las  recomendaciones   que</w:t>
        <w:br/>
        <w:t xml:space="preserve">      considere apropiadas.</w:t>
        <w:br/>
        <w:br/>
        <w:br/>
        <w:t xml:space="preserve">      …</w:t>
        <w:br/>
        <w:br/>
        <w:br/>
        <w:t xml:space="preserve">      El Artículo 70 (correspondiente  con  el  artículo  57  del  Proyecto)</w:t>
        <w:br/>
        <w:t xml:space="preserve">      especifica que el fallo debe ser comunicado a las partes en el caso  y</w:t>
        <w:br/>
        <w:t xml:space="preserve">      a los Estados Partes en la Convención. Se eliminó la referencia a  que</w:t>
        <w:br/>
        <w:t xml:space="preserve">      el fallo debería comunicarse al Consejo de la Organización[173].</w:t>
        <w:br/>
        <w:br/>
        <w:t>17.   La solución que se encontró, como claramente se  deduce  de  las</w:t>
        <w:br/>
        <w:t>citas anteriores, fue dejar en el artículo 70 la disposición de que el</w:t>
        <w:br/>
        <w:t>fallo de la Corte debe ser comunicado a las partes en el caso y a  los</w:t>
        <w:br/>
        <w:t>Estados Partes en la Convención y, como  consecuencia  de  la  próxima</w:t>
        <w:br/>
        <w:t>entrada en vigor de la Carta  de  la  Organización  reformada  por  el</w:t>
        <w:br/>
        <w:t>Protocolo de Buenos Aires, que  establece  la  modalidad  de  celebrar</w:t>
        <w:br/>
        <w:t>Asambleas Generales anuales, se elimina la parte referente  a  que  el</w:t>
        <w:br/>
        <w:t>fallo debería comunicarse al Consejo de la Organización.</w:t>
        <w:br/>
        <w:br/>
        <w:t>Por la misma razón antes apuntada, se crea un nuevo  párrafo,  el  66,</w:t>
        <w:br/>
        <w:t>que establece que la Corte deberá presentar  un  informe  anual  a  la</w:t>
        <w:br/>
        <w:t>Asamblea General de la OEA, en el que comunicará a ésta aquellos casos</w:t>
        <w:br/>
        <w:t>en los cuales un Estado no hubiere dado cumplimiento a sus  sentencias</w:t>
        <w:br/>
        <w:t>y formularía las recomendaciones pertinentes.</w:t>
        <w:br/>
        <w:br/>
        <w:t>Consecuentemente, los nuevos párrafos se leen textualmente así:</w:t>
        <w:br/>
        <w:br/>
        <w:t xml:space="preserve">      Artículo 66</w:t>
        <w:br/>
        <w:br/>
        <w:br/>
        <w:t xml:space="preserve">      La Corte someterá a la consideración de  la  Asamblea  General  de  la</w:t>
        <w:br/>
        <w:t xml:space="preserve">      Organización en cada período ordinario de sesiones un informe sobre su</w:t>
        <w:br/>
        <w:t xml:space="preserve">      labor en el año anterior. De manera especial y con las recomendaciones</w:t>
        <w:br/>
        <w:t xml:space="preserve">      pertinentes, señalará  los  casos  en  que  un  Estado  no  haya  dado</w:t>
        <w:br/>
        <w:t xml:space="preserve">      cumplimiento a sus fallos.</w:t>
        <w:br/>
        <w:br/>
        <w:br/>
        <w:t xml:space="preserve">      …</w:t>
        <w:br/>
        <w:br/>
        <w:br/>
        <w:t xml:space="preserve">      Artículo 70</w:t>
        <w:br/>
        <w:br/>
        <w:br/>
        <w:t xml:space="preserve">      El fallo de la Corte será  notificado  a  las  partes  en  el  caso  y</w:t>
        <w:br/>
        <w:t xml:space="preserve">      transmitido a los Estados Partes en la Convención[174].</w:t>
        <w:br/>
        <w:br/>
        <w:t>18.   En la Tercera Sesión Plenaria, celebrada el 21 de  noviembre  de</w:t>
        <w:br/>
        <w:t>1969,  la  Conferencia  aprobó  el  texto  de  ambos   artículos,   ya</w:t>
        <w:br/>
        <w:t>convertidos en los actuales artículos 65 y 69 de  la  Convención[175].</w:t>
        <w:br/>
        <w:t>En el texto final de la Convención Americana, denominada también Pacto</w:t>
        <w:br/>
        <w:t>de San José de Costa Rica, según aparece en el Doc. 65 Rev. 1 Corr.  2</w:t>
        <w:br/>
        <w:t>de 7 de enero de 1970[176], aparecen los dos textos definitivos con el</w:t>
        <w:br/>
        <w:t>numeral actual, como se lee a continuación:</w:t>
        <w:br/>
        <w:br/>
        <w:t xml:space="preserve">      Artículo 65</w:t>
        <w:br/>
        <w:br/>
        <w:br/>
        <w:t xml:space="preserve">      La Corte someterá a la consideración de  la  Asamblea  General  de  la</w:t>
        <w:br/>
        <w:t xml:space="preserve">      Organización en cada período ordinario de sesiones un informe sobre su</w:t>
        <w:br/>
        <w:t xml:space="preserve">      labor en el año anterior. De manera especial y con las recomendaciones</w:t>
        <w:br/>
        <w:t xml:space="preserve">      pertinentes, señalará  los  casos  en  que  un  Estado  no  haya  dado</w:t>
        <w:br/>
        <w:t xml:space="preserve">      cumplimiento a sus fallos.</w:t>
        <w:br/>
        <w:br/>
        <w:br/>
        <w:t xml:space="preserve">      …</w:t>
        <w:br/>
        <w:br/>
        <w:br/>
        <w:t xml:space="preserve">      Artículo 69</w:t>
        <w:br/>
        <w:br/>
        <w:br/>
        <w:t xml:space="preserve">      El fallo de la Corte será  notificado  a  las  partes  en  el  caso  y</w:t>
        <w:br/>
        <w:t xml:space="preserve">      transmitido a los Estados Partes en la Convención[177].</w:t>
        <w:br/>
        <w:br/>
        <w:br/>
        <w:t xml:space="preserve">                                     IV</w:t>
        <w:br/>
        <w:br/>
        <w:t xml:space="preserve">     La propuesta de solución presentada por la Corte Interamericana de</w:t>
        <w:br/>
        <w:t xml:space="preserve">      Derechos Humanos a los Órganos Pertinentes de la OEA en relación</w:t>
        <w:br/>
        <w:t xml:space="preserve">      con la implementación del artículo 65 de la Convención Americana.</w:t>
        <w:br/>
        <w:br/>
        <w:t>19.   Sobre este tema cabe señalar que el  5  de  abril  de  2001,  el</w:t>
        <w:br/>
        <w:t>entonces Presidente  de  la  Corte  Interamericana,  Juez  Antônio  A.</w:t>
        <w:br/>
        <w:t>Cançado Trindade, en el marco del diálogo que se seguía en la Comisión</w:t>
        <w:br/>
        <w:t>de Asuntos Jurídicos y Políticos del  Consejo  Permanente  de  la  OEA</w:t>
        <w:br/>
        <w:t>sobre el fortalecimiento del sistema interamericano de  protección  de</w:t>
        <w:br/>
        <w:t>los derechos humanos, manifestó que:</w:t>
        <w:br/>
        <w:br/>
        <w:t xml:space="preserve">      88.   Me permito renovar, es esta ocasión ante la CAJP,  la  confianza</w:t>
        <w:br/>
        <w:t xml:space="preserve">      que deposita la  Corte  Interamericana  en  los  Estados  Partes  como</w:t>
        <w:br/>
        <w:t xml:space="preserve">      garantes de la Convención Americana. Los Estados Partes  asumen,  cada</w:t>
        <w:br/>
        <w:t xml:space="preserve">      uno individualmente, el deber de cumplir las decisiones de  la  Corte,</w:t>
        <w:br/>
        <w:t xml:space="preserve">      como lo establece el artículo 68 de la Convención, en  aplicación  del</w:t>
        <w:br/>
        <w:t xml:space="preserve">      principio  pacta  sunt  servanda,  y  por  tratarse,  además,  de  una</w:t>
        <w:br/>
        <w:t xml:space="preserve">      obligación de su propio derecho interno. Los Estados Partes igualmente</w:t>
        <w:br/>
        <w:t xml:space="preserve">      asumen, en conjunto, la obligación de velar por la  integridad  de  la</w:t>
        <w:br/>
        <w:t xml:space="preserve">      Convención Americana, como garantes de la misma. La supervisión de  la</w:t>
        <w:br/>
        <w:t xml:space="preserve">      fiel ejecución de las sentencias de la Corte es una  tarea  que  recae</w:t>
        <w:br/>
        <w:t xml:space="preserve">      sobre el conjunto de los Estados Partes en la Convención[178].</w:t>
        <w:br/>
        <w:br/>
        <w:t>Esto lo manifestó el Presidente  de  la  Corte  porque  en  esa  misma</w:t>
        <w:br/>
        <w:t>exposición, al referirse al contenido  de  un  eventual  Protocolo  de</w:t>
        <w:br/>
        <w:t>Reformas  a  la  Convención  Americana  sobre  Derechos  Humanos  para</w:t>
        <w:br/>
        <w:t>Fortalecer su Mecanismo de Protección, había expuesto en relación  con</w:t>
        <w:br/>
        <w:t>el tema que nos ocupa que:</w:t>
        <w:br/>
        <w:br/>
        <w:t xml:space="preserve">      60.   Para asegurar el monitoreo continuo  del  fiel  cumplimiento  de</w:t>
        <w:br/>
        <w:t xml:space="preserve">      todas las obligaciones convencionales de protección, y  en  particular</w:t>
        <w:br/>
        <w:t xml:space="preserve">      de los fallos de la Corte, se debe, a mi juicio, acrecentar, al  final</w:t>
        <w:br/>
        <w:t xml:space="preserve">      del artículo 65 de la Convención la siguiente frase:</w:t>
        <w:br/>
        <w:br/>
        <w:br/>
        <w:t xml:space="preserve">           - “La Asamblea General los remitirá al Consejo Permanente,  para</w:t>
        <w:br/>
        <w:t xml:space="preserve">           estudiar la materia y rendir un informe, para  que  la  Asamblea</w:t>
        <w:br/>
        <w:t xml:space="preserve">           General delibere al respecto”[179].</w:t>
        <w:br/>
        <w:br/>
        <w:br/>
        <w:t xml:space="preserve">      De ese modo, se suple una laguna en cuanto a un mecanismo, a operar en</w:t>
        <w:br/>
        <w:t xml:space="preserve">      base permanente (y no solamente una  vez  por  año  ante  la  Asamblea</w:t>
        <w:br/>
        <w:t xml:space="preserve">      General de la OEA), para supervisar la fiel ejecución, por los Estados</w:t>
        <w:br/>
        <w:t xml:space="preserve">      Partes demandados, de las sentencias de la Corte.</w:t>
        <w:br/>
        <w:br/>
        <w:br/>
        <w:t xml:space="preserve">      61.   En la misma línea de pensamiento, y con el mismo fin de asegurar</w:t>
        <w:br/>
        <w:t xml:space="preserve">      el fiel cumplimiento de las sentencias de la Corte, en  el  plano  del</w:t>
        <w:br/>
        <w:t xml:space="preserve">      derecho interno de los Estados Partes, se debe agregar  al  final  del</w:t>
        <w:br/>
        <w:t xml:space="preserve">      artículo 68 de la Convención, un tercer  párrafo,  en  los  siguientes</w:t>
        <w:br/>
        <w:t xml:space="preserve">      términos:</w:t>
        <w:br/>
        <w:br/>
        <w:br/>
        <w:t xml:space="preserve">           - “En caso de que dicho procedimiento interno todavía no exista,</w:t>
        <w:br/>
        <w:t xml:space="preserve">           los Estados Partes se comprometen a establecerlo, en conformidad</w:t>
        <w:br/>
        <w:t xml:space="preserve">           con las obligaciones generales estipuladas en los artículos 1(1)</w:t>
        <w:br/>
        <w:t xml:space="preserve">           y 2 de esta Convención”[180].</w:t>
        <w:br/>
        <w:br/>
        <w:t>Posteriormente, el 17 de  abril  de  2002,  al  dirigirse  al  Consejo</w:t>
        <w:br/>
        <w:t>Permanente de la OEA, recordó que:</w:t>
        <w:br/>
        <w:br/>
        <w:t xml:space="preserve">      11.   Los Estados  Partes  en  la  Convención  igualmente  asumen,  en</w:t>
        <w:br/>
        <w:t xml:space="preserve">      conjunto, la obligación de velar por la integridad  de  la  Convención</w:t>
        <w:br/>
        <w:t xml:space="preserve">      Americana, como garantes de la misma. Al crear obligaciones  para  los</w:t>
        <w:br/>
        <w:t xml:space="preserve">      Estados Partes vis-à-vis todos los seres humanos bajo sus  respectivas</w:t>
        <w:br/>
        <w:t xml:space="preserve">      jurisdicciones, la Convención Americana requiere el  ejercicio  de  la</w:t>
        <w:br/>
        <w:t xml:space="preserve">      garantía colectiva para la plena realización de su objeto  y  fin.  La</w:t>
        <w:br/>
        <w:t xml:space="preserve">      Corte Interamericana está convencida de  que,  mediante  el  ejercicio</w:t>
        <w:br/>
        <w:t xml:space="preserve">      permanente  de   dicha   garantía   colectiva,   se   contribuirá   al</w:t>
        <w:br/>
        <w:t xml:space="preserve">      fortalecimiento del mecanismo de protección de la Convención Americana</w:t>
        <w:br/>
        <w:t xml:space="preserve">      sobre Derechos Humanos, en este inicio del siglo XXI.</w:t>
        <w:br/>
        <w:br/>
        <w:br/>
        <w:t xml:space="preserve">      12.   La supervisión -en el ejercicio de la garantía colectiva- de  la</w:t>
        <w:br/>
        <w:t xml:space="preserve">      fiel ejecución de las sentencias y decisiones de la Corte es una tarea</w:t>
        <w:br/>
        <w:t xml:space="preserve">      que recae sobre el conjunto de los Estados Partes en la Convención. En</w:t>
        <w:br/>
        <w:t xml:space="preserve">      mi Informe del 05 de abril  de  2001  rendido  en  este  mismo  "Salón</w:t>
        <w:br/>
        <w:t xml:space="preserve">      Bolívar", avancé propuestas para asegurar el  monitoreo  continuo  del</w:t>
        <w:br/>
        <w:t xml:space="preserve">      fiel  cumplimiento  de  todas  las  obligaciones   convencionales   de</w:t>
        <w:br/>
        <w:t xml:space="preserve">      protección,  -y  en  particular  de  las  sentencias   de   la   Corte</w:t>
        <w:br/>
        <w:t xml:space="preserve">      Interamericana,-  abarcando  medidas  tanto  de  prevención  como   de</w:t>
        <w:br/>
        <w:t xml:space="preserve">      seguimiento.</w:t>
        <w:br/>
        <w:br/>
        <w:br/>
        <w:t xml:space="preserve">      13.   Me permití sugerir, además, que, en un eventual futuro  Proyecto</w:t>
        <w:br/>
        <w:t xml:space="preserve">      de Protocolo a la Convención Americana, inter  alia,  se  agregara  al</w:t>
        <w:br/>
        <w:t xml:space="preserve">      final del artículo 65 de la  Convención  la  siguiente  frase:  -  "La</w:t>
        <w:br/>
        <w:t xml:space="preserve">      Asamblea General los remitirá al Consejo Permanente, para estudiar  la</w:t>
        <w:br/>
        <w:t xml:space="preserve">      materia y rendir un informe, para que la Asamblea General delibere  al</w:t>
        <w:br/>
        <w:t xml:space="preserve">      respecto". De ese modo, se supliría una laguna atinente a un mecanismo</w:t>
        <w:br/>
        <w:t xml:space="preserve">      que operara en base permanente (y no solamente una vez por año ante la</w:t>
        <w:br/>
        <w:t xml:space="preserve">      Asamblea General de la OEA), para supervisar la  fiel  ejecución,  por</w:t>
        <w:br/>
        <w:t xml:space="preserve">      los  Estados  Partes  demandados,  de  las  sentencias  de  la   Corte</w:t>
        <w:br/>
        <w:t xml:space="preserve">      Interamericana. Me permito renovar ante este Consejo Permanente de  la</w:t>
        <w:br/>
        <w:t xml:space="preserve">      OEA la confianza que deposita la Corte  en  los  Estados  Partes  como</w:t>
        <w:br/>
        <w:t xml:space="preserve">      garantes de la Convención Americana, y  agregar  una  breve  y  última</w:t>
        <w:br/>
        <w:t xml:space="preserve">      reflexión[181].</w:t>
        <w:br/>
        <w:br/>
        <w:t>Y dos días después, ante la CAJP, siempre  en  el  marco  del  diálogo</w:t>
        <w:br/>
        <w:t>sobre el fortalecimiento del sistema interamericano de  protección  de</w:t>
        <w:br/>
        <w:t>los derechos humanos, reiteró que:</w:t>
        <w:br/>
        <w:br/>
        <w:t xml:space="preserve">           Además, se encargaría a un grupo de  trabajo  permanente  de  la</w:t>
        <w:br/>
        <w:t xml:space="preserve">      CAJP, integrado por Representantes de Estados Partes en la  Convención</w:t>
        <w:br/>
        <w:t xml:space="preserve">      Americana, supervisar en base permanente el  estado  de  cumplimiento,</w:t>
        <w:br/>
        <w:t xml:space="preserve">      por los Estados demandados, de las sentencias y decisiones de la Corte</w:t>
        <w:br/>
        <w:t xml:space="preserve">      Interamericana, el cual presentaría sus informes a la CAJP; ésta, a su</w:t>
        <w:br/>
        <w:t xml:space="preserve">      vez, relataría al Consejo Permanente, para preparar su informe para la</w:t>
        <w:br/>
        <w:t xml:space="preserve">      deliberación de la Asamblea General  al  respecto.  De  ese  modo,  se</w:t>
        <w:br/>
        <w:t xml:space="preserve">      supliría un laguna  en  cuanto  a  un  mecanismo,  a  operar  en  base</w:t>
        <w:br/>
        <w:t xml:space="preserve">      permanente (y no solamente una vez por año ante la Asamblea General de</w:t>
        <w:br/>
        <w:t xml:space="preserve">      la OEA), para supervisar la fiel ejecución,  por  los  Estados  Partes</w:t>
        <w:br/>
        <w:t xml:space="preserve">      demandados, de las sentencias de la Corte[182].</w:t>
        <w:br/>
        <w:br/>
        <w:t>De nuevo, el 16 de octubre de  2002,  el  entonces  Presidente  de  la</w:t>
        <w:br/>
        <w:t>Corte, Juez Antônio A. Cançado Trindade, hizo referencia al tema de la</w:t>
        <w:br/>
        <w:t>supervisión del cumplimiento de las sentencias del  Tribunal  ante  el</w:t>
        <w:br/>
        <w:t>Consejo Permanente de la OEA de una manera muy explícita. Manifestó en</w:t>
        <w:br/>
        <w:t>esa ocasión:</w:t>
        <w:br/>
        <w:br/>
        <w:t xml:space="preserve">           El fiel cumplimiento  o  ejecución  de  sus  sentencias  es  una</w:t>
        <w:br/>
        <w:t xml:space="preserve">      preocupación legítima de todos los tribunales internacionales.  En  el</w:t>
        <w:br/>
        <w:t xml:space="preserve">      sistema europeo de protección, por ejemplo, que cuenta  inclusive  con</w:t>
        <w:br/>
        <w:t xml:space="preserve">      un mecanismo de supervisión de ejecución de  sentencias  de  la  Corte</w:t>
        <w:br/>
        <w:t xml:space="preserve">      Europea de Derechos Humanos, por parte del  Comité  de  Ministros  del</w:t>
        <w:br/>
        <w:t xml:space="preserve">      Consejo de Europa  (órgano  que  históricamente  antecedió  la  propia</w:t>
        <w:br/>
        <w:t xml:space="preserve">      Convención Europea), la cuestión ha estado siempre en  la  agenda  del</w:t>
        <w:br/>
        <w:t xml:space="preserve">      referido Consejo. ¿Por qué, en nuestro continente, la OEA no asume  su</w:t>
        <w:br/>
        <w:t xml:space="preserve">      responsabilidad en esta área, aún más por no disponer hasta  la  fecha</w:t>
        <w:br/>
        <w:t xml:space="preserve">      de un órgano con función análoga?</w:t>
        <w:br/>
        <w:br/>
        <w:br/>
        <w:t xml:space="preserve">            Al respecto,  la  Corte  Interamericana  tiene  actualmente  una</w:t>
        <w:br/>
        <w:t xml:space="preserve">      especial preocupación en cuanto a un aspecto del cumplimiento  de  sus</w:t>
        <w:br/>
        <w:t xml:space="preserve">      sentencias. Los Estados, por lo general, cumplen con las  reparaciones</w:t>
        <w:br/>
        <w:t xml:space="preserve">      que se refieren a indemnizaciones  de  carácter  pecuniario,  pero  no</w:t>
        <w:br/>
        <w:t xml:space="preserve">      sucede necesariamente lo mismo con las  reparaciones  de  carácter  no</w:t>
        <w:br/>
        <w:t xml:space="preserve">      pecuniario, en  especial  las  que  se  refieren  a  la  investigación</w:t>
        <w:br/>
        <w:t xml:space="preserve">      efectiva  de  los  hechos  que  originaron  las  violaciones,   y   la</w:t>
        <w:br/>
        <w:t xml:space="preserve">      identificación y sanción de los responsables, -  imprescindibles  para</w:t>
        <w:br/>
        <w:t xml:space="preserve">      poner fin a la impunidad (con  sus  consecuencias  negativas  para  el</w:t>
        <w:br/>
        <w:t xml:space="preserve">      tejido social como un todo).</w:t>
        <w:br/>
        <w:br/>
        <w:br/>
        <w:t xml:space="preserve">             Actualmente,  dada  la  carencia  institucional   del   sistema</w:t>
        <w:br/>
        <w:t xml:space="preserve">      interamericano  de  protección  en  esta  área  específica,  la  Corte</w:t>
        <w:br/>
        <w:t xml:space="preserve">      Interamericana viene ejerciendo  motu  propio  la  supervisión  de  la</w:t>
        <w:br/>
        <w:t xml:space="preserve">      ejecución de sus sentencias,  dedicándole  uno  o  dos  días  de  cada</w:t>
        <w:br/>
        <w:t xml:space="preserve">      período de sesiones. Pero la supervisión  -  en  el  ejercicio  de  la</w:t>
        <w:br/>
        <w:t xml:space="preserve">      garantía colectiva  -  de  la  fiel  ejecución  de  las  sentencias  y</w:t>
        <w:br/>
        <w:t xml:space="preserve">      decisiones de la Corte es una tarea que recae sobre el conjunto de los</w:t>
        <w:br/>
        <w:t xml:space="preserve">      Estados Partes en la Convención. En mi Informe a la CAJP  de  la  OEA,</w:t>
        <w:br/>
        <w:t xml:space="preserve">      del 05 de abril de 2001, avancé propuestas concretas para asegurar  el</w:t>
        <w:br/>
        <w:t xml:space="preserve">      monitoreo internacional permanente del fiel cumplimiento de todas  las</w:t>
        <w:br/>
        <w:t xml:space="preserve">      obligaciones convencionales de protección,  y  en  particular  de  las</w:t>
        <w:br/>
        <w:t xml:space="preserve">      sentencias de la Corte  Interamericana,  abarcando  medidas  tanto  de</w:t>
        <w:br/>
        <w:t xml:space="preserve">      prevención como de seguimiento[183].</w:t>
        <w:br/>
        <w:br/>
        <w:br/>
        <w:t xml:space="preserve">                                      V</w:t>
        <w:br/>
        <w:br/>
        <w:t xml:space="preserve">           La solicitud de interpretación de sentencia en el caso</w:t>
        <w:br/>
        <w:t xml:space="preserve">          Baena Ricardo y otros presentada por el Estado de Panamá</w:t>
        <w:br/>
        <w:br/>
        <w:t>20.   Mediante escrito de 27 de febrero de 2003, el Estado  de  Panamá</w:t>
        <w:br/>
        <w:t>cuestionó la facultad de la Corte para supervisar el  cumplimiento  de</w:t>
        <w:br/>
        <w:t>la Sentencia de 2 de febrero de 2001 en el Caso Baena Ricardo y otros,</w:t>
        <w:br/>
        <w:t>así como el procedimiento utilizado por el  Tribunal  de  solicitar  u</w:t>
        <w:br/>
        <w:t>ordenar informes a los Estados con el  fin  de  poder  determinar,  de</w:t>
        <w:br/>
        <w:t>acuerdo con el artículo 65 de la Convención, si hubo un incumplimiento</w:t>
        <w:br/>
        <w:t>e informarlo así a la Asamblea General de la OEA.</w:t>
        <w:br/>
        <w:br/>
        <w:t>21.   Consideró el Estado de Panamá en el  escrito  antes  mencionado,</w:t>
        <w:br/>
        <w:t>“que la  etapa  de  cumplimiento  de  sentencia  es  una  etapa  “post</w:t>
        <w:br/>
        <w:t>adjudicatura”, que “no está prevista por las  normas  que  regulan  la</w:t>
        <w:br/>
        <w:t>jurisdicción y el procedimiento de la Honorable Corte …”[184]  y  “que</w:t>
        <w:br/>
        <w:t>no se encuentra en la esfera judicial que corresponde a  la  Honorable</w:t>
        <w:br/>
        <w:t>Corte sino estrictamente en la política, la que aquí [es] exclusiva de</w:t>
        <w:br/>
        <w:t>la   Asamblea   General   de   la   Organización   de   los    Estados</w:t>
        <w:br/>
        <w:t>Americanos”[185]. Agregó también el Estado de Panamá que “El  Artículo</w:t>
        <w:br/>
        <w:t>65 de  la  Convención  Americana  establece  claramente  que  sólo  la</w:t>
        <w:br/>
        <w:t>Asamblea General de la Organización  de  los  Estados  Americanos  […]</w:t>
        <w:br/>
        <w:t>tiene la función de supervisar el cumplimiento de  los  fallos  de  la</w:t>
        <w:br/>
        <w:t>Corte Interamericana  de  Derechos  Humanos.  Dicha  norma  únicamente</w:t>
        <w:br/>
        <w:t>establece obligaciones a cargo de la Corte y no  establece  obligación</w:t>
        <w:br/>
        <w:t>alguna para los Estados Partes, así como tampoco otorga derechos a  la</w:t>
        <w:br/>
        <w:t>Corte ni le otorga competencia para supervisar el cumplimiento de  sus</w:t>
        <w:br/>
        <w:t>sentencias”[186].</w:t>
        <w:br/>
        <w:br/>
        <w:t>22.   Mediante sentencia sobre competencia,  de  28  de  noviembre  de</w:t>
        <w:br/>
        <w:t>2003, la Corte refutó los argumentos del Estado panameño  y  determinó</w:t>
        <w:br/>
        <w:t>que es competente para supervisar el cumplimiento de sus decisiones, y</w:t>
        <w:br/>
        <w:t>que, en el ejercicio  de  dicha  competencia,  tiene  la  facultad  de</w:t>
        <w:br/>
        <w:t>solicitar a los Estados la presentación  de  los  informes  necesarios</w:t>
        <w:br/>
        <w:t>para evaluar el cumplimiento de lo  ordenado  por  ella  y  de  emitir</w:t>
        <w:br/>
        <w:t>instrucciones y resoluciones sobre la materia[187].</w:t>
        <w:br/>
        <w:br/>
        <w:t>23.   Al fundamentar su posición, la Corte citó el artículo 30  de  su</w:t>
        <w:br/>
        <w:t>Estatuto, aprobado por la Asamblea General de la OEA celebrada  en  La</w:t>
        <w:br/>
        <w:t>Paz, Bolivia, en 1979, y que en lo sustancial reproduce el artículo 65</w:t>
        <w:br/>
        <w:t>de la Convención Americana y recordó, tal y como se ha descrito en  el</w:t>
        <w:br/>
        <w:t>presente voto razonado en el Caso Caesar  contra  Trinidad  y  Tobago,</w:t>
        <w:br/>
        <w:t>que:</w:t>
        <w:br/>
        <w:br/>
        <w:t xml:space="preserve">      90.   Los travaux préparatoires de la  Convención  Americana  permiten</w:t>
        <w:br/>
        <w:t xml:space="preserve">      consultar cuál era la voluntad de los Estados cuando  aprobaron  dicho</w:t>
        <w:br/>
        <w:t xml:space="preserve">      tratado, en cuanto a la supervisión del cumplimiento de las sentencias</w:t>
        <w:br/>
        <w:t xml:space="preserve">      de la  Corte.   El  Proyecto  de  Convención[188]  no  establecía  una</w:t>
        <w:br/>
        <w:t xml:space="preserve">      disposición similar al actual artículo 65.  Sin embargo,  la  Comisión</w:t>
        <w:br/>
        <w:t xml:space="preserve">      II, encargada de estudiar y redactar los artículos correspondientes  a</w:t>
        <w:br/>
        <w:t xml:space="preserve">      la parte procesal del Proyecto de Convención[189],  propuso  el  texto</w:t>
        <w:br/>
        <w:t xml:space="preserve">      del actual artículo 65 de la  Convención  Americana.   En  el  Informe</w:t>
        <w:br/>
        <w:t xml:space="preserve">      sobre “Órganos de la Protección y Disposiciones Generales”  de  21  de</w:t>
        <w:br/>
        <w:t xml:space="preserve">      noviembre de 1969 en la Conferencia Especializada Interamericana sobre</w:t>
        <w:br/>
        <w:t xml:space="preserve">      Derechos Humanos[190], la Comisión II  indicó  en  su  quinta  sesión,</w:t>
        <w:br/>
        <w:t xml:space="preserve">      celebrada el 17 de noviembre de 1969, que</w:t>
        <w:br/>
        <w:br/>
        <w:br/>
        <w:t xml:space="preserve">           las delegaciones expresaron su opinión de que  se  dotara  a  la</w:t>
        <w:br/>
        <w:t xml:space="preserve">           Corte de  una  competencia  amplia  que  le  permitiera  ser  el</w:t>
        <w:br/>
        <w:t xml:space="preserve">           instrumento eficaz para  la  protección  jurisdiccional  de  los</w:t>
        <w:br/>
        <w:t xml:space="preserve">           derechos humanos[191].</w:t>
        <w:br/>
        <w:br/>
        <w:br/>
        <w:t xml:space="preserve">      En  el  mencionado  informe,  al  explicar   la   redacción   de   las</w:t>
        <w:br/>
        <w:t xml:space="preserve">      disposiciones del proyecto del tratado correspondientes a la Corte, la</w:t>
        <w:br/>
        <w:t xml:space="preserve">      Comisión II se refirió al entonces proyecto del actual artículo 65  en</w:t>
        <w:br/>
        <w:t xml:space="preserve">      los siguientes términos:</w:t>
        <w:br/>
        <w:br/>
        <w:br/>
        <w:t xml:space="preserve">                 El artículo 65, que es una  disposición  nueva,  establece</w:t>
        <w:br/>
        <w:t xml:space="preserve">           que la Corte someterá un informe a la  Asamblea  General  de  la</w:t>
        <w:br/>
        <w:t xml:space="preserve">           Organización, lo cual está contemplado en el Artículo 52  de  la</w:t>
        <w:br/>
        <w:t xml:space="preserve">           Carta de la Organización, reformada por el Protocolo  de  Buenos</w:t>
        <w:br/>
        <w:t xml:space="preserve">           Aires.</w:t>
        <w:br/>
        <w:br/>
        <w:br/>
        <w:t xml:space="preserve">                 Pero, además, el artículo dispone el  importante  concepto</w:t>
        <w:br/>
        <w:t xml:space="preserve">           de que la Corte debe señalar los casos en que un Estado no  haya</w:t>
        <w:br/>
        <w:t xml:space="preserve">           dado  cumplimiento  a  sus  fallos,  con   las   recomendaciones</w:t>
        <w:br/>
        <w:t xml:space="preserve">           pertinentes de la Corte […][192].</w:t>
        <w:br/>
        <w:br/>
        <w:br/>
        <w:t xml:space="preserve">      90.   La Corte estima que la voluntad de los Estados,  al  aprobar  lo</w:t>
        <w:br/>
        <w:t xml:space="preserve">      estipulado en el artículo 65 de la Convención, fue otorgar a la  misma</w:t>
        <w:br/>
        <w:t xml:space="preserve">      Corte la facultad de supervisar el cumplimiento de sus  decisiones,  y</w:t>
        <w:br/>
        <w:t xml:space="preserve">      que fuera el Tribunal el encargado de  poner  en  conocimiento  de  la</w:t>
        <w:br/>
        <w:t xml:space="preserve">      Asamblea General de la OEA, a través de su Informe Anual, los casos en</w:t>
        <w:br/>
        <w:t xml:space="preserve">      los cuales se diera un incumplimiento de las decisiones de  la  Corte,</w:t>
        <w:br/>
        <w:t xml:space="preserve">      porque no es posible dar aplicación al artículo 65  de  la  Convención</w:t>
        <w:br/>
        <w:t xml:space="preserve">      sin que el Tribunal supervise la observancia de sus decisiones[193].</w:t>
        <w:br/>
        <w:br/>
        <w:t>Además, puso de manifiesto la laguna que en esta materia existe en  la</w:t>
        <w:br/>
        <w:t>Convención Americana y que es el objeto del presente voto razonado, al</w:t>
        <w:br/>
        <w:t>manifestar que:</w:t>
        <w:br/>
        <w:br/>
        <w:t xml:space="preserve">      88.   La Convención Americana no estableció un órgano  específicamente</w:t>
        <w:br/>
        <w:t xml:space="preserve">      encargado de supervisar el cumplimiento de las sentencias emitidas por</w:t>
        <w:br/>
        <w:t xml:space="preserve">      la Corte, como sí lo dispuso la Convención Europea.  En la preparación</w:t>
        <w:br/>
        <w:t xml:space="preserve">      de la Convención Americana  se  siguió  el  esquema  adoptado  por  la</w:t>
        <w:br/>
        <w:t xml:space="preserve">      Convención Europea, en lo relativo a los órganos competentes y  a  los</w:t>
        <w:br/>
        <w:t xml:space="preserve">      mecanismos institucionales; sin embargo, es claro que  al  regular  la</w:t>
        <w:br/>
        <w:t xml:space="preserve">      supervisión  del  cumplimiento  de  las   sentencias   de   la   Corte</w:t>
        <w:br/>
        <w:t xml:space="preserve">      Interamericana no se contempló que la Asamblea General de la OEA o  el</w:t>
        <w:br/>
        <w:t xml:space="preserve">      Consejo Permanente de la OEA desempeñaran una función semejante  a  la</w:t>
        <w:br/>
        <w:t xml:space="preserve">      del Comité de Ministros en el sistema europeo[194].</w:t>
        <w:br/>
        <w:br/>
        <w:t>24.   Al no contemplar precisamente la  Convención  Americana  que  la</w:t>
        <w:br/>
        <w:t>Asamblea General de la OEA o el  Consejo  Permanente  desempeñaran  en</w:t>
        <w:br/>
        <w:t>esta materia una función similar a la del Comité de  Ministros  en  el</w:t>
        <w:br/>
        <w:t>sistema europeo, y al no implementar la OEA la aplicación del artículo</w:t>
        <w:br/>
        <w:t>65 de la Convención Americana, explica lo ocurrido en el caso Hilaire,</w:t>
        <w:br/>
        <w:t>Constantine, Benjamin y otros. Si la Corte hubiera aceptado  la  tesis</w:t>
        <w:br/>
        <w:t>del Estado de Panamá de que incluso no puede ella pedir a los  Estados</w:t>
        <w:br/>
        <w:t>informes y adoptar conclusiones para aplicar  el  artículo  65  de  la</w:t>
        <w:br/>
        <w:t>Convención, la Corte se hubiera  tenido  que  limitar  a  remitir  sus</w:t>
        <w:br/>
        <w:t>sentencias a la Asamblea General de  la  OEA,  donde  dependiendo  del</w:t>
        <w:br/>
        <w:t>interés y la actitud del  Estado  demandado  en  el  caso  objeto  del</w:t>
        <w:br/>
        <w:t>informe del artículo 65 de la Convención, podría no pronunciarse. Esto</w:t>
        <w:br/>
        <w:t>se debe a que actualmente, según sea el texto que adopte la  CAJP,  la</w:t>
        <w:br/>
        <w:t>Asamblea General puede o no pronunciarse sobre el incumplimiento de un</w:t>
        <w:br/>
        <w:t>fallo de la Corte.</w:t>
        <w:br/>
        <w:br/>
        <w:br/>
        <w:t xml:space="preserve">                                     VI</w:t>
        <w:br/>
        <w:br/>
        <w:t xml:space="preserve">       Cómo funciona actualmente el Sistema en la Comisión de Asuntos</w:t>
        <w:br/>
        <w:t xml:space="preserve">             Jurídicos y Políticos del Consejo Permanente de la</w:t>
        <w:br/>
        <w:t xml:space="preserve">                      OEA y la necesidad de modificarlo</w:t>
        <w:br/>
        <w:br/>
        <w:t>25.   Una vez que la Corte Interamericana aprueba su informe  anual  a</w:t>
        <w:br/>
        <w:t>la  Asamblea  General  de  la  OEA,  el  cual  puede  o   no   incluir</w:t>
        <w:br/>
        <w:t>señalamientos relativos a incumplimientos de sus fallos, lo remite  al</w:t>
        <w:br/>
        <w:t>Presidente del Consejo Permanente de la  OEA  y  copia  al  Secretario</w:t>
        <w:br/>
        <w:t>General de la misma, para que sea sometido a la Asamblea General.</w:t>
        <w:br/>
        <w:br/>
        <w:t>Esto se hace así porque, de acuerdo con el artículo 91.f) de la  Carta</w:t>
        <w:br/>
        <w:t>de la OEA, corresponde al Consejo Permanente:</w:t>
        <w:br/>
        <w:br/>
        <w:t xml:space="preserve">      Considerar los informes del Consejo Interamericano para el  Desarrollo</w:t>
        <w:br/>
        <w:t xml:space="preserve">      Integral,  del  Comité  Jurídico  Interamericano,   de   la   Comisión</w:t>
        <w:br/>
        <w:t xml:space="preserve">      Interamericana de Derechos Humanos, de la Secretaría General,  de  los</w:t>
        <w:br/>
        <w:t xml:space="preserve">      organismos y conferencias especializados y  de  los  demás  órganos  y</w:t>
        <w:br/>
        <w:t xml:space="preserve">      entidades, y presentar a  la  Asamblea  General  las  observaciones  y</w:t>
        <w:br/>
        <w:t xml:space="preserve">      recomendaciones que estime del caso…</w:t>
        <w:br/>
        <w:br/>
        <w:t>26.   El Consejo Permanente transmite el  informe  a  su  Comisión  de</w:t>
        <w:br/>
        <w:t>Asuntos Jurídicos y Políticos, que escucha  la  presentación  que  del</w:t>
        <w:br/>
        <w:t>mismo hace el Presidente de la Corte,  delibera  sobre  el  informe  y</w:t>
        <w:br/>
        <w:t>adopta una resolución que transmite al Consejo Permanente, el  cual  a</w:t>
        <w:br/>
        <w:t>su vez transmite a la Asamblea General. En la práctica lo  que  sucede</w:t>
        <w:br/>
        <w:t>es que la resolución que aprueba la CAJP, es la  misma  que  conoce  y</w:t>
        <w:br/>
        <w:t>aprueba el Consejo y la Asamblea General. Y ese texto, en la CAJP,  se</w:t>
        <w:br/>
        <w:t>aprueba por consenso. Basta que el Estado que la Corte  menciona  como</w:t>
        <w:br/>
        <w:t>sujeto de un incumplimiento se oponga  a  que  se  le  exhorte  en  la</w:t>
        <w:br/>
        <w:t>resolución  a  informar  a  la  Corte  sobre  el  cumplimiento  de  la</w:t>
        <w:br/>
        <w:t>sentencia, para que no se le haga tal exhortación en la resolución que</w:t>
        <w:br/>
        <w:t>aprueba la CAJP y, consecuentemente, en  la  que  aprueba  el  Consejo</w:t>
        <w:br/>
        <w:t>Permanente y la Asamblea General.</w:t>
        <w:br/>
        <w:br/>
        <w:t>Es decir,  el  procedimiento  establecido  por  la  OEA  hace  que  la</w:t>
        <w:br/>
        <w:t>información de un pronunciamiento emitido por la Corte de  acuerdo  al</w:t>
        <w:br/>
        <w:t>artículo 65 de la Convención,  no  llegue  a  ser  conocido  y,  menos</w:t>
        <w:br/>
        <w:t>deliberado, por la Asamblea General. Y esto es lo que  ocurrió  en  el</w:t>
        <w:br/>
        <w:t>caso Hilaire, Constantine, Benjamin y otros contra Trinidad y Tobago y</w:t>
        <w:br/>
        <w:t>pudiera ocurrir lo mismo con las reparaciones ordenadas por  la  Corte</w:t>
        <w:br/>
        <w:t>en el presente caso Caesar contra Trinidad y Tobago.</w:t>
        <w:br/>
        <w:br/>
        <w:t>27.    Sin  embargo,  en  la  Resolución  AG/RES.  2043  (XXXIV-0-04),</w:t>
        <w:br/>
        <w:t>“Observaciones  y  Recomendaciones  al  Informe  Anual  de  la   Corte</w:t>
        <w:br/>
        <w:t>Interamericana de Derechos Humanos”, que aprobó la Asamblea General en</w:t>
        <w:br/>
        <w:t>su reunión de  Quito  de  2004,  se  dice  textualmente  en  el  punto</w:t>
        <w:br/>
        <w:t>resolutivo 4:</w:t>
        <w:br/>
        <w:br/>
        <w:t xml:space="preserve">      Reiterar  que,  con  el  propósito  de  que  la  Corte  pueda  cumplir</w:t>
        <w:br/>
        <w:t xml:space="preserve">      cabalmente con la obligación de informar a la Asamblea  General  sobre</w:t>
        <w:br/>
        <w:t xml:space="preserve">      el cumplimiento de sus fallos, es necesario que los Estados  Parte  le</w:t>
        <w:br/>
        <w:t xml:space="preserve">      brinden oportunamente la información que la Corte les requiera.</w:t>
        <w:br/>
        <w:br/>
        <w:t>Un paso  adelante  muy  importante,  pero  no  suficiente,  porque  no</w:t>
        <w:br/>
        <w:t>menciona qué Estado o Estados deben brindar esa información.  Pero  en</w:t>
        <w:br/>
        <w:t>esa misma Resolución, así como en la que aprobó la  Asamblea  General,</w:t>
        <w:br/>
        <w:t>en Santiago de Chile en  el  año  2003,  AG/RES.  1918  (XXXIII-0-03),</w:t>
        <w:br/>
        <w:t>también sobre “Observaciones y Recomendaciones al Informe Anual de  la</w:t>
        <w:br/>
        <w:t>Corte Interamericana de Derechos Humanos”, Trinidad y Tobago  solicitó</w:t>
        <w:br/>
        <w:t>el  registro  de  su  reserva  a  los  párrafos  resolutivos  9  y  7,</w:t>
        <w:br/>
        <w:t>respectivamente, que textualmente dicen lo mismo:</w:t>
        <w:br/>
        <w:br/>
        <w:t xml:space="preserve">      Instar a los Estados Miembros de la OEA a que consideren, según sea el</w:t>
        <w:br/>
        <w:t xml:space="preserve">      caso, la firma y ratificación o adhesión  a  la  Convención  Americana</w:t>
        <w:br/>
        <w:t xml:space="preserve">      sobre Derechos Humanos y demás instrumentos del sistema, incluyendo la</w:t>
        <w:br/>
        <w:t xml:space="preserve">      aceptación de la jurisdicción obligatoria de la  Corte  Interamericana</w:t>
        <w:br/>
        <w:t xml:space="preserve">      de Derechos Humanos.</w:t>
        <w:br/>
        <w:br/>
        <w:br/>
        <w:t xml:space="preserve">                                     VII</w:t>
        <w:br/>
        <w:br/>
        <w:t xml:space="preserve">     Las consecuencias de la laguna existente en la Convención Americana</w:t>
        <w:br/>
        <w:t xml:space="preserve">      sobre Derechos Humanos, para dar efecto útil al artículo 65 de la</w:t>
        <w:br/>
        <w:t xml:space="preserve">                                    misma</w:t>
        <w:br/>
        <w:br/>
        <w:t>28.   La consecuencia de que la Convención Americana no establezca  un</w:t>
        <w:br/>
        <w:t>mecanismo para implementar y dar efecto útil  al  artículo  65  de  la</w:t>
        <w:br/>
        <w:t>Convención Americana, sumado al trámite que se da en la OEA al informe</w:t>
        <w:br/>
        <w:t>anual de la Corte, es que cuando se revisa la lista de casos y medidas</w:t>
        <w:br/>
        <w:t>provisionales sometidas a la Corte para que las considere  de  acuerdo</w:t>
        <w:br/>
        <w:t>con su función jurisdiccional, se provoque  una  impresión  equivocada</w:t>
        <w:br/>
        <w:t>del  grado  satisfactorio  de  cumplimiento  de   las   sentencias   y</w:t>
        <w:br/>
        <w:t>resoluciones de la Corte por  los  Estados  Partes  en  la  Convención</w:t>
        <w:br/>
        <w:t>Americana.</w:t>
        <w:br/>
        <w:br/>
        <w:t>Esto ocurre porque los casos no se pueden cerrar hasta que  ha  habido</w:t>
        <w:br/>
        <w:t>un cumplimiento total  de  la  sentencia,  pese  a  que  el  grado  de</w:t>
        <w:br/>
        <w:t>cumplimiento parcial de las mismas es muy alto. Esta situación  podría</w:t>
        <w:br/>
        <w:t>solventarse si los Estados Partes remitieran siempre  oportunamente  a</w:t>
        <w:br/>
        <w:t>la Corte la información que ésta les solicita  sobre  cumplimiento  de</w:t>
        <w:br/>
        <w:t>sentencias y medidas provisionales.</w:t>
        <w:br/>
        <w:br/>
        <w:t>29.   A continuación, se transcribe la lista de la totalidad de  casos</w:t>
        <w:br/>
        <w:t>contenciosos y medidas provisionales sometidos a la Corte hasta el mes</w:t>
        <w:br/>
        <w:t>de febrero del año 2005, señalándose específicamente cuáles  casos  se</w:t>
        <w:br/>
        <w:t>han cerrado y cuáles medidas provisionales se han levantado.</w:t>
        <w:br/>
        <w:br/>
        <w:t xml:space="preserve">                           Casos Contenciosos[195]</w:t>
        <w:br/>
        <w:br/>
        <w:t>|Nombre del Caso          |Estado      |Año de      |Etapa Actual   |</w:t>
        <w:br/>
        <w:t>|                         |Demandado   |Ingreso     |               |</w:t>
        <w:br/>
        <w:t>|Caso Velásquez Rodríguez |Honduras    |1986        |Archivado      |</w:t>
        <w:br/>
        <w:t>|Fairén Garbi y Solís     |Honduras    |1986        |Archivado      |</w:t>
        <w:br/>
        <w:t>|Corrales                 |            |            |               |</w:t>
        <w:br/>
        <w:t>|Godínez Cruz             |Honduras    |1986        |Archivado      |</w:t>
        <w:br/>
        <w:t>|Aloeboetoe y Otros       |Suriname    |1990        |Archivado      |</w:t>
        <w:br/>
        <w:t>|Gangaram Panday          |Suriname    |1990        |Archivado      |</w:t>
        <w:br/>
        <w:t>|Genie Lacayo             |Nicaragua   |1994        |Archivado      |</w:t>
        <w:br/>
        <w:t>|Cayara                   |Perú        |1992        |Archivado      |</w:t>
        <w:br/>
        <w:t>|Maqueda                  |Argentina   |1994        |Archivado      |</w:t>
        <w:br/>
        <w:t>|“La Última Tentación de  |Chile       |1999        |Archivado      |</w:t>
        <w:br/>
        <w:t>|Cristo” (Olmedo Bustos y |            |            |               |</w:t>
        <w:br/>
        <w:t>|otros)                   |            |            |               |</w:t>
        <w:br/>
        <w:t>|Alfonso Martín del Campo |México      |2003        |Archivado      |</w:t>
        <w:br/>
        <w:t>|Dodd                     |            |            |               |</w:t>
        <w:br/>
        <w:t>|Caso Neira Alegría y     |Perú        |1990        |Supervisión de |</w:t>
        <w:br/>
        <w:t>|otros                    |            |            |cumplimiento de|</w:t>
        <w:br/>
        <w:t>|                         |            |            |sentencia      |</w:t>
        <w:br/>
        <w:t>|Caso Caballero Delgado y |Colombia    |1992        |Supervisión de |</w:t>
        <w:br/>
        <w:t>|Santana                  |            |            |cumplimiento de|</w:t>
        <w:br/>
        <w:t>|                         |            |            |sentencia      |</w:t>
        <w:br/>
        <w:t>|Caso El Amparo           |Venezuela   |1994        |Supervisión de |</w:t>
        <w:br/>
        <w:t>|                         |            |            |cumplimiento de|</w:t>
        <w:br/>
        <w:t>|                         |            |            |sentencia      |</w:t>
        <w:br/>
        <w:t>|Caso Loayza Tamayo       |Perú        |1995        |Supervisión de |</w:t>
        <w:br/>
        <w:t>|                         |            |            |cumplimiento de|</w:t>
        <w:br/>
        <w:t>|                         |            |            |sentencia      |</w:t>
        <w:br/>
        <w:t>|Caso Castillo Páez       |Perú        |1995        |Supervisión de |</w:t>
        <w:br/>
        <w:t>|                         |            |            |cumplimiento de|</w:t>
        <w:br/>
        <w:t>|                         |            |            |sentencia      |</w:t>
        <w:br/>
        <w:t>|Caso Garrido y Baigorria |Argentina   |1995        |Supervisión de |</w:t>
        <w:br/>
        <w:t>|                         |            |            |cumplimiento de|</w:t>
        <w:br/>
        <w:t>|                         |            |            |sentencia      |</w:t>
        <w:br/>
        <w:t>|Caso Blake               |Guatemala   |1995        |Supervisión de |</w:t>
        <w:br/>
        <w:t>|                         |            |            |cumplimiento de|</w:t>
        <w:br/>
        <w:t>|                         |            |            |sentencia      |</w:t>
        <w:br/>
        <w:t>|Caso Suárez Rosero       |Ecuador     |1995        |Supervisión de |</w:t>
        <w:br/>
        <w:t>|                         |            |            |cumplimiento de|</w:t>
        <w:br/>
        <w:t>|                         |            |            |sentencia      |</w:t>
        <w:br/>
        <w:t>|Caso Benavides Cevallos  |Ecuador     |1996        |Supervisión de |</w:t>
        <w:br/>
        <w:t>|                         |            |            |cumplimiento de|</w:t>
        <w:br/>
        <w:t>|                         |            |            |sentencia      |</w:t>
        <w:br/>
        <w:t>|Caso Castillo Petruzzi y |Perú        |1997        |Supervisión de |</w:t>
        <w:br/>
        <w:t>|otros                    |            |            |cumplimiento de|</w:t>
        <w:br/>
        <w:t>|                         |            |            |sentencia      |</w:t>
        <w:br/>
        <w:t>|Caso Baena Ricardo y     |Panamá      |1998        |Supervisión de |</w:t>
        <w:br/>
        <w:t>|otros                    |            |            |cumplimiento de|</w:t>
        <w:br/>
        <w:t>|                         |            |            |sentencia      |</w:t>
        <w:br/>
        <w:t>|Caso Ivcher Bronstein    |Perú        |1999        |Supervisión de |</w:t>
        <w:br/>
        <w:t>|                         |            |            |cumplimiento de|</w:t>
        <w:br/>
        <w:t>|                         |            |            |sentencia      |</w:t>
        <w:br/>
        <w:t>|Caso del Tribunal        |Perú        |1999        |Supervisión de |</w:t>
        <w:br/>
        <w:t>|Constitucional           |            |            |cumplimiento de|</w:t>
        <w:br/>
        <w:t>|                         |            |            |sentencia      |</w:t>
        <w:br/>
        <w:t>|Caso de la “Panel Blanca”|Guatemala   |1995        |Supervisión de |</w:t>
        <w:br/>
        <w:t>|(Paniagua Morales y      |            |            |cumplimiento de|</w:t>
        <w:br/>
        <w:t>|otros)                   |            |            |sentencia      |</w:t>
        <w:br/>
        <w:t>|Caso de los “Niños de la |Guatemala   |1997        |Supervisión de |</w:t>
        <w:br/>
        <w:t>|Calle” (Villagrán Morales|            |            |cumplimiento de|</w:t>
        <w:br/>
        <w:t>|y otros)                 |            |            |sentencia      |</w:t>
        <w:br/>
        <w:t>|Caso Cesti Hurtado       |Perú        |1998        |Supervisión de |</w:t>
        <w:br/>
        <w:t>|                         |            |            |cumplimiento de|</w:t>
        <w:br/>
        <w:t>|                         |            |            |sentencia      |</w:t>
        <w:br/>
        <w:t>|Caso de la Comunidad     |Nicaragua   |1998        |Supervisión de |</w:t>
        <w:br/>
        <w:t>|Indígena Mayagna (Sumo)  |            |            |cumplimiento de|</w:t>
        <w:br/>
        <w:t>|Awas Tingni              |            |            |sentencia      |</w:t>
        <w:br/>
        <w:t>|Caso Cantoral Benavides  |Perú        |1996        |Supervisión de |</w:t>
        <w:br/>
        <w:t>|                         |            |            |cumplimiento de|</w:t>
        <w:br/>
        <w:t>|                         |            |            |sentencia      |</w:t>
        <w:br/>
        <w:t>|Caso Durand y Ugarte     |Perú        |1996        |Supervisión de |</w:t>
        <w:br/>
        <w:t>|                         |            |            |cumplimiento de|</w:t>
        <w:br/>
        <w:t>|                         |            |            |sentencia      |</w:t>
        <w:br/>
        <w:t>|Caso Bámaca Velásquez    |Guatemala   |1996        |Supervisión de |</w:t>
        <w:br/>
        <w:t>|                         |            |            |cumplimiento de|</w:t>
        <w:br/>
        <w:t>|                         |            |            |sentencia      |</w:t>
        <w:br/>
        <w:t>|Caso Trujillo Oroza      |Bolivia     |1999        |Supervisión de |</w:t>
        <w:br/>
        <w:t>|                         |            |            |cumplimiento de|</w:t>
        <w:br/>
        <w:t>|                         |            |            |sentencia      |</w:t>
        <w:br/>
        <w:t>|Caso Hilaire,            |Trinidad y  |1999-2000   |Supervisión de |</w:t>
        <w:br/>
        <w:t>|Constantine, Benjamin y  |Tobago      |            |cumplimiento de|</w:t>
        <w:br/>
        <w:t>|otros                    |            |            |sentencia      |</w:t>
        <w:br/>
        <w:t>|Caso Barrios Altos       |Perú        |2000        |Supervisión de |</w:t>
        <w:br/>
        <w:t>|                         |            |            |cumplimiento de|</w:t>
        <w:br/>
        <w:t>|                         |            |            |sentencia      |</w:t>
        <w:br/>
        <w:t>|Caso Las Palmeras        |Colombia    |1998        |Supervisión de |</w:t>
        <w:br/>
        <w:t>|                         |            |            |cumplimiento de|</w:t>
        <w:br/>
        <w:t>|                         |            |            |sentencia      |</w:t>
        <w:br/>
        <w:t>|Caso del Caracazo        |Venezuela   |1999        |Supervisión de |</w:t>
        <w:br/>
        <w:t>|                         |            |            |cumplimiento de|</w:t>
        <w:br/>
        <w:t>|                         |            |            |sentencia      |</w:t>
        <w:br/>
        <w:t>|Caso Bulacio             |Argentina   |2001        |Supervisión de |</w:t>
        <w:br/>
        <w:t>|                         |            |            |cumplimiento de|</w:t>
        <w:br/>
        <w:t>|                         |            |            |sentencia      |</w:t>
        <w:br/>
        <w:t>|Caso Cantos              |Argentina   |1999        |Supervisión de |</w:t>
        <w:br/>
        <w:t>|                         |            |            |cumplimiento de|</w:t>
        <w:br/>
        <w:t>|                         |            |            |sentencia      |</w:t>
        <w:br/>
        <w:t>|Caso Juan Humberto       |Honduras    |2001        |Supervisión de |</w:t>
        <w:br/>
        <w:t>|Sánchez                  |            |            |cumplimiento de|</w:t>
        <w:br/>
        <w:t>|                         |            |            |sentencia      |</w:t>
        <w:br/>
        <w:t>|Caso “Cinco Pensionistas”|Perú        |2001        |Supervisión de |</w:t>
        <w:br/>
        <w:t>|                         |            |            |cumplimiento de|</w:t>
        <w:br/>
        <w:t>|                         |            |            |sentencia      |</w:t>
        <w:br/>
        <w:t>|Caso Mack Chang          |Guatemala   |2001        |Supervisión de |</w:t>
        <w:br/>
        <w:t>|                         |            |            |cumplimiento de|</w:t>
        <w:br/>
        <w:t>|                         |            |            |sentencia      |</w:t>
        <w:br/>
        <w:t>|Caso Maritza Urrutia     |Guatemala   |2002        |Supervisión de |</w:t>
        <w:br/>
        <w:t>|                         |            |            |cumplimiento de|</w:t>
        <w:br/>
        <w:t>|                         |            |            |sentencia      |</w:t>
        <w:br/>
        <w:t>|Caso 19 Comerciantes     |Colombia    |2001        |Supervisión de |</w:t>
        <w:br/>
        <w:t>|                         |            |            |cumplimiento de|</w:t>
        <w:br/>
        <w:t>|                         |            |            |sentencia      |</w:t>
        <w:br/>
        <w:t>|Caso de los Hermanos     |Perú        |2002        |Supervisión de |</w:t>
        <w:br/>
        <w:t>|Gómez Paquiyauri         |            |            |cumplimiento de|</w:t>
        <w:br/>
        <w:t>|                         |            |            |sentencia      |</w:t>
        <w:br/>
        <w:t>|Caso Instituto de        |Paraguay    |2002        |Supervisión de |</w:t>
        <w:br/>
        <w:t>|Reeducación del Menor    |            |            |cumplimiento de|</w:t>
        <w:br/>
        <w:t>|                         |            |            |sentencia      |</w:t>
        <w:br/>
        <w:t>|Caso Ricardo Canese      |Paraguay    |2002        |Supervisión de |</w:t>
        <w:br/>
        <w:t>|                         |            |            |cumplimiento de|</w:t>
        <w:br/>
        <w:t>|                         |            |            |sentencia      |</w:t>
        <w:br/>
        <w:t>|Caso Lori Berenson Mejía |Perú        |2002        |Supervisión de |</w:t>
        <w:br/>
        <w:t>|                         |            |            |cumplimiento de|</w:t>
        <w:br/>
        <w:t>|                         |            |            |sentencia      |</w:t>
        <w:br/>
        <w:t>|Caso Herrera Ulloa       |Costa Rica  |2003        |Supervisión de |</w:t>
        <w:br/>
        <w:t>|                         |            |            |cumplimiento de|</w:t>
        <w:br/>
        <w:t>|                         |            |            |sentencia      |</w:t>
        <w:br/>
        <w:t>|Caso Carpio Nicolle y    |Guatemala   |2003        |Supervisión de |</w:t>
        <w:br/>
        <w:t>|otros                    |            |            |cumplimiento de|</w:t>
        <w:br/>
        <w:t>|                         |            |            |sentencia      |</w:t>
        <w:br/>
        <w:t>|Caso De La Cruz Flores   |Perú        |2003        |Supervisión de |</w:t>
        <w:br/>
        <w:t>|                         |            |            |cumplimiento de|</w:t>
        <w:br/>
        <w:t>|                         |            |            |sentencia      |</w:t>
        <w:br/>
        <w:t>|Caso “Masacre Plan de    |Guatemala   |2002        |Supervisión de |</w:t>
        <w:br/>
        <w:t>|Sánchez”                 |            |            |cumplimiento de|</w:t>
        <w:br/>
        <w:t>|                         |            |            |sentencia      |</w:t>
        <w:br/>
        <w:t>|Caso de las Hermanas     |El Salvador |2003        |En trámite     |</w:t>
        <w:br/>
        <w:t>|Serrano Cruz             |            |            |               |</w:t>
        <w:br/>
        <w:t>|Caso Daniel Tibi         |Ecuador     |2003        |Supervisión de |</w:t>
        <w:br/>
        <w:t>|                         |            |            |cumplimiento de|</w:t>
        <w:br/>
        <w:t>|                         |            |            |sentencia      |</w:t>
        <w:br/>
        <w:t>|Caso Molina Theissen     |Guatemala   |2003        |Supervisión de |</w:t>
        <w:br/>
        <w:t>|                         |            |            |cumplimiento de|</w:t>
        <w:br/>
        <w:t>|                         |            |            |sentencia      |</w:t>
        <w:br/>
        <w:t>|Caso de la Comunidad     |Suriname    |2002        |Excepciones    |</w:t>
        <w:br/>
        <w:t>|Moiwana                  |            |            |preliminares y |</w:t>
        <w:br/>
        <w:t>|                         |            |            |eventuales     |</w:t>
        <w:br/>
        <w:t>|                         |            |            |fondo,         |</w:t>
        <w:br/>
        <w:t>|                         |            |            |reparaciones y |</w:t>
        <w:br/>
        <w:t>|                         |            |            |costas         |</w:t>
        <w:br/>
        <w:t>|Caso Caesar              |Trinidad y  |2003        |En trámite     |</w:t>
        <w:br/>
        <w:t>|                         |Tobago      |            |               |</w:t>
        <w:br/>
        <w:t>|Caso Yatama              |Nicaragua   |2003        |En trámite     |</w:t>
        <w:br/>
        <w:t>|Caso Acevedo Jaramillo y |Perú        |2003        |En trámite     |</w:t>
        <w:br/>
        <w:t>|otros (SITRAMUN)         |            |            |               |</w:t>
        <w:br/>
        <w:t>|Caso de la “Masacre de   |Colombia    |2003        |En trámite     |</w:t>
        <w:br/>
        <w:t>|Mapiripán”               |            |            |               |</w:t>
        <w:br/>
        <w:t>|Caso Acosta Calderón     |Ecuador     |2003        |En trámite     |</w:t>
        <w:br/>
        <w:t>|Caso Comunidad Yakye Axa |Paraguay    |2003        |En trámite     |</w:t>
        <w:br/>
        <w:t>|Caso de la Niñas Yean y  |República   |2003        |En trámite     |</w:t>
        <w:br/>
        <w:t>|Bosico                   |Dominicana  |            |               |</w:t>
        <w:br/>
        <w:t>|Caso López Álvarez       |Honduras    |2003        |En trámite     |</w:t>
        <w:br/>
        <w:t>|Caso Huilca Tecse        |Perú        |2004        |En trámite     |</w:t>
        <w:br/>
        <w:t>|Caso “Pueblo Bello”      |Colombia    |2004        |En trámite     |</w:t>
        <w:br/>
        <w:t>|Caso Gutiérrez Soler     |Colombia    |2004        |En trámite     |</w:t>
        <w:br/>
        <w:t>|Caso Palamara Iribarne   |Chile       |2004        |En trámite     |</w:t>
        <w:br/>
        <w:t>|Caso García Asto y       |Perú        |2004        |Trámite inicial|</w:t>
        <w:br/>
        <w:t>|Ramírez Rojas            |            |            |(procedimiento |</w:t>
        <w:br/>
        <w:t>|                         |            |            |escrito)       |</w:t>
        <w:br/>
        <w:t>|Caso Blanco Romero y     |Venezuela   |2004        |Trámite inicial|</w:t>
        <w:br/>
        <w:t>|otros                    |            |            |(procedimiento |</w:t>
        <w:br/>
        <w:t>|                         |            |            |escrito)       |</w:t>
        <w:br/>
        <w:t>|Caso Ituango             |Colombia    |2004        |Trámite inicial|</w:t>
        <w:br/>
        <w:t>|                         |            |            |(procedimiento |</w:t>
        <w:br/>
        <w:t>|                         |            |            |escrito)       |</w:t>
        <w:br/>
        <w:t>|Caso Juárez Cruzzat y    |Perú        |2004        |Trámite inicial|</w:t>
        <w:br/>
        <w:t>|otros                    |            |            |(en proceso el |</w:t>
        <w:br/>
        <w:t>|                         |            |            |examen         |</w:t>
        <w:br/>
        <w:t>|                         |            |            |preliminar de  |</w:t>
        <w:br/>
        <w:t>|                         |            |            |la demanda)    |</w:t>
        <w:br/>
        <w:t>|Caso Fermín Ramírez      |Guatemala   |2004        |Trámite inicial|</w:t>
        <w:br/>
        <w:t>|                         |            |            |(procedimiento |</w:t>
        <w:br/>
        <w:t>|                         |            |            |escrito)       |</w:t>
        <w:br/>
        <w:t>|Caso Gómez Palomino      |Perú        |2004        |Trámite inicial|</w:t>
        <w:br/>
        <w:t>|                         |            |            |(procedimiento |</w:t>
        <w:br/>
        <w:t>|                         |            |            |escrito)       |</w:t>
        <w:br/>
        <w:t>|Caso Raxcacó Reyes       |Guatemala   |2004        |Trámite inicial|</w:t>
        <w:br/>
        <w:t>|                         |            |            |(procedimiento |</w:t>
        <w:br/>
        <w:t>|                         |            |            |escrito)       |</w:t>
        <w:br/>
        <w:t>|Caso Ximenes Lopes       |Brasil      |2004        |Trámite inicial|</w:t>
        <w:br/>
        <w:t>|                         |            |            |(procedimiento |</w:t>
        <w:br/>
        <w:t>|                         |            |            |escrito)       |</w:t>
        <w:br/>
        <w:t>|Nogueira de Carvalho     |Brasil      |2005        |Trámite inicial|</w:t>
        <w:br/>
        <w:t>|                         |            |            |(procedimiento |</w:t>
        <w:br/>
        <w:t>|                         |            |            |escrito)       |</w:t>
        <w:br/>
        <w:br/>
        <w:t xml:space="preserve">                         Medidas Provisionales[196]</w:t>
        <w:br/>
        <w:br/>
        <w:br/>
        <w:t>|                            |            |            |             |</w:t>
        <w:br/>
        <w:t>|Nombre del Caso             |Estado      |Año         |Estado Actual|</w:t>
        <w:br/>
        <w:t>|                            |respecto    |de          |             |</w:t>
        <w:br/>
        <w:t>|                            |del cual se |sometimiento|             |</w:t>
        <w:br/>
        <w:t>|                            |han         |            |             |</w:t>
        <w:br/>
        <w:t>|                            |Adoptado    |            |             |</w:t>
        <w:br/>
        <w:t>|Caso Velásquez Rodríguez    |Honduras    |1988        |Archivadas   |</w:t>
        <w:br/>
        <w:t>|Caso Fairén Garbí y Solís   |Honduras    |1988        |Archivadas   |</w:t>
        <w:br/>
        <w:t>|Corrales                    |            |            |             |</w:t>
        <w:br/>
        <w:t>|Caso Godínez Cruz           |Honduras    |1988        |Archivadas   |</w:t>
        <w:br/>
        <w:t>|Caso Bustíos Rojas          |Perú        |1991        |Archivadas   |</w:t>
        <w:br/>
        <w:t>|Caso Chunimá                |Guatemala   |1991        |Archivadas   |</w:t>
        <w:br/>
        <w:t>|Caso Reggiardo Tolosa       |Argentina   |1993        |Archivadas   |</w:t>
        <w:br/>
        <w:t>|Caso Alemán Lacayo          |Nicaragua   |1996        |Archivadas   |</w:t>
        <w:br/>
        <w:t>|Caso Vogt                   |Guatemala   |1996        |Archivadas   |</w:t>
        <w:br/>
        <w:t>|Caso Suárez Rosero          |Ecuador     |1996        |Archivadas   |</w:t>
        <w:br/>
        <w:t>|Caso Serech y Saquic        |Guatemala   |1996        |Archivadas   |</w:t>
        <w:br/>
        <w:t>|Caso Paniagua Morales y     |Guatemala   |1998        |Archivadas   |</w:t>
        <w:br/>
        <w:t>|otros y caso Vásquez y otros|            |            |             |</w:t>
        <w:br/>
        <w:t>|Caso Paniagua Morales y     |Guatemala   |2001        |Archivadas   |</w:t>
        <w:br/>
        <w:t>|otros                       |            |            |             |</w:t>
        <w:br/>
        <w:t>|Caso Clemente Teherán y     |Colombia    |1998        |Archivadas   |</w:t>
        <w:br/>
        <w:t>|otros                       |            |            |             |</w:t>
        <w:br/>
        <w:t>|Caso del Tribunal           |Perú        |2000        |Archivadas   |</w:t>
        <w:br/>
        <w:t>|Constitucional              |            |            |             |</w:t>
        <w:br/>
        <w:t>|Caso Ivcher Bronstein       |Perú        |2000        |Archivadas   |</w:t>
        <w:br/>
        <w:t>|Caso Digna Ochoa y Plácido y|México      |1999        |Archivadas   |</w:t>
        <w:br/>
        <w:t>|otros                       |            |            |             |</w:t>
        <w:br/>
        <w:t>|Caso Loayza Tamayo          |Perú        |1996/2000   |Archivadas   |</w:t>
        <w:br/>
        <w:t>|Caso del Periódico La Nación|Costa Rica  |2001        |Archivadas   |</w:t>
        <w:br/>
        <w:t>|Caso Chipoco                |Perú        |1992        |No adoptadas |</w:t>
        <w:br/>
        <w:t>|Caso Penales Peruanos       |Perú        |1992        |No adoptadas |</w:t>
        <w:br/>
        <w:t>|Caso Parker                 |Perú        |            |No adoptadas |</w:t>
        <w:br/>
        <w:t>|Caso Cesti Hurtado          |Perú        |1997        |No adoptadas |</w:t>
        <w:br/>
        <w:t>|Caso Colotenango            |Guatemala   |1994        |Activas      |</w:t>
        <w:br/>
        <w:t>|Caso Carpio Nicolle y otros |Guatemala   |1995        |Activas      |</w:t>
        <w:br/>
        <w:t>|Caso Giraldo Cardona        |Colombia    |1996        |Activas      |</w:t>
        <w:br/>
        <w:t>|Caso Álvarez y otros        |Colombia    |1997        |Activas      |</w:t>
        <w:br/>
        <w:t>|Caso James y otros          |Trinidad y  |1998        |Activas      |</w:t>
        <w:br/>
        <w:t>|                            |Tobago      |            |             |</w:t>
        <w:br/>
        <w:t>|Caso de Haitianos y         |República   |2000        |Activas      |</w:t>
        <w:br/>
        <w:t>|Dominicanos de origen       |Dominicana  |            |             |</w:t>
        <w:br/>
        <w:t>|haitiano en la República    |            |            |             |</w:t>
        <w:br/>
        <w:t>|Dominicana                  |            |            |             |</w:t>
        <w:br/>
        <w:t>|Caso Bámaca Velásquez       |Guatemala   |1998/2002   |Activas      |</w:t>
        <w:br/>
        <w:t>|Caso Blake                  |Guatemala   |1995        |Activas      |</w:t>
        <w:br/>
        <w:t>|Caso Caballero Delgado y    |Colombia    |1994        |Activas      |</w:t>
        <w:br/>
        <w:t>|Santana                     |            |            |             |</w:t>
        <w:br/>
        <w:t>|Caso de la Comunidad de Paz |Colombia    |2000        |Activas      |</w:t>
        <w:br/>
        <w:t>|de San José de Apartadó     |            |            |             |</w:t>
        <w:br/>
        <w:t>|Caso del Centro de Derechos |México      |2001        |Activas      |</w:t>
        <w:br/>
        <w:t>|Humanos Miguel Agustín Pro  |            |            |             |</w:t>
        <w:br/>
        <w:t>|Juárez y otros (actualmente |            |            |             |</w:t>
        <w:br/>
        <w:t>|Pilar Noriega y otros)      |            |            |             |</w:t>
        <w:br/>
        <w:t>|Caso Gallardo Rodríguez     |México      |2001        |Activas      |</w:t>
        <w:br/>
        <w:t>|Caso de la Cárcel de Urso   |Brasil      |2002        |Activas      |</w:t>
        <w:br/>
        <w:t>|Branco                      |            |            |             |</w:t>
        <w:br/>
        <w:t>|Caso de la Comunidad Mayagna|Nicaragua   |2002        |Activas      |</w:t>
        <w:br/>
        <w:t>|(Sumo) Awas Tingni          |            |            |             |</w:t>
        <w:br/>
        <w:t>|Caso Helen Mack y otros     |Guatemala   |2002        |Activas      |</w:t>
        <w:br/>
        <w:t>|Caso Luis Uzcátegui         |Venezuela   |2002        |Activas      |</w:t>
        <w:br/>
        <w:t>|Caso Lilliana Ortega y otras|Venezuela   |2002        |Activas      |</w:t>
        <w:br/>
        <w:t>|Caso Luisiana Ríos y otros  |Venezuela   |2002        |Activas      |</w:t>
        <w:br/>
        <w:t>|(Radio Caracas Televisión   |            |            |             |</w:t>
        <w:br/>
        <w:t>|-RCTV-)                     |            |            |             |</w:t>
        <w:br/>
        <w:t>|Caso Lysias Fleury          |Haití       |2003        |Activas      |</w:t>
        <w:br/>
        <w:t>|Caso Marta Colomina y       |Venezuela   |2003        |Activas      |</w:t>
        <w:br/>
        <w:t>|Lilliana Velásquez          |            |            |             |</w:t>
        <w:br/>
        <w:t>|Caso de las Comunidades del |Colombia    |2003        |Activas      |</w:t>
        <w:br/>
        <w:t>|Jiguamiandó y del Curbaradó |            |            |             |</w:t>
        <w:br/>
        <w:t>|Caso de los Hermanos Gómez  |Perú        |2004        |Activas      |</w:t>
        <w:br/>
        <w:t>|Paquiyauri                  |            |            |             |</w:t>
        <w:br/>
        <w:t>|Caso Pueblo Indígena        |Colombia    |2004        |Activas      |</w:t>
        <w:br/>
        <w:t>|Kankuamo                    |            |            |             |</w:t>
        <w:br/>
        <w:t>|Caso de la Comunidad        |Ecuador     |2004        |Activas      |</w:t>
        <w:br/>
        <w:t>|Sarayaku                    |            |            |             |</w:t>
        <w:br/>
        <w:t>|Caso de los Diarios “El     |Venezuela   |2004        |Activas      |</w:t>
        <w:br/>
        <w:t>|Nacional” y “Así es la      |            |            |             |</w:t>
        <w:br/>
        <w:t>|Noticia”                    |            |            |             |</w:t>
        <w:br/>
        <w:t>|Caso Carlos Nieto Palma y   |Venezuela   |2004        |Activas      |</w:t>
        <w:br/>
        <w:t>|otros                       |            |            |             |</w:t>
        <w:br/>
        <w:t>|Caso 19 Comerciantes (Sandra|Colombia    |2004        |Activas      |</w:t>
        <w:br/>
        <w:t>|Belinda Montero Fuentes y   |            |            |             |</w:t>
        <w:br/>
        <w:t>|otros)                      |            |            |             |</w:t>
        <w:br/>
        <w:t>|Caso de la Emisora de       |Venezuela   |2004        |Activas      |</w:t>
        <w:br/>
        <w:t>|Televisión “Globovisión”    |            |            |             |</w:t>
        <w:br/>
        <w:t>|Caso Raxcacó y otros        |Guatemala   |2004        |Activas      |</w:t>
        <w:br/>
        <w:t>|Caso Boyce y Joseph         |Barbados    |2004        |Activas      |</w:t>
        <w:br/>
        <w:t>|Caso Eloisa Barrios y otros |Venezuela   |2004        |Activas      |</w:t>
        <w:br/>
        <w:t>|Caso de las Penitenciarías  |Argentina   |2004        |Activas      |</w:t>
        <w:br/>
        <w:t>|de Mendoza                  |            |            |             |</w:t>
        <w:br/>
        <w:t>|Caso Masacre Plan de Sánchez|Guatemala   |2004        |Activas      |</w:t>
        <w:br/>
        <w:t>|(Salvador Jerónimo y otros) |            |            |             |</w:t>
        <w:br/>
        <w:t>|Caso Fermín Ramírez         |Guatemala   |2004        |Activas      |</w:t>
        <w:br/>
        <w:t>|Caso de la “Masacre de      |Colombia    |2005        |Activas      |</w:t>
        <w:br/>
        <w:t>|Mapiripán”                  |            |            |             |</w:t>
        <w:br/>
        <w:br/>
        <w:br/>
        <w:t xml:space="preserve">                                    VIII</w:t>
        <w:br/>
        <w:br/>
        <w:t xml:space="preserve">                            Propuesta de Solución</w:t>
        <w:br/>
        <w:br/>
        <w:t>30.   Ha quedado demostrado que como consecuencia de  la  ausencia  de</w:t>
        <w:br/>
        <w:t>una norma convencional que permite implementar el artículo  65  de  la</w:t>
        <w:br/>
        <w:t>Convención y de la manera como se tramita y se  considera  el  informe</w:t>
        <w:br/>
        <w:t>anual de labores de la Corte por las instancias pertinentes de la OEA,</w:t>
        <w:br/>
        <w:t>los informes de no cumplimiento de una sentencia de la  Corte  no  son</w:t>
        <w:br/>
        <w:t>directamente conocidos o debatidos por la Asamblea General de la  OEA,</w:t>
        <w:br/>
        <w:t>ni tampoco  por  el  Consejo  Permanente  o  su  Comisión  de  Asuntos</w:t>
        <w:br/>
        <w:t>Jurídicos y Políticos. Esta última se limita a debatir y a  emitir  un</w:t>
        <w:br/>
        <w:t>proyecto de resolución para el Consejo Permanente, que luego se somete</w:t>
        <w:br/>
        <w:t>a la Asamblea General, sobre el informe de labores de la  Corte.  Pero</w:t>
        <w:br/>
        <w:t>no se escucha y debate sobre el incumplimiento específico del caso  en</w:t>
        <w:br/>
        <w:t>mención y, consecuentemente, el descargo respectivo del Estado.</w:t>
        <w:br/>
        <w:br/>
        <w:t>31.   No cabe la menor duda de que la solución óptima sería adoptar un</w:t>
        <w:br/>
        <w:t>protocolo de reformas  a  la  parte  procedimental  de  la  Convención</w:t>
        <w:br/>
        <w:t>Americana, tal y como oportunamente  lo  propuso  la  Corte.  Pero  de</w:t>
        <w:br/>
        <w:t>momento y en ausencia de una solución a largo plazo, debe optarse  por</w:t>
        <w:br/>
        <w:t>una que a  corto  plazo  permita  que  se  debatan,  por  los  órganos</w:t>
        <w:br/>
        <w:t>respectivos de la OEA, los informes de  incumplimiento  de  sentencias</w:t>
        <w:br/>
        <w:t>dictadas por la Corte, lo que podría  facilitar  en  muchos  casos  el</w:t>
        <w:br/>
        <w:t>pronto y total cumplimiento de los mismos y su cierre  definitivo  por</w:t>
        <w:br/>
        <w:t>la Corte. Esto fortalecería  el  sistema  interamericano  de  derechos</w:t>
        <w:br/>
        <w:t>humanos que erróneamente parece inefectivo como  consecuencia  de  los</w:t>
        <w:br/>
        <w:t>datos que se transcribieron anteriormente (supra párr. 29).</w:t>
        <w:br/>
        <w:br/>
        <w:t>32.   Aunque en reiteradas ocasiones  la  Corte  ha  comunicado  a  la</w:t>
        <w:br/>
        <w:t>Asamblea General que no ha recibido información de un Estado sobre  el</w:t>
        <w:br/>
        <w:t>cumplimiento  de  una  sentencia  o  de  medidas   provisionales[197],</w:t>
        <w:br/>
        <w:t>solamente en el año 1995 la Asamblea General exhortó a un  Estado,  en</w:t>
        <w:br/>
        <w:t>el caso concreto Suriname, a informar a la Corte sobre el cumplimiento</w:t>
        <w:br/>
        <w:t>de las sentencias sobre los casos Aloeboetoe y Gangaram Panday  (supra</w:t>
        <w:br/>
        <w:t>párr. 9), lo que es una prueba irrefutable de lo afirmado en este voto</w:t>
        <w:br/>
        <w:t>razonado en el caso Caesar contra Trinidad y Tobago y que debe merecer</w:t>
        <w:br/>
        <w:t>toda la atención del caso por los  Estados  Partes  en  la  Convención</w:t>
        <w:br/>
        <w:t>Americana.</w:t>
        <w:br/>
        <w:br/>
        <w:t>33.   Para evitar  que  esto  continúe  sucediendo,  la  solución  más</w:t>
        <w:br/>
        <w:t>inmediata sería que la CAJP creara un grupo de trabajo  -con  carácter</w:t>
        <w:br/>
        <w:t>permanente- para que en  su  seno  se  consideraran  los  informes  de</w:t>
        <w:br/>
        <w:t>incumplimiento emitidos por la  Corte  y  los  miembros  de  la  misma</w:t>
        <w:br/>
        <w:t>recibieran informes escritos y verbales de la Corte, la Comisión y los</w:t>
        <w:br/>
        <w:t>representantes de las víctimas, así como los descargos o explicaciones</w:t>
        <w:br/>
        <w:t>que pudieran dar  los  Estados  Partes,  con  el  fin  de  elevar  las</w:t>
        <w:br/>
        <w:t>recomendaciones pertinentes  a  la  CAJP,  al  Consejo  Permanente  y,</w:t>
        <w:br/>
        <w:t>finalmente, a la Asamblea General.</w:t>
        <w:br/>
        <w:br/>
        <w:t>34.    La  OEA  es  una  institución  de  naturaleza  fundamentalmente</w:t>
        <w:br/>
        <w:t>política, pese a la cual,  los  grandes  temas  políticos  han  estado</w:t>
        <w:br/>
        <w:t>ausentes  de  su  agenda  diaria,  aquellos  temas  relativos  a   los</w:t>
        <w:br/>
        <w:t>principios jurídicos y políticos que dieron vida a la  organización  y</w:t>
        <w:br/>
        <w:t>son su razón de ser. La Organización  no  puede  ignorar  y  dejar  de</w:t>
        <w:br/>
        <w:t>debatir temas relativos al incumplimiento por alguno  de  sus  Estados</w:t>
        <w:br/>
        <w:t>Miembros del principio pacta sunt servanda y de incumplimiento de  las</w:t>
        <w:br/>
        <w:t>reparaciones en una sentencia dictada por el órgano jurisdiccional  de</w:t>
        <w:br/>
        <w:t>la Organización en materia de derechos humanos. La  revitalización  de</w:t>
        <w:br/>
        <w:t>la OEA pasa por el camino de enfrentar estos temas y no de convertirse</w:t>
        <w:br/>
        <w:t>simple y llanamente en una agencia de  cooperación  internacional.  Lo</w:t>
        <w:br/>
        <w:t>ocurrido en el caso Hilaire,  Constantine,  Benjamin  y  otros  contra</w:t>
        <w:br/>
        <w:t>Trinidad y Tobago, en que un Estado Parte en un caso ante el  Tribunal</w:t>
        <w:br/>
        <w:t>se niega a informar al mismo sobre cómo ha  dado  cumplimiento  a  una</w:t>
        <w:br/>
        <w:t>sentencia (artículo 68 de la Convención), y no haya  una  reacción  de</w:t>
        <w:br/>
        <w:t>los órganos políticos de la Organización, es un mal precedente.  Ojalá</w:t>
        <w:br/>
        <w:t>no hubieran otros nunca más y que el Estado mencionado  informe  sobre</w:t>
        <w:br/>
        <w:t>el cumplimiento de las reparaciones dictadas en la presente  Sentencia</w:t>
        <w:br/>
        <w:t>en el caso Caesar.</w:t>
        <w:br/>
        <w:br/>
        <w:br/>
        <w:t xml:space="preserve">                                     IX</w:t>
        <w:br/>
        <w:br/>
        <w:t xml:space="preserve">                                CONCLUSIONES</w:t>
        <w:br/>
        <w:br/>
        <w:t>35.   La  Organización  de  los  Estados  Americanos  es  un  foro  de</w:t>
        <w:br/>
        <w:t>naturaleza  política,  destinado  fundamentalmente   a   promover   la</w:t>
        <w:br/>
        <w:t>democracia y, consecuentemente, la dignidad del ser humano.</w:t>
        <w:br/>
        <w:br/>
        <w:t>36.   Con este fin se estableció el sistema interamericano de derechos</w:t>
        <w:br/>
        <w:t>humanos que cuenta entre sus órganos de protección a la Comisión  y  a</w:t>
        <w:br/>
        <w:t>la Corte Interamericanas  de  Derechos  Humanos,  este  último  órgano</w:t>
        <w:br/>
        <w:t>jurisdiccional que dicta sentencias de  acatamiento  obligatorio  para</w:t>
        <w:br/>
        <w:t>los Estados Partes en la Convención Americana sobre  Derechos  Humanos</w:t>
        <w:br/>
        <w:t>(artículo 68 de la Convención).</w:t>
        <w:br/>
        <w:br/>
        <w:t>37.   Pese a que la Convención Americana  sobre  Derechos  Humanos  se</w:t>
        <w:br/>
        <w:t>fundamentó en el Convenio [Europeo] para la Protección de los Derechos</w:t>
        <w:br/>
        <w:t>Humanos y de las Libertades Fundamentales de 1950, no estableció  como</w:t>
        <w:br/>
        <w:t>el Europeo un órgano como el Consejo de Ministros para  supervisar  el</w:t>
        <w:br/>
        <w:t>cumplimiento de las sentencias que dicta el Tribunal.</w:t>
        <w:br/>
        <w:br/>
        <w:t>38.   Consecuentemente, el artículo  65  de  la  Convención  Americana</w:t>
        <w:br/>
        <w:t>tiene una laguna que debe ser subsanada, porque si bien  obliga  a  la</w:t>
        <w:br/>
        <w:t>Corte debe informar a la OEA de los incumplimientos de sus sentencias,</w:t>
        <w:br/>
        <w:t>no estableció un procedimiento institucional dentro  de  la  OEA  para</w:t>
        <w:br/>
        <w:t>hacerlo, y el que ha establecido la Organización  no  permite  que  la</w:t>
        <w:br/>
        <w:t>Asamblea General, máximo órgano político e la Organización, conozca  y</w:t>
        <w:br/>
        <w:t>delibere sobre los incumplimientos de las sentencias emitidas  por  la</w:t>
        <w:br/>
        <w:t>Corte.</w:t>
        <w:br/>
        <w:br/>
        <w:t>39.   El alto grado de cumplimiento de las sentencias de la Corte,  es</w:t>
        <w:br/>
        <w:t>uno de los grandes logros del sistema interamericano de protección  de</w:t>
        <w:br/>
        <w:t>los  derechos  humanos[198].  No  obstante,  el  debatir  en  un  foro</w:t>
        <w:br/>
        <w:t>permanente en la OEA los incumplimientos de las sentencias  que  dicta</w:t>
        <w:br/>
        <w:t>el Tribunal, que podría ser en un grupo  de  trabajo,  vitalizaría  la</w:t>
        <w:br/>
        <w:t>OEA, ya que el debate  en  un  foro  de  esta  naturaleza  pondría  de</w:t>
        <w:br/>
        <w:t>manifiesto ante los Estados Miembros las fortalezas, pero también  las</w:t>
        <w:br/>
        <w:t>carencias y debilidades del sistema, con miras a su fortalecimiento  y</w:t>
        <w:br/>
        <w:t>perfeccionamiento.</w:t>
        <w:br/>
        <w:br/>
        <w:t>40.   Lo ocurrido con la falta de información sobre el cumplimiento de</w:t>
        <w:br/>
        <w:t>la sentencia en el caso Hilaire, Constantine, Benjamin y otros  contra</w:t>
        <w:br/>
        <w:t>Trinidad y Tobago, me ha motivado a exponer en este voto  razonado  en</w:t>
        <w:br/>
        <w:t>el caso Caesar contra Trinidad y Tobago, las debilidades  del  sistema</w:t>
        <w:br/>
        <w:t>en este campo, con la esperanza  de  que  situaciones  como  las  aquí</w:t>
        <w:br/>
        <w:t>expuestas no se vuelvan a repetir y los Estados Miembros  de  la  OEA,</w:t>
        <w:br/>
        <w:t>pero especialmente los Estados  Partes  en  la  Convención  Americana,</w:t>
        <w:br/>
        <w:t>implementen el mecanismo necesario para que se cumplan cabalmente  las</w:t>
        <w:br/>
        <w:t>sentencias que dicte la Corte Interamericana, porque  como  ya  lo  ha</w:t>
        <w:br/>
        <w:t>dicho reiteradamente este Tribunal, “en una sociedad  democrática  los</w:t>
        <w:br/>
        <w:t>derechos y libertades inherentes a la  persona,  sus  garantías  y  el</w:t>
        <w:br/>
        <w:t>Estado  de  Derecho  constituyen  una  tríada,  cada  uno   de   cuyos</w:t>
        <w:br/>
        <w:t>componentes se define, completa y adquiere sentido en función  de  los</w:t>
        <w:br/>
        <w:t>otros“[199].</w:t>
        <w:br/>
        <w:br/>
        <w:br/>
        <w:br/>
        <w:br/>
        <w:br/>
        <w:br/>
        <w:t xml:space="preserve">                          Manuel E. Ventura-Robles</w:t>
        <w:br/>
        <w:t xml:space="preserve">                                    Juez</w:t>
        <w:br/>
        <w:br/>
        <w:br/>
        <w:t>Pablo Saavedra Alessandri</w:t>
        <w:br/>
        <w:t xml:space="preserve">      Secretario</w:t>
        <w:br/>
        <w:br/>
        <w:br/>
        <w:t>-----------------------</w:t>
        <w:br/>
        <w:t>[1]   La presente Sentencia se  dicta  según  los  términos  del  Reglamento</w:t>
        <w:br/>
        <w:t>aprobado por la Corte Interamericana de Derechos Humanos en su XLIX  Período</w:t>
        <w:br/>
        <w:t>Ordinario de Sesiones mediante Resolución de 24 de  noviembre  de  2000,  el</w:t>
        <w:br/>
        <w:t>cual entró en vigor el 1º de junio de  2001,  y  según  la  reforma  parcial</w:t>
        <w:br/>
        <w:t>aprobada por la Corte en su  LXI  Período  Ordinario  de  Sesiones  mediante</w:t>
        <w:br/>
        <w:t>Resolución de 25 de noviembre de 2003, vigente  desde  el  1º  de  enero  de</w:t>
        <w:br/>
        <w:t>2004.</w:t>
        <w:br/>
        <w:br/>
        <w:t>[2]   A partir de la enmienda de 2000, la  Ley  de  Penas  Corporales  (Para</w:t>
        <w:br/>
        <w:t>Delincuentes Mayores de 16 años) de  1953  es  únicamente  aplicable  a  los</w:t>
        <w:br/>
        <w:t>delincuentes varones mayores de 18 años, por lo que cambió su nombre  a  Ley</w:t>
        <w:br/>
        <w:t>de Penas Corporales (Para Delincuentes Mayores  de  18  años)  (infra  párr.</w:t>
        <w:br/>
        <w:t>49.9).</w:t>
        <w:br/>
        <w:br/>
        <w:t>[3]   Cfr. Caso  Hilaire.   Excepciones  Preliminares.  Sentencia  de  1  de</w:t>
        <w:br/>
        <w:t>septiembre de 2001.  Serie C. No. 80,  párr.  98;  Caso  Benjamín  y  otros.</w:t>
        <w:br/>
        <w:t>Excepciones Preliminares.  Sentencia de 1 de septiembre de  2001.   Serie  C</w:t>
        <w:br/>
        <w:t>No. 81, párr. 89; y Caso Constantine  y  otros.   Excepciones  Preliminares.</w:t>
        <w:br/>
        <w:t>Sentencia de 1 de septiembre de 2001. Serie C No. 82, párr. 89.</w:t>
        <w:br/>
        <w:br/>
        <w:t>[4]   Cfr. Caso de las Hermanas  Serrano  Cruz.   Excepciones  Preliminares.</w:t>
        <w:br/>
        <w:t>Sentencia de 23 de noviembre de 2004.  Serie  C  No.  118,  párr.  63;  Caso</w:t>
        <w:br/>
        <w:t>Alfonso Martín del Campo Dodd. Sentencia 03 de septiembre 2004, Serie C  No.</w:t>
        <w:br/>
        <w:t>113, párr. 69; y Caso Baena Ricardo y otros. Competencia.  Sentencia  de  28</w:t>
        <w:br/>
        <w:t>de noviembre de 2003. Serie C No. 104, párr. 68.</w:t>
        <w:br/>
        <w:br/>
        <w:t>[5]   Cfr. Caso Hilaire. Excepciones Preliminares, supra nota 3,  párrs.  82</w:t>
        <w:br/>
        <w:t>y 84; Caso Benjamin y otros. Excepciones Preliminares, supra nota 3,  párrs.</w:t>
        <w:br/>
        <w:t>73 a 75; y Caso Constantine y otros. Excepciones  Preliminares,  supra  nota</w:t>
        <w:br/>
        <w:t>3, párrs. 73 a 75.</w:t>
        <w:br/>
        <w:br/>
        <w:t>[6]   Cfr. Caso de las  Hermanas  Serrano  Cruz.  Excepciones  Preliminares,</w:t>
        <w:br/>
        <w:t>supra nota 4, párrs. 66 y 67.</w:t>
        <w:br/>
        <w:br/>
        <w:t>[7]   Cfr. Caso Hilaire, Constantine y Benjamin y otros.   Sentencia  de  21</w:t>
        <w:br/>
        <w:t>de junio de 2002. Serie C No. 94, párr. 67  ;  Caso  de  los  “Niños  de  la</w:t>
        <w:br/>
        <w:t>Calle” (Villagrán Morales y otros). Sentencia de 19 de  noviembre  de  1999.</w:t>
        <w:br/>
        <w:t>Serie C No. 63, párr. 68; y Caso Godínez Cruz. Sentencia de 20 de  enero  de</w:t>
        <w:br/>
        <w:t>1989. Serie C No. 5, párr. 144.</w:t>
        <w:br/>
        <w:br/>
        <w:t>[8]   Cfr. Military and Paramilitary Activities  in  and  against  Nicaragua</w:t>
        <w:br/>
        <w:t>(Nicaragua v. United States of America), Merits,  Judgment,  I.C.J.  Reports</w:t>
        <w:br/>
        <w:t>1986,  p.  23,  párr.  27.  Ver  también,  Cfr.,   inter   alia,   Fisheries</w:t>
        <w:br/>
        <w:t>Jurisdiction  (United  Kingdom  v.  Iceland),  Jurisdiction  of  the  Court,</w:t>
        <w:br/>
        <w:t>Judgment, I.C.J. Reports  1973,  p.  7,  párr.  12;  Fisheries  Jurisdiction</w:t>
        <w:br/>
        <w:t>(United Kingdom v. Iceland), Merits, Judgment, I.C.J. Reports  1974,  p.  9,</w:t>
        <w:br/>
        <w:t>párr. 17; Nuclear Tests (Australia  v.  France),  Judgment  of  20  December</w:t>
        <w:br/>
        <w:t>1974, I.C.J. Reports 1974, p. 257, párr. 15; Aegean Sea  Continental  Shelf,</w:t>
        <w:br/>
        <w:t>Judgment, I.C.J. Reports 1978, p. 7, párr. 15; and United States  Diplomatic</w:t>
        <w:br/>
        <w:t>and Consular Staff in Tehran, Judgment, I.C.J. Reports 1980,  p.  18,  párr.</w:t>
        <w:br/>
        <w:t>33.</w:t>
        <w:br/>
        <w:br/>
        <w:t>[9]   Cfr. Caso Ivcher Bronstein. Sentencia de 6 de febrero de 2001. Serie</w:t>
        <w:br/>
        <w:t>C No. 74, párrs. 80 y 82; y Caso del Tribunal Constitucional. Sentencia de</w:t>
        <w:br/>
        <w:t>31 de enero de 2001. Serie C No. 71, párrs. 60 a 62.</w:t>
        <w:br/>
        <w:br/>
        <w:t>[10]  Cfr. Caso Lori Berenson Mejía.   Sentencia  de  25  de  noviembre   de</w:t>
        <w:br/>
        <w:t>2004. Serie C No. 119, párr. 62; Caso Carpio Nicolle y otros.  Sentencia  de</w:t>
        <w:br/>
        <w:t>22 de noviembre de 2004. Serie C No. 117, párr. 54; y Caso Masacre  Plan  de</w:t>
        <w:br/>
        <w:t>Sánchez.  Reparaciones  (art.  63.1  Convención  Americana  sobre   Derechos</w:t>
        <w:br/>
        <w:t>Humanos). Sentencia de 19 de noviembre de 2004.  Serie C No. 116, párr. 27.</w:t>
        <w:br/>
        <w:br/>
        <w:t>[11]  Cfr. Caso Lori Berenson Mejía, supra nota 10, párr.  64;  Caso  Carpio</w:t>
        <w:br/>
        <w:t>Nicolle y otros, supra nota 10,  párr. 55; y Caso Masacre Plan  de  Sánchez.</w:t>
        <w:br/>
        <w:t>Reparaciones, supra nota 10, párr. 28.</w:t>
        <w:br/>
        <w:br/>
        <w:t>[12]  Cfr. Caso Lori Berenson Mejía.  supra nota 10, párr. 77;  Caso  Carpio</w:t>
        <w:br/>
        <w:t>Nicolle y otros., supra nota 10, párr. 70; y Caso Masacre Plan  de  Sánchez.</w:t>
        <w:br/>
        <w:t>Reparaciones supra nota 10,  párr. 39.</w:t>
        <w:br/>
        <w:br/>
        <w:t>[13]  Cfr. Caso Lori Berenson Mejía, supra nota 10, párr.  78;  Caso  Carpio</w:t>
        <w:br/>
        <w:t>Nicolle y otros, supra nota 10, párr. 71; y Caso Masacre  Plan  de  Sánchez.</w:t>
        <w:br/>
        <w:t>Reparaciones, supra nota 10, párr. 46.</w:t>
        <w:br/>
        <w:br/>
        <w:t>[14]  Declaración Universal de Derechos Humanos  (Artículo  5);  Declaración</w:t>
        <w:br/>
        <w:t>Americana  de  los  Derechos  y  Deberes  del  Hombre  (Artículo  1);  Pacto</w:t>
        <w:br/>
        <w:t>Internacional de Derechos  Civiles  y  Políticos  (Artículo  7);  Convención</w:t>
        <w:br/>
        <w:t>Europea para la Protección de los  Derechos  Humanos  y  de  las  Libertades</w:t>
        <w:br/>
        <w:t>Fundamentales (Artículo 3); Carta Africana sobre los Derechos Humanos  y  de</w:t>
        <w:br/>
        <w:t>los Pueblos (Artículo 5) y Carta Árabe de Derechos Humanos (Artículo 13).</w:t>
        <w:br/>
        <w:br/>
        <w:t>[15]  Reglas Mínimas para el Tratamiento de los Reclusos,  adoptadas  el  30</w:t>
        <w:br/>
        <w:t>de agosto de 1955 por el  Primer  Congreso  de  las  Naciones  Unidas  sobre</w:t>
        <w:br/>
        <w:t>Prevención del Delito y Tratamiento del Delincuente, U.N.  Doc.  A/CONF/611,</w:t>
        <w:br/>
        <w:t>annex I, E.S.C. res. 663C, 24 U.N. ESCOR Supp. (No.  1)  p.  11,  ONU.  Doc.</w:t>
        <w:br/>
        <w:t>E/3048 (1957), enmendado E.S.C. res. 2076, 62 U.N. ESCOR Supp.  (No.  1)  p.</w:t>
        <w:br/>
        <w:t>35, U.N. Doc E/5988 (1977). La Regla 31  prevé  específicamente  que  “[l]as</w:t>
        <w:br/>
        <w:t>penas corporales, encierro en celda oscura, así  como  toda  sanción  cruel,</w:t>
        <w:br/>
        <w:t>inhumana o  degradante  quedarán  completamente  prohibidos  como  sanciones</w:t>
        <w:br/>
        <w:t>disciplinarias”.</w:t>
        <w:br/>
        <w:br/>
        <w:t>[16]  Cfr. Caso Lori Berenson Mejía, supra nota 10, párr. 100;  Caso  De  la</w:t>
        <w:br/>
        <w:t>Cruz Flores. Sentencia de 18 de noviembre de 2004. Serie C  No.  115,  párr.</w:t>
        <w:br/>
        <w:t>125; y Caso Tibi, Sentencia de 7 de septiembre de 2004.  Serie  C  No.  114,</w:t>
        <w:br/>
        <w:t>párr. 143.</w:t>
        <w:br/>
        <w:br/>
        <w:t>[17]  “Cuestión de los Derechos Humanos de todas las  personas  sometidas  a</w:t>
        <w:br/>
        <w:t>cualquier forma de detención o prisión, y en particular: la tortura y  otros</w:t>
        <w:br/>
        <w:t>tratos o penas crueles,  inhumanos  o  degradantes”.   Informe  del  Relator</w:t>
        <w:br/>
        <w:t>Especial, Sr. Nigel S. Rodley, presentado de conformidad con  la  resolución</w:t>
        <w:br/>
        <w:t>1995/37 B de  la  Comisión  de  Derechos  Humanos,  10  de  enero  de  1997,</w:t>
        <w:br/>
        <w:t>E/CN.4/1997/7.</w:t>
        <w:br/>
        <w:br/>
        <w:t>[18]        Comité de Derechos Humanos de las Naciones Unidas  (en  adelante</w:t>
        <w:br/>
        <w:t>“Comité de Derechos Humanos”). Observación general Nº 20,  Artículo  7  (44º</w:t>
        <w:br/>
        <w:t>sesión, 1992), Compilación de los Comentarios  Generales  y  Recomendaciones</w:t>
        <w:br/>
        <w:t>Generales adoptadas por los Instrumentos de  Derechos  Humanos,  U.N.   Doc.</w:t>
        <w:br/>
        <w:t>HRI/GEN/1/Rev. 1 a 14  (1994),  párr.  5;  y  Comité  de  Derechos  Humanos.</w:t>
        <w:br/>
        <w:t>Observación general Nº 21, Artículo 10 (44º sesión,  1992),  Compilación  de</w:t>
        <w:br/>
        <w:t>los Comentarios Generales y  Recomendaciones  Generales  adoptadas  por  los</w:t>
        <w:br/>
        <w:t>Instrumentos de Derechos Humanos, U.N. Doc. HRI/GEN/1/Rev. 1  a  14  (1994),</w:t>
        <w:br/>
        <w:t>párr. 3.</w:t>
        <w:br/>
        <w:br/>
        <w:t>[19]  Comité de Derechos Humanos. Examen de  los  informes  presentados  por</w:t>
        <w:br/>
        <w:t>los  estados  partes  de  conformidad  con  el  artículo   40   del   Pacto.</w:t>
        <w:br/>
        <w:t>Observaciones finales del Comité de Derechos  Humanos:  Trinidad  y  Tobago.</w:t>
        <w:br/>
        <w:t>17ª sesión, 3 de noviembre de 2000, CCPR/CO/70/TTO, párr. 13.</w:t>
        <w:br/>
        <w:br/>
        <w:t>[20]  George Osbourne v. Jamaica, Comunicación  No.  759/1997,  Informe  del</w:t>
        <w:br/>
        <w:t>Comité de Derechos Humanos de las Naciones Unidas,  13  de  abril  de  2000,</w:t>
        <w:br/>
        <w:t>CCPR/C/68/D/759/1997, párr. 9.1. Ver también  Comité  de  Derechos  Humanos.</w:t>
        <w:br/>
        <w:t>Boodlal Sooklal v. Trinidad and Tobago, Comunicación No.  928/2000,  Informe</w:t>
        <w:br/>
        <w:t>del Comité de Derechos Humanos de las Naciones Unidas,  8  de  noviembre  de</w:t>
        <w:br/>
        <w:t>2001, CCPR/C/73/928/2000, párr. 4.6;  y  Matthews  v.  Trinidad  and  Tobago</w:t>
        <w:br/>
        <w:t>(569/1993), Informe del Comité de Derechos Humanos,  29  de  mayo  de  1998,</w:t>
        <w:br/>
        <w:t>CCPR/C/62/D/569/1993, párr. 7.2.</w:t>
        <w:br/>
        <w:br/>
        <w:t>[21]  Eur. Court. H.R., Tyrer v.  United  Kingdom,  (5856/72),  Judgment  of</w:t>
        <w:br/>
        <w:t>April 25, 1978, Series  A,  No.  26,  párr.  33.  (traducción  libre  de  la</w:t>
        <w:br/>
        <w:t>Secretaría)  En el caso de A v. United Kingdom, la Corte  Europea  determinó</w:t>
        <w:br/>
        <w:t>de forma similar que la golpiza de un  niño  de  9  años  con  una  vara  de</w:t>
        <w:br/>
        <w:t>jardín, que fue aplicada con una fuerza considerable en más de una  ocasión,</w:t>
        <w:br/>
        <w:t>constituía una violación del artículo  3  de  la  Convención  Europea  (Eur.</w:t>
        <w:br/>
        <w:t>Court.  H.R.,  A  v.  United  Kingdom,  (100/1997/884/1096),   Judgment   of</w:t>
        <w:br/>
        <w:t>September 23, 1998). Por su parte, el Comité Europeo para la  Prevención  de</w:t>
        <w:br/>
        <w:t>la Tortura y de las Penas o Tratos Inhumanos o Degradantes  ha  especificado</w:t>
        <w:br/>
        <w:t>que las leyes domésticas que prevén un castigo  corporal  se  encuentran  en</w:t>
        <w:br/>
        <w:t>“contradicción  flagrante  con  las  Reglas  Europeas  sobre  Prisiones,   y</w:t>
        <w:br/>
        <w:t>generalmente  muy  anticuadas”  o  son  “claramente  inaceptables  por   los</w:t>
        <w:br/>
        <w:t>estándares actuales”.  (Comité Europeo para la Prevención de  la  Tortura  y</w:t>
        <w:br/>
        <w:t>de las Penas o  Tratos  Inhumanos  o  Degradantes,  Report  to  the  Maltese</w:t>
        <w:br/>
        <w:t>Government on the visit to Malta (CPT) from July 1 to 19, 1990,  October  1,</w:t>
        <w:br/>
        <w:t>1992, CPT/Inf (92) 5, at 16 and 23).</w:t>
        <w:br/>
        <w:br/>
        <w:t>[22]  Con respecto  a  las  normas  aplicables  en  los  conflictos  armados</w:t>
        <w:br/>
        <w:t>internacionales, la Tercera Convención de Ginebra de 12 de  agosto  de  1949</w:t>
        <w:br/>
        <w:t>relativa al tratamiento de prisioneros de guerra, 75 U.N.T.S. 135, en  vigor</w:t>
        <w:br/>
        <w:t>el 21 de octubre de 1950, artículos 87.3, 89 y 108.   La  Cuarta  Convención</w:t>
        <w:br/>
        <w:t>de Ginebra de 12 de agosto de 1949 relativa al  tratamiento  de  prisioneros</w:t>
        <w:br/>
        <w:t>de guerra, 75 U.N.T.S. 135, en vigor el 21 de octubre de 1950, artículo  32,</w:t>
        <w:br/>
        <w:t>118 y 119.  De forma más general, el artículo 75 del Protocolo  Adicional  I</w:t>
        <w:br/>
        <w:t>de la Convención de Ginebra establece que el  castigo  corporal  es  y  debe</w:t>
        <w:br/>
        <w:t>permanecer prohibido en cualquier momento  y  en  cualquier  lugar,  ya  sea</w:t>
        <w:br/>
        <w:t>cometido por civiles o por agentes militares  (Protocolo Adicional I  de  la</w:t>
        <w:br/>
        <w:t>Convención de Ginebra relativa a la Protección  de  Víctimas  de  Conflictos</w:t>
        <w:br/>
        <w:t>Internacionales Armados, 1125 U.N.T.S. 3, en vigor  el  7  de  diciembre  de</w:t>
        <w:br/>
        <w:t>1978, artículo 75.2b).  Ver también  artículo  11.4.   En  el  caso  de  los</w:t>
        <w:br/>
        <w:t>conflictos  armados  de  carácter  no  internacional,  el  artículo  4   del</w:t>
        <w:br/>
        <w:t>Protocolo Adicional II de la Convención  de  Ginebra  prohíbe  los  castigos</w:t>
        <w:br/>
        <w:t>corporales en cualquier momento y  lugar.  (Protocolo  II  adicional  a  los</w:t>
        <w:br/>
        <w:t>Convenios de Ginebra de 12 de agosto de 1949, relativo a  la  protección  de</w:t>
        <w:br/>
        <w:t>las víctimas de los conflictos armados de carácter no  internacional.  8  de</w:t>
        <w:br/>
        <w:t>junio de 1977).</w:t>
        <w:br/>
        <w:br/>
        <w:t>[23]  Ejemplos de los cambios legislativos recientes: Abolition of  Corporal</w:t>
        <w:br/>
        <w:t>Punishment Ordinance 1998 (Anguilla), Corporal  Punishment  (Abolition)  Act</w:t>
        <w:br/>
        <w:t>2000 (Islas  Vírgenes  Británicas),  Prisons  (Amendment)  Law  1998  (Islas</w:t>
        <w:br/>
        <w:t>Caimán), the Criminal Law (Amendment) Act (Act No 5 of  2003)  (Kenya),  the</w:t>
        <w:br/>
        <w:t>Punishment  of  Whipping  Act  1996  (Pakistán)  (pero  aún  permitido  para</w:t>
        <w:br/>
        <w:t>crímenes  de  “Hadood”),  y  Abolition  of  Corporal  Punishment  Act   1997</w:t>
        <w:br/>
        <w:t>(Sudáfrica).</w:t>
        <w:br/>
        <w:br/>
        <w:t>[24]  Cfr. State v. Ncube 1987 (2) ZLR 246 (SC); 1988 (2) SA  702  (Zimbabwe</w:t>
        <w:br/>
        <w:t>Supreme Court); Court of First Instance of the Netherlands Antilles,  citado</w:t>
        <w:br/>
        <w:t>por el  Comité Europeo para la Prevención de la Tortura y  de  las  Penas  o</w:t>
        <w:br/>
        <w:t>Tratos Inhumanos o Degradantes, Report to the Government of the  Netherlands</w:t>
        <w:br/>
        <w:t>on the visit to the  Netherlands  Antilles  from  7  to  11  December  1997,</w:t>
        <w:br/>
        <w:t>December 10, 1998, CPT/Inf (98)17 [Part 1], at 10; and Hope v.  Pelzer,  122</w:t>
        <w:br/>
        <w:t>S. Ct. 2508, No. 01-309, Supreme Court of the United States of  America  122</w:t>
        <w:br/>
        <w:t>S. Ct. 2508; Gates v. Collier 501 F. 2d 1292 at 1306 (5th  Cir.);  Ex  parte</w:t>
        <w:br/>
        <w:t>Attorney General of Namibia, In re Corporal  Punishment  by  Organs  of  the</w:t>
        <w:br/>
        <w:t>State, 1991 (3) SA 76 (Namibia Supreme Court), at  95F;  State  v.  Williams</w:t>
        <w:br/>
        <w:t>and Others, 1995 (3) SA 632 (South Africa Constitutional Court),  párr.  11;</w:t>
        <w:br/>
        <w:t>Simon Kyamanywa v. Uganda, Constitutional Reference No. 10/2000, 1  December</w:t>
        <w:br/>
        <w:t>2001 (Constitutional Court  of  Uganda);  Naushad  Ali  v.  State,  Criminal</w:t>
        <w:br/>
        <w:t>Appeal No. HAA 0083/2001L, March 21, 2002 (Fiji High Court);  y  John  Banda</w:t>
        <w:br/>
        <w:t>v. The People, HPA/6/1998 (High Court of Zambia).</w:t>
        <w:br/>
        <w:br/>
        <w:t>[25]        Cfr. Eur. Court H.R., Ireland v. United Kingdom, No.  25  (1979-</w:t>
        <w:br/>
        <w:t>1980), Judgment of January 18, 1978, párrs. 162-163.</w:t>
        <w:br/>
        <w:br/>
        <w:t>[26]  ICTFY, Prosecutor v. Delalic et al. (Celebici case), Case  No.  IT-96-</w:t>
        <w:br/>
        <w:t>21-T, Judgment of November 16, 1998, párr. 552. Ver  también  Prosecutor  v.</w:t>
        <w:br/>
        <w:t>Kunarac, Kovac and Vukovic, Case No. IT-96-23-T and  IT-96-23/1-T,  Judgment</w:t>
        <w:br/>
        <w:t>of February 22, 2001, párr. 514; Prosecutor v. Blaskic, Case  No.  IT-45-14-</w:t>
        <w:br/>
        <w:t>T, Judgment of March 3, 2000, párr. 186; y Prosecutor v. Jelesic,  Case  No.</w:t>
        <w:br/>
        <w:t>IT-95-10-T, Judgment of December 14, 1999, párr. 41.</w:t>
        <w:br/>
        <w:br/>
        <w:t>[27]  Cfr. Caso Loayza Tamayo. Sentencia de 17 de septiembre de 1997.  Serie</w:t>
        <w:br/>
        <w:t>C No. 33, párr. 57. Ver también,  Case of Ireland  v.  the  United  Kingdom,</w:t>
        <w:br/>
        <w:t>supra nota 25, párr. 167.</w:t>
        <w:br/>
        <w:br/>
        <w:t>[28]  Cfr. Caso de los Hermanos Gómez Paquiyauri, Sentencia de  8  de  julio</w:t>
        <w:br/>
        <w:t>de 2004, Serie C No. 110,  párr. 112; Caso Maritza Urrutia. Sentencia de  27</w:t>
        <w:br/>
        <w:t>de noviembre de 2003, Serie C No. 103, párr. 92; y Caso Cantoral  Benavides.</w:t>
        <w:br/>
        <w:t>Sentencia de 18 de agosto de 2000. Serie C No. 69, párrs. 102 y 103.</w:t>
        <w:br/>
        <w:br/>
        <w:t>[29]  Cfr., en el mismo sentido, Tyrer v. United Kingdom, supra nota 21.  En</w:t>
        <w:br/>
        <w:t>el mismo sentido, el Relator Especial de Tortura de la Comisión de  Derechos</w:t>
        <w:br/>
        <w:t>Humanos de las Naciones Unidas (supra  nota  17)  ha  manifestado  que  “las</w:t>
        <w:br/>
        <w:t>"sanciones legítimas" debe referirse  necesariamente  a  las  sanciones  que</w:t>
        <w:br/>
        <w:t>constituyen prácticas ampliamente aceptadas como legítimas por la  comunidad</w:t>
        <w:br/>
        <w:t>internacional, por  ejemplo  la  prisión  como  forma  de  privación  de  la</w:t>
        <w:br/>
        <w:t>libertad, que es un elemento común a casi todos los  sistemas  penales.  […]</w:t>
        <w:br/>
        <w:t>Por el contrario, el Relator Especial no puede aceptar el  concepto  de  que</w:t>
        <w:br/>
        <w:t>la imposición de castigos como la lapidación, los  azotes  y  la  amputación</w:t>
        <w:br/>
        <w:t>[…]  se  consideren  lícitos  sólo  porque  el  castigo  está  legítimamente</w:t>
        <w:br/>
        <w:t>autorizado desde el punto de vista del procedimiento, es decir  mediante  la</w:t>
        <w:br/>
        <w:t>promulgación de  leyes  o  normas  administrativas  o  una  orden  judicial.</w:t>
        <w:br/>
        <w:t>Aceptar esta opinión equivaldría a aceptar  que  cualquier  castigo  físico,</w:t>
        <w:br/>
        <w:t>por muy torturante y cruel  que  sea,  puede  considerarse  legítimo  en  la</w:t>
        <w:br/>
        <w:t>medida en que haya sido debidamente autorizado en virtud de  la  legislación</w:t>
        <w:br/>
        <w:t>interna de un Estado. Después de todo,  el  castigo  es  uno  de  los  fines</w:t>
        <w:br/>
        <w:t>prohibidos de la  tortura.  […]  Sin  duda  alguna,  los  castigos  crueles,</w:t>
        <w:br/>
        <w:t>inhumanos o degradantes son, pues, ilegales por  definición;  por  ello,  no</w:t>
        <w:br/>
        <w:t>pueden de ninguna manera constituir "sanciones legítimas" en el sentido  del</w:t>
        <w:br/>
        <w:t>artículo 1 de la Convención contra la Tortura.”</w:t>
        <w:br/>
        <w:br/>
        <w:t>[30]  Declaración testimonial rendida  por  el  señor  Winston  Caesar  ante</w:t>
        <w:br/>
        <w:t>fedatario público el 23 de octubre  de  2002  (expediente  de  anexos  a  la</w:t>
        <w:br/>
        <w:t>demanda de la Comisión, anexo 4).</w:t>
        <w:br/>
        <w:br/>
        <w:t>[31]  Declaración testimonial rendida  por  el  señor  Winston  Caesar  ante</w:t>
        <w:br/>
        <w:t>fedatario público, supra nota 30.</w:t>
        <w:br/>
        <w:br/>
        <w:t>[32]  Cfr. Trinidad and Tobago's Prison Rules (West Indian  Prisons  Act  of</w:t>
        <w:br/>
        <w:t>1838 (q &amp; 2 Vict. C67).</w:t>
        <w:br/>
        <w:br/>
        <w:t>[33]  Cfr. Principios de ética médica aplicables a la función  del  personal</w:t>
        <w:br/>
        <w:t>de salud, especialmente los médicos, en la protección de personas  presas  y</w:t>
        <w:br/>
        <w:t>detenidas contra la tortura y otros tratos  o  penas  crueles,  inhumanos  o</w:t>
        <w:br/>
        <w:t>degradantes, G.A. Res.37/194, annex, 37 U.N. GAOR  Sup.  (No.  51)  at  211,</w:t>
        <w:br/>
        <w:t>U.N. Doc. A/37/51 (1982).</w:t>
        <w:br/>
        <w:br/>
        <w:t>[34]  Cfr. Caso Castillo Petruzzi y otros. Sentencia de 30 de mayo de  1999.</w:t>
        <w:br/>
        <w:t>Serie C No. 52, párr. 90;  Caso de la ”Panel  Blanca”  (Paniagua  Morales  y</w:t>
        <w:br/>
        <w:t>otros). Sentencia de 8 de marzo de 1998, Serie C No. 37, párr.  71;  y  Caso</w:t>
        <w:br/>
        <w:t>Suárez Rosero, Sentencia de 12 de noviembre de 1997. Serie C No.  35,  párr.</w:t>
        <w:br/>
        <w:t>37.</w:t>
        <w:br/>
        <w:br/>
        <w:t>[35]  En el caso Tyrer v. United Kingdom (supra nota 21)  la  Corte  Europea</w:t>
        <w:br/>
        <w:t>resaltó que “la  legislación  relevante  prevé  que  en  cualquier  caso  el</w:t>
        <w:br/>
        <w:t>azotamiento no debe llevarse a cabo después de los seis meses de emitida  la</w:t>
        <w:br/>
        <w:t>sentencia.  Sin embargo,  esto  no  altera  el  hecho  que  haya  habido  un</w:t>
        <w:br/>
        <w:t>intervalo de  varias  semanas  desde  que  la  corte  juvenil  condenara  al</w:t>
        <w:br/>
        <w:t>peticionario y una demora considerable en  la  estación  policial  donde  el</w:t>
        <w:br/>
        <w:t>castigo fue llevado a cabo.  En consecuencia, aunado  al  dolor  físico  que</w:t>
        <w:br/>
        <w:t>experimentó, el señor Tyrer fue sometido a la angustia mental  de  anticipar</w:t>
        <w:br/>
        <w:t>la violencia  a  la  que  iba  a  ser  sometido”  (traducción  libre  de  la</w:t>
        <w:br/>
        <w:t>Secretaría).</w:t>
        <w:br/>
        <w:br/>
        <w:t>[36]  Cfr. Caso Hilaire, Constantine y  Benjamin  y  otros,  supra  nota  7,</w:t>
        <w:br/>
        <w:t>párr. 113.</w:t>
        <w:br/>
        <w:br/>
        <w:t>[37]  Cfr. Caso Lori Berenson Mejía, supra nota 10, párr.  102;  Caso  Tibi,</w:t>
        <w:br/>
        <w:t>supra nota 16, parr 150;  y  Caso  “Instituto  de  Reeducación  del  Menor”,</w:t>
        <w:br/>
        <w:t>Sentencia de 2 de septiembre de 2004, Serie  C,  No.  112,  párr.  151.  Ver</w:t>
        <w:br/>
        <w:t>también ONU. Reglas mínimas para el tratamiento de los  reclusos,  Adoptadas</w:t>
        <w:br/>
        <w:t>por el Primer Congreso de las Naciones Unidas sobre Prevención del Delito  y</w:t>
        <w:br/>
        <w:t>Tratamiento del Delincuente, celebrado en Ginebra en 1955, y  aprobadas  por</w:t>
        <w:br/>
        <w:t>el E.S.C. res. 663C (XXIV) de 31 de julio de 1957 y 2076  (LXII)  de  13  de</w:t>
        <w:br/>
        <w:t>mayo de 1977, Reglas 10 y 11.</w:t>
        <w:br/>
        <w:br/>
        <w:t>[38]  Cfr.  Caso  Tibi,  supra  nota  16,  párr.  129;  Caso  “Instituto  de</w:t>
        <w:br/>
        <w:t>Reeducación del Menor”, supra nota 37, párr. 152; y  Caso  de  los  Hermanos</w:t>
        <w:br/>
        <w:t>Gómez Paquiyauri, supra nota 28, párr. 98.</w:t>
        <w:br/>
        <w:br/>
        <w:t>[39]  Cfr. Caso Lori Berenson Mejía, supra nota 10, párr.  102;  Caso  Tibi,</w:t>
        <w:br/>
        <w:t>supra nota 16, parr 150; y Caso “Instituto de Reeducación del Menor”,  supra</w:t>
        <w:br/>
        <w:t>nota 37, párr. 153.</w:t>
        <w:br/>
        <w:br/>
        <w:t>[40]  Cfr. Caso Hilaire,  Constantine,  Benjamin  y  otros,  supra  nota  7,</w:t>
        <w:br/>
        <w:t>párrs. 169 y 170.</w:t>
        <w:br/>
        <w:br/>
        <w:t>[41]  Cfr. Caso de las  Hermanas  Serrano  Cruz.  Excepciones  Preliminares,</w:t>
        <w:br/>
        <w:t>supra nota 4, párrs. 60, 61 y  64;  Caso  Alfonso  Martín  del  Campo  Dodd.</w:t>
        <w:br/>
        <w:t>Excepciones  Preliminares,  supra  nota  4,  párr.  68;   y   Caso   Cantos.</w:t>
        <w:br/>
        <w:t>Excepciones Preliminares. Sentencia de 7 de septiembre de 2001. Serie C  No.</w:t>
        <w:br/>
        <w:t>85, párr. 35.</w:t>
        <w:br/>
        <w:br/>
        <w:t>[42]  Cfr. Caso Alfonso Martín del  Campo  Dodd.  Excepciones  Preliminares,</w:t>
        <w:br/>
        <w:t>supra nota 4, párrs. 79 a 84.</w:t>
        <w:br/>
        <w:br/>
        <w:t>[43]  Cfr. Eur. Court H.R., Kudla  v.  Poland,  Grand  Chamber,  (30210/96),</w:t>
        <w:br/>
        <w:t>Judgment of October 26, 2000, párrs. 102  y  103  y  119  -  123;  Humen  v.</w:t>
        <w:br/>
        <w:t>Poland, (26614/95), Judgment of October 15, 1999, párrs. 58-59. Ver  también</w:t>
        <w:br/>
        <w:t>Ila_[pic]cu v. Moldova and Russia, Grand Chamber,  (48787/99),  Judgment  of</w:t>
        <w:br/>
        <w:t>July 8, 2004, párrs), Judgment  of  October  15,  1999,  párrs.  58-59.  Ver</w:t>
        <w:br/>
        <w:t>también Ilaşcu v. Moldova and Russia, Grand  Chamber,  (48787/99),  Judgment</w:t>
        <w:br/>
        <w:t>of July 8, 2004, párrs. 395-400.</w:t>
        <w:br/>
        <w:br/>
        <w:t>[44]   Declaración  pericial  rendida  por  el  señor  Desmund  Allum   ante</w:t>
        <w:br/>
        <w:t>fedatario público el 26 de octubre de 2004 (anexos al expediente de fondo  y</w:t>
        <w:br/>
        <w:t>las eventuales reparaciones y costas).</w:t>
        <w:br/>
        <w:br/>
        <w:t>[45]   Prince  Pinder  v.  The  Queen,  Privy  Council  Appeal  No.  40/2001</w:t>
        <w:br/>
        <w:t>(Bahamas), September 23, 2002, [2003] 1 AC 620, párr. 5.</w:t>
        <w:br/>
        <w:br/>
        <w:t>[46]  Cfr. Caso Lori Berenson Mejía, supra nota 10, párr. 230;  Caso  Carpio</w:t>
        <w:br/>
        <w:t>Nicolle y otros, supra nota 10, párr. 85; y Caso De la  Cruz  Flores,  supra</w:t>
        <w:br/>
        <w:t>nota 16, párr. 138.</w:t>
        <w:br/>
        <w:br/>
        <w:t>[47]  Cfr. Caso Carpio Nicolle y  otros,  supra  nota  10,  párr.  86;  Caso</w:t>
        <w:br/>
        <w:t>Masacre Plan de Sánchez. Reparaciones, supra nota 10, párr. 52;  y  Caso  de</w:t>
        <w:br/>
        <w:t>la Cruz Flores, supra nota 16, párr. 139.</w:t>
        <w:br/>
        <w:br/>
        <w:t>[48]  Cfr. Caso Carpio Nicolle y  otros,  supra  nota  10,  párr.  87;  Caso</w:t>
        <w:br/>
        <w:t>Masacre Plan de Sánchez. Reparaciones, supra nota 10, párr. 53; y Caso  Tibi</w:t>
        <w:br/>
        <w:t>supra nota 16,  párr. 224.</w:t>
        <w:br/>
        <w:br/>
        <w:t>[49]  Cfr. Caso Lori Berenson Mejía, supra nota 10, párr. 231;  Caso  Carpio</w:t>
        <w:br/>
        <w:t>Nicolle y otros, supra nota 10, párr. 87; y Caso De la  Cruz  Flores,  supra</w:t>
        <w:br/>
        <w:t>nota 16, párr. 140.</w:t>
        <w:br/>
        <w:br/>
        <w:t>[50]  Cfr. Caso Carpio Nicolle y otros, supra nota 10, párr. 89; Caso  Tibi,</w:t>
        <w:br/>
        <w:t>supra nota 16, párr. 225; y  Caso  “Instituto  de  Reeducación  del  Menor”,</w:t>
        <w:br/>
        <w:t>supra nota 37, párr. 261.</w:t>
        <w:br/>
        <w:br/>
        <w:t>[51]  Cfr. Caso Masacre Plan de Sánchez. Reparaciones, supra nota 10,  párr.</w:t>
        <w:br/>
        <w:t>80; Caso De la Cruz Flores, supra nota 16, párr. 155;  y  Caso  Tibi,  supra</w:t>
        <w:br/>
        <w:t>nota 16, párr. 242.</w:t>
        <w:br/>
        <w:br/>
        <w:t>[52]  Cfr. Caso Lori Berenson Mejía, supra nota 10, párr. 235;  Caso  Carpio</w:t>
        <w:br/>
        <w:t>Nicolle y otros, supra nota 10, párr. 177; y  Caso Masacre Plan de  Sánchez.</w:t>
        <w:br/>
        <w:t>Reparaciones, supra nota 10, párr. 81.</w:t>
        <w:br/>
        <w:br/>
        <w:t>[53]  Cfr. Caso De la Cruz Flores, supra nota 10, párr.  164;  Caso  Masacre</w:t>
        <w:br/>
        <w:t>Plan de Sánchez. Reparaciones, supra nota 10, párr. 52;  y  Caso  “Instituto</w:t>
        <w:br/>
        <w:t>de Reeducación del Menor”, supra nota 37, párr. 310.</w:t>
        <w:br/>
        <w:br/>
        <w:t>[54]  Cfr. Caso Lori Berenson Mejía, supra nota 10, párr. 238; Caso  Masacre</w:t>
        <w:br/>
        <w:t>Plan de Sánchez. Reparaciones, supra nota 10, párrs. 106 y 107;  y  Caso  De</w:t>
        <w:br/>
        <w:t>la Cruz Flores, supra nota 16, párr. 168.</w:t>
        <w:br/>
        <w:br/>
        <w:t>[55]  Cfr. Caso Hilaire, Constantine y  Benjamin  y  otros,  supra  nota  7,</w:t>
        <w:br/>
        <w:t>párr. 152.c).</w:t>
        <w:br/>
        <w:br/>
        <w:t>[56]  Cfr. Caso Hilaire, Constantine y  Benjamin  y  otros,  supra  nota  7,</w:t>
        <w:br/>
        <w:t>párr. 217.</w:t>
        <w:br/>
        <w:t>[57] Cf. Maarten Bos, "Theory and Practice  of  Treaty  Interpretation",  27</w:t>
        <w:br/>
        <w:t>Netherlands International Law Review (1980) pp. 3-38  y  135-170;  W.  Lang,</w:t>
        <w:br/>
        <w:t>"Les règles d'interprétation codifiées par la Convention de  Vienne  sur  le</w:t>
        <w:br/>
        <w:t>Droit des Traités et  les  divers  types  de  traités",  24  Österreichische</w:t>
        <w:br/>
        <w:t>Zeitschrift für öffentliches Recht (1973) pp. 113-173; C.H.  Schreuer,  "The</w:t>
        <w:br/>
        <w:t>Interpretation of Treaties by International Courts", 45  British  Year  Book</w:t>
        <w:br/>
        <w:t>of  International  Law  (1971)  pp.  255-301;  Ch.  de  Visscher,  Problèmes</w:t>
        <w:br/>
        <w:t>d'interprétation judiciaire en Droit international  public,  Paris,  Pédone,</w:t>
        <w:br/>
        <w:t>1963, pp. 9-264.</w:t>
        <w:br/>
        <w:br/>
        <w:t>[58] M.K. Yasseen, "L'interprétation des traités d'après  la  Convention  de</w:t>
        <w:br/>
        <w:t>Vienne sur le Droit des Traités", 151 Recueil des  Cours  de  l'Académie  de</w:t>
        <w:br/>
        <w:t>Droit International de La Haye (1976) p. 74;  J.B.  Acosta  Estévez  and  A.</w:t>
        <w:br/>
        <w:t>Espaliat Larson, La Interpretación en el  Derecho  Internacional  Público  y</w:t>
        <w:br/>
        <w:t>Derecho Comunitario Europeo, Barcelona, PPU, 1990, p. 105, y  cf.  pp.  105-</w:t>
        <w:br/>
        <w:t>107.</w:t>
        <w:br/>
        <w:br/>
        <w:t>[59] A.A. Cançado Trindade, "The Interpretation of the International Law  of</w:t>
        <w:br/>
        <w:t>Human Rights by the  Two  Regional  Human  Rights  Courts,  in  Contemporary</w:t>
        <w:br/>
        <w:t>International Law Issues: Conflicts and Convergence  (Procedimientos  de  la</w:t>
        <w:br/>
        <w:t>III Conferencia Conjunta ASIL/Asser Instituut,  La  Haya,  julio  1995),  La</w:t>
        <w:br/>
        <w:t>Haya, Asser Instituut, 1996, pp. 157-162 y 166-167.</w:t>
        <w:br/>
        <w:br/>
        <w:t>[60] A.A. Cançado Trindade, "Le développement  du  Droit  international  des</w:t>
        <w:br/>
        <w:t>droits de l'homme  à  travers  l'activité  et  la  jurisprudence  des  Cours</w:t>
        <w:br/>
        <w:t>Européenne et Interaméricaine des Droits de l'Homme" (Discours du  Président</w:t>
        <w:br/>
        <w:t>de la  Cour  Interaméricaine  des  Droits  de  l'Homme),  in  CourEDH,  Cour</w:t>
        <w:br/>
        <w:t>Européenne  des  Droits  de  l'Homme  -  Rapport  annuel  2003,  Strasbourg,</w:t>
        <w:br/>
        <w:t>CourEDH, 2004, pp. 41-50.</w:t>
        <w:br/>
        <w:br/>
        <w:t>[61] CIDH, caso de Blake  versus  Guatemala  (Reparaciones),  Sentencia  del</w:t>
        <w:br/>
        <w:t>22.01.1999, Serie C, n. 48, Voto Razonado del Juez  A.A.  Cançado  Trindade,</w:t>
        <w:br/>
        <w:t>pp. 52-53, pára. 33, y cf. párrs. 32-34.</w:t>
        <w:br/>
        <w:br/>
        <w:t>[62] V.g., casos de  Tyrer  versus  el  Reino  Unido  (1978),  Airey  versus</w:t>
        <w:br/>
        <w:t>Irlanda (1979), Marckx versus Bélgica (1979), Dudgeon versus el Reino  Unido</w:t>
        <w:br/>
        <w:t>(1981), entre otros.</w:t>
        <w:br/>
        <w:br/>
        <w:t>[63] Cf., en este sentido, el  obiter  dicta  in:  Corte  Interamericana  de</w:t>
        <w:br/>
        <w:t>Derechos   Humanos   (CIDH),   Opinión   Consultiva   OC-10/89,   sobre   la</w:t>
        <w:br/>
        <w:t>Interpretación de la Declaración Americana de los  Derechos  y  Deberes  del</w:t>
        <w:br/>
        <w:t>Hombre en el  Marco  del  Artículo  64  de  la  Convención  Americana  Sobre</w:t>
        <w:br/>
        <w:t>Derechos Humanos, del 14.07.1989, párrs. 37-38; CIDH, Opinión Consultiva OC-</w:t>
        <w:br/>
        <w:t>16/99, sobre El Derecho a la Información sobre la Asistencia Consular en  el</w:t>
        <w:br/>
        <w:t>Marco de las Garantías del Debido Proceso Legal, del 01.10.1999, párrs. 114-</w:t>
        <w:br/>
        <w:t>115, y el Voto Razonado del Juez A.A. Cançado Trindade, párrs.  9-11;  CIDH,</w:t>
        <w:br/>
        <w:t>caso de  los  "Niños  de  la  Celle  "  (Villagrán  Morales  et  al.  versus</w:t>
        <w:br/>
        <w:t>Guatemala), Sentencia (sobre  el  fondo)  del  19.11.1999,  párrs.  193-194;</w:t>
        <w:br/>
        <w:t>CIDH, caso de Cantoral Benavides versus Peru,  Sentencia  (sobre  el  fondo)</w:t>
        <w:br/>
        <w:t>del 18.08.2000, párrs. 99 y 102-103; CIDH, caso de Bámaca  Velásquez  versus</w:t>
        <w:br/>
        <w:t>Guatemala, Sentencia (sobre el fondo)  del  25.11.2000,  Voto  Razonado  del</w:t>
        <w:br/>
        <w:t>Juez A.A. Cançado Trindade,  párrs.  34-38;  CIDH,  caso  de  la   Comunidad</w:t>
        <w:br/>
        <w:t>Mayagna (Sumo) Awas Tingni versus Nicaragua, Sentencia  (sobre  el  fondo  y</w:t>
        <w:br/>
        <w:t>reparaciones) del 31.08.2001, párrs. 148-149; CIDH,  caso  Bámaca  Velásquez</w:t>
        <w:br/>
        <w:t>vs. Guatemala, Sentencia (reparaciones) del 22.02.2002,  Voto  Razonado  del</w:t>
        <w:br/>
        <w:t>Juez A.A. Cançado Trindade, párr. 3.</w:t>
        <w:br/>
        <w:br/>
        <w:t>[64]. Por ejemplo, en  sus  sentencias  en  los  casos  de  Wemhoff  (1968),</w:t>
        <w:br/>
        <w:t>Lingüística Belga (1968), Golder (1975), Irlanda vs. el Reino  Unido  (1978)</w:t>
        <w:br/>
        <w:t>y Soering (1989), entre otros.</w:t>
        <w:br/>
        <w:br/>
        <w:t>[65]. CEDH,  caso  de  Loizidou  versus  Turquía  (objeciones  preliminares,</w:t>
        <w:br/>
        <w:t>Sentencia del 23.03.1995, párr. 75.</w:t>
        <w:br/>
        <w:br/>
        <w:t>[66]. CIDH, Opiniones Consultivas n. 1, sobre "Otros Tratados" Objeto de  la</w:t>
        <w:br/>
        <w:t>Función Consultiva de la Corte (1982), y n.  3,  sobre  Restricciones  a  la</w:t>
        <w:br/>
        <w:t>Pena de Muerte (1983), entre otras.</w:t>
        <w:br/>
        <w:br/>
        <w:t>[67]. E.g., inter alia, CIDH, Opinión Consultiva n. 2, sobre  El  Efecto  de</w:t>
        <w:br/>
        <w:t>las Reservas sobre la Entrada en Vigencia de la Convención  Americana  sobre</w:t>
        <w:br/>
        <w:t>Derechos Humanos (1982).</w:t>
        <w:br/>
        <w:br/>
        <w:t>[68]. Cf., e.g., CIDH, Opinión  Consultiva  n.  4,  sobre  la  Propuesta  de</w:t>
        <w:br/>
        <w:t>Modificación a la Constitución Política de Costa  Rica  Relacionada  con  la</w:t>
        <w:br/>
        <w:t>Naturalización (1984).</w:t>
        <w:br/>
        <w:br/>
        <w:t>[69]. Por lo tanto, en su sentencia en el caso de Golder  (1975),  la  Corte</w:t>
        <w:br/>
        <w:t>Europea de Derechos Humanos claramente estableció que no había espacio  para</w:t>
        <w:br/>
        <w:t>las limitaciones implícitas  (limitations  implicites);  desde  entonces  ha</w:t>
        <w:br/>
        <w:t>prevalecido  el  punto  de  vista  de  que   las   únicas   limitaciones   o</w:t>
        <w:br/>
        <w:t>restricciones permitidas son las expresamente  establecidas  en  el  tratado</w:t>
        <w:br/>
        <w:t>mismo de derechos humanos. El obiter dicta de  la  Corte  Interamericana  de</w:t>
        <w:br/>
        <w:t>Derechos Humanos en su séptima Opinión  Consultiva,  sobre  La  Exigibilidad</w:t>
        <w:br/>
        <w:t>del Derecho de Rectificación o Respuesta (1986) refuerza  la  interpretación</w:t>
        <w:br/>
        <w:t>necesariamente  restrictiva  de  las  restricciones  al  ejercicio  de   los</w:t>
        <w:br/>
        <w:t>derechos reconocidos en los tratados de derechos humanos.</w:t>
        <w:br/>
        <w:br/>
        <w:t>[70].  Cf.  A.A.  Cançado  Trindade,  "Co-existence  and  Co-ordination   of</w:t>
        <w:br/>
        <w:t>Mechanisms of International  Protection  of  Human  Rights  (At  Global  and</w:t>
        <w:br/>
        <w:t>Regional  Levels)",  202  Recueil  des  Cours   de   l'Académie   de   Droit</w:t>
        <w:br/>
        <w:t>International de La Haye (1987) p. 401.</w:t>
        <w:br/>
        <w:br/>
        <w:t>[71]. Cf., e.g., CIDH, Opinión Consultiva n. 11, Sobre  las  Excepciones  al</w:t>
        <w:br/>
        <w:t>Agotamiento de los Recursos Internos [cf.] (1990).</w:t>
        <w:br/>
        <w:br/>
        <w:t>[72]. Cf. A.A. Cançado Trindade, The Application of the Rule  of  Exhaustion</w:t>
        <w:br/>
        <w:t>of Local Remedies in International Law, Cambridge, University  Press,  1983,</w:t>
        <w:br/>
        <w:t>pp. 1-443.</w:t>
        <w:br/>
        <w:br/>
        <w:t>[73]. Específicamente,  sufrimiento  físico  o  mental  severo,  causado  de</w:t>
        <w:br/>
        <w:t>manera  intencional  para  obtener  información  o  una  confesión,  con  el</w:t>
        <w:br/>
        <w:t>consentimiento o aquiescencia de autoridades u otras personas actuando  bajo</w:t>
        <w:br/>
        <w:t>capacidad oficial.</w:t>
        <w:br/>
        <w:br/>
        <w:t>[74]. Cf. A.A. Cançado Trindade,  "Les  Mesures  provisoires  de  protection</w:t>
        <w:br/>
        <w:t>dans la jurisprudence de la Cour Interaméricaine des Droits de  l'Homme",  4</w:t>
        <w:br/>
        <w:t>Revista do Instituto Brasileiro de Direitos Humanos (2003) pp.  13-25;  A.A.</w:t>
        <w:br/>
        <w:t>Cançado Trindade, "The  Evolution  of  Provisional  Measures  of  Protection</w:t>
        <w:br/>
        <w:t>under the Case-Law of  the  Inter-American  Court  of  Human  Rights  (1987-</w:t>
        <w:br/>
        <w:t>2002)", 24 Human Rights Law Journal - Strasbourg/Kehl  (2003)  n.  5-8,  pp.</w:t>
        <w:br/>
        <w:t>162-168.</w:t>
        <w:br/>
        <w:br/>
        <w:t>[75]. En que, - podemos recordar,  -  el  Tribunal  de  La  Haya  endosó  la</w:t>
        <w:br/>
        <w:t>llamada práctica panamericana con relación a las reservas  a  los  tratados,</w:t>
        <w:br/>
        <w:t>dada su flexibilidad  y  en  búsqueda  de  un  cierto  equilibrio  entre  la</w:t>
        <w:br/>
        <w:t>integridad del texto del tratado y la universalidad de la  participación  en</w:t>
        <w:br/>
        <w:t>el mismo; de ahí el criterio de la compatibilidad de  las  reservas  con  el</w:t>
        <w:br/>
        <w:t>objeto y fin de los tratados. Cf. Informes de la CIJ  (1951)  pp.  15-30;  y</w:t>
        <w:br/>
        <w:t>cf., a  contrario  sensu,  la  Opinión  Disidente  Conjunta  de  los  Jueces</w:t>
        <w:br/>
        <w:t>Guerrero, McNair, Read y Hsu Mo (pp. 31-48), así como la  Opinión  Disidente</w:t>
        <w:br/>
        <w:t>del Juez Álvarez (pp. 49-55), sobre  las  dificultades  generadas  por  este</w:t>
        <w:br/>
        <w:t>criterio.</w:t>
        <w:br/>
        <w:br/>
        <w:t>[76]. Eso es, la Convención de Viena sobre el Derecho  de  los  Tratados  de</w:t>
        <w:br/>
        <w:t>1969 y la Convención de  Viena  sobre  el  Derecho  de  los  Tratados  entre</w:t>
        <w:br/>
        <w:t>Estados   y   Organizaciones   Internacionales   o   entre    Organizaciones</w:t>
        <w:br/>
        <w:t>Internacionales de 1986, -  a  lo  que  uno  podría  agregar,  en  el  mismo</w:t>
        <w:br/>
        <w:t>sentido, la Convención de Viena sobre la Sucesión de Estados en el  Tema  de</w:t>
        <w:br/>
        <w:t>Tratados de 1978 (Artículo 20).</w:t>
        <w:br/>
        <w:br/>
        <w:t>[77]. Endosado, e.g.,  por  la  Convención  Americana  de  Derechos  Humanos</w:t>
        <w:br/>
        <w:t>(referencia cruzada del artículo 75).</w:t>
        <w:br/>
        <w:br/>
        <w:t>[78]. Como ninguna de las arriba mencionadas  Convenciones  de  Viena  ni  –</w:t>
        <w:br/>
        <w:t>antes  de  ellas  –  la   mencionada   Opinión   Consultiva   del   Tribunal</w:t>
        <w:br/>
        <w:t>Internacional de Justicia sobre las  Reservas  a  la  Convención  contra  el</w:t>
        <w:br/>
        <w:t>Genocidio, define lo  que  constituye  la  compatibilidad  u  otro  (de  una</w:t>
        <w:br/>
        <w:t>reserva) con el objeto y fin de un tratado, la determinación es dejada a  la</w:t>
        <w:br/>
        <w:t>interpretación de este último, sin  que  se  haya  definidos  tampoco  sobre</w:t>
        <w:br/>
        <w:t>quien debe caer dicha determinación, de qué manera y  cuándo  debe  hacerse.</w:t>
        <w:br/>
        <w:t>Al momento de la adopción de esa Opinión Consultiva (1951),  ni  la  mayoría</w:t>
        <w:br/>
        <w:t>de la Corte  de  la  Haya,  ni  los  Jueces  disconformes  en  ese  momento,</w:t>
        <w:br/>
        <w:t>previeron el desarrollo de la supervisión internacional de derechos  humanos</w:t>
        <w:br/>
        <w:t>por los cuerpos convencionales de protección; de ahí las  insuficiencias  de</w:t>
        <w:br/>
        <w:t>la solución, en ese momento avanzada, y endosada años más tarde por las  dos</w:t>
        <w:br/>
        <w:t>Convenciones de Viena sobre el Derecho de Tratados a los  que  se  ha  hecho</w:t>
        <w:br/>
        <w:t>referencia.</w:t>
        <w:br/>
        <w:br/>
        <w:t>[79]. Hay una diferencia entre una reserva stricto sensu y  una  restricción</w:t>
        <w:br/>
        <w:t>en  el  instrumento  de  aceptación  de  la  jurisdicción   de   un   cuerpo</w:t>
        <w:br/>
        <w:t>internacional de supervisión, aún cuando sus efectos legales son similares.</w:t>
        <w:br/>
        <w:br/>
        <w:t>[80]. La Opinión Consultiva del TIJ  sobre  las  Reservas  a  la  Convención</w:t>
        <w:br/>
        <w:t>contra Genocidio (1951) marcó el paso gradual, en el tema de reservas a  los</w:t>
        <w:br/>
        <w:t>tratados, de la regla de  unanimidad  (de  su  aprobación  por  los  Estados</w:t>
        <w:br/>
        <w:t>Partes), a la prueba de su compatibilidad con el objeto y fin  del  tratado.</w:t>
        <w:br/>
        <w:t>De  manera  general,  la  Convención  de   Viena   incorporó   la   doctrina</w:t>
        <w:br/>
        <w:t>panamericana flexible sobre  las  reservas,  según  una  tendencia  en  este</w:t>
        <w:br/>
        <w:t>sentido de la práctica internacional ya formada en la época; I.M.  Sinclair,</w:t>
        <w:br/>
        <w:t>"Conferencia  de  Viena  sobre  el  Derecho   de   Tratados”,   19   Derecho</w:t>
        <w:br/>
        <w:t>Internacional y Comparativo Trimestral (1970) pp. 47-69; y cf. Artículos 19-</w:t>
        <w:br/>
        <w:t>20 de la Convención de Viena.</w:t>
        <w:br/>
        <w:br/>
        <w:t>[81]. Cf., e.g., J.M. Ruda, "Reservations  to  Treaties",  146  Recueil  des</w:t>
        <w:br/>
        <w:t>Cours de l'Académie de Droit International de La  Haye  (1975)  pp.  95-218;</w:t>
        <w:br/>
        <w:t>D.W. Bowett, "Reservations  to  Non-Restricted  Multilateral  Treaties",  48</w:t>
        <w:br/>
        <w:t>British Year Book of International Law (1976-1977) pp. 67-92; P.-H.  Imbert,</w:t>
        <w:br/>
        <w:t>Les réserves aux traités multilatéraux, Paris, Pédone, 1979, pp.  9-464;  K.</w:t>
        <w:br/>
        <w:t>Holloway, Les réserves dans les traités internationaux, Paris,  LGDJ,  1958,</w:t>
        <w:br/>
        <w:t>pp. 1-358; K. Zemanek, "Some Unresolved  Questions  Concerning  Reservations</w:t>
        <w:br/>
        <w:t>in the Vienna Convention on the Law of Treaties",  Essays  in  International</w:t>
        <w:br/>
        <w:t>Law in Honour  of  Judge  Manfred  Lachs  (ed.  J.  Makarczyk),  The  Hague,</w:t>
        <w:br/>
        <w:t>Nijhoff, 1984, pp. 323-336; Ch. Tomuschat, "Admissibility and Legal  Effects</w:t>
        <w:br/>
        <w:t>of Reservations to Multilateral Treaties", 27 Zeitschrift für  ausländisches</w:t>
        <w:br/>
        <w:t>öffentliches  Recht  und  Völkerrecht   (1967)   pp.   463-482;   F.   Horn,</w:t>
        <w:br/>
        <w:t>Reservations  and  Interpretative  Declarations  to  Multilateral  Treaties,</w:t>
        <w:br/>
        <w:t>Uppsala, Swedish Institute of International Law, 1988, pp. 184-222.</w:t>
        <w:br/>
        <w:br/>
        <w:t>[82]. Cf. ONU, Informe de la Comisión  de  Derecho  Internacional  sobre  su</w:t>
        <w:br/>
        <w:t>Trabajo de la 50 Sesión (1998), Registros Oficiales de la  Asamblea  General</w:t>
        <w:br/>
        <w:t>– Suplemento n. 10(A/53/10), pp. 195-214 ("Reservas a los Tratados:  Guía  a</w:t>
        <w:br/>
        <w:t>la Práctica").</w:t>
        <w:br/>
        <w:br/>
        <w:t>[83]. Recopilado  por  la  Secretaría  General  de  las  Naciones  Unidas  y</w:t>
        <w:br/>
        <w:t>recolectado en el documento: ONU, CCPR/C/2/Rev.4, de 24.08.1994,  pp.  1-139</w:t>
        <w:br/>
        <w:t>(versión en inglés), y pp. 1-160 (versión en español).</w:t>
        <w:br/>
        <w:br/>
        <w:t>[84]. Para un estudio de los problemas creados  por  las  reservas  a  estos</w:t>
        <w:br/>
        <w:t>cuatro  tratados  de  derechos  humanos  de  las  Naciones  Unidas,  cf.  L.</w:t>
        <w:br/>
        <w:t>Lijnzaad, Reservations to U.N. Human Rights Treaties  -  Ratify  and  Ruin?,</w:t>
        <w:br/>
        <w:t>Dordrecht, Nijhoff, 1995, pp. 131-424.</w:t>
        <w:br/>
        <w:br/>
        <w:t>[85]. Cf. D. Shelton,  "State  Practice  on  Reservations  to  Human  Rights</w:t>
        <w:br/>
        <w:t>Treaties", 1 Canadian Human Rights Yearbook/Annuaire canadien des droits  de</w:t>
        <w:br/>
        <w:t>la personne (1983) pp. 205-234; C.  Redgwell,  "Universality  or  Integrity?</w:t>
        <w:br/>
        <w:t>Some Reflections on  Reservations  to  General  Multilateral  Treaties",  64</w:t>
        <w:br/>
        <w:t>British Year Book of International Law (1993) pp. 245-282; L. Lijnzaad,  op.</w:t>
        <w:br/>
        <w:t>cit. supra n. (28), pp. 3-424;  M.  Coccia,  "Reservations  to  Multilateral</w:t>
        <w:br/>
        <w:t>Treaties on Human Rights", 15 California Western International  Law  Journal</w:t>
        <w:br/>
        <w:t>(1985) pp. 1-49; L. Sucharipa-Behrmann, "The Legal Effects  of  Reservations</w:t>
        <w:br/>
        <w:t>to Multilateral Treaties", 1 Austrian Review of International  and  European</w:t>
        <w:br/>
        <w:t>Law (1996) pp. 67-88.</w:t>
        <w:br/>
        <w:br/>
        <w:t>[86]. Cf. B. Clark, "The  Vienna  Convention  Reservations  Regime  and  the</w:t>
        <w:br/>
        <w:t>Convention  on  Discrimination  against  Women",  85  American  Journal   of</w:t>
        <w:br/>
        <w:t>International Law (1991) pp. 281-321; W.A.  Schabas,  "Reservations  to  the</w:t>
        <w:br/>
        <w:t>Convention on the Rights of the Child", 18  Human  Rights  Quarterly  (1996)</w:t>
        <w:br/>
        <w:t>pp. 472-491; A. Sanchez Legido, "Algunas Consideraciones  sobre  la  Validez</w:t>
        <w:br/>
        <w:t>de las Reservas  al  Convenio  Europeo  de  Derechos  Humanos",  20  Revista</w:t>
        <w:br/>
        <w:t>Jurídica  de  Castilla-La   Mancha   (1994)   pp.   207-230;   C.   Pilloud,</w:t>
        <w:br/>
        <w:t>"Reservations to the Geneva Conventions of 1949",  International  Review  of</w:t>
        <w:br/>
        <w:t>the Red Cross (March/April 1976) pp. 3-44.</w:t>
        <w:br/>
        <w:br/>
        <w:t>[87]. Seguido por el caso de Weber (1990).</w:t>
        <w:br/>
        <w:br/>
        <w:t>[88]. En su tercer Opinión Consultiva sobre las Restricciones a la  Pena  de</w:t>
        <w:br/>
        <w:t>Muerte (1983) la Corte advirtió que el tema de la reciprocidad en lo que  se</w:t>
        <w:br/>
        <w:t>refiere a las reservas no podía ser aplicado completamente  a  los  tratados</w:t>
        <w:br/>
        <w:t>de derechos humanos (párrafos 62-63  y  65).  Anteriormente  en  su  segunda</w:t>
        <w:br/>
        <w:t>Opinión Consultiva sobre el Efecto de  las  Reservas  sobre  la  Entrada  en</w:t>
        <w:br/>
        <w:t>Vigencia de la Convención Americana sobre Derechos Humanos (1982), la  Corte</w:t>
        <w:br/>
        <w:t>rechazó la posposición de la entrada en vigencia de la Convención  Americana</w:t>
        <w:br/>
        <w:t>por aplicación del artículo 20.4 de la Convención de Viena de 1969  (párrafo</w:t>
        <w:br/>
        <w:t>34).</w:t>
        <w:br/>
        <w:br/>
        <w:t>[89]. Al artículo 1 del (primer) Protocolo Opcional al  Pacto  Internacional</w:t>
        <w:br/>
        <w:t>de Derechos Civiles y Políticos.</w:t>
        <w:br/>
        <w:br/>
        <w:t>[90]. Respecto a  los  beneficios  de  pensiones  de  más  de  700  miembros</w:t>
        <w:br/>
        <w:t>Senegaleses retirados del ejército francés.</w:t>
        <w:br/>
        <w:br/>
        <w:t>[91]. Ya que los efectos de la legislación francesa sobre  el  tema  duraron</w:t>
        <w:br/>
        <w:t>hasta ese entonces.</w:t>
        <w:br/>
        <w:br/>
        <w:t>[92].  Comunicación  n.  196/1985,  decisión  del  03.04.1989  (y   decisión</w:t>
        <w:br/>
        <w:t>anterior de admisibilidad del 05.11.1987).</w:t>
        <w:br/>
        <w:br/>
        <w:t>[93]. Párrafos 17 y 20; texto en: ONU/Comité de Derechos Humanos,  documento</w:t>
        <w:br/>
        <w:t>CCPR/C/21/Rev.1/Add.6, del 02.11.1994, pp. 6-7.</w:t>
        <w:br/>
        <w:br/>
        <w:t>[94]. Antes del Protocolo n. 11, en el caso de Loizidou, supra.</w:t>
        <w:br/>
        <w:br/>
        <w:t>[95]. Cf., e.g., referencias en ns. (29) y (30), supra.</w:t>
        <w:br/>
        <w:br/>
        <w:t>[96]. Cf., en esta línea de  razonamiento,  la  Declaración  y  Programa  de</w:t>
        <w:br/>
        <w:t>Acción  de  Viena  (1993),  el  principal  documento  adoptado  por  la   II</w:t>
        <w:br/>
        <w:t>Conferencia Mundial sobre Derechos Humanos, II parte, párrafo  5,  y  cf.  I</w:t>
        <w:br/>
        <w:t>parte, párrafo 26.</w:t>
        <w:br/>
        <w:br/>
        <w:t>[97]. Cf. nota (28), supra.</w:t>
        <w:br/>
        <w:br/>
        <w:t>[98]. Posibilidad que vino a ser considerada en la Conferencia de Viena  que</w:t>
        <w:br/>
        <w:t>adoptó la Convención de 1969.</w:t>
        <w:br/>
        <w:br/>
        <w:t>[99]. Sistema de dos terceras partes de los Estados Partes,  establecido  en</w:t>
        <w:br/>
        <w:t>el artículo 20.2 de esa Convención.</w:t>
        <w:br/>
        <w:br/>
        <w:t>[100]. Tal y como lo planteó en 1998 la Comisión  Internacional  de  Derecho</w:t>
        <w:br/>
        <w:t>de las Naciones Unidas; cf. nota (24), supra.</w:t>
        <w:br/>
        <w:br/>
        <w:t>[101].  Cf.  A.  Pellet  (relator  especial  de  la  Comisión   de   Derecho</w:t>
        <w:br/>
        <w:t>Internacional de la ONU), Segundo Informe sobre el  Derecho  y  la  Práctica</w:t>
        <w:br/>
        <w:t>Referente a las Reservas a los Tratados  (1997),  párrafos  164,  204,  206,</w:t>
        <w:br/>
        <w:t>209, 227, 229 y 252.</w:t>
        <w:br/>
        <w:br/>
        <w:t>[102]. ONU, Informe de  la  Comisión  de  Derechos  Internacional  sobre  el</w:t>
        <w:br/>
        <w:t>Trabajo de su 49 Sesión (1997), Registros Oficiales de la  Asamblea  General</w:t>
        <w:br/>
        <w:t>– Suplemento n. 10(A/52/10), p. 94, párr. 47.</w:t>
        <w:br/>
        <w:br/>
        <w:t>[103]. Ibid., p. 112, párr. 107.  En  este  sentido,  se  advirtió  que  los</w:t>
        <w:br/>
        <w:t>Estados a menudo y a consciencia  formulan  reservas  incompatibles  con  el</w:t>
        <w:br/>
        <w:t>objeto y fin de los tratados de derechos humanos ya que saben que  no  serán</w:t>
        <w:br/>
        <w:t>cuestionados y debido a la falta de sanciones por dichas reservas,  llevando</w:t>
        <w:br/>
        <w:t>así a los  Estados  a  volverse  Parte  de  dichos  tratados  sin  realmente</w:t>
        <w:br/>
        <w:t>comprometerse con ellos; ibid., pp. 117-118, párrs. 129-130.</w:t>
        <w:br/>
        <w:br/>
        <w:t>[104]. Ibid., pp. 106-107, 119 y 121-122, párrs. 82, 84,  134,  138  y  143,</w:t>
        <w:br/>
        <w:t>respectivamente.</w:t>
        <w:br/>
        <w:br/>
        <w:t>[105]. Texto en ibid., pp. 126-127.</w:t>
        <w:br/>
        <w:br/>
        <w:t>[106]. Cf. U.N./ILC,  Informe  de  la  Comisión  del  Derecho  Internacional</w:t>
        <w:br/>
        <w:t>(Sesión 55, mayo-junio y julio-agosto 2003), G.A.O.R. - Suppl. n.  10  (doc.</w:t>
        <w:br/>
        <w:t>A/58/10), del 2003, p. 184.</w:t>
        <w:br/>
        <w:br/>
        <w:t>[107]. Ibid., p. 184.</w:t>
        <w:br/>
        <w:br/>
        <w:t>[108]. Ibid., p. 207.</w:t>
        <w:br/>
        <w:br/>
        <w:t>[109]. Ibid., p. 208, y cf. pp. 216, 244 y 251 (sobre  la  “limitación”  del</w:t>
        <w:br/>
        <w:t>alcance de reservas previas, llevando a su retiro).</w:t>
        <w:br/>
        <w:br/>
        <w:t>[110]. A.A. Cançado Trindade, Tratado de Direito Internacional dos  Direitos</w:t>
        <w:br/>
        <w:t>Humanos, vol. II, Porto Alegre/Brazil, S.A. Fabris Ed., 1999, pp. 152-170.</w:t>
        <w:br/>
        <w:br/>
        <w:t>[111]. Cf. A.A. Cançado Trindade, "The International Law of Human Rights  at</w:t>
        <w:br/>
        <w:t>the Dawn of the  XXIst  Century",  3  Cursos  Euromediterráneos  Bancaja  de</w:t>
        <w:br/>
        <w:t>Derecho Internacional – Castellón/España (1999) pp. 145-221.</w:t>
        <w:br/>
        <w:br/>
        <w:t>[112]. Para la concepción de derechos humanos como un  “imperativo  jurídico</w:t>
        <w:br/>
        <w:t>autónomo", cf. D. Evrigenis, "Institutionnalisation des  droits  de  l'homme</w:t>
        <w:br/>
        <w:t>et droit  universel",  in  Internationales  Colloquium  über  Menschenrechte</w:t>
        <w:br/>
        <w:t>(Berlin, Oktober 1966), Berlin,  Deutsche  Gesellschaft  für  die  Vereinten</w:t>
        <w:br/>
        <w:t>Nationen, 1966, p. 32.</w:t>
        <w:br/>
        <w:br/>
        <w:t>[113]. A.A. Cançado Trindade, "La Humanización del Derecho  Internacional  y</w:t>
        <w:br/>
        <w:t>los Límites de la Razón de Estado", 40 Revista da Faculdade  de  Direito  da</w:t>
        <w:br/>
        <w:t>Universidade Federal de Minas Gerais - Belo Horizonte/Brasil (2001) pp.  11-</w:t>
        <w:br/>
        <w:t>23.</w:t>
        <w:br/>
        <w:br/>
        <w:t>[114]. Como se sugirió en el arriba mencionado  “Conclusiones  Preliminares”</w:t>
        <w:br/>
        <w:t>de 1997 (párrafo 7) de  la  Comisión  de  Derecho  Internacional;  cf.  ONU,</w:t>
        <w:br/>
        <w:t>Informe de la Comisión de Derecho Internacional... (1997),  op.  cit.  supra</w:t>
        <w:br/>
        <w:t>n. (46), pp. 126-127.</w:t>
        <w:br/>
        <w:br/>
        <w:t>[115].  Tribunal  Internacional  de   Justicia,   Opinión   Consultiva   del</w:t>
        <w:br/>
        <w:t>28.05.1951, Informes del TIJ (1951) p. 23;  y,  para  un  estudio  sobre  el</w:t>
        <w:br/>
        <w:t>tema,  cf.  A.A.  Cançado   Trindade,   "La   jurisprudence   de   la   Cour</w:t>
        <w:br/>
        <w:t>Internationale de Justice sur les droits intangibles / The Case-Law  of  the</w:t>
        <w:br/>
        <w:t>International Court of Justice on Non-Derogable Rights", Droits  intangibles</w:t>
        <w:br/>
        <w:t>et états d'exception / Non-Derogable Rights and States of Emergency (ed.  D.</w:t>
        <w:br/>
        <w:t>Prémont), Brussels, Bruylant, 1996, pp. 53-89.</w:t>
        <w:br/>
        <w:br/>
        <w:t>[116]. A.A. Cançado Trindade, "The International Law of Human Rights at  the</w:t>
        <w:br/>
        <w:t>Dawn of the XXIst Century", op. cit. supra n. (53), pp. 145-221.</w:t>
        <w:br/>
        <w:br/>
        <w:t>[117].  Las  consideraciones  tradicionales  de  reciprocidad  también   son</w:t>
        <w:br/>
        <w:t>descartadas cuando se trata de  aplicar,  v.g.,  las  disposiciones  de  las</w:t>
        <w:br/>
        <w:t>Convenciones de Ginebra de 1949 sobre el Derecho Internacional  Humanitario,</w:t>
        <w:br/>
        <w:t>tales  como  los  del  artículo  3  común  respecto   a   las   obligaciones</w:t>
        <w:br/>
        <w:t>convencionales del  Estado  vis-à-vis  personas  bajo  su  jurisdicción;  la</w:t>
        <w:br/>
        <w:t>reciprocidad  aquí  produce  consideraciones  de  protección  de  un   orden</w:t>
        <w:br/>
        <w:t>superior.</w:t>
        <w:br/>
        <w:t>[118]. B.V.A. Röling, International Law in  an  Expanded  World,  Ámsterdam,</w:t>
        <w:br/>
        <w:t>Djambatan, 1960, pp. 37-38.</w:t>
        <w:br/>
        <w:br/>
        <w:t>[119].  H.W.  Briggs,  "Unilateral  Denunciation  of  Treaties:  The  Vienna</w:t>
        <w:br/>
        <w:t>Convention and the International Court of Justice", 68 American  Journal  of</w:t>
        <w:br/>
        <w:t>International Law (1974) p. 68.</w:t>
        <w:br/>
        <w:br/>
        <w:t>[120]. CIDH, párrs. 93 y 98-99 de la Sentencia de la Corte  en  el  caso  de</w:t>
        <w:br/>
        <w:t>Hilaire; y párrs. 84 y 89-90 de las Sentencias de la Corte en los  casos  de</w:t>
        <w:br/>
        <w:t>Benjamin et al. y Constantine et al..</w:t>
        <w:br/>
        <w:br/>
        <w:t>[121]. A.A. Cançado Trindade, A Proteção Internacional dos Direitos  Humanos</w:t>
        <w:br/>
        <w:t>- Fundamentos  Jurídicos  e  Instrumentos  Básicos,  São  Paulo/Brasil,  Ed.</w:t>
        <w:br/>
        <w:t>Saraiva, 1991, pp. 11-12.</w:t>
        <w:br/>
        <w:br/>
        <w:t>[122]. G.E. do Nascimento e Silva, Conferência de Viena sobre o Direito  dos</w:t>
        <w:br/>
        <w:t>Tratados, Rio de Janeiro, MRE/Imprensa Nacional, 1971, p. 81.</w:t>
        <w:br/>
        <w:br/>
        <w:t>[123]. P. Reuter, Introduction au droit des traités, 2nd. ed.,  Paris,  PUF,</w:t>
        <w:br/>
        <w:t>1985, p. 120.</w:t>
        <w:br/>
        <w:br/>
        <w:t>[124].  Cf.  A.A.  Cançado  Trindade,  "Co-existence  and  Co-ordination  of</w:t>
        <w:br/>
        <w:t>Mechanisms...", op. cit. supra n. (14), pp. 91-112, esp. pp. 101-103.</w:t>
        <w:br/>
        <w:br/>
        <w:t>[125]. Con respecto a la Convención de Viena de 1969  sobre  el  Derecho  de</w:t>
        <w:br/>
        <w:t>los Tratados; cf. E. Schwelb, "The Law of Treaties  and  Human  Rights",  in</w:t>
        <w:br/>
        <w:t>Toward World Order and Human Dignity - Essays  in  Honor  of  M.S.  McDougal</w:t>
        <w:br/>
        <w:t>(eds. W.M. Reisman and B.H. Weston), N.Y./London, Free Press, 1976, p.  265.</w:t>
        <w:br/>
        <w:br/>
        <w:br/>
        <w:t>[126].  Sexto   párrafo   introductorio   in   fine,   textos   reproducidos</w:t>
        <w:br/>
        <w:t>respectivamente en:  ONU,  Conferencia  de  las  Naciones  Unidas  sobre  el</w:t>
        <w:br/>
        <w:t>Derecho de los Tratados – Registros Oficiales, Documentos de la  Conferencia</w:t>
        <w:br/>
        <w:t>(Viena,  1968-1969),  vol.  III,  N.Y.,  ONU,  1971,  p.  289;  y  en:  ONU,</w:t>
        <w:br/>
        <w:t>Conferencia de las Naciones Unidas sobre el Derecho de  los  Tratados  entre</w:t>
        <w:br/>
        <w:t>Estados   y   Organizaciones   Internacionales   o   entre    Organizaciones</w:t>
        <w:br/>
        <w:t>Internacionales – Registros Oficiales, Documentos de la Conferencia  (Viena,</w:t>
        <w:br/>
        <w:t>1986), vol. II, N.Y., ONU, 1995, p. 95.</w:t>
        <w:br/>
        <w:br/>
        <w:t>[127]. R.  Bernhardt,  "Thoughts  on  the  Interpretation  of  Human  Rights</w:t>
        <w:br/>
        <w:t>Treaties", in Protecting Human Rights: The European  Dimension  -Studies  in</w:t>
        <w:br/>
        <w:t>Honour of G.J. Wiarda (eds. F. Matscher and H. Petzold), Köln, C.  Heymanns,</w:t>
        <w:br/>
        <w:t>1988, pp. 66-67 and 70-71. And cf. Erik Suy, "Droit des  traités  et  droits</w:t>
        <w:br/>
        <w:t>de l'homme", (eds. R. Bernhardt et  alii),  Berlin,  Springer-Verlag,  1983,</w:t>
        <w:br/>
        <w:t>pp. 935-947; E. Schwelb, "The Law of Treaties and Human  Rights",  op.  cit.</w:t>
        <w:br/>
        <w:t>supra n. (69), pp. 262-283; G.E.  do  Nascimento  e  Silva,  Conferência  de</w:t>
        <w:br/>
        <w:t>Viena... , op. cit. supra n. (66), pp.  80-81;  E.  de  la  Guardia  and  M.</w:t>
        <w:br/>
        <w:t>Delpech, El Derecho de los Tratados y la Convención de Viena, Buenos  Aires,</w:t>
        <w:br/>
        <w:t>La Ley, 1970, pp. 458 and  454;  F.  Capotorti,  "Il  Diritto  dei  Trattati</w:t>
        <w:br/>
        <w:t>Secondo la Convenzione di Vienna", in Convenzione di Vienna sul Diritto  dei</w:t>
        <w:br/>
        <w:t>Trattati, Padova, Cedam, 1984, p. 61.</w:t>
        <w:br/>
        <w:br/>
        <w:t>[128]. F. Matscher, "Methods of Interpretation of the  Convention",  in  The</w:t>
        <w:br/>
        <w:t>European System for the Protection of Human Rights (eds. R.St.J.  MacDonald,</w:t>
        <w:br/>
        <w:t>F. Matscher and H. Petzold), Dordrecht, Nijhoff, 1993, pp. 66 y 73.</w:t>
        <w:br/>
        <w:br/>
        <w:t>[129]. Para un estudio general de la no-comparecencia, cf. J.B. Elkind, Non-</w:t>
        <w:br/>
        <w:t>Appearance before the International Court of Justice..., op. cit.  infra  n.</w:t>
        <w:br/>
        <w:t>(80), pp. 1-206; H.W.A. Thirlway, Non-Appearance  before  the  International</w:t>
        <w:br/>
        <w:t>Court of Justice, Cambridge, University Press, 1985, pp. 1-184.</w:t>
        <w:br/>
        <w:br/>
        <w:t>[130]. Sobre la práctica de este tema en  particular,  especialmente  de  la</w:t>
        <w:br/>
        <w:t>Comisión Interamericana  de  Derechos  Humanos,  cf.  D.  Rodríguez  Pinzón,</w:t>
        <w:br/>
        <w:t>"Presumption of Veracity, Non-Appearance,  and  Default  in  the  Individual</w:t>
        <w:br/>
        <w:t>Complaint Procedure of  the  Inter-American  System  on  Human  Rights",  25</w:t>
        <w:br/>
        <w:t>Revista del Instituto Interamericano de Derechos  Humanos  (1998)  pp.  125-</w:t>
        <w:br/>
        <w:t>148.</w:t>
        <w:br/>
        <w:br/>
        <w:t>[131]. Cf., e.g., P.M. Eisemann, "Les effets de  la  non-comparution  devant</w:t>
        <w:br/>
        <w:t>la  Cour  Internationale  de  Justice",  19  Annuaire  français   de   Droit</w:t>
        <w:br/>
        <w:t>international (1973) pp. 351-375.</w:t>
        <w:br/>
        <w:br/>
        <w:t>[132]. Ch. de Visscher, Aspects récents  du  droit  procédural  de  la  Cour</w:t>
        <w:br/>
        <w:t>Internationale de Justice, Paris, Pédone, 1966, pp. 204-205.</w:t>
        <w:br/>
        <w:br/>
        <w:t>[133]. De quien guardo un buen recuerdo, en las reuniones que sostuvimos  en</w:t>
        <w:br/>
        <w:t>Río de Janeiro mientras él era miembro del  Comité  Jurídico  Interamericano</w:t>
        <w:br/>
        <w:t>(CJIA), en especial de un panel en el  que  participamos  ambos,  junto  con</w:t>
        <w:br/>
        <w:t>Daniel Bardonnet, en uno de los  Cursos  anuales  de  Derecho  Internacional</w:t>
        <w:br/>
        <w:t>organizado por el CJIA,  precisamente  sobre  el  arreglo  pacífico  de  las</w:t>
        <w:br/>
        <w:t>disputas  internacionales;  lamentablemente,  las  transcripciones  de   ese</w:t>
        <w:br/>
        <w:t>memorable panel nunca fueron publicados.</w:t>
        <w:br/>
        <w:br/>
        <w:t>[134]. K. Highet, "Evidence, the Court and the Nicaragua Case", 81  American</w:t>
        <w:br/>
        <w:t>Journal of International Law (1987) p. 56.</w:t>
        <w:br/>
        <w:br/>
        <w:t>[135]. G.L. Scott and C.L. Carr, "The ICJ and Compulsory  Jurisdiction:  the</w:t>
        <w:br/>
        <w:t>Case for Closing the Clause",  81  American  Journal  of  International  Law</w:t>
        <w:br/>
        <w:t>(1987) p. 66. Para mi propia  crítica  de  ese  desafío,  cf.  A.A.  Cançado</w:t>
        <w:br/>
        <w:t>Trindade, "Nicarágua  versus  Estados  Unidos  (1984-1985):  Os  Limites  da</w:t>
        <w:br/>
        <w:t>Jurisdição  `Obrigatória'  da  Corte   Internacional   de   Justiça   e   as</w:t>
        <w:br/>
        <w:t>Perspectivas da Solução Judicial  de  Controvérsias  Internacionais",  37-38</w:t>
        <w:br/>
        <w:t>Boletim da Sociedade Brasileira de Direito Internacional (1983-1986) pp. 71-</w:t>
        <w:br/>
        <w:t>96.</w:t>
        <w:br/>
        <w:br/>
        <w:t>[136]. Cf. Aristóteles, Ética Nicomaquea - Política, Mexico,  Edit.  Porrúa,</w:t>
        <w:br/>
        <w:t>2000; libro I, sección XIII, p. 15; libro VIII, sección XI,  p.  112;  libro</w:t>
        <w:br/>
        <w:t>X, sección IX, pp. 144-146.</w:t>
        <w:br/>
        <w:br/>
        <w:t>[137]. Cf. Tomás de Aquino, Tratado de la Ley - Tratado  de  la  Justicia  -</w:t>
        <w:br/>
        <w:t>Gobierno de los Príncipes, Mexico, Edit. Porrúa, 2000, pp. 35, 50 y 76-77.</w:t>
        <w:br/>
        <w:br/>
        <w:t>[138].  J.B.  Elkind,  Non-Appearance  before  the  International  Court  of</w:t>
        <w:br/>
        <w:t>Justice - Functional and Comparative  Analysis,  Dordrecht,  Nijhoff/Kluwer,</w:t>
        <w:br/>
        <w:t>1984, pp. 169 y 206.</w:t>
        <w:br/>
        <w:br/>
        <w:t>[139]. S.A. Alexandrov, "Non-Appearance before the  International  Court  of</w:t>
        <w:br/>
        <w:t>Justice", 33 Columbia Journal of Transnational Law (1995)  n.  41,  pp.  41-</w:t>
        <w:br/>
        <w:t>44, 60, 63 y 68.</w:t>
        <w:br/>
        <w:br/>
        <w:t>[140]. Como es ilustrado por el lamentable y muy criticado “retiro”  de  los</w:t>
        <w:br/>
        <w:t>Estados Unidos en  el  caso  de  Nicaragua,  el  cual  eventualmente  perdió</w:t>
        <w:br/>
        <w:t>también por el fondo (en 1986); cf. ibid., pp. 67 y 71-72.</w:t>
        <w:br/>
        <w:br/>
        <w:t>[141]. I.D.I., 4ta Comisión, relator G. Arangio Ruiz.</w:t>
        <w:br/>
        <w:br/>
        <w:t>[142]. Institut de Droit International, Resolución  sobre  No  comparecencia</w:t>
        <w:br/>
        <w:t>antes  la  Corte  Internacional  de  Justicia,  del  31.08.1991,  preámbulo,</w:t>
        <w:br/>
        <w:t>considerando número 6.</w:t>
        <w:br/>
        <w:br/>
        <w:t>[143]. Ibid., Considerando número 5.</w:t>
        <w:br/>
        <w:br/>
        <w:t>[144]. Párrafos 73-74 y 93-94 de la presente Sentencia.</w:t>
        <w:br/>
        <w:br/>
        <w:t>[145]. Párrafo 101, y cf. párrafos resolutivos números 2 y 4 de  la  Opinión</w:t>
        <w:br/>
        <w:t>Consultiva n. 18.</w:t>
        <w:br/>
        <w:br/>
        <w:t>[146]. Párrafos 98-99 de la Opinión Consultiva n. 18.</w:t>
        <w:br/>
        <w:br/>
        <w:t>[147]. Cf. A.A. Cançado Trindade, Tratado de Direito  Internacional...,  op.</w:t>
        <w:br/>
        <w:t>cit. supra n. (97), tomo II, pp. 415-416.</w:t>
        <w:br/>
        <w:br/>
        <w:t>[148]. Para la  extensión  del  jus  cogens  a  todos  los  actos  jurídicos</w:t>
        <w:br/>
        <w:t>posibles,  cf.,  v.g.,  E.  Suy,  «The  Concept  of  Jus  cogens  in  Public</w:t>
        <w:br/>
        <w:t>International  Law»,  in  Papers  and  Proceedings  of  the  Conference   on</w:t>
        <w:br/>
        <w:t>International Law (Langonissi,  Grecia,  03-08.04.1966),  Genève,  C.E.I.P.,</w:t>
        <w:br/>
        <w:t>1967, pp. 17-77.</w:t>
        <w:br/>
        <w:br/>
        <w:t>[149]. En su Sentencia del 11 de julio de 1996, en el  caso  relativo  a  la</w:t>
        <w:br/>
        <w:t>Aplicación de la Convención contra el Genocidio, la Corte  Internacional  de</w:t>
        <w:br/>
        <w:t>Justicia afirmó que los  derechos  y  obligaciones  consagrados  en  aquella</w:t>
        <w:br/>
        <w:t>Convención eran "derechos y deberes erga omnes"; Informes de la  CIJ  (1996)</w:t>
        <w:br/>
        <w:t>p. 616, párr. 31.</w:t>
        <w:br/>
        <w:br/>
        <w:t>[150].  Corte  Interamericana  de  Derechos  Humanos,  caso   Blake   versus</w:t>
        <w:br/>
        <w:t>Guatemala (Fondo), Sentencia del 24.01.1998, Voto  Razonado  del  Juez  A.A.</w:t>
        <w:br/>
        <w:t>Cançado Trindade, párr. 25, y cf. párrs. 23-24.</w:t>
        <w:br/>
        <w:br/>
        <w:t>[151]. Párrafos 66, 68, 71 y 73, respectivamente, de mi Voto Concurrente.</w:t>
        <w:br/>
        <w:br/>
        <w:t>[152]. Su consagración en las dos Convenciones de  Viena  sobre  Derecho  de</w:t>
        <w:br/>
        <w:t>los Tratados (1969 y 1986), artículos 53 y 64.</w:t>
        <w:br/>
        <w:br/>
        <w:t>[153]. V.g., su reconocimiento en los Artículos sobre la Responsabilidad  de</w:t>
        <w:br/>
        <w:t>los Estados, adoptados por la Comisión de Derecho Internacional de  Naciones</w:t>
        <w:br/>
        <w:t>Unidas en 2001.</w:t>
        <w:br/>
        <w:br/>
        <w:t>[154]. Párrafo 29, y cf. también párrs. 32-33 de mi Voto Razonado.</w:t>
        <w:br/>
        <w:br/>
        <w:t>[155]. De forma similar, el Tribunal Penal  Internacional  Ad  Hoc  para  la</w:t>
        <w:br/>
        <w:t>antigua Yugoslavia, en su  turno,  sostuvo  en  el  caso  de  A.  Furundzija</w:t>
        <w:br/>
        <w:t>(Sentencia del 10.12.1998), que a prohibición absoluta de la  tortura  tiene</w:t>
        <w:br/>
        <w:t>el carácter de norma del jus cogens (párrs. 137-139, 144 y 160).</w:t>
        <w:br/>
        <w:t>[156] Corte I.D.H., Caso Hilaire. Excepciones Preliminares.  Sentencia</w:t>
        <w:br/>
        <w:t>de 1 de septiembre de  2001.  Serie  C  No.  80;  Corte  I.D.H.,  Caso</w:t>
        <w:br/>
        <w:t>Benjamin  y  otros.  Excepciones  Preliminares.  Sentencia  de  1   de</w:t>
        <w:br/>
        <w:t>septiembre de 2001. Serie C No. 81; y Corte I.D.H., Caso Constantine y</w:t>
        <w:br/>
        <w:t>otros. Excepciones Preliminares. Sentencia de 1 de septiembre de 2001.</w:t>
        <w:br/>
        <w:t>Serie C No. 82.</w:t>
        <w:br/>
        <w:br/>
        <w:t>[157] Corte I.D.H.,  Caso  Hilaire,  Constantine,  Benjamin  y  otros.</w:t>
        <w:br/>
        <w:t>Sentencia de 21 de junio de 2002. Serie C No. 94.</w:t>
        <w:br/>
        <w:t>[158] Corte  I.D.H.  Informe  Anual  de  la  Corte  Interamericana  de</w:t>
        <w:br/>
        <w:t>Derechos Humanos, 2003, OEA/Ser.L/V/III.62 Doc. 1, pág. 45.</w:t>
        <w:br/>
        <w:t>[159] Corte  I.D.H.  Informe  Anual  de  la  Corte  Interamericana  de</w:t>
        <w:br/>
        <w:t>Derechos Humanos, 1999, OEA/Ser.L/V/III.47 Doc. 6, pág. 41.</w:t>
        <w:br/>
        <w:t>[160]  Después de la fecha de elaboración del Informe  correspondiente</w:t>
        <w:br/>
        <w:t>al año 1998, con fecha 5 de febrero de 1999, el Estado de  Trinidad  y</w:t>
        <w:br/>
        <w:t>Tobago envió una comunicación a la Corte mediante la cual solicitó  al</w:t>
        <w:br/>
        <w:t>Tribunal confirmar que  las  medidas  adoptadas  en  favor  del  señor</w:t>
        <w:br/>
        <w:t>Anthony Briggs, habían  sido  levantadas  debido  a  que  la  Comisión</w:t>
        <w:br/>
        <w:t>Interamericana emitió el informe No. 64/98 el 3 de noviembre de  1998.</w:t>
        <w:br/>
        <w:t>Al respecto, el Estado manifestó que había presentado dicho Informe al</w:t>
        <w:br/>
        <w:t>Comité Consultivo en Materia de Indultos, el  cual  “estudiará  en  su</w:t>
        <w:br/>
        <w:t>próxima sesión la recomendación de la Comisión en lo  referente  a  la</w:t>
        <w:br/>
        <w:t>indemnización y consideración de la liberación  o  conmutación  de  la</w:t>
        <w:br/>
        <w:t>pena en el caso de Anthony Briggs”.</w:t>
        <w:br/>
        <w:t>[161] Corte  I.D.H.  Informe  Anual  de  la  Corte  Interamericana  de</w:t>
        <w:br/>
        <w:t>Derechos Humanos, 1998, OEA/Ser.L/V/III.43 Doc. 11, págs. 35, 36 y 37.</w:t>
        <w:br/>
        <w:t>[162] O.E.A. Carta de  la  Organización  de  los  Estados  Americanos,</w:t>
        <w:br/>
        <w:t>suscrita en Bogotá en 1948 y reformada  por  el  Protocolo  de  Buenos</w:t>
        <w:br/>
        <w:t>Aires en 1967, por el Protocolo de Cartagena  de Indias en  1985,  por</w:t>
        <w:br/>
        <w:t>el Protocolo de Washington en 1992, y por el Protocolo de  Managua  en</w:t>
        <w:br/>
        <w:t>1993.</w:t>
        <w:br/>
        <w:t>[163] Tercera Cumbre de las Américas,  Declaración  de  la  Ciudad  de</w:t>
        <w:br/>
        <w:t>Quebec, 20-22 de abril de 2001.</w:t>
        <w:br/>
        <w:t>[164]  O.E.A.  AG/RES.  1925  (XXXIII-O/03)  “Fortalecimiento  de  los</w:t>
        <w:br/>
        <w:t>Sistemas de Derechos Humanos en Seguimiento del Plan de Acción  de  la</w:t>
        <w:br/>
        <w:t>Tercera Cumbre de las Américas”,  Resolución  aprobada  en  la  cuarta</w:t>
        <w:br/>
        <w:t>session plenaria, celebrada el 10 de junio de 2003.</w:t>
        <w:br/>
        <w:t>[165] O.E.A. AG/Res.1330 (XXV-0/95) “Observaciones  y  Recomendaciones</w:t>
        <w:br/>
        <w:t>al Informe Anual de la Corte de la Corte  Interamericana  de  Derechos</w:t>
        <w:br/>
        <w:t>Humanos”, Resolución aprobada en la novena sesión plenaria,  celebrada</w:t>
        <w:br/>
        <w:t>el 9 de junio de 1995.</w:t>
        <w:br/>
        <w:t>[166] O.E.A. Anuario Interamericano de Derechos  Humanos,  1968,  pág.</w:t>
        <w:br/>
        <w:t>268.</w:t>
        <w:br/>
        <w:t>[167] O.E.A. Anuario Interamericano de Derechos  Humanos,  1968,  pág.</w:t>
        <w:br/>
        <w:t>295.</w:t>
        <w:br/>
        <w:t>[168] O.E.A. Anuario Interamericano de Derechos  Humanos,  1968,  pág.</w:t>
        <w:br/>
        <w:t>315.</w:t>
        <w:br/>
        <w:t>[169] O.E.A. Anuario Interamericano de Derechos  Humanos,  1968,  pág.</w:t>
        <w:br/>
        <w:t>92.</w:t>
        <w:br/>
        <w:t>[170]  OEA/Ser.G/V/C-d-1631,  en:  O.E.A.  Anuario  Interamericano  de</w:t>
        <w:br/>
        <w:t>Derechos Humanos, 1968, pág. 156; y OEA/Ser.G/IV/C-i-871 rev. 3.,  en:</w:t>
        <w:br/>
        <w:t>O.E.A. Anuario Interamericano de Derechos Humanos, 1968, pág. 157.</w:t>
        <w:br/>
        <w:t>[171] O.E.A. Anuario Interamericano de Derechos  Humanos,  1968,  pág.</w:t>
        <w:br/>
        <w:t>150.</w:t>
        <w:br/>
        <w:t>[172]   O.E.A   “Actas   y   Documentos.   Conferencia   Especializada</w:t>
        <w:br/>
        <w:t>Interamericana sobre Derechos Humanos”, San José, Costa Rica  7-22  de</w:t>
        <w:br/>
        <w:t>noviembre de 1969, OEA/Ser.K/XVI/1.2.</w:t>
        <w:br/>
        <w:t>[173]   O.E.A   “Actas   y   Documentos.   Conferencia   Especializada</w:t>
        <w:br/>
        <w:t>Interamericana sobre Derechos Humanos”, San José, Costa Rica  7-22  de</w:t>
        <w:br/>
        <w:t>noviembre de 1969, OEA/Ser.K/XVI/1.2, pág. 377.</w:t>
        <w:br/>
        <w:t>[174]   O.E.A   “Actas   y   Documentos.   Conferencia   Especializada</w:t>
        <w:br/>
        <w:t>Interamericana sobre Derechos Humanos”, San José, Costa Rica  7-22  de</w:t>
        <w:br/>
        <w:t>noviembre de 1969, OEA/Ser.K/XVI/1.2, págs. 392 y 393.</w:t>
        <w:br/>
        <w:t>[175]   O.E.A   “Actas   y   Documentos.   Conferencia   Especializada</w:t>
        <w:br/>
        <w:t>Interamericana sobre Derechos Humanos”, San José, Costa Rica  7-22  de</w:t>
        <w:br/>
        <w:t>noviembre de 1969, OEA/Ser.K/XVI/1.2, pág. 457.</w:t>
        <w:br/>
        <w:t>[176]   O.E.A   “Actas   y   Documentos.   Conferencia   Especializada</w:t>
        <w:br/>
        <w:t>Interamericana sobre Derechos Humanos”, San José, Costa Rica  7-22  de</w:t>
        <w:br/>
        <w:t>noviembre de 1969, OEA/Ser.K/XVI/1.2, pág. 480.</w:t>
        <w:br/>
        <w:t>[177]   O.E.A   “Actas   y   Documentos.   Conferencia   Especializada</w:t>
        <w:br/>
        <w:t>Interamericana sobre Derechos Humanos”, San José, Costa Rica  7-22  de</w:t>
        <w:br/>
        <w:t>noviembre de 1969, OEA/Ser.K/XVI/1.2, pág. 498.</w:t>
        <w:br/>
        <w:t>[178] Corte I.D.H.: El Sistema Interamericano  de  Protección  de  los</w:t>
        <w:br/>
        <w:t>Derechos Humanos en el Umbral del Siglo XXI. Informe:  Bases  para  un</w:t>
        <w:br/>
        <w:t>Proyecto de Protocolo a la Convención Americana sobre Derechos Humanos</w:t>
        <w:br/>
        <w:t>para Fortalecer  su  Mecanismo  de  Protección  (2001),  Tomo  II,  2ª</w:t>
        <w:br/>
        <w:t>Edición, Mayo de 2003, pág. 378.</w:t>
        <w:br/>
        <w:t>[179] El artículo 30 del Estatuto de la Corte Interamericana  debe,  a</w:t>
        <w:br/>
        <w:t>fortiori, ser enmendado, de  modo  a  compatibilizarlo  con  la  nueva</w:t>
        <w:br/>
        <w:t>redacción, aquí propuesta, del artículo 65 de la Convención Americana.</w:t>
        <w:br/>
        <w:t>[180] Corte I.D.H.: El Sistema Interamericano  de  Protección  de  los</w:t>
        <w:br/>
        <w:t>Derechos Humanos en el Umbral del Siglo XXI. Informe:  Bases  para  un</w:t>
        <w:br/>
        <w:t>Proyecto de Protocolo a la Convención Americana sobre Derechos Humanos</w:t>
        <w:br/>
        <w:t>para Fortalecer  su  Mecanismo  de  Protección  (2001),  Tomo  II,  2ª</w:t>
        <w:br/>
        <w:t>Edición, Mayo de 2003, pág. 369.</w:t>
        <w:br/>
        <w:t>[181] Corte I.D.H.: El Sistema Interamericano  de  Protección  de  los</w:t>
        <w:br/>
        <w:t>Derechos Humanos en el Umbral del Siglo XXI. Informe:  Bases  para  un</w:t>
        <w:br/>
        <w:t>Proyecto de Protocolo a la Convención Americana sobre Derechos Humanos</w:t>
        <w:br/>
        <w:t>para Fortalecer  su  Mecanismo  de  Protección  (2001),  Tomo  II,  2ª</w:t>
        <w:br/>
        <w:t>Edición, Mayo de 2003, pág. 664.</w:t>
        <w:br/>
        <w:t>[182] Corte I.D.H.: El Sistema Interamericano  de  Protección  de  los</w:t>
        <w:br/>
        <w:t>Derechos Humanos en el Umbral del Siglo XXI. Informe:  Bases  para  un</w:t>
        <w:br/>
        <w:t>Proyecto de Protocolo a la Convención Americana sobre Derechos Humanos</w:t>
        <w:br/>
        <w:t>para Fortalecer  su  Mecanismo  de  Protección  (2001),  Tomo  II,  2ª</w:t>
        <w:br/>
        <w:t>Edición, Mayo de 2003, pág. 795.</w:t>
        <w:br/>
        <w:t>[183] Corte I.D.H.: El Sistema Interamericano  de  Protección  de  los</w:t>
        <w:br/>
        <w:t>Derechos Humanos en el Umbral del Siglo XXI. Informe:  Bases  para  un</w:t>
        <w:br/>
        <w:t>Proyecto de Protocolo a la Convención Americana sobre Derechos Humanos</w:t>
        <w:br/>
        <w:t>para Fortalecer  su  Mecanismo  de  Protección  (2001),  Tomo  II,  2ª</w:t>
        <w:br/>
        <w:t>Edición, Mayo de 2003, págs. 919 y 920.</w:t>
        <w:br/>
        <w:t>[184] Corte I.D.H., Caso Baena Ricardo y otros. Competencia. Sentencia</w:t>
        <w:br/>
        <w:t>de 28 de noviembre de 2003. Serie C No. 104, párr. 53.</w:t>
        <w:br/>
        <w:t>[185] Corte I.D.H., Caso Baena Ricardo y otros. Competencia. Sentencia</w:t>
        <w:br/>
        <w:t>de 28 de noviembre de 2003. Serie C No. 104, párr. 54.a.</w:t>
        <w:br/>
        <w:t>[186] Corte I.D.H., Caso Baena Ricardo y otros. Competencia. Sentencia</w:t>
        <w:br/>
        <w:t>de 28 de noviembre de 2003. Serie C No. 104, párr. 54.b.</w:t>
        <w:br/>
        <w:t>[187] Corte I.D.H., Caso Baena Ricardo y otros. Competencia. Sentencia</w:t>
        <w:br/>
        <w:t>de 28 de noviembre de 2003. Serie C No. 104, párr. 139.</w:t>
        <w:br/>
        <w:t>[188]  Proyecto  de  Convención  Interamericana  sobre  Protección  de</w:t>
        <w:br/>
        <w:t>Derechos Humanos preparado por la Comisión Interamericana de  Derechos</w:t>
        <w:br/>
        <w:t>Humanos y aprobado con carácter de  “documento  de  trabajo”  para  la</w:t>
        <w:br/>
        <w:t>Conferencia  Especializada  Interamericana  sobre  Derechos   Humanos,</w:t>
        <w:br/>
        <w:t>mediante Resolución del Consejo de  la  Organización  de  los  Estados</w:t>
        <w:br/>
        <w:t>Americanos en la sesión celebrada el  2  de  octubre  de  1968.   Cfr.</w:t>
        <w:br/>
        <w:t>OEA/Ser. K/XVI/1.2,  Conferencia  Especializada  Interamericana  sobre</w:t>
        <w:br/>
        <w:t>Derechos Humanos, Actas y Documentos, OEA Doc. 5, 22 de septiembre  de</w:t>
        <w:br/>
        <w:t>1969, págs. 12-35.</w:t>
        <w:br/>
        <w:t>[189] En la primera sesión plenaria de  la  Conferencia  Especializada</w:t>
        <w:br/>
        <w:t>Interamericana sobre Derechos Humanos, celebrada el 8 de noviembre  de</w:t>
        <w:br/>
        <w:t>1969, se resolvió crear la Comisión II.</w:t>
        <w:br/>
        <w:t>[190] En la Conferencia Especializada  Interamericana  sobre  Derechos</w:t>
        <w:br/>
        <w:t>Humanos, celebrada en San José, Costa Rica del 7 al 22 de noviembre de</w:t>
        <w:br/>
        <w:t>1969, se adoptó la Convención Americana sobre Derechos Humanos.</w:t>
        <w:br/>
        <w:t>[191] OEA/Ser. K/XVI/1.1, Doc. 71, 21 de noviembre de 1969, pág. 5.</w:t>
        <w:br/>
        <w:t>[192] OEA/Ser. K/XVI/1.1, Doc. 71, 21 de noviembre de 1969, pág. 8.</w:t>
        <w:br/>
        <w:t>[193] Corte I.D.H., Caso Baena Ricardo y otros. Competencia. Sentencia</w:t>
        <w:br/>
        <w:t>de 28 de noviembre de 2003. Serie C No. 104, párrs. 89 y 90.</w:t>
        <w:br/>
        <w:t>[194] Corte I.D.H., Caso Baena Ricardo y otros. Competencia. Sentencia</w:t>
        <w:br/>
        <w:t>de 28 de noviembre de 2003. Serie C No. 104, párr. 88.</w:t>
        <w:br/>
        <w:t>[195] Del total de casos contenciosos que la Corte  Interamericana  de</w:t>
        <w:br/>
        <w:t>Derechos  Humanos  ha  tenido  bajo  su  jurisdicción,  el  13,33%  se</w:t>
        <w:br/>
        <w:t>encuentran archivados, el 30,66% se  encuentran  en  trámite  ante  el</w:t>
        <w:br/>
        <w:t>Tribunal  y  el  56%  se  encuentran  en  etapa  de   supervisión   de</w:t>
        <w:br/>
        <w:t>cumplimiento de sentencia.</w:t>
        <w:br/>
        <w:t>[196] Del total de medidas provisionales que han sido sometidas  a  la</w:t>
        <w:br/>
        <w:t>jurisdicción de la Corte Interamericana de Derechos Humanos, el 31,57%</w:t>
        <w:br/>
        <w:t>se encuentran archivadas, el 7% no fueron  adoptadas  y  el  61,4%  se</w:t>
        <w:br/>
        <w:t>encuentran activas.</w:t>
        <w:br/>
        <w:t>[197] Cfr. Corte Interamericana de Derechos Humanos. Informe Anual  de</w:t>
        <w:br/>
        <w:t>la Corte Interamericana de Derechos Humanos, 1990,  OEA/Ser.L/V/III.23</w:t>
        <w:br/>
        <w:t>doc.12, págs. 15 y  16;  Corte  Interamericana  de  Derechos  Humanos.</w:t>
        <w:br/>
        <w:t>Informe Anual de la Corte Interamericana de  Derechos  Humanos,  1991,</w:t>
        <w:br/>
        <w:t>OEA/Ser.L/V/III.25 doc.7, pág. 9;  Corte  Interamericana  de  Derechos</w:t>
        <w:br/>
        <w:t>Humanos. Informe Anual de la Corte Interamericana de Derechos Humanos,</w:t>
        <w:br/>
        <w:t>1994, OEA/Ser.L/V/III.31 doc.9, págs. 18 y 19; Corte Interamericana de</w:t>
        <w:br/>
        <w:t>Derechos Humanos. Informe Anual de la Corte Interamericana de Derechos</w:t>
        <w:br/>
        <w:t>Humanos, 1996, OEA/Ser.L/V/III.35 doc.4, pág. 27; Corte Interamericana</w:t>
        <w:br/>
        <w:t>de Derechos Humanos. Informe  Anual  de  la  Corte  Interamericana  de</w:t>
        <w:br/>
        <w:t>Derechos Humanos, 1997, OEA/Ser.L/V/III.39 doc.5, págs. 29 y 30; Corte</w:t>
        <w:br/>
        <w:t>Interamericana  de  Derechos  Humanos.  Informe  Anual  de  la   Corte</w:t>
        <w:br/>
        <w:t>Interamericana de Derechos Humanos, 1998,  OEA/Ser.L/V/III.43  Doc.11,</w:t>
        <w:br/>
        <w:t>págs. 32-35; Corte Interamericana de Derechos Humanos.  Informe  Anual</w:t>
        <w:br/>
        <w:t>de   la   Corte   Interamericana   de    Derechos    Humanos,    1999,</w:t>
        <w:br/>
        <w:t>OEA/Ser.L/V/III.47  Doc.6,  págs.  37-45;  Corte   Interamericana   de</w:t>
        <w:br/>
        <w:t>Derechos Humanos. Informe Anual de la Corte Interamericana de Derechos</w:t>
        <w:br/>
        <w:t>Humanos,  2000,   OEA/Ser.L/V/III.50   Doc.4,   págs.   39-44;   Corte</w:t>
        <w:br/>
        <w:t>Interamericana  de  Derechos  Humanos.  Informe  Anual  de  la   Corte</w:t>
        <w:br/>
        <w:t>Interamericana de Derechos Humanos,  2001,  OEA/Ser.L/V/III.54  Doc.4,</w:t>
        <w:br/>
        <w:t>págs. 46-55; Corte Interamericana de Derechos Humanos.  Informe  Anual</w:t>
        <w:br/>
        <w:t>de   la   Corte   Interamericana   de    Derechos    Humanos,    2002,</w:t>
        <w:br/>
        <w:t>OEA/Ser.L/V/III.57 Doc.5, págs. 21, 25, 26, 32, 35,  45  y  46;  Corte</w:t>
        <w:br/>
        <w:t>Interamericana  de  Derechos  Humanos.  Informe  Anual  de  la   Corte</w:t>
        <w:br/>
        <w:t>Interamericana de Derechos Humanos,  2003,  OEA/Ser.L/V/III.61  Doc.1,</w:t>
        <w:br/>
        <w:t>págs. 44-46; y Corte Interamericana de Derechos Humanos. Informe Anual</w:t>
        <w:br/>
        <w:t>de   la   Corte   Interamericana   de    Derechos    Humanos,    2004,</w:t>
        <w:br/>
        <w:t>OEA/Ser.L/V/III.65 Doc.1, págs. 24 y 25.</w:t>
        <w:br/>
        <w:t>[198] Cfr. GARCÍA  RAMÍREZ,  SERGIO:  La  Jurisdicción  Internacional.</w:t>
        <w:br/>
        <w:t>Derechos Humanos y la Justicia Penal, Editorial Porrúa, México,  2003,</w:t>
        <w:br/>
        <w:t>págs.  126-130  y  557;  y  SAAVEDRA  ALESSANDRI,  PABLO:   La   Corte</w:t>
        <w:br/>
        <w:t>Interamericana de Derechos Humanos. Las Reparaciones  Ordenadas  y  el</w:t>
        <w:br/>
        <w:t>Acatamiento de  los  Estados;  en:  “Los  Instrumentos  de  Protección</w:t>
        <w:br/>
        <w:t>Regional e  Internacional  de  los  Derechos  Humanos”,  Memorias  del</w:t>
        <w:br/>
        <w:t>Seminario, Programa de Cooperación  sobre  Derechos  Humanos,  México-</w:t>
        <w:br/>
        <w:t>Comisión Europea, Secretaría de Relaciones Exteriores, págs. 185-220.</w:t>
        <w:br/>
        <w:t>[199] Corte I.D.H., El Hábeas  Corpus  Bajo  Suspensión  de  Garantías</w:t>
        <w:br/>
        <w:t>(arts. 27.2, 25.1 y 7.6 Convención Americana sobre Derechos  Humanos).</w:t>
        <w:br/>
        <w:t>Opinión Consultiva OC-8/87 del 30 de enero de 1987.  Serie  A  No.  8,</w:t>
        <w:br/>
        <w:t>párr. 26; Corte I.D.H., Garantías Judiciales en Estados de  Emergencia</w:t>
        <w:br/>
        <w:t>(arts. 27.2, 25 y 8  Convención  Americana  sobre  Derechos  Humanos).</w:t>
        <w:br/>
        <w:t>Opinión Consultiva OC-9/87 del 6 de octubre de 1987. Serie  A  No.  9.</w:t>
        <w:br/>
        <w:t>párr.  35;  y  Corte  I.D.H.,  Ciertas  Atribuciones  de  la  Comisión</w:t>
        <w:br/>
        <w:t>Interamericana de Derechos Humanos (arts. 41, 42, 44, 46, 47, 50 y  51</w:t>
        <w:br/>
        <w:t>Convención Americana sobre Derechos Humanos). Opinión  Consultiva  OC-</w:t>
        <w:br/>
        <w:t>13/93 del 16 de julio de 1993. Serie A No. 13, párr. 31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