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Caso de la Comunidad Moiwana Vs. Suriname</w:t>
        <w:br/>
        <w:br/>
        <w:br/>
        <w:t xml:space="preserve">                      Sentencia de 15 de junio de 2005</w:t>
        <w:br/>
        <w:t xml:space="preserve">          (Excepciones Preliminares, Fondo, reparaciones y Costas)</w:t>
        <w:br/>
        <w:br/>
        <w:br/>
        <w:br/>
        <w:br/>
        <w:br/>
        <w:t>En el Caso de la Comunidad Moiwana,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t>presentes además,</w:t>
        <w:br/>
        <w:br/>
        <w:t xml:space="preserve">      Pablo Saavedra Alessandri, Secretario;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37, 56, 57 y 58  del  Reglamento  de</w:t>
        <w:br/>
        <w:t>la Corte (en adelante “el Reglamento”)*, dicta la presente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20 de diciembre de 2002, de conformidad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de Suriname (en  adelante</w:t>
        <w:br/>
        <w:t>“el Estado” o “Suriname”), la cual se originó en  la  denuncia  No.  11.821,</w:t>
        <w:br/>
        <w:t>recibida en la Secretaría de la Comisión el 27 de junio de 1997.</w:t>
        <w:br/>
        <w:br/>
        <w:t>2.    La Comisión presentó la demanda en este caso con el objeto de  que  la</w:t>
        <w:br/>
        <w:t>Corte decidiera si el Estado violó los artículos 25  (Protección  Judicial),</w:t>
        <w:br/>
        <w:t>8 (Garantías Judiciales) y 1.1 (Obligación de Respetar los Derechos)  de  la</w:t>
        <w:br/>
        <w:t>Convención, en perjuicio de determinadas personas que habitaron la aldea  de</w:t>
        <w:br/>
        <w:t>Moiwana (infra párrs. 71  a  74  y  86(17)  donde  están  identificadas  las</w:t>
        <w:br/>
        <w:t>presuntas  víctimas).   Asimismo,  la  Comisión  solicitó  a  la  Corte  que</w:t>
        <w:br/>
        <w:t>ordenara al Estado la adopción de varias medidas de  reparación  pecuniarias</w:t>
        <w:br/>
        <w:t>y no pecuniarias, así como el pago de las costas y gastos del presente  caso</w:t>
        <w:br/>
        <w:t>incurridos tanto a nivel nacional como internacional.</w:t>
        <w:br/>
        <w:br/>
        <w:t>3.    De conformidad con lo señalado por la Comisión, el 29 de noviembre  de</w:t>
        <w:br/>
        <w:t>1986 miembros  de  las  fuerzas  armadas  de  Suriname  habrían  atacado  la</w:t>
        <w:br/>
        <w:t>comunidad N’djuka Maroon de Moiwana.  Los soldados supuestamente  masacraron</w:t>
        <w:br/>
        <w:t>a más de 40 hombres, mujeres y niños, y arrasaron  la  comunidad.   Los  que</w:t>
        <w:br/>
        <w:t>lograron  escapar  presuntamente  huyeron  a  los  bosques  circundantes,  y</w:t>
        <w:br/>
        <w:t>después fueron exiliados o internamente desplazados.  Asimismo, a  la  fecha</w:t>
        <w:br/>
        <w:t>de la presentación  de  la  demanda,  supuestamente  no  habría  habido  una</w:t>
        <w:br/>
        <w:t>investigación  adecuada  de  la  masacre,  nadie  habría  sido  juzgado   ni</w:t>
        <w:br/>
        <w:t>sancionado, y los sobrevivientes permanecerían desplazados de  sus  tierras;</w:t>
        <w:br/>
        <w:t>consecuentemente,  serían  incapaces  de   retomar   su   estilo   de   vida</w:t>
        <w:br/>
        <w:t>tradicional.  Por estas razones, la Comisión señaló  que,  mientras  que  el</w:t>
        <w:br/>
        <w:t>ataque en sí era anterior a la ratificación de la Convención  Americana  por</w:t>
        <w:br/>
        <w:t>parte de Suriname y a su reconocimiento de la competencia contenciosa de  la</w:t>
        <w:br/>
        <w:t>Corte, la presunta denegación de justicia y el desplazamiento  ocurrido  con</w:t>
        <w:br/>
        <w:t>posterioridad al ataque constituían el objeto de la demanda.</w:t>
        <w:br/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t>4.    Suriname es Estado Parte en la Convención Americana  desde  el  12  de</w:t>
        <w:br/>
        <w:t>noviembre de 1987 y  en  esa  misma  fecha  reconoció  como  obligatoria  la</w:t>
        <w:br/>
        <w:t>competencia  de  la  Corte.   El  Estado  ha  alegado  en  sus   excepciones</w:t>
        <w:br/>
        <w:t>preliminares que el Tribunal no tiene competencia para conocer del  presente</w:t>
        <w:br/>
        <w:t>caso (infra párrs. 34, 45, 52, 60 y 65).  Por lo tanto,  la  Corte  decidirá</w:t>
        <w:br/>
        <w:t>primero  sobre  las  excepciones  preliminares  interpuestas  por  Suriname;</w:t>
        <w:br/>
        <w:t>posteriormente, si fuera jurídicamente  procedente,  el  Tribunal  pasará  a</w:t>
        <w:br/>
        <w:t>decidir sobre el fondo y las reparaciones solicitadas en el presente caso.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5.    El 27 de junio de 1997 la organización  de  derechos  humanos  Moiwana</w:t>
        <w:br/>
        <w:t>’86 presentó una denuncia ante la Comisión Interamericana.</w:t>
        <w:br/>
        <w:br/>
        <w:t>6.    El 7 de marzo de 2000, durante su 106º Período Ordinario de  Sesiones,</w:t>
        <w:br/>
        <w:t>la Comisión aprobó el  Informe  de  Admisibilidad  No.  26/00,  en  el  cual</w:t>
        <w:br/>
        <w:t>decidió, inter alia, que  eran  admisibles  los  alegatos  respecto  de  las</w:t>
        <w:br/>
        <w:t>presuntas  alegadas  violaciones  de  los  artículos  25,  8  y  1.1  de  la</w:t>
        <w:br/>
        <w:t>Convención Americana.</w:t>
        <w:br/>
        <w:br/>
        <w:t>7.    El 28 de febrero  de  2002,  durante  su  114º  Período  Ordinario  de</w:t>
        <w:br/>
        <w:t>Sesiones, la Comisión aprobó el Informe No. 35/02 sobre el fondo  del  caso,</w:t>
        <w:br/>
        <w:t>en el cual hizo las siguientes recomendaciones al Estado:</w:t>
        <w:br/>
        <w:br/>
        <w:t xml:space="preserve">        1. Que el Estado abra una investigación seria, imparcial y efectiva</w:t>
        <w:br/>
        <w:t xml:space="preserve">           sobre los hechos, de manera tal que se pueda producir un informe</w:t>
        <w:br/>
        <w:t xml:space="preserve">           oficial de las circunstancias que rodearon la masacre en Moiwana</w:t>
        <w:br/>
        <w:t xml:space="preserve">           y [que los  responsables  puedan  ser]  debidamente  juzgados  y</w:t>
        <w:br/>
        <w:t xml:space="preserve">           sancionados.</w:t>
        <w:br/>
        <w:br/>
        <w:br/>
        <w:t xml:space="preserve">        2. Que se adopten las medidas  necesarias  para  completar,  de  la</w:t>
        <w:br/>
        <w:t xml:space="preserve">           manera más pronta posible y  de  conformidad  con  la  ley,  los</w:t>
        <w:br/>
        <w:t xml:space="preserve">           procesos judiciales y  administrativos  relativos  a  todas  las</w:t>
        <w:br/>
        <w:t xml:space="preserve">           personas involucradas en las  violaciones  citadas  en  las  […]</w:t>
        <w:br/>
        <w:t xml:space="preserve">           conclusiones [del Informe No. 35/02], con el fin de  investigar,</w:t>
        <w:br/>
        <w:t xml:space="preserve">           juzgar y sancionar debidamente a los responsables.</w:t>
        <w:br/>
        <w:br/>
        <w:br/>
        <w:t xml:space="preserve">        3. Que el Estado de Suriname  repare  las  consecuencias  de  estas</w:t>
        <w:br/>
        <w:t xml:space="preserve">           violaciones de los derechos de  las  víctimas,  sus  familias  y</w:t>
        <w:br/>
        <w:t xml:space="preserve">           derechohabientes  que  se  han  visto   perjudicados   por   las</w:t>
        <w:br/>
        <w:t xml:space="preserve">           mencionadas violaciones a  derechos,  [cuya]  reparación  deberá</w:t>
        <w:br/>
        <w:t xml:space="preserve">           basarse en el concepto  de  familia  establecido  por  la  Corte</w:t>
        <w:br/>
        <w:t xml:space="preserve">           Interamericana de Derechos Humanos.</w:t>
        <w:br/>
        <w:br/>
        <w:br/>
        <w:t xml:space="preserve">        4. Que el Estado  de  Suriname  tome  las  medidas  legislativas  y</w:t>
        <w:br/>
        <w:t xml:space="preserve">           judiciales necesarias para abolir la ley de Amnistía  para  este</w:t>
        <w:br/>
        <w:t xml:space="preserve">           caso, en la medida en que permite la impunidad de violaciones de</w:t>
        <w:br/>
        <w:t xml:space="preserve">           derechos humanos y de crímenes de lesa humanidad.</w:t>
        <w:br/>
        <w:br/>
        <w:t>8.    Mediante comunicación de fecha  21  de  marzo  de  2002,  la  Comisión</w:t>
        <w:br/>
        <w:t>transmitió el Informe No. 35/02 al Estado, y le solicitó que  informara,  en</w:t>
        <w:br/>
        <w:t>el plazo de dos meses contado a  partir  de  la  fecha  de  transmisión  del</w:t>
        <w:br/>
        <w:t>mismo,  sobre  las  medidas  adoptadas   para   el   cumplimiento   de   las</w:t>
        <w:br/>
        <w:t>recomendaciones en él contenidas.</w:t>
        <w:br/>
        <w:br/>
        <w:t>9.    Mediante comunicación de la misma fecha, la  Comisión  informó  a  los</w:t>
        <w:br/>
        <w:t>peticionarios que había aprobado el Informe No. 35/02  y  les  solicitó  que</w:t>
        <w:br/>
        <w:t>remitieran la información señalada en el artículo 43.3 del Reglamento de  la</w:t>
        <w:br/>
        <w:t>Comisión, relativa a la posición de los peticionarios  respecto  al  posible</w:t>
        <w:br/>
        <w:t>envío del caso a la Corte Interamericana.  Los peticionarios  remitieron  la</w:t>
        <w:br/>
        <w:t>información solicitada el 20 de abril de 2002.</w:t>
        <w:br/>
        <w:br/>
        <w:t>10.   El 20 de mayo de 2002 el Estado remitió una  comunicación  en  la  que</w:t>
        <w:br/>
        <w:t>objetó tanto la admisibilidad del caso como las decisiones  de  la  Comisión</w:t>
        <w:br/>
        <w:t>contenidas en el Informe No. 35/02.</w:t>
        <w:br/>
        <w:br/>
        <w:t>11.   Después de varios intentos fallidos de obtener el cumplimiento de  sus</w:t>
        <w:br/>
        <w:t>recomendaciones, y tomando en cuenta la solicitud de  los  peticionarios  al</w:t>
        <w:br/>
        <w:t>respecto, la Comisión decidió someter el caso al conocimiento  de  la  Corte</w:t>
        <w:br/>
        <w:t>Interamericana.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12.   El 20 de diciembre de 2002 la Comisión presentó  la  demanda  ante  la</w:t>
        <w:br/>
        <w:t>Corte (supra párr. 1),  a  la  cual  adjuntó  prueba  documental  y  ofreció</w:t>
        <w:br/>
        <w:t>prueba testimonial y pericial. La  Comisión  designó  a  los  señores  Clare</w:t>
        <w:br/>
        <w:t>Kamau Roberts y  Santiago  A.  Canton  como  delegados,  y  al  señor  Ariel</w:t>
        <w:br/>
        <w:t>Dulitzky como asesor legal.  Después del examen  preliminar  de  la  demanda</w:t>
        <w:br/>
        <w:t>realizado por el Presidente de la Corte (en adelante  “el  Presidente”),  la</w:t>
        <w:br/>
        <w:t>Secretaría de la Corte (en adelante “la Secretaría”) notificó la  demanda  a</w:t>
        <w:br/>
        <w:t>Suriname el 17 de enero de 2003, e informó al Estado sobre los  plazos  para</w:t>
        <w:br/>
        <w:t>contestar la  demanda  y  para  designar  sus  representantes  en  el  caso.</w:t>
        <w:br/>
        <w:t>Asimismo, la Secretaría, siguiendo instrucciones del Presidente, informó  al</w:t>
        <w:br/>
        <w:t>Estado sobre su derecho a designar un Juez ad hoc para  que  participara  en</w:t>
        <w:br/>
        <w:t>la consideración del caso.  Además, mediante  comunicación  de  fecha  9  de</w:t>
        <w:br/>
        <w:t>enero de 2003, la Secretaría, de conformidad  con  el  artículo  35.1.d  del</w:t>
        <w:br/>
        <w:t>Reglamento notificó la  demanda  a  Maytrie  Kuldip-Singh  de  Moiwana  ’86.</w:t>
        <w:br/>
        <w:t>Finalmente, mediante comunicaciones de la misma  fecha,  la  Secretaría,  de</w:t>
        <w:br/>
        <w:t>conformidad con el artículo 35.1.e del Reglamento,  notificó  la  demanda  a</w:t>
        <w:br/>
        <w:t>Maytrie Kuldip-Singh, Julie Ann Fishel, Fergus  Mackay  y  Martin  Misiedjan</w:t>
        <w:br/>
        <w:t>(en adelante “los representantes”).</w:t>
        <w:br/>
        <w:br/>
        <w:t>13.   El 3 de marzo  de  2003  el  Estado  designó  al  señor  Soebhascandre</w:t>
        <w:br/>
        <w:t>Punwasi como Agente, y al señor Armand van der Saan como Agente  alterno,  y</w:t>
        <w:br/>
        <w:t>el 6 de marzo de 2003 designó al señor Freddy Kruisland  como  Juez  ad  hoc</w:t>
        <w:br/>
        <w:t>para el presente caso.</w:t>
        <w:br/>
        <w:br/>
        <w:t>14.   Después de que le fuera otorgada una prórroga, el 1 de  mayo  de  2003</w:t>
        <w:br/>
        <w:t>el Estado presentó su escrito de interposición de  excepciones  preliminares</w:t>
        <w:br/>
        <w:t>y contestación de la demanda, al cual adjuntó prueba documental.</w:t>
        <w:br/>
        <w:br/>
        <w:t>15.   Ante una solicitud de información presentada  por  los  representantes</w:t>
        <w:br/>
        <w:t>el 23 de mayo de 2003, el 26 de mayo de 2003  la  Secretaría  les  respondió</w:t>
        <w:br/>
        <w:t>que el plazo para la presentación de su escrito de  solicitudes,  argumentos</w:t>
        <w:br/>
        <w:t>y pruebas había vencido el 17 de febrero de 2003.</w:t>
        <w:br/>
        <w:br/>
        <w:t>16.   El 24 de febrero de 2004  Harvard  Law  Student  Advocates  for  Human</w:t>
        <w:br/>
        <w:t>Rights y el Global Justice Center sometieron  conjuntamente  un  escrito  de</w:t>
        <w:br/>
        <w:t>amici curiae.</w:t>
        <w:br/>
        <w:br/>
        <w:t>17.   El 26  de  mayo  de  2004  la  Comisión  Interamericana  presentó  sus</w:t>
        <w:br/>
        <w:t>alegatos escritos sobre las excepciones  preliminares  interpuestas  por  el</w:t>
        <w:br/>
        <w:t>Estado (supra párr. 14).</w:t>
        <w:br/>
        <w:br/>
        <w:t>18.   El 5 de agosto de 2004 el Presidente emitió una Resolución en  la  que</w:t>
        <w:br/>
        <w:t>requirió, de conformidad con el artículo 47.3 del Reglamento, que  el  señor</w:t>
        <w:br/>
        <w:t>Thomas S. Polimé, quien había sido propuesto como perito  por  la  Comisión,</w:t>
        <w:br/>
        <w:t>rindiera su peritaje mediante declaración rendida  ante  fedatario  público.</w:t>
        <w:br/>
        <w:t>De conformidad con los términos de la Resolución,  el  affidávit  debía  ser</w:t>
        <w:br/>
        <w:t>presentado a la Corte antes del 23 de agosto de 2004, y  ser  posteriormente</w:t>
        <w:br/>
        <w:t>transmitido al Estado y a los representantes para que éstos presentaran  las</w:t>
        <w:br/>
        <w:t>observaciones que estimaren pertinentes.  Asimismo, en dicha  Resolución  el</w:t>
        <w:br/>
        <w:t>Presidente convocó a la Comisión, a los representantes y  al  Estado  a  una</w:t>
        <w:br/>
        <w:t>audiencia pública que tendría  lugar  en  la  sede  de  la  Corte  el  9  de</w:t>
        <w:br/>
        <w:t>septiembre de 2004, para escuchar sus  alegatos  finales  orales  sobre  las</w:t>
        <w:br/>
        <w:t>excepciones preliminares y eventuales  fondo,  reparaciones  y  costas,  así</w:t>
        <w:br/>
        <w:t>como las declaraciones de determinados testigos y peritos (infra párr.  21).</w:t>
        <w:br/>
        <w:t xml:space="preserve"> Finalmente, el Presidente informó a la Comisión, a los representantes y  al</w:t>
        <w:br/>
        <w:t>Estado que contaban con plazo hasta el 11 de octubre de 2004 para  presentar</w:t>
        <w:br/>
        <w:t>sus  alegatos  finales  escritos  sobre  las  excepciones   preliminares   y</w:t>
        <w:br/>
        <w:t>eventuales fondo, reparaciones y costas.</w:t>
        <w:br/>
        <w:br/>
        <w:t>19.   El 23 de agosto de 2004 el Presidente emitió  otra  Resolución  en  la</w:t>
        <w:br/>
        <w:t>que decidió escuchar, las declaraciones de dos testigos y un  perito  en  la</w:t>
        <w:br/>
        <w:t>audiencia pública que se celebraría el 9 de septiembre de 2004 (infra  párr.</w:t>
        <w:br/>
        <w:t>21).</w:t>
        <w:br/>
        <w:br/>
        <w:t>20.   En la misma fecha, la Comisión  remitió  a  la  Corte  la  declaración</w:t>
        <w:br/>
        <w:t>jurada del señor Thomas S. Polimé.  Dicha  declaración  fue  transmitida  al</w:t>
        <w:br/>
        <w:t>Estado y a los representantes el 25 de agosto de 2004, y ninguno de los  dos</w:t>
        <w:br/>
        <w:t>presentó observaciones a ésta.</w:t>
        <w:br/>
        <w:br/>
        <w:t>21.   El 9 de septiembre de 2004, durante la  audiencia  pública  sobre  las</w:t>
        <w:br/>
        <w:t>excepciones preliminares y  eventuales  fondo,  reparaciones  y  costas,  la</w:t>
        <w:br/>
        <w:t>Corte escuchó las declaraciones de los testigos y peritos propuestos por  la</w:t>
        <w:br/>
        <w:t>Comisión Interamericana, así como los  alegatos  finales  orales  sobre  las</w:t>
        <w:br/>
        <w:t>excepciones preliminares y eventuales fondo, reparaciones  y  costas  de  la</w:t>
        <w:br/>
        <w:t>Comisión, los representantes y el Estado.</w:t>
        <w:br/>
        <w:br/>
        <w:t>Comparecieron ante la Corte:</w:t>
        <w:br/>
        <w:br/>
        <w:t>por la Comisión Interamericana:</w:t>
        <w:br/>
        <w:br/>
        <w:br/>
        <w:t xml:space="preserve">      Elizabeth Abi-Mershed, asesora;</w:t>
        <w:br/>
        <w:t xml:space="preserve">      Víctor Hugo Madrigal, asesor; y</w:t>
        <w:br/>
        <w:t xml:space="preserve">      Lilly Ching, asesora;</w:t>
        <w:br/>
        <w:br/>
        <w:t>por los representantes de las presuntas víctimas:</w:t>
        <w:br/>
        <w:br/>
        <w:t xml:space="preserve">      Mariska Muskiet, Director, Moiwana ’86; y</w:t>
        <w:br/>
        <w:t xml:space="preserve">      Fergus MacKay, Coordinador, Forest Peoples Programme;</w:t>
        <w:br/>
        <w:br/>
        <w:t>por el Estado de Suriname:</w:t>
        <w:br/>
        <w:br/>
        <w:t xml:space="preserve">      Soebaschandre Punwasi, Agente;</w:t>
        <w:br/>
        <w:t xml:space="preserve">      Eric Rudge, asesor;</w:t>
        <w:br/>
        <w:t xml:space="preserve">      Margo Waterval, asesora;</w:t>
        <w:br/>
        <w:t xml:space="preserve">      Lydia Ravenberg, asesora;</w:t>
        <w:br/>
        <w:t xml:space="preserve">      Henry MacDonald, asesor; y</w:t>
        <w:br/>
        <w:t xml:space="preserve">      Monique Pool, intérprete;</w:t>
        <w:br/>
        <w:br/>
        <w:t>testigos propuestos por la Comisión Interamericana:</w:t>
        <w:br/>
        <w:br/>
        <w:br/>
        <w:t xml:space="preserve">      Stanley Rensch;</w:t>
        <w:br/>
        <w:t xml:space="preserve">      Erwin Willemdam;</w:t>
        <w:br/>
        <w:t xml:space="preserve">      Antonia Difienjo; y</w:t>
        <w:br/>
        <w:t xml:space="preserve">      Andre Ajintoena;</w:t>
        <w:br/>
        <w:br/>
        <w:t>perito propuesto por la Comisión Interamericana:</w:t>
        <w:br/>
        <w:br/>
        <w:t xml:space="preserve">      Kenneth M. Bilby.</w:t>
        <w:br/>
        <w:br/>
        <w:t>22.   El 8 de octubre de 2004 los  representantes  remitieron  sus  alegatos</w:t>
        <w:br/>
        <w:t>finales escritos sobre las  excepciones  preliminares  y  eventuales  fondo,</w:t>
        <w:br/>
        <w:t>reparaciones y costas.</w:t>
        <w:br/>
        <w:br/>
        <w:t>23.   El 11 de octubre de 2004 tanto el Estado como la  Comisión  remitieron</w:t>
        <w:br/>
        <w:t>sus  alegatos  finales  escritos  sobre  las  excepciones   preliminares   y</w:t>
        <w:br/>
        <w:t>eventuales fondo, reparaciones y costas.</w:t>
        <w:br/>
        <w:br/>
        <w:t>24.   El 14 de enero  de  2005  el  Estado  remitió  copia  “de  la  reforma</w:t>
        <w:br/>
        <w:t>reciente al Código Penal de la República de Suriname”, en  relación  con  la</w:t>
        <w:br/>
        <w:t>ampliación del plazo de prescripción para ciertos delitos.</w:t>
        <w:br/>
        <w:br/>
        <w:t>25.   El 17 de febrero de 2005 la Secretaría,  siguiendo  instrucciones  del</w:t>
        <w:br/>
        <w:t>Presidente y de conformidad con el artículo 45 del Reglamento,  solicitó  al</w:t>
        <w:br/>
        <w:t>Estado, a la Comisión y a los representantes que presentaran, a  más  tardar</w:t>
        <w:br/>
        <w:t>el 17 de marzo de 2005, determinada prueba adicional a la Corte.</w:t>
        <w:br/>
        <w:br/>
        <w:t>26.   El 15 de marzo de 2005 los representantes remitieron la  documentación</w:t>
        <w:br/>
        <w:t>requerida de conformidad con el artículo 45 del Reglamento.   Asimismo,  los</w:t>
        <w:br/>
        <w:t>representantes solicitaron una prórroga de  20  días  para  complementar  la</w:t>
        <w:br/>
        <w:t>información  presentada.   Siguiendo  instrucciones   del   Presidente,   la</w:t>
        <w:br/>
        <w:t>Secretaría les otorgó la prórroga hasta el 6 de abril de 2005.</w:t>
        <w:br/>
        <w:br/>
        <w:t>27.   El 17 de marzo  de  2005  Suriname  remitió  la  información  faltante</w:t>
        <w:br/>
        <w:t>requerida de conformidad con el artículo 45 del Reglamento.  Ese  mismo  día</w:t>
        <w:br/>
        <w:t>la Comisión también respondió a la referida solicitud (supra párr. 25).   En</w:t>
        <w:br/>
        <w:t>su  comunicación,  la  Comisión  indicó,  inter  alia,  que  había  recibido</w:t>
        <w:br/>
        <w:t>“información  relacionada  con  la   identificación   de   cuatro   víctimas</w:t>
        <w:br/>
        <w:t>adicionales del ataque a la aldea de Moiwana”.</w:t>
        <w:br/>
        <w:br/>
        <w:t>28.   El 14 de abril de 2005  se  notificó  al  señor  F.  Kruisland,  a  la</w:t>
        <w:br/>
        <w:t>Comisión, a los representantes y al Estado  la  Resolución  emitida  por  la</w:t>
        <w:br/>
        <w:t>Corte el 15 de marzo de 2005, mediante la cual se ordenó al señor  Kruisland</w:t>
        <w:br/>
        <w:t>que “dimitiera del puesto de Juez ad hoc en el caso de la Comunidad  Moiwana</w:t>
        <w:br/>
        <w:t>vs. Suriname”, debido a “su [anterior] participación  en  un  proceso  legal</w:t>
        <w:br/>
        <w:t>que  tiene  conexión  directa  con  hechos   y   asuntos   relevantes   bajo</w:t>
        <w:br/>
        <w:t>conocimiento de la Corte en el presente  caso”.   En  dicha  Resolución,  la</w:t>
        <w:br/>
        <w:t>Corte observó que su decisión de separar al  señor  Kruisland  del  presente</w:t>
        <w:br/>
        <w:t>caso “no significa[ba] que efectivamente él careciera de independencia o  de</w:t>
        <w:br/>
        <w:t>imparcialidad en relación con el asunto en estudio, ni  expresa[ba]  ninguna</w:t>
        <w:br/>
        <w:t>forma de reproche o crítica por parte del Tribunal”.</w:t>
        <w:br/>
        <w:br/>
        <w:t>29.   El 15 de abril de 2005 el señor Kruisland “dimit[ió] como Juez ad  hoc</w:t>
        <w:br/>
        <w:t>de la Corte [en el presente caso], con efecto inmediato”.</w:t>
        <w:br/>
        <w:br/>
        <w:t>30.   El 30 de abril de 2005 los  representantes  presentaron  documentación</w:t>
        <w:br/>
        <w:t>adicional, en respuesta a lo requerido por el Presidente  (supra  párr.  25)</w:t>
        <w:br/>
        <w:t>en aplicación del artículo 45 del Reglamento.  En  dicha   documentación  se</w:t>
        <w:br/>
        <w:t>incluyeron contenía los  nombres  de  siete  personas  que  no  habían  sido</w:t>
        <w:br/>
        <w:t>previamente señaladas como presuntas víctimas en el presente caso.</w:t>
        <w:br/>
        <w:br/>
        <w:t>31.   El 12 de mayo de 2005 los representantes señalaron,  inter  alia,  que</w:t>
        <w:br/>
        <w:t>no les fue posible obtener más documentación adicional a la  que  ya  habían</w:t>
        <w:br/>
        <w:t>transmitido a la Corte relativa a las presuntas víctimas.</w:t>
        <w:br/>
        <w:br/>
        <w:t>32.   El 13 de mayo de 2005,  siguiendo  instrucciones  del  Presidente,  la</w:t>
        <w:br/>
        <w:t>Secretaría invitó a las partes del  caso  a  presentar  observaciones  a  la</w:t>
        <w:br/>
        <w:t>información y documentación presentada  en  respuesta  a  la  solicitud  del</w:t>
        <w:br/>
        <w:t>Presidente de 17 de  febrero  de  2005,  realizada  de  conformidad  con  el</w:t>
        <w:br/>
        <w:t>artículo 45  del  Reglamento.   La  Secretaría  indicó  que  si  las  partes</w:t>
        <w:br/>
        <w:t>decidían presentar dichas observaciones, debían  hacerlo  antes  del  20  de</w:t>
        <w:br/>
        <w:t>mayo de 2005.</w:t>
        <w:br/>
        <w:br/>
        <w:t>33.    El  20  de  mayo  de  2005   la   Comisión   Interamericana   remitió</w:t>
        <w:br/>
        <w:t>observaciones a la información y documentación presentada ante la  Corte  en</w:t>
        <w:br/>
        <w:t>respuesta a la solicitud del Presidente de 17 de febrero de 2005,  realizada</w:t>
        <w:br/>
        <w:t>de conformidad con el artículo 45 del Reglamento.</w:t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t xml:space="preserve">                        Primera Excepción Preliminar</w:t>
        <w:br/>
        <w:t xml:space="preserve">    La Corte carece de competencia ratione temporis porque la Convención</w:t>
        <w:br/>
        <w:t xml:space="preserve">                                  Americana</w:t>
        <w:br/>
        <w:t xml:space="preserve">       no es aplicable a la República de Suriname en el presente caso</w:t>
        <w:br/>
        <w:br/>
        <w:t>Alegatos del Estado</w:t>
        <w:br/>
        <w:br/>
        <w:t>34.   El Estado alegó que la Corte carece de  competencia  ratione  temporis</w:t>
        <w:br/>
        <w:t>para conocer el presente caso con base en lo siguiente:</w:t>
        <w:br/>
        <w:br/>
        <w:t xml:space="preserve">      a)     la  Comisión  hizo  una  distinción  entre  dos  categorías  de</w:t>
        <w:br/>
        <w:t xml:space="preserve">      presuntas violaciones de derechos humanos:  i)  presuntas  violaciones</w:t>
        <w:br/>
        <w:t xml:space="preserve">      que se llevaron a cabo antes del 12 de noviembre de 1987  relativas  a</w:t>
        <w:br/>
        <w:t xml:space="preserve">      los artículos I, VII, IX  y  XXIII  de  la  Declaración  Americana  de</w:t>
        <w:br/>
        <w:t xml:space="preserve">      Derechos y Deberes del Hombre; y ii) presuntas violaciones continuadas</w:t>
        <w:br/>
        <w:t xml:space="preserve">      después del 12 de noviembre de 1987 relativas a los artículos 1,  8  y</w:t>
        <w:br/>
        <w:t xml:space="preserve">      25 de la Convención Americana.  Estas son “dos  categorías  claramente</w:t>
        <w:br/>
        <w:t xml:space="preserve">      diferentes” de violaciones  y,  por  lo  tanto,  debieron  haber  sido</w:t>
        <w:br/>
        <w:t xml:space="preserve">      procesadas por separado;</w:t>
        <w:br/>
        <w:br/>
        <w:br/>
        <w:t xml:space="preserve">      b)    un “Estado Parte de la Convención” es un Estado  miembro  de  la</w:t>
        <w:br/>
        <w:t xml:space="preserve">      OEA que es parte de la Convención Americana.  La  Comisión,  en  forma</w:t>
        <w:br/>
        <w:t xml:space="preserve">      errónea, trató a Suriname como un  “Estado  Parte  de  la  Convención”</w:t>
        <w:br/>
        <w:t xml:space="preserve">      durante todo el caso, aplicándole la Convención ex post facto;</w:t>
        <w:br/>
        <w:br/>
        <w:br/>
        <w:t xml:space="preserve">      c)    los hechos que tuvieron lugar en la aldea de Moiwana  el  29  de</w:t>
        <w:br/>
        <w:t xml:space="preserve">      noviembre de 1986, cuando Suriname todavía no era un “Estado parte  de</w:t>
        <w:br/>
        <w:t xml:space="preserve">      la  Convención”,  no  constituirían  violaciones  a   normas   de   la</w:t>
        <w:br/>
        <w:t xml:space="preserve">      Convención, “sino talvez violaciones de los estándares establecidos en</w:t>
        <w:br/>
        <w:t xml:space="preserve">      la Declaración”.  Dado que los hechos del caso ocurrieron antes de que</w:t>
        <w:br/>
        <w:t xml:space="preserve">      Suriname se convirtiera en un  Estado  Parte  de  la  Convención,  los</w:t>
        <w:br/>
        <w:t xml:space="preserve">      peticionarios no presentaron a la Comisión prueba  de  violaciones  de</w:t>
        <w:br/>
        <w:t xml:space="preserve">      dicho tratado;</w:t>
        <w:br/>
        <w:br/>
        <w:br/>
        <w:t xml:space="preserve">      d)    la Comisión,  entonces,  debió  haber  desestimado  la  denuncia</w:t>
        <w:br/>
        <w:t xml:space="preserve">      porque ésta no establecía los hechos que configuran una  violación  de</w:t>
        <w:br/>
        <w:t xml:space="preserve">      la Convención, tal como lo requiere el artículo 47.b de la  Convención</w:t>
        <w:br/>
        <w:t xml:space="preserve">      Americana;</w:t>
        <w:br/>
        <w:br/>
        <w:br/>
        <w:t xml:space="preserve">      e)    la Corte sólo reconoce la posibilidad de que las  desapariciones</w:t>
        <w:br/>
        <w:t xml:space="preserve">      forzadas, que no corresponden al  objeto  del  presente  caso,  puedan</w:t>
        <w:br/>
        <w:t xml:space="preserve">      constituir  violaciones  continuadas.   El   concepto   de   violación</w:t>
        <w:br/>
        <w:t xml:space="preserve">      continuada, tal como ha sido aplicado a las presuntas  violaciones  de</w:t>
        <w:br/>
        <w:t xml:space="preserve">      la Convención Americana en el presente caso, es “extremo,  excepcional</w:t>
        <w:br/>
        <w:t xml:space="preserve">      y  contrario  a  principios   generalmente   aceptados   del   derecho</w:t>
        <w:br/>
        <w:t xml:space="preserve">      internacional”; y</w:t>
        <w:br/>
        <w:br/>
        <w:br/>
        <w:t xml:space="preserve">      f)    dado que no se han violado  los  estándares  de  la  Convención,</w:t>
        <w:br/>
        <w:t xml:space="preserve">      sería  imposible  que  existieran  violaciones  continuadas  de  dicho</w:t>
        <w:br/>
        <w:t xml:space="preserve">      tratado, como lo alega la Comisión.  Además, en su  informe  sobre  el</w:t>
        <w:br/>
        <w:t xml:space="preserve">      fondo, la Comisión no declaró ninguna violación del artículo XVIII  de</w:t>
        <w:br/>
        <w:t xml:space="preserve">      la Declaración; por lo tanto, no podría concluir que haya existido una</w:t>
        <w:br/>
        <w:t xml:space="preserve">      violación de los artículos 8 y 25 de la Convención.</w:t>
        <w:br/>
        <w:br/>
        <w:t>Alegatos de la Comisión</w:t>
        <w:br/>
        <w:br/>
        <w:t>35.   En relación con la excepción preliminar interpuesta por el  Estado  de</w:t>
        <w:br/>
        <w:t>falta  de  competencia  del   Tribunal   ratione   temporis,   la   Comisión</w:t>
        <w:br/>
        <w:t>Interamericana argumentó que:</w:t>
        <w:br/>
        <w:br/>
        <w:t xml:space="preserve">      a)    esta objeción a la  admisibilidad  es  extemporánea;  el  Estado</w:t>
        <w:br/>
        <w:t xml:space="preserve">      objetó la aplicabilidad de la Convención Americana  al  presente  caso</w:t>
        <w:br/>
        <w:t xml:space="preserve">      después de que la Comisión adoptó el Informe de Fondo No. 35/02;</w:t>
        <w:br/>
        <w:br/>
        <w:br/>
        <w:t xml:space="preserve">      b)    en vista  de  que  el  Estado  interpuso  sus  objeciones  a  la</w:t>
        <w:br/>
        <w:t xml:space="preserve">      admisibilidad fuera de las oportunidades  procesales  existentes  para</w:t>
        <w:br/>
        <w:t xml:space="preserve">      las partes que litigan ante la Comisión, los peticionarios no tuvieron</w:t>
        <w:br/>
        <w:t xml:space="preserve">      oportunidad de responder a esas objeciones  dentro  del  contexto  del</w:t>
        <w:br/>
        <w:t xml:space="preserve">      procedimiento ante la Comisión;</w:t>
        <w:br/>
        <w:br/>
        <w:br/>
        <w:t xml:space="preserve">      c)    si el Estado está alegando que la Comisión debió haber  adoptado</w:t>
        <w:br/>
        <w:t xml:space="preserve">      dos juegos separados de informes de admisibilidad y  de  fondo  –  uno</w:t>
        <w:br/>
        <w:t xml:space="preserve">      para los alegatos relativos a  la  Declaración  y  el  otro  para  los</w:t>
        <w:br/>
        <w:t xml:space="preserve">      alegatos relativos  a  la  Convención  –  no  citó  ningún  fundamento</w:t>
        <w:br/>
        <w:t xml:space="preserve">      jurídico para tal posición. Ni la Convención, ni  el  Estatuto  de  la</w:t>
        <w:br/>
        <w:t xml:space="preserve">      Comisión  o  su  Reglamento,  requieren  un  procedimiento   de   esas</w:t>
        <w:br/>
        <w:t xml:space="preserve">      características, lo  cual  sería  además  contrario  al  principio  de</w:t>
        <w:br/>
        <w:t xml:space="preserve">      economía procesal;</w:t>
        <w:br/>
        <w:br/>
        <w:br/>
        <w:t xml:space="preserve">      d)    a pesar de que Suriname  argumenta  que  ha  sido  efectivamente</w:t>
        <w:br/>
        <w:t xml:space="preserve">      tratado como un Estado Parte en  la  Convención  en  relación  con  la</w:t>
        <w:br/>
        <w:t xml:space="preserve">      totalidad de los alegatos presentados en este caso, tanto  el  informe</w:t>
        <w:br/>
        <w:t xml:space="preserve">      de admisibilidad como el de fondo demuestran  que  sólo  los  alegatos</w:t>
        <w:br/>
        <w:t xml:space="preserve">      relacionados  con  la  denegación  continuada   de   justicia   fueron</w:t>
        <w:br/>
        <w:t xml:space="preserve">      analizados bajo la Convención Americana.  Los  alegatos  relativos  al</w:t>
        <w:br/>
        <w:t xml:space="preserve">      presunto ataque  y  las  presuntas  violaciones  cometidas  el  29  de</w:t>
        <w:br/>
        <w:t xml:space="preserve">      noviembre de 1986 fueron tratados sólo bajo la Declaración Americana;</w:t>
        <w:br/>
        <w:br/>
        <w:br/>
        <w:t xml:space="preserve">      e)    la Comisión no está solicitando a la Corte  que  aplique  normas</w:t>
        <w:br/>
        <w:t xml:space="preserve">      legales o ejerza su competencia en forma retroactiva; la  Corte  tiene</w:t>
        <w:br/>
        <w:t xml:space="preserve">      plena competencia sobre  todos  los  actos  y  omisiones  de  Suriname</w:t>
        <w:br/>
        <w:t xml:space="preserve">      ocurridos con posterioridad al 12 de noviembre de 1987; y</w:t>
        <w:br/>
        <w:br/>
        <w:br/>
        <w:t xml:space="preserve">      f)    en la medida en que el Estado desea controvertir  el  fundamento</w:t>
        <w:br/>
        <w:t xml:space="preserve">      fáctico y jurídico en el que la Comisión basó su Informe de Fondo  No.</w:t>
        <w:br/>
        <w:t xml:space="preserve">      35/02, y su sucesiva demanda ante la Corte, esos son puntos que  deben</w:t>
        <w:br/>
        <w:t xml:space="preserve">      ser tratados en la etapa de fondo del procedimiento.</w:t>
        <w:br/>
        <w:br/>
        <w:t>Alegatos de los representantes</w:t>
        <w:br/>
        <w:br/>
        <w:t>36.   En relación con la excepción preliminar ratione  temporis  interpuesta</w:t>
        <w:br/>
        <w:t>por el Estado los representantes alegaron que:</w:t>
        <w:br/>
        <w:br/>
        <w:t xml:space="preserve">      a)    las violaciones  alegadas  ante  la  Corte  tuvieron  lugar  con</w:t>
        <w:br/>
        <w:t xml:space="preserve">      posterioridad a la ratificación de la Convención Americana  por  parte</w:t>
        <w:br/>
        <w:t xml:space="preserve">      de Suriname y su reconocimiento de la competencia  contenciosa  de  la</w:t>
        <w:br/>
        <w:t xml:space="preserve">      Corte, o son de naturaleza continuada;</w:t>
        <w:br/>
        <w:br/>
        <w:br/>
        <w:t xml:space="preserve">      b)     la  denegación  de  justicia  en   este   caso   se   encuentra</w:t>
        <w:br/>
        <w:t xml:space="preserve">      específicamente  ligada  a  las  acciones  y  omisiones  de   Suriname</w:t>
        <w:br/>
        <w:t xml:space="preserve">      ocurridas en 1989, 1992, 1993, 1995 y 1997, que  continúan  hasta  hoy</w:t>
        <w:br/>
        <w:t xml:space="preserve">      día;</w:t>
        <w:br/>
        <w:br/>
        <w:br/>
        <w:t xml:space="preserve">      c)    la presunta violación del artículo 2 de la Convención  Americana</w:t>
        <w:br/>
        <w:t xml:space="preserve">      se refiere a acciones y omisiones que ocurrieron en  1992,  cuando  se</w:t>
        <w:br/>
        <w:t xml:space="preserve">      aprobó la Ley de Amnistía de 1989,  y  en  1993,  cuando  agentes  del</w:t>
        <w:br/>
        <w:t xml:space="preserve">      Estado presuntamente  invocaron  la  Ley  de  Amnistía  de  1989  como</w:t>
        <w:br/>
        <w:t xml:space="preserve">      fundamento para descontinuar la investigación preliminar de la masacre</w:t>
        <w:br/>
        <w:t xml:space="preserve">      en la aldea de Moiwana;</w:t>
        <w:br/>
        <w:br/>
        <w:br/>
        <w:t xml:space="preserve">      d)    las presuntas violaciones del artículo 5 de la Convención  están</w:t>
        <w:br/>
        <w:t xml:space="preserve">      asociadas con la masacre misma y  son  de  naturaleza  continuada,  “y</w:t>
        <w:br/>
        <w:t xml:space="preserve">      además son violaciones diferentes y acumulativas relacionadas  con  la</w:t>
        <w:br/>
        <w:t xml:space="preserve">      denegación de justicia y con otras acciones y omisiones posteriores al</w:t>
        <w:br/>
        <w:t xml:space="preserve">      reconocimiento de la competencia de la Corte por parte del Estado”;</w:t>
        <w:br/>
        <w:br/>
        <w:br/>
        <w:t xml:space="preserve">      e)    la presunta violación del artículo 21 de la Convención Americana</w:t>
        <w:br/>
        <w:t xml:space="preserve">      es de naturaleza continuada y, por lo tanto, atribuible a Suriname con</w:t>
        <w:br/>
        <w:t xml:space="preserve">      posterioridad a su reconocimiento de la competencia contenciosa de  la</w:t>
        <w:br/>
        <w:t xml:space="preserve">      Corte; y</w:t>
        <w:br/>
        <w:br/>
        <w:br/>
        <w:t xml:space="preserve">      f)    considerando que las presuntas violaciones que fueron  cometidas</w:t>
        <w:br/>
        <w:t xml:space="preserve">      el 29 de noviembre de 1986 no se encuentran bajo el conocimiento de la</w:t>
        <w:br/>
        <w:t xml:space="preserve">      Corte, la masacre constituye una violación grave y sistemática de  una</w:t>
        <w:br/>
        <w:t xml:space="preserve">      serie de normas fundamentales de derecho internacional que,  de  igual</w:t>
        <w:br/>
        <w:t xml:space="preserve">      manera, son relevantes  para  la  determinación  de  la  naturaleza  y</w:t>
        <w:br/>
        <w:t xml:space="preserve">      alcance de la responsabilidad estatal por la  denegación  de  justicia</w:t>
        <w:br/>
        <w:t xml:space="preserve">      bajo la Convención Americana, así como de la naturaleza y  alcance  de</w:t>
        <w:br/>
        <w:t xml:space="preserve">      las medidas que se requieren para remediar esas violaciones.</w:t>
        <w:br/>
        <w:br/>
        <w:t>Consideraciones de la Corte</w:t>
        <w:br/>
        <w:br/>
        <w:t>37.   La principal defensa del Estado en el caso sub judice consiste  en  su</w:t>
        <w:br/>
        <w:t>rechazo de la competencia ratione temporis de la Corte.   En  este  sentido,</w:t>
        <w:br/>
        <w:t>Suriname argumenta que las violaciones alegadas por la Comisión  y  por  los</w:t>
        <w:br/>
        <w:t>representantes se originaron en hechos que ocurrieron en noviembre de  1986,</w:t>
        <w:br/>
        <w:t>un  año  antes  de  su  ratificación  de  la  Convención  Americana   y   su</w:t>
        <w:br/>
        <w:t>reconocimiento de la  competencia  de  la  Corte.   De  conformidad  con  lo</w:t>
        <w:br/>
        <w:t>señalado por el Estado, los términos  de  su  responsabilidad  internacional</w:t>
        <w:br/>
        <w:t>durante 1986 se definirían exclusivamente por la  Declaración  Americana,  y</w:t>
        <w:br/>
        <w:t>de esta manera impedirían que la Corte tuviera competencia  en  el  presente</w:t>
        <w:br/>
        <w:t>caso.  Igualmente,  el  Estado  sostiene  que  cualquier  violación  que  el</w:t>
        <w:br/>
        <w:t>Tribunal declare en relación  con  los  hechos  en  cuestión  necesariamente</w:t>
        <w:br/>
        <w:t>implicaría una aplicación ex post facto de la Convención.</w:t>
        <w:br/>
        <w:br/>
        <w:t>38.   Tal como se indicó anteriormente, el 12 de noviembre de 1987  Suriname</w:t>
        <w:br/>
        <w:t>reconoció la competencia de la Corte (supra párr. 4) de conformidad  con  el</w:t>
        <w:br/>
        <w:t>artículo 62 de la Convención,  sin  ninguna  limitación  expresa.   De  esta</w:t>
        <w:br/>
        <w:t>manera, el Estado reconoció la competencia de la Corte como  obligatoria  de</w:t>
        <w:br/>
        <w:t>pleno derecho y sin convención especial sobre todos los  casos  relativos  a</w:t>
        <w:br/>
        <w:t>la interpretación o aplicación de la Convención.  A la luz de la  naturaleza</w:t>
        <w:br/>
        <w:t>de la presente excepción preliminar, es necesario referirse al  artículo  28</w:t>
        <w:br/>
        <w:t>de la Convención de Viena sobre el Derecho de los Tratados  de  1969[1],  el</w:t>
        <w:br/>
        <w:t>cual establece que:</w:t>
        <w:br/>
        <w:br/>
        <w:t xml:space="preserve">      [l]as disposiciones de un tratado no obligarán a una parte respecto de</w:t>
        <w:br/>
        <w:t xml:space="preserve">      ningún acto o hecho que haya tenido lugar con anterioridad a la  fecha</w:t>
        <w:br/>
        <w:t xml:space="preserve">      de entrada en vigor del tratado para esa parte ni de ninguna situación</w:t>
        <w:br/>
        <w:t xml:space="preserve">      que en esa fecha haya dejado  de  existir,  salvo  que  una  intención</w:t>
        <w:br/>
        <w:t xml:space="preserve">      diferente se desprenda del tratado o conste de otro modo.</w:t>
        <w:br/>
        <w:br/>
        <w:t>39.   De conformidad con este principio de irretroactividad, en el  caso  de</w:t>
        <w:br/>
        <w:t>violaciones continuadas  o  permanentes,  las  cuales  comienzan  antes  del</w:t>
        <w:br/>
        <w:t>reconocimiento de la competencia de la Corte y persisten aun después de  ese</w:t>
        <w:br/>
        <w:t>reconocimiento, el Tribunal es  competente  para  examinar  las  acciones  y</w:t>
        <w:br/>
        <w:t>omisiones  que  hayan  ocurrido  con  posterioridad  al  reconocimiento   de</w:t>
        <w:br/>
        <w:t>competencia, así como sus respectivos efectos[2].</w:t>
        <w:br/>
        <w:br/>
        <w:t>40.   La Comisión ha sostenido a lo largo del trámite del presente caso  que</w:t>
        <w:br/>
        <w:t>las únicas  violaciones  que  atribuye  al  Estado  ante  este  Tribunal  se</w:t>
        <w:br/>
        <w:t>refieren a “una serie de acciones y omisiones”, existentes en la  fecha  del</w:t>
        <w:br/>
        <w:t>reconocimiento de la competencia de la  Corte  por  parte  del  Estado,  las</w:t>
        <w:br/>
        <w:t>cuales presuntamente han causado una  continua  denegación  de  justicia  en</w:t>
        <w:br/>
        <w:t>violación de lo que disponen los artículos 8, 25  y  1.1  de  la  Convención</w:t>
        <w:br/>
        <w:t>Americana.  En  sus  diferentes  alegatos  presentados  ante  la  Corte,  la</w:t>
        <w:br/>
        <w:t>Comisión se ha referido a varios ejemplos  de  “violaciones  individuales  y</w:t>
        <w:br/>
        <w:t>autónomas de las obligaciones  del  Estado  contenidas  en  la  Convención”,</w:t>
        <w:br/>
        <w:t>todas las cuales presuntamente  habrían  ocurrido  con  posterioridad  a  la</w:t>
        <w:br/>
        <w:t>ratificación de la Convención por parte del Estado y  su  reconocimiento  de</w:t>
        <w:br/>
        <w:t>la competencia de la Corte.</w:t>
        <w:br/>
        <w:br/>
        <w:t>41.   Estas supuestas violaciones del Estado se basan, inter  alia,  en  los</w:t>
        <w:br/>
        <w:t>siguientes presuntos hechos citados por la Comisión: la falta,  hasta  1989,</w:t>
        <w:br/>
        <w:t>de una investigación ex officio de los hechos ocurridos el 29  de  noviembre</w:t>
        <w:br/>
        <w:t>de 1986 en la aldea de Moiwana; la  liberación  forzosa,  realizada  por  el</w:t>
        <w:br/>
        <w:t>ejército, de los sospechosos que se encontraban bajo  custodia  policial  en</w:t>
        <w:br/>
        <w:t>1989; el homicidio, ocurrido en 1990, del oficial de policía a cargo  de  la</w:t>
        <w:br/>
        <w:t>investigación  de  Moiwana  y,  como  consecuencia,  la  suspensión  de   la</w:t>
        <w:br/>
        <w:t>investigación  oficial;  y   el   “efecto   inhibidor”   adicional   en   la</w:t>
        <w:br/>
        <w:t>investigación causado por la aprobación de una ley de amnistía en 1992.</w:t>
        <w:br/>
        <w:br/>
        <w:t>42.   Por su parte, los representantes argumentaron que “[l]a denegación  de</w:t>
        <w:br/>
        <w:t>justicia en este caso se encuentra específicamente vinculada a las  acciones</w:t>
        <w:br/>
        <w:t>y omisiones de Suriname que ocurrieron en 1989, 1992, 1993, 1995 y  1996-97,</w:t>
        <w:br/>
        <w:t>y  que  continúan  hasta  el  día  de  hoy”.  Asimismo,  han  alegado  otras</w:t>
        <w:br/>
        <w:t>violaciones estatales a  la  Convención,  además  de  las  asociadas  a  los</w:t>
        <w:br/>
        <w:t>artículos 8, 25 y 1.1 de dicho tratado, las cuales  también  habrían  tenido</w:t>
        <w:br/>
        <w:t>lugar después del reconocimiento de la competencia de la Corte por parte  de</w:t>
        <w:br/>
        <w:t>Suriname, como por ejemplo las presuntas violaciones de los  artículos  5  y</w:t>
        <w:br/>
        <w:t>21 de la Convención.</w:t>
        <w:br/>
        <w:br/>
        <w:t>43.   En el caso sub  judice,  la  Corte  distingue  tanto  entre  presuntas</w:t>
        <w:br/>
        <w:t>violaciones a derechos de la Convención  Americana  que  son  de  naturaleza</w:t>
        <w:br/>
        <w:t>continua y presuntas violaciones ocurridas después del 12  de  noviembre  de</w:t>
        <w:br/>
        <w:t>1987.  En relación con las primeras, el Tribunal advierte que se ha  alegado</w:t>
        <w:br/>
        <w:t>la perpetración de una masacre en 1986; como consecuencia  de  ella,  habría</w:t>
        <w:br/>
        <w:t>nacido para el Estado la obligación de investigar, procesar y juzgar  a  los</w:t>
        <w:br/>
        <w:t>responsables.  Tanto es así que el propio Estado inició  esta  investigación</w:t>
        <w:br/>
        <w:t>en 1989.  La referida obligación podía ser examinada a contar  de  la  fecha</w:t>
        <w:br/>
        <w:t>del reconocimiento por Suriname de la competencia de la  Corte.   El  examen</w:t>
        <w:br/>
        <w:t>de la compatibilidad de las acciones y omisiones del Estado respecto a  esta</w:t>
        <w:br/>
        <w:t>investigación, a la luz de los artículos 8, 25 y 1.1 de  la  Convención,  es</w:t>
        <w:br/>
        <w:t>de competencia de esta Corte.   Por  otra  parte,  se  ha  alegado  que  las</w:t>
        <w:br/>
        <w:t>presuntas  víctimas  fueron  desplazadas   forzadamente   de   sus   tierras</w:t>
        <w:br/>
        <w:t>ancestrales.  Aunque este desplazamiento presuntamente sucedió en  1986,  la</w:t>
        <w:br/>
        <w:t>imposibilidad del retorno a estas tierras supuestamente ha  subsistido.   La</w:t>
        <w:br/>
        <w:t>Corte tiene también jurisdicción para decidir sobre estos  presuntos  hechos</w:t>
        <w:br/>
        <w:t>y sobre la calificación jurídica que a ellos  corresponda.   Finalmente,  en</w:t>
        <w:br/>
        <w:t>cuanto a las presuntas violaciones ocurridas después del 12 de noviembre  de</w:t>
        <w:br/>
        <w:t>1987, que se estima innecesario detallar aquí, es evidente que caen bajo  la</w:t>
        <w:br/>
        <w:t>competencia de la Corte Interamericana.</w:t>
        <w:br/>
        <w:br/>
        <w:t>44.   En consecuencia, se rechaza esta excepción preliminar en los  términos</w:t>
        <w:br/>
        <w:t>que se han señalado.</w:t>
        <w:br/>
        <w:br/>
        <w:br/>
        <w:t xml:space="preserve">                        Segunda Excepción Preliminar</w:t>
        <w:br/>
        <w:t xml:space="preserve">     Los peticionarios no han agotado los recursos internos tal como lo</w:t>
        <w:br/>
        <w:t xml:space="preserve">                                  requieren</w:t>
        <w:br/>
        <w:t xml:space="preserve">    la Convención Americana y el Reglamento de la Comisión Interamericana</w:t>
        <w:br/>
        <w:br/>
        <w:t>Alegatos del Estado</w:t>
        <w:br/>
        <w:br/>
        <w:t>45.   El Estado alegó lo siguiente en relación con la falta  de  agotamiento</w:t>
        <w:br/>
        <w:t>de los recursos internos:</w:t>
        <w:br/>
        <w:br/>
        <w:t xml:space="preserve">      a)     a  pesar  de  que  en  Suriname  existen  recursos  específicos</w:t>
        <w:br/>
        <w:t xml:space="preserve">      aplicables a este caso, los  peticionarios  han  sido  negligentes  en</w:t>
        <w:br/>
        <w:t xml:space="preserve">      invocarlos y/o agotarlos. Asimismo, la carga de la prueba recae  sobre</w:t>
        <w:br/>
        <w:t xml:space="preserve">      el peticionario, quien debe probar que los recursos específicos fueron</w:t>
        <w:br/>
        <w:t xml:space="preserve">      agotados o que caen dentro de la excepción establecida en el  artículo</w:t>
        <w:br/>
        <w:t xml:space="preserve">      37.2 del Reglamento de la Comisión;</w:t>
        <w:br/>
        <w:br/>
        <w:br/>
        <w:t xml:space="preserve">      b)     Suriname  no  ha  renunciado  a  su   derecho   a   alegar   la</w:t>
        <w:br/>
        <w:t xml:space="preserve">      inadmisibilidad del caso con base en la falta de  agotamiento  de  los</w:t>
        <w:br/>
        <w:t xml:space="preserve">      recursos internos; el Estado actuó  a  tiempo  en  relación  con  este</w:t>
        <w:br/>
        <w:t xml:space="preserve">      asunto en mayo de 2002;</w:t>
        <w:br/>
        <w:br/>
        <w:br/>
        <w:t xml:space="preserve">      c)    el Código Civil del Estado, el Código de Procedimiento  Civil  y</w:t>
        <w:br/>
        <w:t xml:space="preserve">      el  Código  de  Procedimiento  Penal  establecen   recursos   internos</w:t>
        <w:br/>
        <w:t xml:space="preserve">      efectivos;</w:t>
        <w:br/>
        <w:br/>
        <w:br/>
        <w:t xml:space="preserve">      d)    en el presente caso, el peticionario tuvo oportunidad de iniciar</w:t>
        <w:br/>
        <w:t xml:space="preserve">      un procedimiento penal y una acción  civil  acerca  de  las  presuntas</w:t>
        <w:br/>
        <w:t xml:space="preserve">      violaciones;</w:t>
        <w:br/>
        <w:br/>
        <w:br/>
        <w:t xml:space="preserve">      e)    de conformidad con el artículo 1386 del Código Civil, el  Estado</w:t>
        <w:br/>
        <w:t xml:space="preserve">      puede ser demandado por los daños causados por sus actos. Éste hubiera</w:t>
        <w:br/>
        <w:t xml:space="preserve">      sido  el  remedio  legal  más  efectivo  en  Suriname   para   obtener</w:t>
        <w:br/>
        <w:t xml:space="preserve">      compensación;  sin  embargo,  los  peticionarios   no   litigaron   de</w:t>
        <w:br/>
        <w:t xml:space="preserve">      conformidad con el mencionado artículo 1386, sino sólo optaron por  la</w:t>
        <w:br/>
        <w:t xml:space="preserve">      persecución criminal de los responsables;</w:t>
        <w:br/>
        <w:br/>
        <w:br/>
        <w:t xml:space="preserve">      f)    la Comisión no ha reconocido  que  efectivamente  se  encontraba</w:t>
        <w:br/>
        <w:t xml:space="preserve">      disponible una acción civil y que los peticionarios no  agotaron  este</w:t>
        <w:br/>
        <w:t xml:space="preserve">      recurso, ni ha quedado demostrado que dicho recurso no era efectivo; y</w:t>
        <w:br/>
        <w:br/>
        <w:br/>
        <w:br/>
        <w:br/>
        <w:t xml:space="preserve">      g)    los peticionarios no pueden  argumentar  que  se  ha  negado  el</w:t>
        <w:br/>
        <w:t xml:space="preserve">      acceso a las  autoridades  judiciales  nacionales;  tampoco  se  puede</w:t>
        <w:br/>
        <w:t xml:space="preserve">      alegar un retardo en el proceso legal, dado que los  peticionarios  no</w:t>
        <w:br/>
        <w:t xml:space="preserve">      hicieron  uso  de  las  posibilidades  de  recursos  internos  legales</w:t>
        <w:br/>
        <w:t xml:space="preserve">      disponibles.</w:t>
        <w:br/>
        <w:br/>
        <w:t>Alegatos de la Comisión</w:t>
        <w:br/>
        <w:br/>
        <w:t>46.   En relación con el alegado no agotamiento de  los  recursos  internos,</w:t>
        <w:br/>
        <w:t>la Comisión argumentó que:</w:t>
        <w:br/>
        <w:br/>
        <w:t xml:space="preserve">      a)    el Estado no respondió a reiteradas solicitudes de  la  Comisión</w:t>
        <w:br/>
        <w:t xml:space="preserve">      de que presentara información y nunca objetó la admisibilidad  de  los</w:t>
        <w:br/>
        <w:t xml:space="preserve">      argumentos presentados por los peticionarios  durante  la  oportunidad</w:t>
        <w:br/>
        <w:t xml:space="preserve">      procesal adecuada.  Por lo tanto, Suriname tácitamente renunció  a  su</w:t>
        <w:br/>
        <w:t xml:space="preserve">      derecho a objetar la falta de cumplimiento de requisitos tales como el</w:t>
        <w:br/>
        <w:t xml:space="preserve">      agotamiento de recursos internos, de conformidad con el artículo 46 de</w:t>
        <w:br/>
        <w:t xml:space="preserve">      la Convención, estando ahora impedido de presentar tales objeciones en</w:t>
        <w:br/>
        <w:t xml:space="preserve">      relación con este punto, en virtud del principio de estoppel;</w:t>
        <w:br/>
        <w:br/>
        <w:br/>
        <w:t xml:space="preserve">      b)    la Comisión expresamente informó  al  Estado  que  su  falta  de</w:t>
        <w:br/>
        <w:t xml:space="preserve">      respuesta a las solicitudes de la Comisión permitiría a ésta presumir,</w:t>
        <w:br/>
        <w:t xml:space="preserve">      de conformidad con el artículo 42 de su Reglamento  aplicable  en  ese</w:t>
        <w:br/>
        <w:t xml:space="preserve">      momento, que los hechos denunciados eran verdaderos,  en  ausencia  de</w:t>
        <w:br/>
        <w:t xml:space="preserve">      evidencia que probara lo contrario;</w:t>
        <w:br/>
        <w:br/>
        <w:br/>
        <w:t xml:space="preserve">      c)    en su Informe de Admisibilidad No. 26/00, la Comisión  consideró</w:t>
        <w:br/>
        <w:t xml:space="preserve">      el silencio del Estado como una renuncia implícita  a  su  derecho  de</w:t>
        <w:br/>
        <w:t xml:space="preserve">      alegar el no agotamiento de los recursos internos;</w:t>
        <w:br/>
        <w:br/>
        <w:br/>
        <w:t xml:space="preserve">      d)    el requisito  de  que  los  peticionarios  agoten  los  recursos</w:t>
        <w:br/>
        <w:t xml:space="preserve">      internos no debe imponer obstáculos  procesales  injustificados,  sino</w:t>
        <w:br/>
        <w:t xml:space="preserve">      más bien asegurar que el Estado tenga conocimiento de  la  reclamación</w:t>
        <w:br/>
        <w:t xml:space="preserve">      antes de ser convocado ante un mecanismo internacional de supervisión.</w:t>
        <w:br/>
        <w:t xml:space="preserve">       Cuando no es posible para los peticionarios agotar tales recursos por</w:t>
        <w:br/>
        <w:t xml:space="preserve">      razones de hecho o de derecho, el requisito se “excusa  consecuente  y</w:t>
        <w:br/>
        <w:t xml:space="preserve">      necesariamente”;</w:t>
        <w:br/>
        <w:br/>
        <w:br/>
        <w:t xml:space="preserve">      e)    una acción civil por daños podría ser  apropiada  para  un  daño</w:t>
        <w:br/>
        <w:t xml:space="preserve">      privado o civil entre dos partes, o en ciertos casos de incumplimiento</w:t>
        <w:br/>
        <w:t xml:space="preserve">      de una obligación extra contractual por  parte  del  Estado,  pero  no</w:t>
        <w:br/>
        <w:t xml:space="preserve">      representa un remedio efectivo ni adecuado en respuesta a acciones que</w:t>
        <w:br/>
        <w:t xml:space="preserve">      pueden constituir crímenes graves bajo la ley interna de Suriname;</w:t>
        <w:br/>
        <w:br/>
        <w:br/>
        <w:t xml:space="preserve">      f)    el remedio apropiado para las violaciones de derechos humanos en</w:t>
        <w:br/>
        <w:t xml:space="preserve">      el presente caso es una investigación penal diseñada para identificar,</w:t>
        <w:br/>
        <w:t xml:space="preserve">      juzgar y sancionar a  los  responsables.   Tales  crímenes  deben  ser</w:t>
        <w:br/>
        <w:t xml:space="preserve">      juzgados de oficio;</w:t>
        <w:br/>
        <w:br/>
        <w:br/>
        <w:t xml:space="preserve">      g)    los recursos que el Estado debió haber proveído a través  de  su</w:t>
        <w:br/>
        <w:t xml:space="preserve">      sistema de justicia penal se  han  visto  afectados  por  un  “retardo</w:t>
        <w:br/>
        <w:t xml:space="preserve">      injustificado evidente”;</w:t>
        <w:br/>
        <w:br/>
        <w:br/>
        <w:t xml:space="preserve">      h)    a la fecha de presentación de la demanda ante la  Corte,  habían</w:t>
        <w:br/>
        <w:t xml:space="preserve">      pasado más de 16 años desde  que  ocurrieron  los  hechos  que  dieron</w:t>
        <w:br/>
        <w:t xml:space="preserve">      origen al presente caso, y nadie había sido juzgado ni sancionado  por</w:t>
        <w:br/>
        <w:t xml:space="preserve">      las violaciones de derechos humanos.  En este sentido, a las presuntas</w:t>
        <w:br/>
        <w:t xml:space="preserve">      víctimas les han sido denegadas la protección judicial efectiva y  las</w:t>
        <w:br/>
        <w:t xml:space="preserve">      garantías judiciales; e</w:t>
        <w:br/>
        <w:br/>
        <w:br/>
        <w:t xml:space="preserve">      i)    el retardo  y  la  denegación  de  justicia  en  este  caso  son</w:t>
        <w:br/>
        <w:t xml:space="preserve">      justamente el fundamento de la demanda; “[e]l caso mismo demuestra que</w:t>
        <w:br/>
        <w:t xml:space="preserve">      los recursos internos no han estado disponibles ni han sido  efectivos</w:t>
        <w:br/>
        <w:t xml:space="preserve">      para los residentes de la aldea de Moiwana”.</w:t>
        <w:br/>
        <w:br/>
        <w:t>Alegatos de los representantes</w:t>
        <w:br/>
        <w:br/>
        <w:t>47.   Los representantes alegaron que “[l]os  testimonios  y  demás  pruebas</w:t>
        <w:br/>
        <w:t>presentadas a la Corte demuestran  que  las  [presuntas]  víctimas  buscaron</w:t>
        <w:br/>
        <w:t>remedio  activa  y  repetidamente  en  Suriname”.   De  conformidad  con  lo</w:t>
        <w:br/>
        <w:t>manifestado por los representantes, “[e]stos intentos  de  obtener  justicia</w:t>
        <w:br/>
        <w:t>fueron  ignorados,  refutados  e  incluso  castigados  por  Suriname  y   no</w:t>
        <w:br/>
        <w:t>produjeron ningún resultado”.</w:t>
        <w:br/>
        <w:br/>
        <w:t>Consideraciones de la Corte</w:t>
        <w:br/>
        <w:br/>
        <w:t>48.   El artículo 46.1.a de la Convención Americana dispone  que,  para  que</w:t>
        <w:br/>
        <w:t>sea admisible una  denuncia  o  comunicación  presentada  ante  la  Comisión</w:t>
        <w:br/>
        <w:t>Interamericana de conformidad con los artículos 44 ó 45  de  la  Convención,</w:t>
        <w:br/>
        <w:t>es necesario que se hayan intentado y agotado los recursos internos.</w:t>
        <w:br/>
        <w:br/>
        <w:t>49.   Sobre este asunto, la Corte ya ha establecido  criterios  claros.   En</w:t>
        <w:br/>
        <w:t>efecto,  de   los   principios   de   derecho   internacional   generalmente</w:t>
        <w:br/>
        <w:t>reconocidos, a los cuales se refiere la regla del  agotamiento  de  los  del</w:t>
        <w:br/>
        <w:t>agotamiento de los recursos internos,  resulta,  en  primer  lugar,  que  el</w:t>
        <w:br/>
        <w:t>Estado demandado puede renunciar en forma expresa o tácita la invocación  de</w:t>
        <w:br/>
        <w:t>esa regla[3].  En segundo lugar, la  excepción  de  no  agotamiento  de  los</w:t>
        <w:br/>
        <w:t>recursos internos, para  ser  oportuna,  debe  plantearse  en  las  primeras</w:t>
        <w:br/>
        <w:t>etapas del procedimiento, a falta de lo cual se presume la  renuncia  tácita</w:t>
        <w:br/>
        <w:t>a valerse de la misma por parte del Estado interesado[4].  En tercer  lugar,</w:t>
        <w:br/>
        <w:t>el Estado que alega el no agotamiento debe  señalar  los  recursos  internos</w:t>
        <w:br/>
        <w:t>que deben agotarse y proporcionar la prueba de su efectividad[5].</w:t>
        <w:br/>
        <w:br/>
        <w:t>50.   En el presente caso, el Estado niega que haya renunciado a su  derecho</w:t>
        <w:br/>
        <w:t>a alegar la falta de agotamiento de recursos internos.  En efecto,  Suriname</w:t>
        <w:br/>
        <w:t>sostiene que su primera objeción en relación con este asunto,  contenida  en</w:t>
        <w:br/>
        <w:t>un escrito dirigido el 20 de mayo de 2002 a la Comisión Interamericana,  fue</w:t>
        <w:br/>
        <w:t>presentada a tiempo.  Sin embargo, tal como lo ha señalado  la  Comisión  en</w:t>
        <w:br/>
        <w:t>reiteradas ocasiones, y se  desprende  inequívocamente  del  expediente,  la</w:t>
        <w:br/>
        <w:t>mencionada primera objeción de Suriname sobre  este  asunto  no  se  remitió</w:t>
        <w:br/>
        <w:t>sino hasta después  de  que  la  Comisión  había  emitido  sus  Informes  de</w:t>
        <w:br/>
        <w:t>Admisibilidad el 7 de marzo de 2000 y de Fondo el 28 de febrero de 2002.</w:t>
        <w:br/>
        <w:br/>
        <w:t>51.   Por lo tanto, como consecuencia de no  haber  objetado  este  punto  a</w:t>
        <w:br/>
        <w:t>tiempo, la Corte concluye que el  Estado  ha  renunciado  tácitamente  a  su</w:t>
        <w:br/>
        <w:t>derecho a objetar este punto,  y  en  razón  de  ello  desecha  la  presente</w:t>
        <w:br/>
        <w:t>excepción preliminar.</w:t>
        <w:br/>
        <w:br/>
        <w:br/>
        <w:t xml:space="preserve">                        Tercera Excepción Preliminar</w:t>
        <w:br/>
        <w:t xml:space="preserve">  Debido al retraso de la Comisión en presentar la demanda, la Corte carece</w:t>
        <w:br/>
        <w:t xml:space="preserve">    de competencia, de conformidad con el artículo 51.1 de la Convención</w:t>
        <w:br/>
        <w:br/>
        <w:t>Alegatos del Estado</w:t>
        <w:br/>
        <w:br/>
        <w:t>52.   El  Estado  presentó  los  siguientes  alegatos  en  relación  con  el</w:t>
        <w:br/>
        <w:t>artículo 51.1 de la Convención:</w:t>
        <w:br/>
        <w:br/>
        <w:t xml:space="preserve">      a)     la  Comisión  claramente  excedió  el  límite  de  tres   meses</w:t>
        <w:br/>
        <w:t xml:space="preserve">      establecido en la Convención para presentar la demanda ante la Corte;</w:t>
        <w:br/>
        <w:br/>
        <w:br/>
        <w:t xml:space="preserve">      b)    las disposiciones  aplicables  de  la  Convención  no  han  sido</w:t>
        <w:br/>
        <w:t xml:space="preserve">      observadas, dado que en el presente  caso  “la  Comisión  debió  haber</w:t>
        <w:br/>
        <w:t xml:space="preserve">      adoptado un informe del artículo 51”; y</w:t>
        <w:br/>
        <w:br/>
        <w:br/>
        <w:t xml:space="preserve">      c)    la Comisión presentó el caso ante la Corte el último día que  el</w:t>
        <w:br/>
        <w:t xml:space="preserve">      Estado tenía para responder al Informe de Fondo No. 35/02.</w:t>
        <w:br/>
        <w:br/>
        <w:br/>
        <w:br/>
        <w:br/>
        <w:br/>
        <w:br/>
        <w:t>Alegatos de la Comisión</w:t>
        <w:br/>
        <w:br/>
        <w:t>53.   La Comisión alegó lo siguiente en relación con la  presente  excepción</w:t>
        <w:br/>
        <w:t>preliminar:</w:t>
        <w:br/>
        <w:br/>
        <w:t xml:space="preserve">      a)     el  presente  caso  fue  presentado  de  conformidad  con   las</w:t>
        <w:br/>
        <w:t xml:space="preserve">      disposiciones y prácticas aplicables;</w:t>
        <w:br/>
        <w:br/>
        <w:br/>
        <w:t xml:space="preserve">      b)    en junio y agosto de 2002 el Estado solicitó prórrogas del plazo</w:t>
        <w:br/>
        <w:t xml:space="preserve">      aplicable, y expresamente reconoció que “si se otorgaba la suspensión,</w:t>
        <w:br/>
        <w:t xml:space="preserve">      […] una vez que la […] suspensión hubiera expirado  y  no  se  hubiera</w:t>
        <w:br/>
        <w:t xml:space="preserve">      alcanzado una solución amistosa, la Comisión podría decidir enviar  el</w:t>
        <w:br/>
        <w:t xml:space="preserve">      caso a la Corte Interamericana”; y</w:t>
        <w:br/>
        <w:br/>
        <w:br/>
        <w:t xml:space="preserve">      c)    una prórroga, cuando es solicitada por el Estado,  beneficia  al</w:t>
        <w:br/>
        <w:t xml:space="preserve">      Estado al proveerle tiempo adicional para resolver el asunto antes  de</w:t>
        <w:br/>
        <w:t xml:space="preserve">      la presentación del caso ante la Corte.  Suriname no puede solicitar y</w:t>
        <w:br/>
        <w:t xml:space="preserve">      aceptar un beneficio, y después invocarlo como una violación procesal.</w:t>
        <w:br/>
        <w:br/>
        <w:t>Alegatos de los representantes</w:t>
        <w:br/>
        <w:br/>
        <w:t>54.   Los representantes  no  presentaron  argumentos  relacionados  con  la</w:t>
        <w:br/>
        <w:t>presente excepción preliminar.</w:t>
        <w:br/>
        <w:br/>
        <w:t>Consideraciones de la Corte</w:t>
        <w:br/>
        <w:br/>
        <w:t>55.   La Corte ahora pasará a examinar si la Comisión presentó a  tiempo  la</w:t>
        <w:br/>
        <w:t>demanda en el presente caso, de conformidad  con  el  artículo  51.1  de  la</w:t>
        <w:br/>
        <w:t>Convención.</w:t>
        <w:br/>
        <w:br/>
        <w:t>56.   Tanto el Estado como la Comisión están de acuerdo en que,  después  de</w:t>
        <w:br/>
        <w:t>la transmisión del Informe de Fondo No. 35/02 al Estado,  Suriname  solicitó</w:t>
        <w:br/>
        <w:t>dos prórrogas del plazo establecido en el artículo 51.1  de  la  Convención,</w:t>
        <w:br/>
        <w:t>el cual regula la presentación de casos ante la Corte.  El 20  de  junio  de</w:t>
        <w:br/>
        <w:t>2002 Suriname solicitó primeramente una prórroga en el  plazo  del  artículo</w:t>
        <w:br/>
        <w:t>51.1 de la Convención, plazo que en ese momento vencía el  21  de  junio  de</w:t>
        <w:br/>
        <w:t>2002.  La prórroga solicitada fue otorgada hasta el 20 de  agosto  de  2002.</w:t>
        <w:br/>
        <w:t>El 20 de agosto  de  2002  el  Estado  solicitó  cuatro  meses  adicionales,</w:t>
        <w:br/>
        <w:t>“principalmente […] para continuar con la investigación  detallada  de  este</w:t>
        <w:br/>
        <w:t>asunto”; como resultado, el 20 de agosto de 2002  la  Comisión  prorrogó  el</w:t>
        <w:br/>
        <w:t>plazo una vez más, y comunicó a Suriname que el  mismo  vencería  el  20  de</w:t>
        <w:br/>
        <w:t>diciembre de 2002.  En el proceso ante  este  Tribunal  la  Comisión  señaló</w:t>
        <w:br/>
        <w:t>que,  subsecuentemente,  “en  ausencia  de  desarrollos   sustanciales”   en</w:t>
        <w:br/>
        <w:t>relación con la investigación del Estado de los hechos  y  la  solución  del</w:t>
        <w:br/>
        <w:t>caso, decidió presentar la demanda ante  la  Corte  el  día  que  vencía  la</w:t>
        <w:br/>
        <w:t>segunda prórroga, es decir, el 20 de diciembre de 2002.</w:t>
        <w:br/>
        <w:br/>
        <w:t>57.   La Corte ya ha establecido que está permitida la  prórroga  del  plazo</w:t>
        <w:br/>
        <w:t>de tres meses mencionado en  el  artículo  51.1  de  la  Convención,  en  el</w:t>
        <w:br/>
        <w:t>entendido, por supuesto, que se mantenga el debido  equilibrio  procesal[6].</w:t>
        <w:br/>
        <w:t>En el presente caso, las condiciones relativas a las  dos  prórrogas  fueron</w:t>
        <w:br/>
        <w:t>explícitamente reconocidas por la Comisión y por el Estado.  En  efecto,  en</w:t>
        <w:br/>
        <w:t>ambas ocasiones el Estado reconoció expresamente  que  “si  se  otorgaba  la</w:t>
        <w:br/>
        <w:t>prórroga, […] una vez que la […] prórroga hubiera vencido y  no  se  hubiera</w:t>
        <w:br/>
        <w:t>alcanzado una solución amistosa, la Comisión podría decidir enviar  el  caso</w:t>
        <w:br/>
        <w:t>a la Corte Interamericana”.  Asimismo, el  Tribunal  nota  que  la  Comisión</w:t>
        <w:br/>
        <w:t>cumplió los términos de su  acuerdo  con  el  Estado,  al  no  presentar  la</w:t>
        <w:br/>
        <w:t>demanda ante la Corte hasta que la segunda prórroga efectivamente venció  el</w:t>
        <w:br/>
        <w:t>20 de diciembre de 2002.</w:t>
        <w:br/>
        <w:br/>
        <w:t>58.   Además, según la  práctica  internacional,  cuando  una  parte  en  un</w:t>
        <w:br/>
        <w:t>litigio ha adoptado una actitud determinada que redunda en beneficio  propio</w:t>
        <w:br/>
        <w:t>o en deterioro de la contraria, no puede luego, en virtud del principio  del</w:t>
        <w:br/>
        <w:t>estoppel, asumir otra conducta que sea contradictoria con la primera.   Para</w:t>
        <w:br/>
        <w:t>la segunda conducta rige la regla  de  non  concedit  venire  contra  factum</w:t>
        <w:br/>
        <w:t>proprium[7].</w:t>
        <w:br/>
        <w:br/>
        <w:t>59.   Por las razones anteriormente expuestas, la Corte rechaza la  presente</w:t>
        <w:br/>
        <w:t>excepción preliminar.</w:t>
        <w:br/>
        <w:br/>
        <w:br/>
        <w:t xml:space="preserve">                         Cuarta Excepción Preliminar</w:t>
        <w:br/>
        <w:t xml:space="preserve">  En su Informe de Fondo No. 35/02 la Comisión “concluyó otras violaciones</w:t>
        <w:br/>
        <w:t xml:space="preserve">         diferentes a aquéllas por las cuales fue admitido el caso”</w:t>
        <w:br/>
        <w:br/>
        <w:br/>
        <w:t>Alegatos del Estado</w:t>
        <w:br/>
        <w:br/>
        <w:t>60.    En  relación  con  la  cuarta  excepción  preliminar,   Suriname   ha</w:t>
        <w:br/>
        <w:t>manifestado que la Comisión concluyó en su Informe de Fondo  No.  35/02  que</w:t>
        <w:br/>
        <w:t>se cometieron ciertas violaciones de la Declaración Americana,  a  pesar  de</w:t>
        <w:br/>
        <w:t>que los peticionarios no alegaron originalmente estas violaciones.   Por  lo</w:t>
        <w:br/>
        <w:t>tanto, la Comisión declaró violaciones diferentes de aquéllas  por  las  que</w:t>
        <w:br/>
        <w:t>fue admitido el caso, “en contradicción con el derecho internacional”  y  en</w:t>
        <w:br/>
        <w:t>detrimento de la defensa del Estado.</w:t>
        <w:br/>
        <w:br/>
        <w:t>Alegatos de la Comisión</w:t>
        <w:br/>
        <w:br/>
        <w:t>61.   En relación con la cuarta excepción preliminar, la Comisión  argumentó</w:t>
        <w:br/>
        <w:t>que:</w:t>
        <w:br/>
        <w:br/>
        <w:t xml:space="preserve">      a)    en el presente caso sólo se encuentran  en  conocimiento  de  la</w:t>
        <w:br/>
        <w:t xml:space="preserve">      Corte las presuntas violaciones de los  derechos  consagrados  en  los</w:t>
        <w:br/>
        <w:t xml:space="preserve">      artículos 25, 8 y 1.1 de la Convención Americana;</w:t>
        <w:br/>
        <w:br/>
        <w:br/>
        <w:t xml:space="preserve">      b)    los argumentos presentados ante  la  Corte  fueron  admitidos  y</w:t>
        <w:br/>
        <w:t xml:space="preserve">      revisados por la Comisión  de  conformidad  con  las  disposiciones  y</w:t>
        <w:br/>
        <w:t xml:space="preserve">      procedimientos aplicables;</w:t>
        <w:br/>
        <w:br/>
        <w:br/>
        <w:t xml:space="preserve">      c)    ni se presume ni es un  requisito  que  los  peticionarios  sean</w:t>
        <w:br/>
        <w:t xml:space="preserve">      versados en derecho sobre los procedimientos ante la Comisión; y</w:t>
        <w:br/>
        <w:br/>
        <w:br/>
        <w:t xml:space="preserve">      d)    el hecho de que un peticionario no  alegue  específicamente  una</w:t>
        <w:br/>
        <w:t xml:space="preserve">      violación en particular no impide  que  la  Comisión  y  la  Corte  la</w:t>
        <w:br/>
        <w:t xml:space="preserve">      consideren por sí mismas, de conformidad con el principio  iura  novit</w:t>
        <w:br/>
        <w:t xml:space="preserve">      curia.</w:t>
        <w:br/>
        <w:br/>
        <w:t>Alegatos de los representantes</w:t>
        <w:br/>
        <w:br/>
        <w:t>62.   Los representantes no presentaron alegatos relacionados con la  cuarta</w:t>
        <w:br/>
        <w:t>excepción preliminar.</w:t>
        <w:br/>
        <w:br/>
        <w:t>Consideraciones de la Corte</w:t>
        <w:br/>
        <w:br/>
        <w:t>63.   El Tribunal afirma que, de  conformidad  con  el  artículo  62  de  la</w:t>
        <w:br/>
        <w:t>Convención  Americana,  su  competencia  concierne  a  la  interpretación  y</w:t>
        <w:br/>
        <w:t>aplicación de las disposiciones  de  dicha  Convención.   En  este  sentido,</w:t>
        <w:br/>
        <w:t>aunque la Corte generalmente considera las disposiciones de  la  Declaración</w:t>
        <w:br/>
        <w:t>Americana en su interpretación de la Convención Americana, las  conclusiones</w:t>
        <w:br/>
        <w:t>de la Comisión en relación con violaciones  específicas  de  la  Declaración</w:t>
        <w:br/>
        <w:t>Americana no se relacionan directamente con el trámite del  caso  ante  este</w:t>
        <w:br/>
        <w:t>Tribunal[8].  Por otra parte, las consideraciones de  la  Comisión  respecto</w:t>
        <w:br/>
        <w:t>de presuntas violaciones de la Convención Americana no  son  de  obligatorio</w:t>
        <w:br/>
        <w:t>acatamiento para la Corte.</w:t>
        <w:br/>
        <w:br/>
        <w:t>64.   Por lo tanto, la Corte desecha  la  cuarta  excepción  preliminar  del</w:t>
        <w:br/>
        <w:t>Estado.</w:t>
        <w:br/>
        <w:br/>
        <w:t xml:space="preserve">                         Quinta Excepción Preliminar</w:t>
        <w:br/>
        <w:t xml:space="preserve">  La Comisión “omitió enviar todas las partes pertinentes de la denuncia al</w:t>
        <w:br/>
        <w:t xml:space="preserve">                                   Estado,</w:t>
        <w:br/>
        <w:t xml:space="preserve">       tal y como está establecido en el artículo 42 de su Reglamento”</w:t>
        <w:br/>
        <w:br/>
        <w:t>Alegatos del Estado</w:t>
        <w:br/>
        <w:br/>
        <w:t>65.   Con respecto a la quinta excepción  preliminar,  el  Estado  argumentó</w:t>
        <w:br/>
        <w:t>que la Corte carece de competencia en  este  caso  porque  la  Comisión  fue</w:t>
        <w:br/>
        <w:t>negligente al omitir enviar “todas las partes pertinentes” de la denuncia  –</w:t>
        <w:br/>
        <w:t>en  concreto,  “un  número  de  anexos”  –  al  Estado,  “tal  y  como  está</w:t>
        <w:br/>
        <w:t>establecido en el artículo  42  de  su  Reglamento”.   Asimismo,  el  Estado</w:t>
        <w:br/>
        <w:t>consideró que dichos anexos son de la “mayor importancia” para  la  decisión</w:t>
        <w:br/>
        <w:t>del presente caso, y, como resultado, su defensa se vio comprometida.</w:t>
        <w:br/>
        <w:br/>
        <w:t>Alegatos de la Comisión</w:t>
        <w:br/>
        <w:br/>
        <w:t>66.   En relación con la quinta excepción  preliminar,  la  Comisión  señaló</w:t>
        <w:br/>
        <w:t>que no logró comprender  cuáles  serían  las  “partes  pertinentes”  que  no</w:t>
        <w:br/>
        <w:t>fueron transmitidas al Estado.  Por otro lado, dado  que  el  Estado  omitió</w:t>
        <w:br/>
        <w:t>responder a múltiples solicitudes de información por parte de  la  Comisión,</w:t>
        <w:br/>
        <w:t>y que no cuestionó la admisibilidad o  el  fondo  de  los  argumentos  hasta</w:t>
        <w:br/>
        <w:t>después del Informe de Fondo No. 35/02,  ésta  no  percibía  cómo  se  había</w:t>
        <w:br/>
        <w:t>comprometido el derecho de defensa del Estado.</w:t>
        <w:br/>
        <w:br/>
        <w:br/>
        <w:br/>
        <w:t>Alegatos de los representantes</w:t>
        <w:br/>
        <w:br/>
        <w:t>67.   Los representantes  no  presentaron  argumentos  en  relación  con  la</w:t>
        <w:br/>
        <w:t>quinta excepción preliminar.</w:t>
        <w:br/>
        <w:br/>
        <w:t>Consideraciones de la Corte</w:t>
        <w:br/>
        <w:br/>
        <w:t>68.   En relación con la quinta y  última  excepción  preliminar,  la  Corte</w:t>
        <w:br/>
        <w:t>considera necesario señalar que, como se indicó anteriormente  (supra  párr.</w:t>
        <w:br/>
        <w:t>50), Suriname participó por primera vez en  el  trámite  del  caso  ante  la</w:t>
        <w:br/>
        <w:t>Comisión mediante la presentación de un escrito en mayo de 2002, el cual  no</w:t>
        <w:br/>
        <w:t>sólo  fue  presentado  mucho  tiempo  después  de  varias   solicitudes   de</w:t>
        <w:br/>
        <w:t>información de la Comisión, sino además con posterioridad a la  emisión  del</w:t>
        <w:br/>
        <w:t>Informe de Admisibilidad de 7 de marzo de 2000 y el Informe de Fondo  de  28</w:t>
        <w:br/>
        <w:t>de febrero de 2002.   Por  lo  tanto,  la  Corte  considera  inapropiada  la</w:t>
        <w:br/>
        <w:t>objeción preliminar de Suriname relativa  a  la  falta  de  transmitir  “las</w:t>
        <w:br/>
        <w:t>partes pertinentes de la denuncia” al Estado.  Al haber decidido no  ejercer</w:t>
        <w:br/>
        <w:t>su derecho de defensa ante la Comisión durante las oportunidades  procesales</w:t>
        <w:br/>
        <w:t>apropiadas, Suriname no puede interponer tal excepción ante esta Corte.</w:t>
        <w:br/>
        <w:br/>
        <w:t>69.   Por la razón anteriormente señalada, el  Tribunal  rechaza  la  quinta</w:t>
        <w:br/>
        <w:t>excepción preliminar del Estado.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br/>
        <w:t>70.   La Corte ha tomado en cuenta, como lo ha hecho  en  otras  sentencias,</w:t>
        <w:br/>
        <w:t>ciertos hechos que ocurrieron antes del reconocimiento de la competencia  de</w:t>
        <w:br/>
        <w:t>la Corte  por  parte  del  Estado[9].   Esto  sólo  tiene  el  propósito  de</w:t>
        <w:br/>
        <w:t>contextualizar adecuadamente las violaciones alegadas en  relación  con  las</w:t>
        <w:br/>
        <w:t>cuales el Tribunal sí tiene competencia.  La Corte  enfatiza,  tal  como  se</w:t>
        <w:br/>
        <w:t>señaló anteriormente (supra párr. 43), que sólo es competente para  declarar</w:t>
        <w:br/>
        <w:t>violaciones de la Convención Americana en relación con acciones u  omisiones</w:t>
        <w:br/>
        <w:t>que tuvieron lugar con posterioridad a la  fecha  de  reconocimiento  de  la</w:t>
        <w:br/>
        <w:t>competencia del Tribunal y respecto de cualquier situación  que  no  hubiera</w:t>
        <w:br/>
        <w:t>dejado de existir a esa fecha.</w:t>
        <w:br/>
        <w:br/>
        <w:t xml:space="preserve">                                      *</w:t>
        <w:br/>
        <w:t xml:space="preserve">                                *          *</w:t>
        <w:br/>
        <w:br/>
        <w:t>71.   En esta coyuntura, el Tribunal considera necesario definir  claramente</w:t>
        <w:br/>
        <w:t>quiénes son las presuntas víctimas en este  caso.   Las  presuntas  víctimas</w:t>
        <w:br/>
        <w:t>son aquellas personas individualizadas en la  demanda,  descritas  como:  a)</w:t>
        <w:br/>
        <w:t>los sobrevivientes de los hechos del 29 de noviembre de 1986 en la aldea  de</w:t>
        <w:br/>
        <w:t>Moiwana, y b) los familiares de quienes murieron ese día.   Se  observa  que</w:t>
        <w:br/>
        <w:t>Suriname  consideró  “cuestionable”  el  método  aplicado  por  la  Comisión</w:t>
        <w:br/>
        <w:t>Interamericana para determinar la lista de presuntas víctimas. Sin  embargo,</w:t>
        <w:br/>
        <w:t>dado que el Estado no explicó las razones por las cuales  el  método  de  la</w:t>
        <w:br/>
        <w:t>Comisión era  supuestamente  inaceptable,  la  Corte  decide  desestimar  la</w:t>
        <w:br/>
        <w:t>objeción por imprecisa y por falta de fundamento.  En  consecuencia,  dichas</w:t>
        <w:br/>
        <w:t>personas deberán ser consideradas las presuntas víctimas del presente  caso,</w:t>
        <w:br/>
        <w:t>y se hará referencia a ellas en adelante como  “las  presuntas  víctimas”  o</w:t>
        <w:br/>
        <w:t>“los miembros de la comunidad Moiwana”.</w:t>
        <w:br/>
        <w:br/>
        <w:t>72.   La Corte nota que el 17 de marzo  de  2005  la  Comisión  solicitó  al</w:t>
        <w:br/>
        <w:t>Tribunal que considerara a cuatro personas adicionales como víctimas  en  el</w:t>
        <w:br/>
        <w:t>presente  caso:  Beata  Misidjan,  Edmundo  Misidjan,  Ludwig   Misidjan   y</w:t>
        <w:br/>
        <w:t>Reguillio Misidjan.  Como fundamento de su solicitud, la Comisión alegó  que</w:t>
        <w:br/>
        <w:t>se justificaba la inclusión dado que la  madre  de  estas  cuatro  personas,</w:t>
        <w:br/>
        <w:t>Mado Misidjan, supuestamente murió durante el ataque de 1986 en la aldea  de</w:t>
        <w:br/>
        <w:t>Moiwana.  Como resultado, sus hijos se dispersaron por Suriname después  del</w:t>
        <w:br/>
        <w:t>ataque, vivieron con personas que no tenían  contacto  con  otras  presuntas</w:t>
        <w:br/>
        <w:t>víctimas, y  sólo  fueron  localizadas  recientemente.   Los  representantes</w:t>
        <w:br/>
        <w:t>estuvieron de acuerdo con la Comisión, agregando que dichas personas  habían</w:t>
        <w:br/>
        <w:t>estado presentes cuando ocurrió el ataque y originalmente  fueron  incluidas</w:t>
        <w:br/>
        <w:t>en “las peticiones y solicitudes por la justicia” que se realizaron a  nivel</w:t>
        <w:br/>
        <w:t>nacional.  Sin embargo, los representantes manifestaron que “puesto  que  el</w:t>
        <w:br/>
        <w:t>grupo más  grande  de  [presuntas]  víctimas  no  estaba  seguro  si  habían</w:t>
        <w:br/>
        <w:t>sobrevivido la masacre y no sabía dónde estaban,  decidieron  no  incluirlas</w:t>
        <w:br/>
        <w:t>en la lista que se presentó a la Comisión y, finalmente, a la Corte”.</w:t>
        <w:br/>
        <w:br/>
        <w:t>73.   Asimismo, el 12 de mayo de 2005, en su respuesta a  una  solicitud  de</w:t>
        <w:br/>
        <w:t>prueba  para  mejor  resolver,  de  conformidad  con  el  artículo  45   del</w:t>
        <w:br/>
        <w:t>Reglamento, los representantes solicitaron que se incluyera en  la  lista  a</w:t>
        <w:br/>
        <w:t>siete personas más que no habían sido designadas como presuntas víctimas  en</w:t>
        <w:br/>
        <w:t>el presente caso:  Majo  Ajintoena,  Erwien  Awese,  Cornelly  Madzy  James,</w:t>
        <w:br/>
        <w:t>Humprey James, Romeo James, John James y Manfika Kamee.  Los  representantes</w:t>
        <w:br/>
        <w:t>explicaron que no habían sido incluidas antes debido a “un  error”  cometido</w:t>
        <w:br/>
        <w:t>al compilar la lista original de  presuntas  víctimas.   Por  su  parte,  la</w:t>
        <w:br/>
        <w:t>Comisión estuvo de acuerdo con “la identificación de víctimas presentada  [a</w:t>
        <w:br/>
        <w:t>la Corte] por los representantes”.</w:t>
        <w:br/>
        <w:br/>
        <w:t>74.   En relación  con  las  peticiones  de  considerar  a  las  mencionadas</w:t>
        <w:br/>
        <w:t>personas como presuntas víctimas, la  Corte  observa  que  se  transmitieron</w:t>
        <w:br/>
        <w:t>ambas solicitudes al Estado y, mediante la comunicación de la Secretaría  de</w:t>
        <w:br/>
        <w:t>13 de mayo de 2005, expresamente se le invitó a  presentar  observaciones  a</w:t>
        <w:br/>
        <w:t>dicha información; sin embargo, Suriname no presentó respuesta alguna  sobre</w:t>
        <w:br/>
        <w:t>este asunto.  En consecuencia, dado que se reconoció al  Estado  debidamente</w:t>
        <w:br/>
        <w:t>su derecho de defensa en relación con este punto y que  éste  no  objetó  la</w:t>
        <w:br/>
        <w:t>información que le fue proporcionada, el Tribunal decide que  es  procedente</w:t>
        <w:br/>
        <w:t>considerar a las 11 personas  adicionales  como  presuntas  víctimas  en  el</w:t>
        <w:br/>
        <w:t>presente caso.</w:t>
        <w:br/>
        <w:br/>
        <w:br/>
        <w:t xml:space="preserve">                                     VII</w:t>
        <w:br/>
        <w:t xml:space="preserve">                                   Prueba</w:t>
        <w:br/>
        <w:br/>
        <w:br/>
        <w:t>75.   Antes de examinar las pruebas ofrecidas, la Corte realizará,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76.   En materia  probatoria  rige  el  principio  del  contradictorio,  que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partes[10].</w:t>
        <w:br/>
        <w:br/>
        <w:t>77.   La Corte ha señalado, en cuanto a la  recepción  y  valoración  de  la</w:t>
        <w:br/>
        <w:t>prueba, que los  procedimientos  internacionales  no  están  sujetos  a  las</w:t>
        <w:br/>
        <w:t>mismas formalidades que las actuaciones judiciales internas.  Este  criterio</w:t>
        <w:br/>
        <w:t>es especialmente  válido  para  los  tribunales  de  derechos  humanos,  que</w:t>
        <w:br/>
        <w:t>disponen de amplias facultades en la valoración de la  prueba  rendida  ante</w:t>
        <w:br/>
        <w:t>ellos, de acuerdo con las reglas de la lógica y con base en la  experiencia.</w:t>
        <w:br/>
        <w:t xml:space="preserve"> La admisión de la prueba se debe realizar presentando especial  atención  a</w:t>
        <w:br/>
        <w:t>las  circunstancias  del  caso  concreto,  tomando  en  cuenta  los  límites</w:t>
        <w:br/>
        <w:t>impuestos por el respeto a la seguridad jurídica y a  la  igualdad  procesal</w:t>
        <w:br/>
        <w:t>entre las partes[11].</w:t>
        <w:br/>
        <w:br/>
        <w:t>78.   Con fundamento en  lo  anterior,  la  Corte  procederá  a  examinar  y</w:t>
        <w:br/>
        <w:t>valorar los elementos que componen  el  acervo  probatorio  en  el  presente</w:t>
        <w:br/>
        <w:t>caso.</w:t>
        <w:br/>
        <w:br/>
        <w:t xml:space="preserve">                            A) PRUEBA DOCUMENTAL</w:t>
        <w:br/>
        <w:br/>
        <w:t>79.   Como parte de la prueba  documental  presentada  por  las  partes,  la</w:t>
        <w:br/>
        <w:t>Comisión remitió el dictamen del perito  Thomas  S.  Polimé  (affidavit)  de</w:t>
        <w:br/>
        <w:t>conformidad con la Resolución emitida por el Presidente el 5  de  agosto  de</w:t>
        <w:br/>
        <w:t>2004 (supra para. 18).  A continuación la Corte resume dicha declaración.</w:t>
        <w:br/>
        <w:br/>
        <w:t xml:space="preserve">      a) Dictamen pericial de Thomas S. Polimé, antropólogo</w:t>
        <w:br/>
        <w:br/>
        <w:br/>
        <w:t xml:space="preserve">      El affidávit del Dr. Polimé  versó  sobre  los  siguientes  temas:  1)</w:t>
        <w:br/>
        <w:t xml:space="preserve">      información general sobre  los  Maroons  en  Suriname;  2)  estructura</w:t>
        <w:br/>
        <w:t xml:space="preserve">      social, creencias religiosas,  tradiciones  de  duelo  y  sistemas  de</w:t>
        <w:br/>
        <w:t xml:space="preserve">      gobierno y justicia local de los N’djuka; 3) historia de la  Comunidad</w:t>
        <w:br/>
        <w:t xml:space="preserve">      Moiwana; 4) eventos anteriores, simultáneos y posteriores al ataque en</w:t>
        <w:br/>
        <w:t xml:space="preserve">      Moiwana; 5) el  impacto  del  ataque  y  la  posterior  denegación  de</w:t>
        <w:br/>
        <w:t xml:space="preserve">      justicia; y 6)  información  relevante  en  relación  con  el  posible</w:t>
        <w:br/>
        <w:t xml:space="preserve">      otorgamiento de reparaciones en el presente caso.</w:t>
        <w:br/>
        <w:br/>
        <w:t xml:space="preserve">                      B) PRUEBA TESTIMONIAL Y PERICIAL</w:t>
        <w:br/>
        <w:br/>
        <w:t>80.   Durante la audiencia pública (supra párr. 21),  la  Corte  recibió  la</w:t>
        <w:br/>
        <w:t>declaración de los testigos y perito propuestos por la  Comisión.  La  Corte</w:t>
        <w:br/>
        <w:t>resume a continuación dichas declaraciones.</w:t>
        <w:br/>
        <w:br/>
        <w:t xml:space="preserve">      a) Stanley Rensch, fundador de Moiwana ’86</w:t>
        <w:br/>
        <w:br/>
        <w:br/>
        <w:t xml:space="preserve">      La masacre de 29 de noviembre de 1986 no tuvo precedentes; es  una  de</w:t>
        <w:br/>
        <w:t xml:space="preserve">      las violaciones de derechos humanos  más  notorias  en  Suriname.   En</w:t>
        <w:br/>
        <w:t xml:space="preserve">      reconocimiento a su “naturaleza sistemática”,  “grave”  y  “terrible”,</w:t>
        <w:br/>
        <w:t xml:space="preserve">      nombraron la  organización  de  derechos  humanos  Moiwana  ‘86.   Los</w:t>
        <w:br/>
        <w:t xml:space="preserve">      perpetradores del ataque estaban organizados, entrenados y armados por</w:t>
        <w:br/>
        <w:t xml:space="preserve">      el personal militar estatal.  En general, fue un período  problemático</w:t>
        <w:br/>
        <w:t xml:space="preserve">      para Suriname oriental; violaciones graves ocurrieron en  esas  áreas,</w:t>
        <w:br/>
        <w:t xml:space="preserve">      las cuales fueron campos de batalla importantes durante  el  conflicto</w:t>
        <w:br/>
        <w:t xml:space="preserve">      armado interno, y Moiwana ’86 reportó esas  violaciones  al  gobierno.</w:t>
        <w:br/>
        <w:t xml:space="preserve">      En un momento dado, el Ministro de Defensa declaró públicamente que el</w:t>
        <w:br/>
        <w:t xml:space="preserve">      ataque en Moiwana fue una acción militar.</w:t>
        <w:br/>
        <w:br/>
        <w:br/>
        <w:t xml:space="preserve">      Moiwana ’86 fue “muy sistemática” en sus solicitudes  al  Estado  para</w:t>
        <w:br/>
        <w:t xml:space="preserve">      que investigara el ataque de  29  de  noviembre  de  1986.   Con  este</w:t>
        <w:br/>
        <w:t xml:space="preserve">      propósito, recolectaron información, la  pusieron  por  escrito  y  la</w:t>
        <w:br/>
        <w:t xml:space="preserve">      presentaron a  las  autoridades  gubernamentales  en  forma  continua.</w:t>
        <w:br/>
        <w:t xml:space="preserve">      Moiwana ’86,  como  organización,  ha  solicitado  a  las  autoridades</w:t>
        <w:br/>
        <w:t xml:space="preserve">      policiales y judiciales, al menos una vez al año, que  investiguen  el</w:t>
        <w:br/>
        <w:t xml:space="preserve">      ataque.</w:t>
        <w:br/>
        <w:br/>
        <w:br/>
        <w:t xml:space="preserve">      Moiwana ’86 también trató de “apoyar tanto  como  fuera  posible”  las</w:t>
        <w:br/>
        <w:t xml:space="preserve">      investigaciones del inspector Gooding, quien  estaba  a  cargo  de  la</w:t>
        <w:br/>
        <w:t xml:space="preserve">      investigación penal oficial del Estado.  El testigo manifestó  que  el</w:t>
        <w:br/>
        <w:t xml:space="preserve">      señor Gooding “había encontrado  miembros  importantes  del  grupo  de</w:t>
        <w:br/>
        <w:t xml:space="preserve">      perpetradores” y señaló que sus logros  demostraban  que  era  un  “un</w:t>
        <w:br/>
        <w:t xml:space="preserve">      hombre muy valiente”.  Como resultado de esta  investigación  inicial,</w:t>
        <w:br/>
        <w:t xml:space="preserve">      la policía detuvo a Orlando Swedo; sin  embargo,  una  unidad  militar</w:t>
        <w:br/>
        <w:t xml:space="preserve">      completamente armada exigió y obtuvo su liberación.  El líder  militar</w:t>
        <w:br/>
        <w:t xml:space="preserve">      Desire Bouterse ordenó esa liberación; esto se supo  porque  el  señor</w:t>
        <w:br/>
        <w:t xml:space="preserve">      Bouterse condujo una conferencia de prensa una vez que el señor  Swedo</w:t>
        <w:br/>
        <w:t xml:space="preserve">      fue liberado.</w:t>
        <w:br/>
        <w:br/>
        <w:br/>
        <w:t xml:space="preserve">      Durante ese encuentro con la prensa, al señor Gooding se  le  advirtió</w:t>
        <w:br/>
        <w:t xml:space="preserve">      que no cooperara con Moiwana  ’86.   Poco  tiempo  después,  el  señor</w:t>
        <w:br/>
        <w:t xml:space="preserve">      Gooding visitó el cuartel militar en Fort Zeelandia.  Cuando salía, su</w:t>
        <w:br/>
        <w:t xml:space="preserve">      carro fue detenido; lo sacaron del carro  y  lo  mataron  a  disparos.</w:t>
        <w:br/>
        <w:t xml:space="preserve">      Después de la muerte del  señor  Gooding,  la  policía  no  siguió  la</w:t>
        <w:br/>
        <w:t xml:space="preserve">      investigación del ataque en Moiwana.  Por otro lado, los  responsables</w:t>
        <w:br/>
        <w:t xml:space="preserve">      de  la  muerte  del  señor  Gooding  nunca  fueron  juzgados   y   las</w:t>
        <w:br/>
        <w:t xml:space="preserve">      circunstancias de su muerte nunca fueron aclaradas.  Asimismo,  muchos</w:t>
        <w:br/>
        <w:t xml:space="preserve">      de los investigadores que trabajaban con Gooding  tuvieron  que  salir</w:t>
        <w:br/>
        <w:t xml:space="preserve">      del país porque enfrentaban “una situación  que  amenazaba  su  vida”.</w:t>
        <w:br/>
        <w:t xml:space="preserve">      “Incluso las más altas autoridades fueron incapaces de investigar más”</w:t>
        <w:br/>
        <w:t xml:space="preserve">      su muerte.</w:t>
        <w:br/>
        <w:br/>
        <w:br/>
        <w:t xml:space="preserve">      En 1993, el testigo recibió información  sobre  el  descubrimiento  de</w:t>
        <w:br/>
        <w:t xml:space="preserve">      restos humanos cerca de la localidad de Moiwana; le  dijeron  que  los</w:t>
        <w:br/>
        <w:t xml:space="preserve">      cuerpos eran de la masacre.  Informó a las autoridades,  especialmente</w:t>
        <w:br/>
        <w:t xml:space="preserve">      al Fiscal General, quien  rápidamente  estableció  un  comité  que  se</w:t>
        <w:br/>
        <w:t xml:space="preserve">      encargara del asunto.  Después de dos sesiones  –  el  testigo  estuvo</w:t>
        <w:br/>
        <w:t xml:space="preserve">      presente en ambas – los  restos  fueron  descubiertos,  y  llevados  a</w:t>
        <w:br/>
        <w:t xml:space="preserve">      Paramaribo para ser investigados.  El testigo se enteró por la  prensa</w:t>
        <w:br/>
        <w:t xml:space="preserve">      que se encontraron los restos de seis a nueve  individuos,  incluyendo</w:t>
        <w:br/>
        <w:t xml:space="preserve">      niños.  Sin embargo, las autoridades nunca identificaron los restos, y</w:t>
        <w:br/>
        <w:t xml:space="preserve">      el testigo  nunca  recibió  información  sobre  gestiones  adicionales</w:t>
        <w:br/>
        <w:t xml:space="preserve">      realizadas  para  investigar  la  situación.   Más   aún,   hubo   una</w:t>
        <w:br/>
        <w:t xml:space="preserve">      “declaración reaccionaria” en la prensa de  un  oficial  de  gobierno,</w:t>
        <w:br/>
        <w:t xml:space="preserve">      haciendo alusión  a  la  ley  de  amnistía,  la  cual  “debilitaba  la</w:t>
        <w:br/>
        <w:t xml:space="preserve">      esperanza” de que pudiera continuar la investigación del caso Moiwana.</w:t>
        <w:br/>
        <w:br/>
        <w:br/>
        <w:t xml:space="preserve">      En 1995, el Parlamento surinamés solicitó al Ejecutivo que investigara</w:t>
        <w:br/>
        <w:t xml:space="preserve">      varias violaciones de  derechos  humanos.   Sin  embargo,  el  testigo</w:t>
        <w:br/>
        <w:t xml:space="preserve">      desconoce que haya habido investigaciones posteriores  del  ataque  en</w:t>
        <w:br/>
        <w:t xml:space="preserve">      Moiwana por parte de las autoridades legales.  En  1996,  Moiwana  ’86</w:t>
        <w:br/>
        <w:t xml:space="preserve">      presentó una solicitud formal al Fiscal General, de conformidad con el</w:t>
        <w:br/>
        <w:t xml:space="preserve">      Código de Procedimientos Penales de Suriname, para que se  investigara</w:t>
        <w:br/>
        <w:t xml:space="preserve">      la  masacre.   Al  no  recibir  ninguna  respuesta,   presentaron   al</w:t>
        <w:br/>
        <w:t xml:space="preserve">      Presidente de la Corte de Justicia una solicitud formal  para  que  se</w:t>
        <w:br/>
        <w:t xml:space="preserve">      investigara, quien a su vez la remitió al Fiscal General; sin embargo,</w:t>
        <w:br/>
        <w:t xml:space="preserve">      no se llevó a cabo ninguna acción adicional.</w:t>
        <w:br/>
        <w:br/>
        <w:br/>
        <w:t xml:space="preserve">      Moiwana ’86 solicitó al gobierno que rechazara la ley de amnistía  que</w:t>
        <w:br/>
        <w:t xml:space="preserve">      se adoptó en 1992, porque consideraron que era un medio para legalizar</w:t>
        <w:br/>
        <w:t xml:space="preserve">      la impunidad.  El  testigo  también  cree  que  la  ley  misma  afectó</w:t>
        <w:br/>
        <w:t xml:space="preserve">      negativamente la actitud de la policía para investigar las violaciones</w:t>
        <w:br/>
        <w:t xml:space="preserve">      de derechos humanos ocurridas en el período que va  desde  1985  hasta</w:t>
        <w:br/>
        <w:t xml:space="preserve">      1992-93, que son los años que se encuentran cubiertos por la ley.</w:t>
        <w:br/>
        <w:br/>
        <w:br/>
        <w:t xml:space="preserve">      Muchos de los que colaboraron con Moiwana ’86  recibieron  amenazas  y</w:t>
        <w:br/>
        <w:t xml:space="preserve">      tuvieron que salir del país.  El testigo fue arrestado  cuatro  veces;</w:t>
        <w:br/>
        <w:t xml:space="preserve">      asimismo, sufrió un atentado contra su vida, el cual lo obligó a salir</w:t>
        <w:br/>
        <w:t xml:space="preserve">      de  Suriname.   Según   su   conocimiento,   las   autoridades   nunca</w:t>
        <w:br/>
        <w:t xml:space="preserve">      investigaron el intento de homicidio.  Los esfuerzos por investigar el</w:t>
        <w:br/>
        <w:t xml:space="preserve">      caso Moiwana han implicado riesgos porque “no hay muchas  personas  en</w:t>
        <w:br/>
        <w:t xml:space="preserve">      el sistema a quienes les gustaría que se sigan haciendo averiguaciones</w:t>
        <w:br/>
        <w:t xml:space="preserve">      sobre este asunto”.   Como  resultado,  fue  “muy  difícil  garantizar</w:t>
        <w:br/>
        <w:t xml:space="preserve">      seguridad a las personas, garantizar protección frente a gente que uno</w:t>
        <w:br/>
        <w:t xml:space="preserve">      no puede controlar”.</w:t>
        <w:br/>
        <w:br/>
        <w:br/>
        <w:t xml:space="preserve">      De todos los casos de derechos humanos que Moiwana ’86 manejó  durante</w:t>
        <w:br/>
        <w:t xml:space="preserve">      el tiempo que el testigo trabajó ahí, él no puede  recordar  uno  solo</w:t>
        <w:br/>
        <w:t xml:space="preserve">      que haya llegado a la etapa de juzgamiento y sanción – a pesar de  que</w:t>
        <w:br/>
        <w:t xml:space="preserve">      los casos que fueron traídos ante la Corte Interamericana,  Aloeboetoe</w:t>
        <w:br/>
        <w:t xml:space="preserve">      y  Gangaram  Panday,  tuvieron  como   resultado   que   se   otorgara</w:t>
        <w:br/>
        <w:t xml:space="preserve">      compensación a las víctimas.</w:t>
        <w:br/>
        <w:br/>
        <w:br/>
        <w:t xml:space="preserve">      El testigo ha trabajado con los sobrevivientes del ataque desde  1987,</w:t>
        <w:br/>
        <w:t xml:space="preserve">      incluyendo  los  refugiados  en  la  Guyana   Francesa.    Los   demás</w:t>
        <w:br/>
        <w:t xml:space="preserve">      sobrevivientes se localizan en Suriname, en las ciudades de Paramaribo</w:t>
        <w:br/>
        <w:t xml:space="preserve">      y Moengo.  Desde esa época, él y otras personas han visitado  a  estos</w:t>
        <w:br/>
        <w:t xml:space="preserve">      individuos para asistirlos y  encontrarles  un  lugar  temporal  donde</w:t>
        <w:br/>
        <w:t xml:space="preserve">      pudieran quedarse.  Moiwana ’86  ha  incluido  representantes  de  los</w:t>
        <w:br/>
        <w:t xml:space="preserve">      sobrevivientes en sus actividades: “al  menos  tres  miembros  de  ese</w:t>
        <w:br/>
        <w:t xml:space="preserve">      grupo   participaron   permanentemente   en    nuestras    actividades</w:t>
        <w:br/>
        <w:t xml:space="preserve">      relacionadas con Moiwana”.  Asimismo, cuando el testigo y Moiwana  ’86</w:t>
        <w:br/>
        <w:t xml:space="preserve">      presentaron ante las autoridades judiciales  denuncias  y  solicitudes</w:t>
        <w:br/>
        <w:t xml:space="preserve">      para que los  hechos  ocurridos  se  investigaran,  fueron  claros  en</w:t>
        <w:br/>
        <w:t xml:space="preserve">      señalar que lo hacían en nombre de los sobrevivientes.</w:t>
        <w:br/>
        <w:br/>
        <w:br/>
        <w:t xml:space="preserve">      Estas denuncias y solicitudes buscaban una investigación penal, no una</w:t>
        <w:br/>
        <w:t xml:space="preserve">      acción civil ni compensación.  Esto es así porque la única posibilidad</w:t>
        <w:br/>
        <w:t xml:space="preserve">      de  investigar  efectivamente   las   violaciones   en   Moiwana   era</w:t>
        <w:br/>
        <w:t xml:space="preserve">      dirigiéndose  a  las  autoridades  estatales.   Como  organización  de</w:t>
        <w:br/>
        <w:t xml:space="preserve">      derechos humanos, Moiwana ’86 trató de iniciar la investigación  penal</w:t>
        <w:br/>
        <w:t xml:space="preserve">      mediante la comunicación con las instituciones  estatales  apropiadas,</w:t>
        <w:br/>
        <w:t xml:space="preserve">      “para ayudar al Estado con sus obligaciones de defender los derechos”.</w:t>
        <w:br/>
        <w:t xml:space="preserve">       Por esta razón, los sobrevivientes de  Moiwana  no  han  iniciado  el</w:t>
        <w:br/>
        <w:t xml:space="preserve">      proceso civil aún; sólo han buscado una investigación  penal,  después</w:t>
        <w:br/>
        <w:t xml:space="preserve">      de la cual se pueden presentar acciones civiles.</w:t>
        <w:br/>
        <w:br/>
        <w:br/>
        <w:t xml:space="preserve">      Con base en su experiencia,  el  testigo  considera  que  ha  existido</w:t>
        <w:br/>
        <w:t xml:space="preserve">      “respaldo insuficiente a la idea,  al  concepto  de  que  los  Maroons</w:t>
        <w:br/>
        <w:t xml:space="preserve">      merecen el mismo tipo de protección legal en el país”.   Algunos  días</w:t>
        <w:br/>
        <w:t xml:space="preserve">      antes de la audiencia, los representantes  de  los  sobrevivientes  de</w:t>
        <w:br/>
        <w:t xml:space="preserve">      Moiwana confirmaron al testigo su deseo de regresar a su aldea.</w:t>
        <w:br/>
        <w:br/>
        <w:br/>
        <w:br/>
        <w:br/>
        <w:t xml:space="preserve">      b) Erwin Willemdam, antiguo residente de Moiwana</w:t>
        <w:br/>
        <w:br/>
        <w:br/>
        <w:t xml:space="preserve">      El testigo se encontraba en Moiwana el día de los  hechos  del  29  de</w:t>
        <w:br/>
        <w:t xml:space="preserve">      noviembre de 1986; mataron a su esposa durante el ataque.   El  ataque</w:t>
        <w:br/>
        <w:t xml:space="preserve">      en sí tenía las características de una operación militar planeada,  de</w:t>
        <w:br/>
        <w:t xml:space="preserve">      conformidad con lo manifestado por el testigo, quien había  estado  en</w:t>
        <w:br/>
        <w:t xml:space="preserve">      el ejército.  Llegó  a  esta  conclusión  por  la  forma  en  que  los</w:t>
        <w:br/>
        <w:t xml:space="preserve">      atacantes se acercaron a la población y la rodearon.  Asimismo escuchó</w:t>
        <w:br/>
        <w:t xml:space="preserve">      una orden de quemar los ranchos de la población.</w:t>
        <w:br/>
        <w:br/>
        <w:br/>
        <w:t xml:space="preserve">      Inmediatamente después  del  ataque,  el  testigo  huyó  a  la  Guyana</w:t>
        <w:br/>
        <w:t xml:space="preserve">      Francesa.  Después de pasar un año ahí, decidió  regresar  a  Suriname</w:t>
        <w:br/>
        <w:t xml:space="preserve">      para que sus  hijos  pudieran  tener  educación.   Alrededor  de  este</w:t>
        <w:br/>
        <w:t xml:space="preserve">      tiempo, empezó a participar con grupos de  otros  sobrevivientes  para</w:t>
        <w:br/>
        <w:t xml:space="preserve">      buscar justicia.  En la cultura N’jduka la búsqueda de justicia es una</w:t>
        <w:br/>
        <w:t xml:space="preserve">      obligación; si no se obtiene, “tu vida está perturbada, se interrumpe,</w:t>
        <w:br/>
        <w:t xml:space="preserve">      entonces uno no puede  continuar  viviendo  adecuadamente”.   Los  dos</w:t>
        <w:br/>
        <w:t xml:space="preserve">      hijos  que  el  testigo  tuvo  con  su  esposa  que  falleció  también</w:t>
        <w:br/>
        <w:t xml:space="preserve">      participan en estas actividades para buscar justicia, ya que se  trata</w:t>
        <w:br/>
        <w:t xml:space="preserve">      de  una  responsabilidad  cultural  que  continúa  a  través  de   las</w:t>
        <w:br/>
        <w:t xml:space="preserve">      generaciones.</w:t>
        <w:br/>
        <w:br/>
        <w:br/>
        <w:t xml:space="preserve">      Desde el ataque, el testigo ha conducido por Moiwana, pero nunca se ha</w:t>
        <w:br/>
        <w:t xml:space="preserve">      detenido.  No tiene conocimiento de otros miembros de la comunidad que</w:t>
        <w:br/>
        <w:t xml:space="preserve">      hayan regresado a Moiwana a vivir.   “Mientras  no  se  haya  obtenido</w:t>
        <w:br/>
        <w:t xml:space="preserve">      justicia, […] ellos no pueden volver a ese lugar  a  quedarse”.   Dado</w:t>
        <w:br/>
        <w:t xml:space="preserve">      que  no  ha  habido  investigación,  el   testigo   siente   que   los</w:t>
        <w:br/>
        <w:t xml:space="preserve">      sobrevivientes de Moiwana no son tratados de la misma  forma  que  los</w:t>
        <w:br/>
        <w:t xml:space="preserve">      demás ciudadanos surinameses.</w:t>
        <w:br/>
        <w:br/>
        <w:br/>
        <w:t xml:space="preserve">      Los miembros de la comunidad creen que mientras los  que  murieron  en</w:t>
        <w:br/>
        <w:t xml:space="preserve">      Moiwana no sean vengados, sus almas  no  estarán  en  paz.   Asimismo,</w:t>
        <w:br/>
        <w:t xml:space="preserve">      mientras  sus  cuerpos  no  reciban  un   entierro   adecuado,   habrá</w:t>
        <w:br/>
        <w:t xml:space="preserve">      consecuencias negativas para los vivos.  El  testigo  tiene  miedo  de</w:t>
        <w:br/>
        <w:t xml:space="preserve">      estos espíritus enojados.  Sin  embargo,  “si  se  hace  en  la  forma</w:t>
        <w:br/>
        <w:t xml:space="preserve">      adecuada – se obtiene justicia y se otorga una compensación – entonces</w:t>
        <w:br/>
        <w:t xml:space="preserve">      la gente puede volver y vivir en esa área”.  En este momento, como  no</w:t>
        <w:br/>
        <w:t xml:space="preserve">      se ha hecho “nada”, el testigo no regresaría.</w:t>
        <w:br/>
        <w:br/>
        <w:br/>
        <w:t xml:space="preserve">      Una de las fuentes de mayor sufrimiento para el testigo  es  no  saber</w:t>
        <w:br/>
        <w:t xml:space="preserve">      qué pasó con el cuerpo  de  su  esposa.   Se  enteró  de  que  algunos</w:t>
        <w:br/>
        <w:t xml:space="preserve">      cadáveres de Moiwana fueron quemados en un lugar en Moengo, la  ciudad</w:t>
        <w:br/>
        <w:t xml:space="preserve">      donde él vive ahora.  Cada vez que pasa por ese lugar, se  siente  muy</w:t>
        <w:br/>
        <w:t xml:space="preserve">      mal por lo sucedido.  “Esta es una de las peores cosas  que  nos  pudo</w:t>
        <w:br/>
        <w:t xml:space="preserve">      haber ocurrido, que se queme el cuerpo de alguien que murió”.</w:t>
        <w:br/>
        <w:br/>
        <w:br/>
        <w:t xml:space="preserve">      Los sobrevivientes de Moiwana  tienen  un  comité,  que  coordina  con</w:t>
        <w:br/>
        <w:t xml:space="preserve">      Moiwana ’86 los asuntos legales relacionados con la investigación.  El</w:t>
        <w:br/>
        <w:t xml:space="preserve">      testigo no forma parte de este comité.  El comité escribió  cartas  al</w:t>
        <w:br/>
        <w:t xml:space="preserve">      Estado  e  intentó  trabajar  con  el  gobierno  para   adelantar   la</w:t>
        <w:br/>
        <w:t xml:space="preserve">      investigación, pero el Estado “nunca reaccionó”.  Por ejemplo,  a  los</w:t>
        <w:br/>
        <w:t xml:space="preserve">      sobrevivientes de Moiwana no se les informó  sobre  la  excavación  de</w:t>
        <w:br/>
        <w:t xml:space="preserve">      restos humanos realizada por parte  de  Suriname  en  1993.   De  esta</w:t>
        <w:br/>
        <w:t xml:space="preserve">      manera, ahora “no hay interés en cooperar con  el  gobierno  [a  estas</w:t>
        <w:br/>
        <w:t xml:space="preserve">      alturas]”.</w:t>
        <w:br/>
        <w:br/>
        <w:br/>
        <w:t xml:space="preserve">      A nivel personal, el testigo tiene miedo de llevar el caso a un juez y</w:t>
        <w:br/>
        <w:t xml:space="preserve">      desconfía de la policía del Estado.  Un día, un oficial militar y tres</w:t>
        <w:br/>
        <w:t xml:space="preserve">      policías le hicieron  preguntas  en  Moengo.   Una  vez  que  hubieron</w:t>
        <w:br/>
        <w:t xml:space="preserve">      hablado y que los oficiales habían tomado notas, el  testigo  solicitó</w:t>
        <w:br/>
        <w:t xml:space="preserve">      ver lo que habían escrito, pero ellos se rehusaron.</w:t>
        <w:br/>
        <w:br/>
        <w:br/>
        <w:t xml:space="preserve">      Porque a la esposa del testigo la  mataron injustamente, “  ya  no  es</w:t>
        <w:br/>
        <w:t xml:space="preserve">      posible vivir una vida normal”.  Ni siquiera se puede  dedicar  a  las</w:t>
        <w:br/>
        <w:t xml:space="preserve">      actividades agrícolas que hacía en Moiwana.  Dado que “tantos  de  los</w:t>
        <w:br/>
        <w:t xml:space="preserve">      nuestros  murieron  en  esa  tierra”,  y  que  sus  homicidios  fueron</w:t>
        <w:br/>
        <w:t xml:space="preserve">      “absolutamente inapropiados”, el testigo cree que el Estado, además de</w:t>
        <w:br/>
        <w:t xml:space="preserve">      proveer una investigación y compensación adecuadas, debe otorgar a los</w:t>
        <w:br/>
        <w:t xml:space="preserve">      antiguos residentes el derecho a vivir en Moiwana.  “Se debe reconocer</w:t>
        <w:br/>
        <w:t xml:space="preserve">      para que nos podamos atrever a vivir ahí y utilizar [la tierra]”.</w:t>
        <w:br/>
        <w:br/>
        <w:br/>
        <w:br/>
        <w:br/>
        <w:t xml:space="preserve">      c) Antonia Difienjo, antigua residente de Moiwana</w:t>
        <w:br/>
        <w:br/>
        <w:br/>
        <w:t xml:space="preserve">      La testigo estaba en Moiwana durante los hechos del 29 de noviembre de</w:t>
        <w:br/>
        <w:t xml:space="preserve">      1986; su padre, quien era un loekoman o basia N’djuka,  su  tía  y  su</w:t>
        <w:br/>
        <w:t xml:space="preserve">      bebé de siete meses murieron durante el ataque.  Su hijo murió en  sus</w:t>
        <w:br/>
        <w:t xml:space="preserve">      brazos.</w:t>
        <w:br/>
        <w:br/>
        <w:br/>
        <w:t xml:space="preserve">      Los atacantes perdonaron las vidas de algunos residentes y “dieron  la</w:t>
        <w:br/>
        <w:t xml:space="preserve">      orden de que nos teníamos que ir”.  Como resultado, la testigo recordó</w:t>
        <w:br/>
        <w:t xml:space="preserve">      que “tuvieron que desaparecer en el bosque”.  Más tarde, la testigo  y</w:t>
        <w:br/>
        <w:t xml:space="preserve">      otros fueron encontrados en la jungla y asistidos para cruzar el río y</w:t>
        <w:br/>
        <w:t xml:space="preserve">      llegar a la Guyana Francesa.  Los colocaron en campos de refugiados en</w:t>
        <w:br/>
        <w:t xml:space="preserve">      Saffé.  En los campos se pudieron mantener mediante el  cultivo  y  la</w:t>
        <w:br/>
        <w:t xml:space="preserve">      venta de ciertos productos.  Ella y otros todavía están en los  campos</w:t>
        <w:br/>
        <w:t xml:space="preserve">      al día de hoy.  Aunque le han escrito cartas  al  gobierno  surinamés,</w:t>
        <w:br/>
        <w:t xml:space="preserve">      los oficiales del Estado no han visitado a los  sobrevivientes  en  la</w:t>
        <w:br/>
        <w:t xml:space="preserve">      Guyana Francesa.  “Ellos nos consideran como  perros:  uno  los  puede</w:t>
        <w:br/>
        <w:t xml:space="preserve">      matar, no hay que prestarles demasiada atención”.</w:t>
        <w:br/>
        <w:br/>
        <w:br/>
        <w:t xml:space="preserve">      En Moiwana, en la tradición N’djuka, las mujeres tenían derecho  a  la</w:t>
        <w:br/>
        <w:t xml:space="preserve">      tierra y a cultivarla.  La testigo cree que este derecho es necesario,</w:t>
        <w:br/>
        <w:t xml:space="preserve">      pero manifiesta que  no  está  disponible  para  ellos  en  la  Guyana</w:t>
        <w:br/>
        <w:t xml:space="preserve">      Francesa donde vive ahora: “ahí no puedo hacer nada”.</w:t>
        <w:br/>
        <w:br/>
        <w:br/>
        <w:t xml:space="preserve">      No ha sido posible para los sobrevivientes de  Moiwana  recuperar  los</w:t>
        <w:br/>
        <w:t xml:space="preserve">      cuerpos de los que murieron, y aún no saben donde  se  encuentran  los</w:t>
        <w:br/>
        <w:t xml:space="preserve">      cadáveres.  La testigo tiene entendido  que  algunos  de  los  cuerpos</w:t>
        <w:br/>
        <w:t xml:space="preserve">      fueron llevados a Moengo.  En la  cultura  N’djuka,  sin  embargo,  es</w:t>
        <w:br/>
        <w:t xml:space="preserve">      crucial proveer un entierro adecuado – y hay muchas ceremonias que  se</w:t>
        <w:br/>
        <w:t xml:space="preserve">      deben realizar al fallecido antes de que tenga lugar el entierro.  Sin</w:t>
        <w:br/>
        <w:t xml:space="preserve">      embargo, nada se puede lograr sin recuperar primero los restos de  los</w:t>
        <w:br/>
        <w:t xml:space="preserve">      fallecidos.  Si no se observan estos rituales, “significará una  carga</w:t>
        <w:br/>
        <w:t xml:space="preserve">      para todos los niños, también los perseguirá a ellos”.   Son  posibles</w:t>
        <w:br/>
        <w:t xml:space="preserve">      muchas  consecuencias  negativas  para  los  familiares,  tales   como</w:t>
        <w:br/>
        <w:t xml:space="preserve">      volverse  loco.   Al  no  cumplir   las   obligaciones   tradicionales</w:t>
        <w:br/>
        <w:t xml:space="preserve">      relacionadas con los muertos,  “es  como  si  no  existiéramos  en  la</w:t>
        <w:br/>
        <w:t xml:space="preserve">      tierra”.</w:t>
        <w:br/>
        <w:br/>
        <w:br/>
        <w:t xml:space="preserve">      Su comunidad ha pedido al Estado justicia  después  del  ataque,  pero</w:t>
        <w:br/>
        <w:t xml:space="preserve">      Suriname no ha “reaccionado” ante la solicitud.  “Comparados con otros</w:t>
        <w:br/>
        <w:t xml:space="preserve">      en el país, […] no tenemos  los  mismos  derechos  en  Suriname”.   Es</w:t>
        <w:br/>
        <w:t xml:space="preserve">      importante para los sobrevivientes de  Moiwana  trabajar  juntos  para</w:t>
        <w:br/>
        <w:t xml:space="preserve">      obtener justicia; con este fin, la testigo  ha  colaborado  con  Andre</w:t>
        <w:br/>
        <w:t xml:space="preserve">      Ajintoena, el presidente de la Asociación Moiwana.</w:t>
        <w:br/>
        <w:br/>
        <w:br/>
        <w:t xml:space="preserve">      El Estado debe enmendar las  malas  acciones  que  ha  cometido;  debe</w:t>
        <w:br/>
        <w:t xml:space="preserve">      enfrentar la situación de  manera  adecuada,  “antes  de  que  podamos</w:t>
        <w:br/>
        <w:t xml:space="preserve">      volver a la normalidad”.  Desde el ataque, la vida de la  testigo  “se</w:t>
        <w:br/>
        <w:t xml:space="preserve">      ha visto completamente perturbada”; ella siente que se  ha  encontrado</w:t>
        <w:br/>
        <w:t xml:space="preserve">      en la misma situación desde los hechos del 29 de  noviembre  de  1986.</w:t>
        <w:br/>
        <w:t xml:space="preserve">      Asimismo, la comunidad puede requerir ayuda  para  volver  a  Moiwana;</w:t>
        <w:br/>
        <w:t xml:space="preserve">      ella personalmente no ha regresado.  En  cualquier  caso,  la  testigo</w:t>
        <w:br/>
        <w:t xml:space="preserve">      está dispuesta  a  regresar  a  vivir  a  Moiwana  “si  todo  se  hace</w:t>
        <w:br/>
        <w:t xml:space="preserve">      adecuadamente”, de conformidad con la tradición, dado que su ubicación</w:t>
        <w:br/>
        <w:t xml:space="preserve">      actual en la Guyana Francesa, manifiesta, “no es mi lugar”.</w:t>
        <w:br/>
        <w:br/>
        <w:br/>
        <w:t xml:space="preserve">      La testigo nunca entendió la razón del ataque.  Ella manifestó que “es</w:t>
        <w:br/>
        <w:t xml:space="preserve">      importante para mí – me gustaría saber por qué. […] Es esencial saber,</w:t>
        <w:br/>
        <w:t xml:space="preserve">      porque esa es la ley […] en la tradición de la  cultura  N’djuka.  […]</w:t>
        <w:br/>
        <w:t xml:space="preserve">      Nuestros derechos deben observarse”.   También,  con  relación  a  las</w:t>
        <w:br/>
        <w:t xml:space="preserve">      posibles reparaciones, la testigo agregó que todo lo que haga que  sus</w:t>
        <w:br/>
        <w:t xml:space="preserve">      vidas  regresen  a  la  normalidad   es   “bienvenido”,   tales   como</w:t>
        <w:br/>
        <w:t xml:space="preserve">      compensación y un lugar para vivir.</w:t>
        <w:br/>
        <w:br/>
        <w:br/>
        <w:br/>
        <w:br/>
        <w:t xml:space="preserve">      d) Andre Ajintoena, antiguo residente de Moiwana y  presidente  de  la</w:t>
        <w:br/>
        <w:t xml:space="preserve">      Asociación Moiwana</w:t>
        <w:br/>
        <w:br/>
        <w:br/>
        <w:t xml:space="preserve">      El testigo estaba en Moiwana durante los hechos del 29 de noviembre de</w:t>
        <w:br/>
        <w:t xml:space="preserve">      1986; sus hermanas y los hijos de éstas murieron  durante  el  ataque.</w:t>
        <w:br/>
        <w:t xml:space="preserve">      “[L]os  que  murieron  en  Moiwana,  se  podría  decir,   eran   todos</w:t>
        <w:br/>
        <w:t xml:space="preserve">      familiares”.</w:t>
        <w:br/>
        <w:br/>
        <w:br/>
        <w:t xml:space="preserve">      En la cultura N’djuka es “esencial”  buscar  justicia  cuando  alguien</w:t>
        <w:br/>
        <w:t xml:space="preserve">      muere de manera injusta.  Esta obligación “de enderezar las cosas”, si</w:t>
        <w:br/>
        <w:t xml:space="preserve">      no se cumple, provocará que  los  vivos  y  los  muertos  sufran.   El</w:t>
        <w:br/>
        <w:t xml:space="preserve">      testigo ha establecido  un  grupo  dedicado  a  obtener  justicia,  la</w:t>
        <w:br/>
        <w:t xml:space="preserve">      Asociación Moiwana, que ha colaborado con Moiwana ’86 desde el ataque.</w:t>
        <w:br/>
        <w:t xml:space="preserve">      De esta manera, los sobrevivientes primero intentaron, en coordinación</w:t>
        <w:br/>
        <w:t xml:space="preserve">      con  Moiwana  ’86,  obtener  justicia  utilizando  opciones  a   nivel</w:t>
        <w:br/>
        <w:t xml:space="preserve">      nacional; sin embargo, tan pronto se dieron cuenta  de  que  no  sería</w:t>
        <w:br/>
        <w:t xml:space="preserve">      posible a ese nivel, decidieron acudir a los recursos  internacionales</w:t>
        <w:br/>
        <w:t xml:space="preserve">      que tenían disponibles.</w:t>
        <w:br/>
        <w:br/>
        <w:br/>
        <w:t xml:space="preserve">      La Asociación Moiwana tiene miembros en la Guyana Francesa  y  también</w:t>
        <w:br/>
        <w:t xml:space="preserve">      en Suriname.  Cuando hay que tomar una decisión importante en relación</w:t>
        <w:br/>
        <w:t xml:space="preserve">      con el presente  caso,  se  consulta  a  todos  los  sobrevivientes  y</w:t>
        <w:br/>
        <w:t xml:space="preserve">      familiares de Moiwana mediante los esfuerzos  de  la  Asociación.   De</w:t>
        <w:br/>
        <w:t xml:space="preserve">      esta manera, la Asociación  celebra  reuniones  regulares;  de  hecho,</w:t>
        <w:br/>
        <w:t xml:space="preserve">      antes de la audiencia pública el testigo se reunió una vez más con los</w:t>
        <w:br/>
        <w:t xml:space="preserve">      sobrevivientes y familiares de Moiwana en  la  Guyana  Francesa  y  en</w:t>
        <w:br/>
        <w:t xml:space="preserve">      Suriname.</w:t>
        <w:br/>
        <w:br/>
        <w:br/>
        <w:t xml:space="preserve">      El testigo y la Asociación Moiwana hicieron todo lo que pudieron  para</w:t>
        <w:br/>
        <w:t xml:space="preserve">      cooperar con  el  gobierno  surinamés,  a  pesar  de  que  durante  la</w:t>
        <w:br/>
        <w:t xml:space="preserve">      investigación del inspector Gooding el conflicto  interno  impidió  al</w:t>
        <w:br/>
        <w:t xml:space="preserve">      testigo y a otras personas viajar a  Paramaribo  para  hablar  con  el</w:t>
        <w:br/>
        <w:t xml:space="preserve">      señor Gooding.  De hecho, la policía nunca ha  tomado  declaración  al</w:t>
        <w:br/>
        <w:t xml:space="preserve">      testigo en relación con el caso Moiwana.  Después  de  la  muerte  del</w:t>
        <w:br/>
        <w:t xml:space="preserve">      señor Gooding, muchas personas pensaron que no sería posible continuar</w:t>
        <w:br/>
        <w:t xml:space="preserve">      del todo la investigación.</w:t>
        <w:br/>
        <w:br/>
        <w:br/>
        <w:t xml:space="preserve">      Con respecto al descubrimiento de los  cuerpos  cerca  de  Moiwana  en</w:t>
        <w:br/>
        <w:t xml:space="preserve">      1993, el  gobierno  nunca  informó  a  los  sobrevivientes  sobre  los</w:t>
        <w:br/>
        <w:t xml:space="preserve">      resultados finales de la  exhumación.   Asimismo,  los  sobrevivientes</w:t>
        <w:br/>
        <w:t xml:space="preserve">      específicamente escribieron al Estado para solicitar una investigación</w:t>
        <w:br/>
        <w:t xml:space="preserve">      de la masacre, sin ningún resultado.  De esta manera, el Estado  nunca</w:t>
        <w:br/>
        <w:t xml:space="preserve">      ha investigado suficientemente lo ocurrido en Moiwana  y  “no  sabemos</w:t>
        <w:br/>
        <w:t xml:space="preserve">      porque no lo hicieron”.  El testigo  manifestó  que  “el  gobierno  en</w:t>
        <w:br/>
        <w:t xml:space="preserve">      Suriname no valora nuestras vidas de  la  misma  forma,  dado  que  no</w:t>
        <w:br/>
        <w:t xml:space="preserve">      investigan los problemas que tenemos”.</w:t>
        <w:br/>
        <w:br/>
        <w:br/>
        <w:t xml:space="preserve">      Después del ataque el testigo regresó con otras personas a  documentar</w:t>
        <w:br/>
        <w:t xml:space="preserve">      y tomar fotos del lugar.   Una  vez  que  hubieron  terminado,  muchos</w:t>
        <w:br/>
        <w:t xml:space="preserve">      empezaron a sentirse enfermos; se dieron cuenta de que “las  cosas  no</w:t>
        <w:br/>
        <w:t xml:space="preserve">      estaban bien, no eran adecuadas, porque de acuerdo con nuestra cultura</w:t>
        <w:br/>
        <w:t xml:space="preserve">      uno no puede volver al lugar sin haber hecho  arreglos”.   El  regreso</w:t>
        <w:br/>
        <w:t xml:space="preserve">      sólo es posible “mediante la aplicación de las reglas  religiosas  [y]</w:t>
        <w:br/>
        <w:t xml:space="preserve">      culturales”.  Por otro lado, los sobrevivientes necesitan  “muchísimo”</w:t>
        <w:br/>
        <w:t xml:space="preserve">      vivir en Moiwana para “restaurar [sus]  vida[s]”.   En  este  momento,</w:t>
        <w:br/>
        <w:t xml:space="preserve">      aproximadamente 100 antiguos residentes de Moiwana viven en la  Guyana</w:t>
        <w:br/>
        <w:t xml:space="preserve">      Francesa; otros viven en Suriname a lo largo del Río Marowijne,  o  en</w:t>
        <w:br/>
        <w:t xml:space="preserve">      ciudades como Moengo o Albina.</w:t>
        <w:br/>
        <w:br/>
        <w:br/>
        <w:t xml:space="preserve">      Una joven sobreviviente, que sólo tenía dos años de  edad  durante  el</w:t>
        <w:br/>
        <w:t xml:space="preserve">      ataque, es capaz de contar lo que ocurrió ese  día  con  gran  detalle</w:t>
        <w:br/>
        <w:t xml:space="preserve">      porque se encuentra “poseída por lo que ocurrió”.  Los hechos  de  ese</w:t>
        <w:br/>
        <w:t xml:space="preserve">      día “son una carga para la gente de Moiwana  muy,  muy,  muy  pesada”,</w:t>
        <w:br/>
        <w:t xml:space="preserve">      ellos “perdieron todo”. El testigo explica que  necesita  la  ayuda  y</w:t>
        <w:br/>
        <w:t xml:space="preserve">      apoyo de sus familiares que murieron.  Y ahora, por la  denegación  de</w:t>
        <w:br/>
        <w:t xml:space="preserve">      justicia que experimentan, “es como si nos estuviéramos  muriendo  una</w:t>
        <w:br/>
        <w:t xml:space="preserve">      segunda vez”.</w:t>
        <w:br/>
        <w:br/>
        <w:br/>
        <w:t xml:space="preserve">      Durante la difícil huída de Suriname después del  ataque,  algunos  de</w:t>
        <w:br/>
        <w:t xml:space="preserve">      los sobrevivientes de  Moiwana  sufrieron  lesiones  y  posteriormente</w:t>
        <w:br/>
        <w:t xml:space="preserve">      fueron admitidos en hospitales en la Guyana Francesa.  Las autoridades</w:t>
        <w:br/>
        <w:t xml:space="preserve">      de la Guyana Francesa, en reconocimiento a su “grado  de  sufrimiento”</w:t>
        <w:br/>
        <w:t xml:space="preserve">      han permitido a los sobrevivientes de Moiwana quedarse, a la  vez  que</w:t>
        <w:br/>
        <w:t xml:space="preserve">      se ha repatriado a otros refugiados de Suriname.</w:t>
        <w:br/>
        <w:br/>
        <w:br/>
        <w:t xml:space="preserve">      Con la masacre, “el gobierno destruyó la tradición cultural […] de las</w:t>
        <w:br/>
        <w:t xml:space="preserve">      comunidades Maroon  en  Moiwana”.   Como  resultado,  “se  debe  hacer</w:t>
        <w:br/>
        <w:t xml:space="preserve">      justicia” y el Estado debe  reconocer  su  responsabilidad.  Asimismo,</w:t>
        <w:br/>
        <w:t xml:space="preserve">      dado que el Estado no puede devolver las vidas de los que murieron, se</w:t>
        <w:br/>
        <w:t xml:space="preserve">      debe acordar una compensación.  Finalmente, para poder regresar  a  su</w:t>
        <w:br/>
        <w:t xml:space="preserve">      tierra, que les pertenece de conformidad con  la  tradición,  se  debe</w:t>
        <w:br/>
        <w:t xml:space="preserve">      garantizar la seguridad de los sobrevivientes.</w:t>
        <w:br/>
        <w:br/>
        <w:br/>
        <w:t xml:space="preserve">      e) Perito: Kenneth M. Bilby, antropólogo</w:t>
        <w:br/>
        <w:br/>
        <w:br/>
        <w:t xml:space="preserve">      La historia de los Maroons Orientales, que incluyen a las  comunidades</w:t>
        <w:br/>
        <w:t xml:space="preserve">      N’djuka, Aloekoe y Saramaka, data de por lo menos la primera parte del</w:t>
        <w:br/>
        <w:t xml:space="preserve">      Siglo XVIII, cuando sus ancestros huyeron  de  plantaciones  de  otras</w:t>
        <w:br/>
        <w:t xml:space="preserve">      partes de las costas de Suriname.</w:t>
        <w:br/>
        <w:br/>
        <w:br/>
        <w:t xml:space="preserve">      Para los N’djuka la tierra es  una  personificación  de  su  identidad</w:t>
        <w:br/>
        <w:t xml:space="preserve">      colectiva; también sirve como depositaria de su historia cultural y es</w:t>
        <w:br/>
        <w:t xml:space="preserve">      su principal fuente de subsistencia.  Asimismo, en la sociedad N’djuka</w:t>
        <w:br/>
        <w:t xml:space="preserve">      una mujer debe tener acceso a  la  tierra  de  manera  tal  que  pueda</w:t>
        <w:br/>
        <w:t xml:space="preserve">      cumplir sus  obligaciones  y  funcionar  adecuadamente  dentro  de  su</w:t>
        <w:br/>
        <w:t xml:space="preserve">      comunidad.</w:t>
        <w:br/>
        <w:br/>
        <w:br/>
        <w:t xml:space="preserve">      Para que la comunidad N’djuka funcione normalmente, los miembros deben</w:t>
        <w:br/>
        <w:t xml:space="preserve">      tener una patria.  Aun si viajan a otras partes, hay ritos vitales que</w:t>
        <w:br/>
        <w:t xml:space="preserve">      deben ser llevados a cabo en su aldea de origen, lo cual  les  permite</w:t>
        <w:br/>
        <w:t xml:space="preserve">      continuar expresando su continuidad  como  comunidad.   Sin  un  hogar</w:t>
        <w:br/>
        <w:t xml:space="preserve">      tradicional al cual regresar, la  sociedad  se  desintegraría,  porque</w:t>
        <w:br/>
        <w:t xml:space="preserve">      sería difícil  mantener  su  identidad  cultural  y  sus  obligaciones</w:t>
        <w:br/>
        <w:t xml:space="preserve">      sociales.</w:t>
        <w:br/>
        <w:br/>
        <w:br/>
        <w:t xml:space="preserve">      En respuesta a una muerte en la sociedad N’djuka, se inicia una  serie</w:t>
        <w:br/>
        <w:t xml:space="preserve">      de complejos ritos religiosos y ceremonias, los cuales requieren entre</w:t>
        <w:br/>
        <w:t xml:space="preserve">      seis meses y un año para completarse.  Este proceso es de  importancia</w:t>
        <w:br/>
        <w:t xml:space="preserve">      crítica  porque  es  fundamental  que  los   muertos   sean   honrados</w:t>
        <w:br/>
        <w:t xml:space="preserve">      adecuadamente; como resultado, los ritos requieren la congregación  de</w:t>
        <w:br/>
        <w:t xml:space="preserve">      personas y recursos para fines ceremoniales más grandes en la sociedad</w:t>
        <w:br/>
        <w:t xml:space="preserve">      N’djuka.</w:t>
        <w:br/>
        <w:br/>
        <w:br/>
        <w:t xml:space="preserve">      Es extremadamente importante poseer los restos mortales del fallecido,</w:t>
        <w:br/>
        <w:t xml:space="preserve">      dado que la forma en que se trata  el  cadáver  refleja  el  grado  de</w:t>
        <w:br/>
        <w:t xml:space="preserve">      respeto que se tenía a la  persona  durante  su  vida.   Más  aún,  es</w:t>
        <w:br/>
        <w:t xml:space="preserve">      necesario que los restos mortales sean colocados en el lugar apropiado</w:t>
        <w:br/>
        <w:t xml:space="preserve">      de  entierro  del  grupo  familiar.   Por  otro  lado,  en  todas  las</w:t>
        <w:br/>
        <w:t xml:space="preserve">      sociedades Maroon, la idea de la cremación  es  repugnante;  por  esta</w:t>
        <w:br/>
        <w:t xml:space="preserve">      razón, el hecho de que los cadáveres de muchos residentes  de  Moiwana</w:t>
        <w:br/>
        <w:t xml:space="preserve">      hayan sido quemados se consideraría muy ofensivo.</w:t>
        <w:br/>
        <w:br/>
        <w:br/>
        <w:t xml:space="preserve">      Si los rituales no se llevan a cabo  de  conformidad  con  las  reglas</w:t>
        <w:br/>
        <w:t xml:space="preserve">      tradicionales, esto se considera una ofensa moral,  la  cual  no  sólo</w:t>
        <w:br/>
        <w:t xml:space="preserve">      enoja el espíritu del individuo que murió, sino también puede  ofender</w:t>
        <w:br/>
        <w:t xml:space="preserve">      a otros ancestros fallecidos.  Esto lleva a una serie de “enfermedades</w:t>
        <w:br/>
        <w:t xml:space="preserve">      causadas espiritualmente” que se manifiestan como enfermedades físicas</w:t>
        <w:br/>
        <w:t xml:space="preserve">      reales; sin embargo, no se pueden curar con  medios  convencionales  u</w:t>
        <w:br/>
        <w:t xml:space="preserve">      occidentales.  Estas enfermedades pueden afectar  potencialmente  todo</w:t>
        <w:br/>
        <w:t xml:space="preserve">      el linaje natural, el grupo familiar al cual pertenecía el  fallecido.</w:t>
        <w:br/>
        <w:t xml:space="preserve">      Estos problemas y enfermedades no  desaparecen  por  sí  mismos,  sino</w:t>
        <w:br/>
        <w:t xml:space="preserve">      deben ser resueltos  eventualmente  a  través  de  medios  sociales  y</w:t>
        <w:br/>
        <w:t xml:space="preserve">      ceremoniales; si no, persistirán por generaciones.</w:t>
        <w:br/>
        <w:br/>
        <w:br/>
        <w:t xml:space="preserve">      Tomando en cuenta todo lo anterior, la situación de los sobrevivientes</w:t>
        <w:br/>
        <w:t xml:space="preserve">      de Moiwana es “catastrófica” y “sin precedentes para el pueblo N’djuka</w:t>
        <w:br/>
        <w:t xml:space="preserve">      o cualquier pueblo Maroon”.  La sola  escala  del  número  de  muertes</w:t>
        <w:br/>
        <w:t xml:space="preserve">      debidas al ataque es imponente, pero el hecho de que la  comunidad  no</w:t>
        <w:br/>
        <w:t xml:space="preserve">      pueda ni siquiera iniciar los rituales  necesarios  para  alcanzar  la</w:t>
        <w:br/>
        <w:t xml:space="preserve">      reconciliación es “difícil de imaginar”.</w:t>
        <w:br/>
        <w:br/>
        <w:br/>
        <w:t xml:space="preserve">      La justicia es un concepto central en la sociedad N’djuka tradicional;</w:t>
        <w:br/>
        <w:t xml:space="preserve">      en efecto, una de las principales instituciones de la vida  diaria  es</w:t>
        <w:br/>
        <w:t xml:space="preserve">      la reunión  del  concejo,  que  es  el  medio  de  resolución  de  los</w:t>
        <w:br/>
        <w:t xml:space="preserve">      conflictos  de  cualquier  naturaleza  dentro  de  la  comunidad.   La</w:t>
        <w:br/>
        <w:t xml:space="preserve">      institución también tiene dimensiones espirituales, ya que se cree que</w:t>
        <w:br/>
        <w:t xml:space="preserve">      los ancestros participan en las reuniones del concejo, lo que da a sus</w:t>
        <w:br/>
        <w:t xml:space="preserve">      decisiones una legitimidad particular.  En el contexto de  la  masacre</w:t>
        <w:br/>
        <w:t xml:space="preserve">      en Moiwana, los valores tradicionales  determinan  que  esto  se  debe</w:t>
        <w:br/>
        <w:t xml:space="preserve">      manejar a nivel colectivo; simples esfuerzos  individuales  no  serían</w:t>
        <w:br/>
        <w:t xml:space="preserve">      suficientes.  Para que un problema tan grave pueda  ser  resuelto,  se</w:t>
        <w:br/>
        <w:t xml:space="preserve">      requiere la ayuda de la comunidad como un  todo.   En  efecto,  en  la</w:t>
        <w:br/>
        <w:t xml:space="preserve">      medida que pasa el tiempo y el conflicto no es resuelto, esto afectará</w:t>
        <w:br/>
        <w:t xml:space="preserve">      a más y más personas y grupos dentro de la sociedad.</w:t>
        <w:br/>
        <w:br/>
        <w:br/>
        <w:t xml:space="preserve">      Los individuos adquieren con el nacimiento los derechos a la tierra al</w:t>
        <w:br/>
        <w:t xml:space="preserve">      ser miembros de varios grupos familiares – y cada uno de estos  grupos</w:t>
        <w:br/>
        <w:t xml:space="preserve">      tiene sus propios mecanismos  legales,  a  través  de  los  cuales  se</w:t>
        <w:br/>
        <w:t xml:space="preserve">      distribuyen y activan estos derechos.  Los derechos a la tierra en  la</w:t>
        <w:br/>
        <w:t xml:space="preserve">      sociedad N’djuka en realidad existen  en  varios  niveles,  van  desde</w:t>
        <w:br/>
        <w:t xml:space="preserve">      derechos de toda la comunidad étnica hasta los derechos del individuo.</w:t>
        <w:br/>
        <w:t xml:space="preserve">       Los mayores derechos a la tierra están depositados en todo el pueblo;</w:t>
        <w:br/>
        <w:t xml:space="preserve">      estos derechos se consideran perpetuos e inalienables.  Si hubiera una</w:t>
        <w:br/>
        <w:t xml:space="preserve">      disputa sobre  límites,  esto  sería  decidido  en  consulta  con  los</w:t>
        <w:br/>
        <w:t xml:space="preserve">      ancianos y jefes de la aldea.  De conformidad con su tradición  y  con</w:t>
        <w:br/>
        <w:t xml:space="preserve">      la norma consuetudinaria, aunque los  residentes  de  Moiwana  no  han</w:t>
        <w:br/>
        <w:t xml:space="preserve">      ocupado su tierra por al menos 18 años, mantendrían derecho sobre  esa</w:t>
        <w:br/>
        <w:t xml:space="preserve">      área.</w:t>
        <w:br/>
        <w:br/>
        <w:br/>
        <w:t xml:space="preserve">      Sin embargo, en general no hay un reconocimiento del Estado de la  ley</w:t>
        <w:br/>
        <w:t xml:space="preserve">      consuetudinaria tradicional de los Maroons; ha existido  a  través  de</w:t>
        <w:br/>
        <w:t xml:space="preserve">      los siglos como un sistema autónomo, de facto.  Sólo aspectos  menores</w:t>
        <w:br/>
        <w:t xml:space="preserve">      están reconocidos, tales como algunas autoridades  locales  dentro  de</w:t>
        <w:br/>
        <w:t xml:space="preserve">      las comunidades.</w:t>
        <w:br/>
        <w:br/>
        <w:br/>
        <w:t xml:space="preserve">      Tuvo la oportunidad de entrevistar, en diciembre de  1986,  refugiados</w:t>
        <w:br/>
        <w:t xml:space="preserve">      en la Guyana Francesa  que  habían  huido  recientemente  de  Moiwana.</w:t>
        <w:br/>
        <w:t xml:space="preserve">      “[E]staban  tremendamente  angustiados;  estaban  en  shock;   estaban</w:t>
        <w:br/>
        <w:t xml:space="preserve">      desorientados”.  De hecho, estuvo en contacto con muchos que no podían</w:t>
        <w:br/>
        <w:t xml:space="preserve">      hablar en absoluto.  No sólo estaban traumatizados, sino que  a  veces</w:t>
        <w:br/>
        <w:t xml:space="preserve">      estaban físicamente exhaustos por haber corrido  durante  días  en  el</w:t>
        <w:br/>
        <w:t xml:space="preserve">      bosque.</w:t>
        <w:br/>
        <w:br/>
        <w:br/>
        <w:t xml:space="preserve">      Finalmente, el perito explicó que el sistema  N’djuka  tradicional  de</w:t>
        <w:br/>
        <w:t xml:space="preserve">      derecho  consuetudinario  contempla  varias  medidas   para   remediar</w:t>
        <w:br/>
        <w:t xml:space="preserve">      ofensas, tales como disculpas públicas y ceremonias, por  un  lado,  y</w:t>
        <w:br/>
        <w:t xml:space="preserve">      compensación  material,  por  el  otro.   Un  esquema   apropiado   de</w:t>
        <w:br/>
        <w:t xml:space="preserve">      reparaciones en este caso requeriría llegar a un acuerdo satisfactorio</w:t>
        <w:br/>
        <w:t xml:space="preserve">      para el pueblo N’djuka; esto es, que se provea medidas de  conformidad</w:t>
        <w:br/>
        <w:t xml:space="preserve">      con sus propias normas consuetudinarias y  tradiciones.   Ciertamente,</w:t>
        <w:br/>
        <w:t xml:space="preserve">      sería extremadamente importante que el Estado creara  las  condiciones</w:t>
        <w:br/>
        <w:t xml:space="preserve">      para garantizar su regreso seguro a Moiwana.  Para lograr el  regreso,</w:t>
        <w:br/>
        <w:t xml:space="preserve">      sin embargo, el primer paso crítico sería  una  investigación  de  los</w:t>
        <w:br/>
        <w:t xml:space="preserve">      hechos ocurridos el 29  de  noviembre  de  1986.   Los  sobrevivientes</w:t>
        <w:br/>
        <w:t xml:space="preserve">      necesitan saber  por  qué  ocurrieron  las  muertes  y  cómo  se  hará</w:t>
        <w:br/>
        <w:t xml:space="preserve">      responsables a los perpetradores de ellas.</w:t>
        <w:br/>
        <w:br/>
        <w:t xml:space="preserve">                         C) VALORACIÓN DE LA PRUEBA</w:t>
        <w:br/>
        <w:br/>
        <w:t>Prueba Documental</w:t>
        <w:br/>
        <w:br/>
        <w:t>81.   En este caso, como en otros[12], la Corte admite el  valor  probatorio</w:t>
        <w:br/>
        <w:t>de los documentos presentados en la  debida  oportunidad  procesal  por  las</w:t>
        <w:br/>
        <w:t>partes, de conformidad con el artículo 44  del  Reglamento,  o  como  prueba</w:t>
        <w:br/>
        <w:t>para mejor resolver solicitada por la Corte, de conformidad con el  artículo</w:t>
        <w:br/>
        <w:t>45 del Reglamento, cuya autenticidad no fue objetada ni puesta en duda.</w:t>
        <w:br/>
        <w:br/>
        <w:t>82.   En relación con el affidávit rendido por el señor  Thomas  S.  Polimé,</w:t>
        <w:br/>
        <w:t>perito propuesto por la Comisión (supra párr. 79), la Corte  lo  admite,  en</w:t>
        <w:br/>
        <w:t>cuanto concuerde con el objeto que fue definido  en  la  Resolución  emitida</w:t>
        <w:br/>
        <w:t>por el Presidente el 5 de agosto de 2004.</w:t>
        <w:br/>
        <w:br/>
        <w:t>83.   El Estado alegó que “varios de los anexos presentados por la  Comisión</w:t>
        <w:br/>
        <w:t>son irrelevantes en el presente caso”, y señaló que  la  competencia  de  la</w:t>
        <w:br/>
        <w:t>Corte “no comprende los asuntos” presentados  en  dichos  anexos.   Suriname</w:t>
        <w:br/>
        <w:t>citó como ejemplo el anexo 29 de la demanda, pero no  identificó  plenamente</w:t>
        <w:br/>
        <w:t>cuáles eran los anexos que objetaba.  En relación con este punto,  la  Corte</w:t>
        <w:br/>
        <w:t>reitera lo señalado en las “Consideraciones Previas” en el párrafo 70 de  la</w:t>
        <w:br/>
        <w:t>presente Sentencia; es decir,  el  Tribunal  ha  tomado  en  cuenta  ciertos</w:t>
        <w:br/>
        <w:t>hechos que ocurrieron antes del  reconocimiento  de  la  competencia  de  la</w:t>
        <w:br/>
        <w:t>Corte por parte del Estado.  Esto tiene el propósito sólo de  contextualizar</w:t>
        <w:br/>
        <w:t>adecuadamente las  violaciones  alegadas  en  relación  con  las  cuales  el</w:t>
        <w:br/>
        <w:t>Tribunal sí tiene competencia.</w:t>
        <w:br/>
        <w:br/>
        <w:t>Prueba testimonial y pericial</w:t>
        <w:br/>
        <w:br/>
        <w:t>84.   En relación con la declaración rendida por algunas  de  las  presuntas</w:t>
        <w:br/>
        <w:t>víctimas (supra  párrs.  80.b  a  80.d),  la  Corte  las  admite  en  cuanto</w:t>
        <w:br/>
        <w:t>concuerden con el objeto definido en las las Resoluciones  emitidas  por  el</w:t>
        <w:br/>
        <w:t>Presidente los días 5 y 23 de agosto de 2004 (supra párrs.  18  y  19).   En</w:t>
        <w:br/>
        <w:t>este sentido, por tratarse de presuntas víctimas y tener un interés  directo</w:t>
        <w:br/>
        <w:t>en este caso, sus manifestaciones  no  pueden  ser  valoradas  aisladamente,</w:t>
        <w:br/>
        <w:t>sino dentro del conjunto de las pruebas del proceso.  Como  ya  ha  señalado</w:t>
        <w:br/>
        <w:t>esta Corte, las declaraciones de las presuntas víctimas  son  útiles  en  la</w:t>
        <w:br/>
        <w:t>medida en que pueden  proporcionar  mayor  información  sobre  las  alegadas</w:t>
        <w:br/>
        <w:t>violaciones que pudieren haber sido perpetradas y sus consecuencias[13].</w:t>
        <w:br/>
        <w:br/>
        <w:t>85.   En relación con las  declaraciones  testimonial  y  pericial  rendidas</w:t>
        <w:br/>
        <w:t>durante la audiencia pública (supra párr. 80.a y 80.e), la Corte las  admite</w:t>
        <w:br/>
        <w:t>en cuanto concuerden con el objeto que  fue  definido  en  las  Resoluciones</w:t>
        <w:br/>
        <w:t>emitidas por el Presidente los días 5 y 23 de agosto de 2004.</w:t>
        <w:br/>
        <w:br/>
        <w:br/>
        <w:br/>
        <w:br/>
        <w:br/>
        <w:br/>
        <w:t xml:space="preserve">                                    VIII</w:t>
        <w:br/>
        <w:t xml:space="preserve">                               Hechos Probados</w:t>
        <w:br/>
        <w:br/>
        <w:t>86.   Efectuado el examen  de  los  documentos,  las  declaraciones  de  los</w:t>
        <w:br/>
        <w:t>testigos y los dictámenes de los peritos, así como  de  las  manifestaciones</w:t>
        <w:br/>
        <w:t>de la Comisión, los representantes y el Estado  en  el  curso  del  presente</w:t>
        <w:br/>
        <w:t>proceso, la Corte considera probados los siguientes hechos:</w:t>
        <w:br/>
        <w:br/>
        <w:t>La sociedad N’djuka de Suriname</w:t>
        <w:br/>
        <w:br/>
        <w:t xml:space="preserve">      a.  Introducción</w:t>
        <w:br/>
        <w:br/>
        <w:t>86.1. En el Siglo XVII,  durante  la  colonización  europea  del  territorio</w:t>
        <w:br/>
        <w:t>actual de  Suriname,  se  llevó  forzadamente  a  esta  región  a  numerosas</w:t>
        <w:br/>
        <w:t>personas originarias de África que fueron puestas a trabajar  como  esclavos</w:t>
        <w:br/>
        <w:t>en las plantaciones.  Muchas de ellas,  sin  embargo,  lograron  escapar  al</w:t>
        <w:br/>
        <w:t>bosque lluvioso en la parte oriental  de  lo  que  hoy  es  Suriname,  donde</w:t>
        <w:br/>
        <w:t>establecieron comunidades nuevas y autónomas; estas personas llegaron a  ser</w:t>
        <w:br/>
        <w:t>conocidas como Bush Negroes  o  Maroons.   Posteriormente,  emergieron  seis</w:t>
        <w:br/>
        <w:t>diferentes grupos de Maroons: N’djuka, Matawai, Saramaka, Kwinti, Paamaka  y</w:t>
        <w:br/>
        <w:t>Boni o Aluku[14].</w:t>
        <w:br/>
        <w:br/>
        <w:t>86.2. Estas seis comunidades negociaron individualmente tratados de paz  con</w:t>
        <w:br/>
        <w:t>las autoridades coloniales.  En 1760 el pueblo N’djuka firmó un tratado  que</w:t>
        <w:br/>
        <w:t>dispuso su liberación de la esclavitud, un siglo antes de que la  esclavitud</w:t>
        <w:br/>
        <w:t>fuera abolida en  la  región.   En  1837  este  tratado  fue  renovado;  los</w:t>
        <w:br/>
        <w:t>términos del acuerdo permitían a los  N’djuka  continuar  residiendo  en  el</w:t>
        <w:br/>
        <w:t>territorio donde se habían establecido y determinaron  los  límites  de  ese</w:t>
        <w:br/>
        <w:t>área.  Los Maroons en general – y los N’djuka  en  particular  –  consideran</w:t>
        <w:br/>
        <w:t>dichos tratados aún válidos y con autoridad respecto de su relación  con  el</w:t>
        <w:br/>
        <w:t>Estado, a pesar de  que  Suriname  logró  su  independencia  de  Holanda  en</w:t>
        <w:br/>
        <w:t>1975[15].</w:t>
        <w:br/>
        <w:br/>
        <w:t>86.3.  La  comunidad  N’djuka,   la   cual   consta   de   49,000   miembros</w:t>
        <w:br/>
        <w:t>aproximadamente, está organizada en clanes que se  encuentran  dispersos  en</w:t>
        <w:br/>
        <w:t>varias aldeas  dentro  del  territorio  tradicional  de  la  comunidad.   El</w:t>
        <w:br/>
        <w:t>sistema de  filiación  matrilineal  sirve  como  principio  de  organización</w:t>
        <w:br/>
        <w:t>básico de la sociedad e influye en cada  aspecto  de  la  vida:  relaciones,</w:t>
        <w:br/>
        <w:t>patrones de asentamiento, tenencia de la tierra y división de las  funciones</w:t>
        <w:br/>
        <w:t>políticas y religiosas.  Las posiciones de  liderazgo,  incluyendo  las  del</w:t>
        <w:br/>
        <w:t>jefe supremo, el Gaanman, se heredan por línea materna[16].</w:t>
        <w:br/>
        <w:br/>
        <w:t>86.4. Los N’djuka son  diferentes  de  otros  pueblos  Maroon  de  Suriname:</w:t>
        <w:br/>
        <w:t>tienen su propio idioma  e  historia,  así  como  tradiciones  culturales  y</w:t>
        <w:br/>
        <w:t>religiosas.  Asimismo, las otras poblaciones Maroon y la comunidad  indígena</w:t>
        <w:br/>
        <w:t>de  la  región,  los  amerindios,  respetan  los  límites  de  las   tierras</w:t>
        <w:br/>
        <w:t>tradicionales N’djuka, las cuales se  extienden  a  lo  largo  de  los  Ríos</w:t>
        <w:br/>
        <w:t>Tapanahoni y Cottica[17].</w:t>
        <w:br/>
        <w:br/>
        <w:t>86.5. A pesar  de  que  a  los  miembros  individuales  de  las  comunidades</w:t>
        <w:br/>
        <w:t>indígenas y tribales se les reconoce como personas  en  la  Constitución  de</w:t>
        <w:br/>
        <w:t>Suriname, el ordenamiento jurídico del Estado no reconoce tales  comunidades</w:t>
        <w:br/>
        <w:t>como  entidades  jurídicas[18].   Igualmente,  la  legislación  nacional  no</w:t>
        <w:br/>
        <w:t>establece derechos colectivos a la propiedad[19].</w:t>
        <w:br/>
        <w:br/>
        <w:br/>
        <w:t xml:space="preserve">      b.  Aspectos pertinentes de la cultura N’djuka para el presente caso</w:t>
        <w:br/>
        <w:br/>
        <w:t>86.6. La relación de la comunidad N’djuka con su tierra  tradicional  es  de</w:t>
        <w:br/>
        <w:t>vital importancia espiritual, cultural y  material.   Para  que  la  cultura</w:t>
        <w:br/>
        <w:t>mantenga su integridad e identidad,  los  miembros  de  la  comunidad  deben</w:t>
        <w:br/>
        <w:t>tener acceso a su tierra  de  origen.   Los  derechos  a  la  tierra  en  la</w:t>
        <w:br/>
        <w:t>sociedad N’djuka existen en varios niveles, y van desde los derechos  de  la</w:t>
        <w:br/>
        <w:t>comunidad entera hasta los del individuo.  Los  derechos  territoriales  más</w:t>
        <w:br/>
        <w:t>amplios están depositados en todo el pueblo,  según  la  costumbre  N’djuka;</w:t>
        <w:br/>
        <w:t>los miembros de la comunidad consideran que dichos derechos son perpetuos  e</w:t>
        <w:br/>
        <w:t>inalienables[20].</w:t>
        <w:br/>
        <w:br/>
        <w:t>86.7. Los N’djuka tienen  rituales  específicos  que  se  deben  seguir  con</w:t>
        <w:br/>
        <w:t>precisión ante la muerte de un miembro de la comunidad.   Se  debe  realizar</w:t>
        <w:br/>
        <w:t>una serie de ceremonias religiosas, cuyo desarrollo abarca entre seis  meses</w:t>
        <w:br/>
        <w:t>y un año; dichos rituales exigen la participación  de  más  miembros  de  la</w:t>
        <w:br/>
        <w:t>comunidad y el uso de más recursos que cualquier otro evento  ceremonial  de</w:t>
        <w:br/>
        <w:t>la sociedad N’djuka[21].</w:t>
        <w:br/>
        <w:br/>
        <w:t>86.8. Es extremadamente importante tener la posesión de los restos  mortales</w:t>
        <w:br/>
        <w:t>del fallecido, ya que el cadáver debe ser tratado de  una  forma  específica</w:t>
        <w:br/>
        <w:t>durante los rituales mortuorios N’djuka y debe ser colocado en el  sitio  de</w:t>
        <w:br/>
        <w:t>sepultura  del  grupo  familiar  apropiado.   Sólo  aquellos  que  han  sido</w:t>
        <w:br/>
        <w:t>considerados malvados no reciben un entierro honorable.  Asimismo, en  todas</w:t>
        <w:br/>
        <w:t>las sociedades Maroon la cremación se considera muy ofensiva[22].</w:t>
        <w:br/>
        <w:br/>
        <w:t>86.9. Si no se efectúan los diferentes rituales mortuorios  de  acuerdo  con</w:t>
        <w:br/>
        <w:t>la tradición N’djuka, esto es considerado una transgresión  moral,  la  cual</w:t>
        <w:br/>
        <w:t>no sólo provoca el enojo del espíritu de quien falleció, sino también  puede</w:t>
        <w:br/>
        <w:t>ofender a otros ancestros fallecidos de la  comunidad.   Lo  anterior  tiene</w:t>
        <w:br/>
        <w:t>como consecuencia una serie de  “enfermedades  de  origen  espiritual”,  las</w:t>
        <w:br/>
        <w:t>cuales  se  manifiestan  como  enfermedades   físicas   reales   y   pueden,</w:t>
        <w:br/>
        <w:t>potencialmente, afectar el linaje  completo.   Los  N’djuka  consideran  que</w:t>
        <w:br/>
        <w:t>dichas enfermedades no se curan espontáneamente, sino que se deben  resolver</w:t>
        <w:br/>
        <w:t>a través  de  medios  culturales  y  ceremoniales;  si  no  fuera  así,  las</w:t>
        <w:br/>
        <w:t>consecuencias negativas persistirían por generaciones[23].</w:t>
        <w:br/>
        <w:br/>
        <w:t>86.10.       La justicia  y  la  responsabilidad  colectiva  son  principios</w:t>
        <w:br/>
        <w:t>centrales dentro de la sociedad N’djuka.  Si se causa un daño a  un  miembro</w:t>
        <w:br/>
        <w:t>de la comunidad, los familiares –  que  serían  todos  los  miembros  de  su</w:t>
        <w:br/>
        <w:t>linaje materno – están obligados a vengar la ofensa  cometida.   Si  alguien</w:t>
        <w:br/>
        <w:t>mata a un familiar, los N’djuka  creen  que  su  espíritu  será  incapaz  de</w:t>
        <w:br/>
        <w:t>descansar hasta que se haga justicia.  Mientras la ofensa esté sin  castigo,</w:t>
        <w:br/>
        <w:t>los  espíritus  enfurecidos  de  los  fallecidos  pueden  atormentar  a  sus</w:t>
        <w:br/>
        <w:t>familiares vivos[24].</w:t>
        <w:br/>
        <w:br/>
        <w:t xml:space="preserve">      c.  El asentamiento de la aldea de Moiwana</w:t>
        <w:br/>
        <w:br/>
        <w:t>86.11.      La aldea de Moiwana fue fundada por clanes N’djuka a  fines  del</w:t>
        <w:br/>
        <w:t>siglo XIX.   En  1986,  los  diez  campamentos  que  formaban  la  aldea  se</w:t>
        <w:br/>
        <w:t>extendían  en  aproximadamente  cuatro  kilómetros  de  la  carretera  entre</w:t>
        <w:br/>
        <w:t>Paramaribo y Albina  en  la  parte  oriental  de  Suriname.   El  territorio</w:t>
        <w:br/>
        <w:t>tradicional de caza, agricultura y pesca de la  comunidad  abarcaba  decenas</w:t>
        <w:br/>
        <w:t>de kilómetros hacia el bosque, a ambos lados de la referida carretera[25].</w:t>
        <w:br/>
        <w:br/>
        <w:t>Conflicto interno en Suriname</w:t>
        <w:br/>
        <w:br/>
        <w:t xml:space="preserve">      a.  Introducción</w:t>
        <w:br/>
        <w:br/>
        <w:t>86.12.      El 25 de febrero de 1980  Desire  Bouterse  lideró  un  violento</w:t>
        <w:br/>
        <w:t>golpe de Estado  en  contra  del  recién  formado  gobierno  democrático  de</w:t>
        <w:br/>
        <w:t>Suriname  y  estableció  un  régimen  militar  que  cometió  violaciones  de</w:t>
        <w:br/>
        <w:t>derechos  humanos  graves  y  sistemáticas.   En  1986  una  fuerza   armada</w:t>
        <w:br/>
        <w:t>opositora conocida como el Jungle Commando (“Comando de la Jungla”)  comenzó</w:t>
        <w:br/>
        <w:t>a operar en la parte oriental del país, atacando instalaciones militares  en</w:t>
        <w:br/>
        <w:t>el área.  Numerosos miembros del Jungle  Commando  –  incluyendo  su  líder,</w:t>
        <w:br/>
        <w:t>Ronnie Brunswijk – eran Maroon[26].</w:t>
        <w:br/>
        <w:br/>
        <w:t>86.13.      Ese mismo año, el ejército nacional respondió a  las  agresiones</w:t>
        <w:br/>
        <w:t>del Jungle Commando mediante la realización de  amplias  acciones  militares</w:t>
        <w:br/>
        <w:t>en la región oriental de Suriname.  Desde 1986  hasta  1987,  por  lo  menos</w:t>
        <w:br/>
        <w:t>doscientos de civiles murieron  durante  dichas  operaciones  militares;  la</w:t>
        <w:br/>
        <w:t>mayoría de estas víctimas eran habitantes Maroon[27].  Durante  el  referido</w:t>
        <w:br/>
        <w:t>período, aproximadamente 15,000 personas huyeron de la zona de combate a  la</w:t>
        <w:br/>
        <w:t>ciudad capital, Paramaribo, y otras 8,500 escaparon a  la  Guyana  Francesa.</w:t>
        <w:br/>
        <w:t>A pesar de que aproximadamente 1,000  amerindios  huyeron  de  la  zona,  la</w:t>
        <w:br/>
        <w:t>mayoría de los desplazados eran Maroons, quienes  representaban  más  de  un</w:t>
        <w:br/>
        <w:t>tercio de la población total de dicho grupo étnico[28].</w:t>
        <w:br/>
        <w:br/>
        <w:t>86.14.      Suriname volvió  a  tener  un  gobierno  civil  después  de  las</w:t>
        <w:br/>
        <w:t>elecciones de noviembre de 1987;  sin  embargo,  los  militares  tomaron  el</w:t>
        <w:br/>
        <w:t>poder en el país, una vez más, en diciembre de 1990.   A  pesar  de  que  el</w:t>
        <w:br/>
        <w:t>Estado celebró elecciones  democráticas  al  siguiente  año,  los  militares</w:t>
        <w:br/>
        <w:t>continuaron ejerciendo una influencia sustancial sobre la sociedad  nacional</w:t>
        <w:br/>
        <w:t>durante esa década[29].</w:t>
        <w:br/>
        <w:br/>
        <w:br/>
        <w:t xml:space="preserve">      b.  El ataque de 1986 sobre la aldea de Moiwana y sus consecuencias</w:t>
        <w:br/>
        <w:br/>
        <w:t>86.15.      El 29 de noviembre de 1986 se efectuó una operación  militar  en</w:t>
        <w:br/>
        <w:t>la aldea de Moiwana.  Agentes del Estado  y  sus  colaboradores  mataron  al</w:t>
        <w:br/>
        <w:t>menos a 39 miembros indefensos de  la  comunidad,  entre  los  cuales  había</w:t>
        <w:br/>
        <w:t>niños, mujeres y ancianos, e  hirieron  a  otros.   Asimismo,  la  operación</w:t>
        <w:br/>
        <w:t>quemó y destruyó la propiedad de la comunidad, y forzó a los  sobrevivientes</w:t>
        <w:br/>
        <w:t>a huir[30].</w:t>
        <w:br/>
        <w:br/>
        <w:t>86.16.      Los siguientes miembros de  la  comunidad  murieron  durante  el</w:t>
        <w:br/>
        <w:t>ataque de 29 de noviembre de 1986:</w:t>
        <w:br/>
        <w:br/>
        <w:br/>
        <w:t>|1  |Celita Ajintoena                          |</w:t>
        <w:br/>
        <w:t>|2  |Cherita Ajintoena                         |</w:t>
        <w:br/>
        <w:t>|3  |Eric (Manpi) Ajintoena                    |</w:t>
        <w:br/>
        <w:t>|4  |Iwan Ajintoena                            |</w:t>
        <w:br/>
        <w:t>|5  |Kathleen Ajintoena                        |</w:t>
        <w:br/>
        <w:t>|6  |Magdalena Ajintoena                       |</w:t>
        <w:br/>
        <w:t>|7  |Olga Ajintoena                            |</w:t>
        <w:br/>
        <w:t>|8  |Patrick Ajintoena                         |</w:t>
        <w:br/>
        <w:t>|9  |Sonny Waldo Ajintoena                     |</w:t>
        <w:br/>
        <w:t>|10 |Stefano Ajintoena                         |</w:t>
        <w:br/>
        <w:t>|11 |Albert Apinsa                             |</w:t>
        <w:br/>
        <w:t>|12 |Alice Yvonne Apinsa                       |</w:t>
        <w:br/>
        <w:t>|13 |Jenifer Asaiti                            |</w:t>
        <w:br/>
        <w:t>|14 |Jurgen Asaiti                             |</w:t>
        <w:br/>
        <w:t>|15 |Margo Asaiti                              |</w:t>
        <w:br/>
        <w:t>|16 |Elisabeth Asaitie o Elisabeth Asaiti      |</w:t>
        <w:br/>
        <w:t>|17 |Johan Benjamin                            |</w:t>
        <w:br/>
        <w:t>|18 |Josephine Bron                            |</w:t>
        <w:br/>
        <w:t>|19 |Ma-betoe Bron                             |</w:t>
        <w:br/>
        <w:t>|20 |Steven Bron                               |</w:t>
        <w:br/>
        <w:t>|21 |Dennis Difijon                            |</w:t>
        <w:br/>
        <w:t>|22 |Cequita Dogodoe o Chequita Dogodoe        |</w:t>
        <w:br/>
        <w:t>|23 |Ciska J. Dogodoe                          |</w:t>
        <w:br/>
        <w:t>|24 |Patricia Dogodoe                          |</w:t>
        <w:br/>
        <w:t>|25 |Theresia Dogodoe                          |</w:t>
        <w:br/>
        <w:t>|26 |Irene Kodjo                               |</w:t>
        <w:br/>
        <w:t>|27 |Jurmain Kodjo                             |</w:t>
        <w:br/>
        <w:t>|28 |Marilva Kodjo o Marilwa Kodjo             |</w:t>
        <w:br/>
        <w:t>|29 |Remeo Kodjo                               |</w:t>
        <w:br/>
        <w:t>|30 |Rinia Majkel                              |</w:t>
        <w:br/>
        <w:t>|31 |Babaja Mijnals                            |</w:t>
        <w:br/>
        <w:t>|32 |Betsie Misidjan                           |</w:t>
        <w:br/>
        <w:t>|33 |Difienjo Misidjan o Difinjo Misdjan       |</w:t>
        <w:br/>
        <w:t>|34 |Iries Misidjan                            |</w:t>
        <w:br/>
        <w:t>|35 |Judith Misidjan                           |</w:t>
        <w:br/>
        <w:t>|36 |Mado Misidjan o Nanalibie Sadow Misdjan   |</w:t>
        <w:br/>
        <w:t>|37 |Ottolina M. Misidjan                      |</w:t>
        <w:br/>
        <w:t>|38 |Sajobegi Misidjan                         |</w:t>
        <w:br/>
        <w:t>|39 |Sylvano Misidjan                          |</w:t>
        <w:br/>
        <w:br/>
        <w:br/>
        <w:t>86.17.      Los  siguientes  miembros  de  la  comunidad  sobrevivieron  los</w:t>
        <w:br/>
        <w:t>hechos del 29 de noviembre de 1986:</w:t>
        <w:br/>
        <w:br/>
        <w:br/>
        <w:t>|1  |Hesdy Adam o Hesdie Adam                  |</w:t>
        <w:br/>
        <w:t>|2  |Johiena Adam                              |</w:t>
        <w:br/>
        <w:t>|3  |Marlene Adam                              |</w:t>
        <w:br/>
        <w:t>|4  |Marlon Adam                               |</w:t>
        <w:br/>
        <w:t>|5  |Petrus Adam                               |</w:t>
        <w:br/>
        <w:t>|6  |Antonius Agemi                            |</w:t>
        <w:br/>
        <w:t>|7  |A. Andro Ajintoena                        |</w:t>
        <w:br/>
        <w:t>|8  |Aboeda Ajintoena                          |</w:t>
        <w:br/>
        <w:t>|9  |Andre Ajintoena                           |</w:t>
        <w:br/>
        <w:t>|10 |Atema Ajintoena                           |</w:t>
        <w:br/>
        <w:t>|11 |Cynthia Ajintoena                         |</w:t>
        <w:br/>
        <w:t>|12 |Doortje Ajintoena                         |</w:t>
        <w:br/>
        <w:t>|13 |Eddy Ajintoena                            |</w:t>
        <w:br/>
        <w:t>|14 |Franklin Ajintoena                        |</w:t>
        <w:br/>
        <w:t>|15 |Gladys Ajintoena                          |</w:t>
        <w:br/>
        <w:t>|16 |Jacoba Ajintoena                          |</w:t>
        <w:br/>
        <w:t>|17 |Juliana Ajintoena                         |</w:t>
        <w:br/>
        <w:t>|18 |Letitia Ajintoena o Lettia Ajintoena      |</w:t>
        <w:br/>
        <w:t>|19 |Maikel Ajintoena                          |</w:t>
        <w:br/>
        <w:t>|20 |Marietje Ajintoena o Maritje Ajintoena    |</w:t>
        <w:br/>
        <w:t>|21 |Maureen Ajintoena                         |</w:t>
        <w:br/>
        <w:t>|22 |Miranda Ajintoena                         |</w:t>
        <w:br/>
        <w:t>|23 |Ottolina Ajintoena                        |</w:t>
        <w:br/>
        <w:t>|24 |P. Joetoe Ajintoena                       |</w:t>
        <w:br/>
        <w:t>|25 |S. Marciano Ajintoena                     |</w:t>
        <w:br/>
        <w:t>|26 |Majo  Ajintoena                           |</w:t>
        <w:br/>
        <w:t>|27 |Miraldo Allawinsi o Miraldo Misidjan      |</w:t>
        <w:br/>
        <w:t>|28 |Richard Allawinsi                         |</w:t>
        <w:br/>
        <w:t>|29 |Roy Allawinsi                             |</w:t>
        <w:br/>
        <w:t>|30 |Alphons Apinsa                            |</w:t>
        <w:br/>
        <w:t>|31 |Anika M. Apinsa                           |</w:t>
        <w:br/>
        <w:t>|32 |Erna Apinsa                               |</w:t>
        <w:br/>
        <w:t>|33 |Gwhen D. Apinsa                           |</w:t>
        <w:br/>
        <w:t>|34 |Meriam Apinsa                             |</w:t>
        <w:br/>
        <w:t>|35 |Sylvia Apinsa                             |</w:t>
        <w:br/>
        <w:t>|36 |Dannie Anna Asaiti                        |</w:t>
        <w:br/>
        <w:t>|37 |Hermine Asaiti                            |</w:t>
        <w:br/>
        <w:t>|38 |Erwien  Awese                             |</w:t>
        <w:br/>
        <w:t>|39 |Cyriel Bane                               |</w:t>
        <w:br/>
        <w:t>|40 |Tjamaniesting Bron                        |</w:t>
        <w:br/>
        <w:t>|41 |Jacqueline Bron o Jacquelina Bron         |</w:t>
        <w:br/>
        <w:t>|42 |Mena Bron                                 |</w:t>
        <w:br/>
        <w:t>|43 |Rosita  Bron                              |</w:t>
        <w:br/>
        <w:t>|44 |Sawe Bron o Sawe Djang Abente Bron        |</w:t>
        <w:br/>
        <w:t>|45 |Rudy Daniel                               |</w:t>
        <w:br/>
        <w:t>|46 |Marlon Difienjo o Michel Difienjo         |</w:t>
        <w:br/>
        <w:t>|47 |Antonia Difienjo                          |</w:t>
        <w:br/>
        <w:t>|48 |Diana Difienjo                            |</w:t>
        <w:br/>
        <w:t>|49 |Martha Difienjo                           |</w:t>
        <w:br/>
        <w:t>|50 |M. Milton Difienjo                        |</w:t>
        <w:br/>
        <w:t>|51 |Patricia Difienjo                         |</w:t>
        <w:br/>
        <w:t>|52 |Petra Difienjo                            |</w:t>
        <w:br/>
        <w:t>|53 |Anelies Djemesie o Annelies Jemessie      |</w:t>
        <w:br/>
        <w:t>|54 |Gladys Djemesie                           |</w:t>
        <w:br/>
        <w:t>|55 |Glenn Djemesie                            |</w:t>
        <w:br/>
        <w:t>|56 |Ligia Djemesie                            |</w:t>
        <w:br/>
        <w:t>|57 |Alfons Dogodoe                            |</w:t>
        <w:br/>
        <w:t>|58 |Benita Dogodoe                            |</w:t>
        <w:br/>
        <w:t>|59 |Benito Dogodoe                            |</w:t>
        <w:br/>
        <w:t>|60 |Cynthia Dogodoe                           |</w:t>
        <w:br/>
        <w:t>|61 |D. Silvana Dogodoe                        |</w:t>
        <w:br/>
        <w:t>|62 |Hellen Dogodoe                            |</w:t>
        <w:br/>
        <w:t>|63 |R. Patrick Dogodoe                        |</w:t>
        <w:br/>
        <w:t>|64 |Richenel Dogodoe                          |</w:t>
        <w:br/>
        <w:t>|65 |S. Claudia Dogodoe                        |</w:t>
        <w:br/>
        <w:t>|66 |Z. Jose Dogodoe                           |</w:t>
        <w:br/>
        <w:t>|67 |Johannes Jajo                             |</w:t>
        <w:br/>
        <w:t>|68 |Cornelly Madzy James                      |</w:t>
        <w:br/>
        <w:t>|69 |Humprey James o Humphrey James            |</w:t>
        <w:br/>
        <w:t>|70 |John James                                |</w:t>
        <w:br/>
        <w:t>|71 |Romeo James                               |</w:t>
        <w:br/>
        <w:t>|72 |Adaja Kagoe                               |</w:t>
        <w:br/>
        <w:t>|73 |Manfika Kamee                             |</w:t>
        <w:br/>
        <w:t>|74 |Johannes Kanape                           |</w:t>
        <w:br/>
        <w:t>|75 |Agwe Kastiel                              |</w:t>
        <w:br/>
        <w:t>|76 |Alexander  Kate                           |</w:t>
        <w:br/>
        <w:t>|77 |Johan  Laurence                           |</w:t>
        <w:br/>
        <w:t>|78 |Martha Makwasie                           |</w:t>
        <w:br/>
        <w:t>|79 |Benito  Martinies                         |</w:t>
        <w:br/>
        <w:t>|80 |Chequita  Martinies                       |</w:t>
        <w:br/>
        <w:t>|81 |Marciano Martinies                        |</w:t>
        <w:br/>
        <w:t>|82 |Petrus Martinies                          |</w:t>
        <w:br/>
        <w:t>|83 |Rodney Martinies                          |</w:t>
        <w:br/>
        <w:t>|84 |S. Ruben  Martinies                       |</w:t>
        <w:br/>
        <w:t>|85 |Rinia  Meenars                            |</w:t>
        <w:br/>
        <w:t>|86 |Andre Misidjan                            |</w:t>
        <w:br/>
        <w:t>|87 |Awena Misidjan                            |</w:t>
        <w:br/>
        <w:t>|88 |Beata Misidjan o Beata Misdjan            |</w:t>
        <w:br/>
        <w:t>|89 |Carla Misidjan                            |</w:t>
        <w:br/>
        <w:t>|90 |Edmundo Misidjan o Edmundo Misdjan        |</w:t>
        <w:br/>
        <w:t>|91 |Jofita Misidjan                           |</w:t>
        <w:br/>
        <w:t>|92 |Ludwig Misidjan                           |</w:t>
        <w:br/>
        <w:t>|93 |Malai Misidjan                            |</w:t>
        <w:br/>
        <w:t>|94 |Marlon M. Misidjan                        |</w:t>
        <w:br/>
        <w:t>|95 |Mitori Misidjan                           |</w:t>
        <w:br/>
        <w:t>|96 |Reguillio Misidjan o Reguillio Misdjan    |</w:t>
        <w:br/>
        <w:t>|97 |Rudy Misidjan                             |</w:t>
        <w:br/>
        <w:t>|98 |Theodorus Misidjan                        |</w:t>
        <w:br/>
        <w:t>|99 |Wilma Misidjan                            |</w:t>
        <w:br/>
        <w:t>|100|Anoje M. Misidjan o Anoje M. Misiedjan    |</w:t>
        <w:br/>
        <w:t>|101|Sandra  Misidjan o Sandra  Misiedjan      |</w:t>
        <w:br/>
        <w:t>|102|Apoer Lobbi Misiedjan o Apoerlobbi        |</w:t>
        <w:br/>
        <w:t>|   |Misidjan                                  |</w:t>
        <w:br/>
        <w:t>|103|Antonius Misiedjan o Misidjan Antonius    |</w:t>
        <w:br/>
        <w:t>|104|John Misiedjan o John Misidjan            |</w:t>
        <w:br/>
        <w:t>|105|Johnny Delano Misiedjan o Johny Delano    |</w:t>
        <w:br/>
        <w:t>|   |Misidjan                                  |</w:t>
        <w:br/>
        <w:t>|106|Sadijeni Moiman                           |</w:t>
        <w:br/>
        <w:t>|107|Jozef Toeli Pinas o Toeli-Jozef Pinas     |</w:t>
        <w:br/>
        <w:t>|108|Leonie Pinas                              |</w:t>
        <w:br/>
        <w:t>|109|Felisie Sate                              |</w:t>
        <w:br/>
        <w:t>|110|Alma O. Sjonko                            |</w:t>
        <w:br/>
        <w:t>|111|Annelies Sjonko o Annalies Sjonko         |</w:t>
        <w:br/>
        <w:t>|112|Cornelia Sjonko                           |</w:t>
        <w:br/>
        <w:t>|113|Inez Sjonko o Aines Sjonko                |</w:t>
        <w:br/>
        <w:t>|114|Jeanette E. Sjonko                        |</w:t>
        <w:br/>
        <w:t>|115|R. Sjonko                                 |</w:t>
        <w:br/>
        <w:t>|116|Carlo Sjonko                              |</w:t>
        <w:br/>
        <w:t>|117|Isabella Sjonko                           |</w:t>
        <w:br/>
        <w:t>|118|Johan Sjonko                              |</w:t>
        <w:br/>
        <w:t>|119|Lothar Sjonko                             |</w:t>
        <w:br/>
        <w:t>|120|Natashia Sjonko                           |</w:t>
        <w:br/>
        <w:t>|121|Nicolien Sjonko                           |</w:t>
        <w:br/>
        <w:t>|122|Pepita M.J. Solega                        |</w:t>
        <w:br/>
        <w:t>|123|Antoon Solega                             |</w:t>
        <w:br/>
        <w:t>|124|A. Dorothy Solega                         |</w:t>
        <w:br/>
        <w:t>|125|H. Roel Solega                            |</w:t>
        <w:br/>
        <w:t>|126|K. Delano Solega                          |</w:t>
        <w:br/>
        <w:t>|127|M. Sellely Solega o M. Seclely Solega     |</w:t>
        <w:br/>
        <w:t>|128|Awese Lina L. Toetoe                      |</w:t>
        <w:br/>
        <w:t>|129|Jozef Toetoe o Jozef Toeboe               |</w:t>
        <w:br/>
        <w:t>|130|Erwin Willemdam                           |</w:t>
        <w:br/>
        <w:br/>
        <w:br/>
        <w:t>86.18.      Varios  residentes  de  la  aldea  escaparon  al  bosque,  donde</w:t>
        <w:br/>
        <w:t>atravesaron difíciles condiciones de todo  tipo,  y  llegaron  a  campos  de</w:t>
        <w:br/>
        <w:t>refugiados en la Guyana Francesa.  Otros  fueron  desplazados  internamente:</w:t>
        <w:br/>
        <w:t>algunos huyeron a ciudades más grandes en el interior de Suriname,  y  otros</w:t>
        <w:br/>
        <w:t>a la capital, Paramaribo.  Dichos desplazados, tanto en la  Guyana  Francesa</w:t>
        <w:br/>
        <w:t>como en Suriname, han sufrido condiciones de pobreza y  privación  desde  su</w:t>
        <w:br/>
        <w:t>huida de  la  aldea  de  Moiwana  y  no  han  podido  practicar  sus  medios</w:t>
        <w:br/>
        <w:t>tradicionales de subsistencia[31].</w:t>
        <w:br/>
        <w:br/>
        <w:t>86.19.      La aldea de Moiwana y  sus  tierras  tradicionales  circundantes</w:t>
        <w:br/>
        <w:t>han quedado abandonadas desde el ataque de 1986.   Algunos  miembros  de  la</w:t>
        <w:br/>
        <w:t>comunidad han visitado el área posteriormente, sin la intención de  quedarse</w:t>
        <w:br/>
        <w:t>permanentemente (infra párr. 86.43)[32].</w:t>
        <w:br/>
        <w:br/>
        <w:t>86.20.      A los miembros de la comunidad les ha sido  imposible  recuperar</w:t>
        <w:br/>
        <w:t>los  restos  de  sus  familiares  que  murieron  durante   el   ataque;   en</w:t>
        <w:br/>
        <w:t>consecuencia, han sido incapaces de proveer los ritos mortuorios  apropiados</w:t>
        <w:br/>
        <w:t>requeridos por los principios fundamentales de  la  cultura  N’djuka  (supra</w:t>
        <w:br/>
        <w:t>párrs. 86.7 a 86.9)[33].</w:t>
        <w:br/>
        <w:br/>
        <w:t xml:space="preserve">      c.  Refugiados surinameses en la Guyana Francesa</w:t>
        <w:br/>
        <w:br/>
        <w:t>86.21.      En 1991 se hicieron arreglos –  a  través  del  apoyo  del  Alto</w:t>
        <w:br/>
        <w:t>Comisionado de Naciones Unidas para los Refugiados (en adelante  “ACNUR”)  –</w:t>
        <w:br/>
        <w:t>para que los miles de refugiados  surinameses,  la  gran  mayoría  de  ellos</w:t>
        <w:br/>
        <w:t>Maroons, participaran en  las  elecciones  nacionales;  sin  embargo,  pocos</w:t>
        <w:br/>
        <w:t>Maroons participaron[34].</w:t>
        <w:br/>
        <w:br/>
        <w:t>86.22.      También en  1991  los  refugiados  surinameses  presentaron  sus</w:t>
        <w:br/>
        <w:t>condiciones  para   ser   repatriados   a   una   comisión   compuesta   por</w:t>
        <w:br/>
        <w:t>representantes del ACNUR y de los gobiernos  de  Suriname  y  de  la  Guyana</w:t>
        <w:br/>
        <w:t>Francesa, que nunca fueron cumplidas por la referida comisión. En  ellas  se</w:t>
        <w:br/>
        <w:t>solicitaba  a  Suriname  que  proveyera  seguridad  y  libertad,  así   como</w:t>
        <w:br/>
        <w:t>garantías de que los responsables por las  muertes  de  civiles  durante  el</w:t>
        <w:br/>
        <w:t>conflicto interno serían investigados y juzgados[35].</w:t>
        <w:br/>
        <w:br/>
        <w:t>86.23.      Cuando los campos oficiales de refugiados en la Guyana  Francesa</w:t>
        <w:br/>
        <w:t>fueron clausurados en 1992, el gobierno francés permitió a una parte  de  la</w:t>
        <w:br/>
        <w:t>población que se quedara.  La gran mayoría de los integrantes de  ese  grupo</w:t>
        <w:br/>
        <w:t>eran miembros  de  la  comunidad  que  habían  vivido  en  Moiwana,  quienes</w:t>
        <w:br/>
        <w:t>rehusaban regresar a Suriname sin garantías para su seguridad.  El  gobierno</w:t>
        <w:br/>
        <w:t>francés otorgó a dichas personas permisos renovables para permanecer  en  la</w:t>
        <w:br/>
        <w:t>Guyana Francesa; en 1997 se les suministró permisos de residencia  de  cinco</w:t>
        <w:br/>
        <w:t>y diez años[36]</w:t>
        <w:br/>
        <w:br/>
        <w:t>86.24.      En 1993 algunos de los miembros de  la  comunidad  regresaron  a</w:t>
        <w:br/>
        <w:t>Suriname, y fueron ubicados en lo que estaba diseñado para ser un centro  de</w:t>
        <w:br/>
        <w:t>recepción temporal en Moengo.   Muchos  permanecen  en  el  referido  centro</w:t>
        <w:br/>
        <w:t>hasta el día de hoy, ya que no se les ha provisto  ninguna  alternativa  más</w:t>
        <w:br/>
        <w:t>apropiada[37].</w:t>
        <w:br/>
        <w:br/>
        <w:t>Investigación del ataque de 1986 sobre la aldea de Moiwana</w:t>
        <w:br/>
        <w:br/>
        <w:t xml:space="preserve">      a.  Esfuerzos oficiales</w:t>
        <w:br/>
        <w:br/>
        <w:t>86.25.      La policía civil inició en 1989 una investigación de los  hechos</w:t>
        <w:br/>
        <w:t>del 29 de noviembre de 1986 en la aldea de Moiwana, más de dos años  después</w:t>
        <w:br/>
        <w:t>del ataque y más de un año después  de  la  ratificación  de  la  Convención</w:t>
        <w:br/>
        <w:t>Americana por parte del Estado.  Durante los meses de marzo y abril de  1989</w:t>
        <w:br/>
        <w:t>el  inspector  Herman  Gooding,  quien  se  encontraba  a  cargo  de   dicha</w:t>
        <w:br/>
        <w:t>investigación, interrogó a varios sospechosos y arrestó por lo menos  a  dos</w:t>
        <w:br/>
        <w:t>personas, Frits Moesel y Orlando Swedo[38].   Los  señores  Moesel  y  Swedo</w:t>
        <w:br/>
        <w:t>declararon ante la policía que habían  recibido  entrenamiento  y  armamento</w:t>
        <w:br/>
        <w:t>del ejército nacional del Estado y que posteriormente habían participado  en</w:t>
        <w:br/>
        <w:t>los hechos del 29 de noviembre de 1986[39].</w:t>
        <w:br/>
        <w:br/>
        <w:t>86.26.      Poco tiempo después de que el señor Swedo quedara  sujeto  a  la</w:t>
        <w:br/>
        <w:t>custodia estatal, un contingente armado de la policía militar se presentó  a</w:t>
        <w:br/>
        <w:t>la estación de policía civil y obtuvo su liberación de manera forzada[40].</w:t>
        <w:br/>
        <w:br/>
        <w:t>86.27.      El  señor  Swedo  fue  llevado  al  cuartel  militar,  donde  el</w:t>
        <w:br/>
        <w:t>Comandante del Ejército Bouterse había convocado a  una  reunión.   Ahí,  el</w:t>
        <w:br/>
        <w:t>señor Bouterse emitió una declaración para la prensa, en  la  cual  confirmó</w:t>
        <w:br/>
        <w:t>lo siguiente: a) que la operación en la aldea  de  Moiwana  fue  una  acción</w:t>
        <w:br/>
        <w:t>militar que él mismo había ordenado; b) que no  permitiría  que  la  policía</w:t>
        <w:br/>
        <w:t>civil investigara  operaciones  militares;  y  c)  que  había  requerido  la</w:t>
        <w:br/>
        <w:t>liberación del señor Swedo[41].</w:t>
        <w:br/>
        <w:br/>
        <w:t>86.28.      El 4 de agosto de 1990  el  inspector  Gooding  fue  víctima  de</w:t>
        <w:br/>
        <w:t>homicidio después de su reunión con el  Comandante  Adjunto  de  la  policía</w:t>
        <w:br/>
        <w:t>militar.  Su muerte no ha sido investigada de manera adecuada[42].</w:t>
        <w:br/>
        <w:br/>
        <w:t>86.29.      Algunos de los investigadores policiales que colaboraron con  el</w:t>
        <w:br/>
        <w:t>inspector Gooding se enfrentaron a circunstancias que ponían en  peligro  su</w:t>
        <w:br/>
        <w:t>vida y, en consecuencia, huyeron de Suriname[43].</w:t>
        <w:br/>
        <w:br/>
        <w:t>86.30.      El 10 de diciembre de 1993 el señor Frits Moesel –  quien  había</w:t>
        <w:br/>
        <w:t>confesado a la policía que había liderado el ataque en la aldea  de  Moiwana</w:t>
        <w:br/>
        <w:t>– murió, presuntamente a causa de un accidente de caza[44].</w:t>
        <w:br/>
        <w:br/>
        <w:t>86.31.      El 22 de  mayo  de  1993,  Moiwana  ’86,  una  organización  que</w:t>
        <w:br/>
        <w:t>representa a las presuntas víctimas en el presente caso (supra  párrs.  2  y</w:t>
        <w:br/>
        <w:t>5), descubrió una fosa común cerca de la aldea de Moiwana,  en  el  distrito</w:t>
        <w:br/>
        <w:t>de Marowijne, y dos días después informó sobre esto a la Oficina del  Fiscal</w:t>
        <w:br/>
        <w:t>General.  El sitio de la fosa fue visitado en dos ocasiones – 29 de  mayo  y</w:t>
        <w:br/>
        <w:t>9 de junio de 1993 – por la policía militar y civil, un patólogo  y  Moiwana</w:t>
        <w:br/>
        <w:t>’86.  El equipo desenterró restos humanos,  los  cuales  fueron  llevados  a</w:t>
        <w:br/>
        <w:t>Paramaribo  para  mayores   análisis.    Posteriormente,   las   autoridades</w:t>
        <w:br/>
        <w:t>estatales informaron solamente que los restos correspondían a entre cinco  y</w:t>
        <w:br/>
        <w:t>siete adultos y entre dos y tres niños; el Estado  no  ha  identificado  los</w:t>
        <w:br/>
        <w:t>cadáveres ni ha suministrado más información sobre el sitio de la  fosa[45].</w:t>
        <w:br/>
        <w:br/>
        <w:br/>
        <w:t>86.32.      El 19 de diciembre de 1995  la  Asamblea  Nacional  de  Suriname</w:t>
        <w:br/>
        <w:t>adoptó una moción solicitando al Poder Ejecutivo “iniciar una  investigación</w:t>
        <w:br/>
        <w:t>inmediata” sobre las violaciones de derechos humanos  cometidas  durante  el</w:t>
        <w:br/>
        <w:t>régimen militar[46].</w:t>
        <w:br/>
        <w:br/>
        <w:t>86.33.      A  la  fecha  de  la  presente  Sentencia,  el  Estado  sólo  ha</w:t>
        <w:br/>
        <w:t>realizado las investigaciones descritas anteriormente, por lo  que  no  sólo</w:t>
        <w:br/>
        <w:t>han quedado sin investigar adecuadamente los hechos del 29 de  noviembre  de</w:t>
        <w:br/>
        <w:t>1986, sino también los numerosos  incidentes  de  obstrucción  de  justicia,</w:t>
        <w:br/>
        <w:t>incluyendo la liberación por medio de  la  fuerza  del  señor  Swedo  (supra</w:t>
        <w:br/>
        <w:t>párr. 86.26), así como la muerte del inspector Gooding (supra párr.  86.28).</w:t>
        <w:br/>
        <w:t xml:space="preserve"> Así, ninguna persona ha sido juzgada por el ataque y  los  miembros  de  la</w:t>
        <w:br/>
        <w:t>comunidad no han recibido ninguna forma de reparación  por  las  muertes  ni</w:t>
        <w:br/>
        <w:t>por haber sido expulsados de sus tierras tradicionales[47].</w:t>
        <w:br/>
        <w:br/>
        <w:br/>
        <w:t xml:space="preserve">      b.  Esfuerzos de las presuntas víctimas</w:t>
        <w:br/>
        <w:br/>
        <w:t>86.34.       Las  presuntas  víctimas   y   las   organizaciones   que   las</w:t>
        <w:br/>
        <w:t>representan,  Moiwana  ’86  y  la   Association   Moiwana,   han   impulsado</w:t>
        <w:br/>
        <w:t>repetidamente una investigación  penal  sobre  el  ataque  en  la  aldea  de</w:t>
        <w:br/>
        <w:t>Moiwana.  Por ejemplo, el 24 de mayo de 1993 Moiwana ’86  informó  sobre  el</w:t>
        <w:br/>
        <w:t>descubrimiento de la fosa común  (supra  párr.  86.31)  y  solicitó  que  se</w:t>
        <w:br/>
        <w:t>llevará a cabo, con urgencia, una investigación  del  ataque,  así  como  el</w:t>
        <w:br/>
        <w:t>juzgamiento de los responsables.  El  23  de  agosto  de  1993  Moiwana  ’86</w:t>
        <w:br/>
        <w:t>dirigió otra comunicación al Fiscal General solicitándole información  sobre</w:t>
        <w:br/>
        <w:t>el estado de la investigación penal del ataque en la aldea de Moiwana[48].</w:t>
        <w:br/>
        <w:br/>
        <w:t>86.35.      En 1996, después de la moción de  la  Asamblea  Nacional  (supra</w:t>
        <w:br/>
        <w:t>párr. 86.32), Moiwana ’86 presentó dos solicitudes formales ante  el  Fiscal</w:t>
        <w:br/>
        <w:t>General para que realizara una investigación adecuada sobre el  ataque.   En</w:t>
        <w:br/>
        <w:t>virtud de no haber recibido respuesta  alguna,  Moiwana  ’86  presentó  otra</w:t>
        <w:br/>
        <w:t>solicitud al Presidente de la Corte de Justicia.  El 21 de agosto  de  1996,</w:t>
        <w:br/>
        <w:t>el Presidente de la Corte de Justicia giró instrucciones al  Fiscal  General</w:t>
        <w:br/>
        <w:t>para que presentara ante esa Corte, de conformidad con  el  artículo  4  del</w:t>
        <w:br/>
        <w:t>Código de Procedimientos Penales, un informe sobre el  caso,  acompañado  de</w:t>
        <w:br/>
        <w:t>los expedientes policiales disponibles.  Posteriormente, en respuesta a  una</w:t>
        <w:br/>
        <w:t>consulta sobre el avance de las investigaciones, de parte  de  Moiwana  ’86,</w:t>
        <w:br/>
        <w:t>el Presidente de la Corte de Justicia informó que el Fiscal General  todavía</w:t>
        <w:br/>
        <w:t>no había dado respuesta a su solicitud.  Después de una comunicación más  de</w:t>
        <w:br/>
        <w:t>Moiwana ’86, el 26 de febrero  de  1997    el  Presidente  de  la  Corte  de</w:t>
        <w:br/>
        <w:t>Justicia reiteró su solicitud de información sobre  la  investigación  a  la</w:t>
        <w:br/>
        <w:t>Oficina del Fiscal General[49].</w:t>
        <w:br/>
        <w:br/>
        <w:t>86.36.      La Association Moiwana ha colaborado  con  Moiwana  ’86  durante</w:t>
        <w:br/>
        <w:t>años con el propósito de obtener justicia para la comunidad.  Cada  vez  que</w:t>
        <w:br/>
        <w:t>se debe tomar una decisión importante en relación con el presente  caso,  se</w:t>
        <w:br/>
        <w:t>consulta a todos los sobrevivientes del ataque y a  los  familiares  de  los</w:t>
        <w:br/>
        <w:t>fallecidos – ya sea que se encuentren en Suriname o en la Guyana Francesa  –</w:t>
        <w:br/>
        <w:t>gracias a los esfuerzos que realiza la Association Moiwana[50].</w:t>
        <w:br/>
        <w:br/>
        <w:t>86.37.      Quienes colaboraron con Moiwana ’86 para  impulsar  la  justicia</w:t>
        <w:br/>
        <w:t>por el ataque de 1986  y  otras  violaciones  de  derechos  humanos  en  ese</w:t>
        <w:br/>
        <w:t>período, fueron con frecuencia  amenazados  y  hostigados;  como  resultado,</w:t>
        <w:br/>
        <w:t>algunos se vieron obligados a salir de Suriname  por  su  propia  seguridad.</w:t>
        <w:br/>
        <w:t>Stanley Rensch,  fundador  de  Moiwana  ’86,  sobrevivió  a  un  intento  de</w:t>
        <w:br/>
        <w:t>homicidio  y  fue  arbitrariamente  detenido  en  cuatro  oportunidades;  él</w:t>
        <w:br/>
        <w:t>también buscó refugio en el extranjero[51].</w:t>
        <w:br/>
        <w:br/>
        <w:t>86.38.      Los miembros de la comunidad no han  iniciado  acciones  civiles</w:t>
        <w:br/>
        <w:t>en Suriname en relación con los hechos del 29 de noviembre de 1986[52].</w:t>
        <w:br/>
        <w:br/>
        <w:t>La legislación nacional pertinente</w:t>
        <w:br/>
        <w:br/>
        <w:t xml:space="preserve">      a.  La Ley de Amnistía de 1989</w:t>
        <w:br/>
        <w:br/>
        <w:t>86.39.      El 19 de agosto de  1992  el  Presidente  de  Suriname  promulgó</w:t>
        <w:br/>
        <w:t>oficialmente la Ley de Amnistía de 1989,  la  cual  otorga  una  amnistía  a</w:t>
        <w:br/>
        <w:t>quienes cometieron ciertos crímenes, con la excepción de  crímenes  de  lesa</w:t>
        <w:br/>
        <w:t>humanidad, durante el período comprendido entre el 1 de enero de 1985  y  el</w:t>
        <w:br/>
        <w:t>20 de agosto de 1992.  Los crímenes de lesa humanidad están definidos en  la</w:t>
        <w:br/>
        <w:t>ley  como  “aquellos  crímenes  que,   de   conformidad   con   el   derecho</w:t>
        <w:br/>
        <w:t>internacional, se encuentran clasificados como tales”[53].</w:t>
        <w:br/>
        <w:br/>
        <w:t>86.40.      Moiwana ’86 intentó  prevenir  la  promulgación  de  la  Ley  de</w:t>
        <w:br/>
        <w:t>Amnistía de 1989 mediante un recurso presentado ante  la  Corte  del  Primer</w:t>
        <w:br/>
        <w:t>Distrito en Paramaribo, alegando que dicha Ley violaría “la Constitución  de</w:t>
        <w:br/>
        <w:t>la  República  de  Suriname  y  […]  las  convenciones  ratificadas  por  la</w:t>
        <w:br/>
        <w:t>República de Suriname en relación con  los  derechos  humanos”.   El  19  de</w:t>
        <w:br/>
        <w:t>agosto de 1992 la Corte del Primer Distrito emitió una sentencia en la  cual</w:t>
        <w:br/>
        <w:t>rehusó otorgar la “medida provisional” solicitada por Moiwana ’86[54].</w:t>
        <w:br/>
        <w:br/>
        <w:br/>
        <w:t xml:space="preserve">      b.  Reforma del plazo de prescripción de ciertos delitos</w:t>
        <w:br/>
        <w:br/>
        <w:t>86.41.      El 16 de noviembre de 2004 el Presidente  de  Suriname  promulgó</w:t>
        <w:br/>
        <w:t>oficialmente una reforma al Código Penal, la cual dispone que “el derecho  a</w:t>
        <w:br/>
        <w:t>perseguir penalmente no prescribe” si el  asunto  en  cuestión  se  refiere,</w:t>
        <w:br/>
        <w:t>inter alia, a “un crimen de lesa humanidad” o a un “crimen de guerra”[55].</w:t>
        <w:br/>
        <w:br/>
        <w:t>Sufrimiento y temores de los miembros de la comunidad</w:t>
        <w:br/>
        <w:br/>
        <w:t>86.42.       Los  miembros  de   la   comunidad   han   sufrido   emocional,</w:t>
        <w:br/>
        <w:t>psicológica, espiritual y económicamente, debido al ataque a  su  aldea,  la</w:t>
        <w:br/>
        <w:t>posterior  separación  forzada  de   sus   tierras   tradicionales,   y   la</w:t>
        <w:br/>
        <w:t>imposibilidad de honrar adecuadamente a sus seres queridos fallecidos  y  de</w:t>
        <w:br/>
        <w:t>obtener justicia por los hechos de 1986[56].</w:t>
        <w:br/>
        <w:br/>
        <w:t>86.43.       La  impunidad  continuada  por  el  ataque   de   1986   y   el</w:t>
        <w:br/>
        <w:t>desconocimiento por parte de los miembros de  la  comunidad  acerca  de  los</w:t>
        <w:br/>
        <w:t>motivos de aquél han generado un profundo temor de que puedan ser objeto  de</w:t>
        <w:br/>
        <w:t>futuras agresiones, lo cual es un elemento central que les  impide  regresar</w:t>
        <w:br/>
        <w:t>a sus tierras tradicionales.  El regreso permanente a la  aldea  de  Moiwana</w:t>
        <w:br/>
        <w:t>depende de que el  Estado  realice  una  investigación  completa  sobre  los</w:t>
        <w:br/>
        <w:t>hechos de 1986; según los miembros de la  comunidad,  sólo  cuando  se  haga</w:t>
        <w:br/>
        <w:t>justicia  serán  capaces  de  aplacar  los  espíritus  enfurecidos  de   sus</w:t>
        <w:br/>
        <w:t>familiares fallecidos, purificar su tierra y regresar allí sin ansiedad  por</w:t>
        <w:br/>
        <w:t>la posibilidad de sufrir mayores hostilidades[57].</w:t>
        <w:br/>
        <w:br/>
        <w:t>Representación legal de los miembros de la comunidad</w:t>
        <w:br/>
        <w:br/>
        <w:t>86.44.      Los miembros de la comunidad  han  sido  representados  tanto  a</w:t>
        <w:br/>
        <w:t>nivel interno como  ante  el  Sistema  Interamericano,  por  las  siguientes</w:t>
        <w:br/>
        <w:t>organizaciones:  Moiwana  ’86,  Forest  Peoples  Programme   y   Association</w:t>
        <w:br/>
        <w:t>Moiwana.  Dichas organizaciones han solicitado compensación por  los  gastos</w:t>
        <w:br/>
        <w:t>en los que incurrieron durante la preparación del presente  caso;  por  otra</w:t>
        <w:br/>
        <w:t>parte, han renunciado a su derecho a cobrar honorarios[58].</w:t>
        <w:br/>
        <w:br/>
        <w:br/>
        <w:t xml:space="preserve">                                     IX</w:t>
        <w:br/>
        <w:t xml:space="preserve">                    Artículo 5 de la Convención Americana</w:t>
        <w:br/>
        <w:t xml:space="preserve">                     (Derecho a la Integridad Personal)</w:t>
        <w:br/>
        <w:t xml:space="preserve">                 en relación con el artículo 1.1 de la misma</w:t>
        <w:br/>
        <w:t xml:space="preserve">                    (Obligación de Respetar los Derechos)</w:t>
        <w:br/>
        <w:br/>
        <w:br/>
        <w:t>Alegatos de los representantes</w:t>
        <w:br/>
        <w:br/>
        <w:t>87.   Los representantes alegaron que  el  Estado  violó  el  derecho  a  la</w:t>
        <w:br/>
        <w:t>integridad  personal  establecido  en  el  artículo  5  de   la   Convención</w:t>
        <w:br/>
        <w:t>Americana, basándose en las siguientes consideraciones:</w:t>
        <w:br/>
        <w:br/>
        <w:t xml:space="preserve">      a)    todas las presuntas víctimas  han  padecido  “un  sufrimiento  y</w:t>
        <w:br/>
        <w:t xml:space="preserve">      angustia psicológicos y  morales  de  carácter  sustancial,  severo  y</w:t>
        <w:br/>
        <w:t xml:space="preserve">      extenso”, lo cual genera la violación del artículo 5 de la Convención,</w:t>
        <w:br/>
        <w:t xml:space="preserve">      acreditada con el material probatorio presentado ante la Corte, y  que</w:t>
        <w:br/>
        <w:t xml:space="preserve">      también se puede presumir en razón de la naturaleza de las violaciones</w:t>
        <w:br/>
        <w:t xml:space="preserve">      cometidas y del estado de impunidad continuado en el presente caso;</w:t>
        <w:br/>
        <w:br/>
        <w:br/>
        <w:t xml:space="preserve">      b)    las presuntas víctimas han  sufrido  incesantes  violaciones  al</w:t>
        <w:br/>
        <w:t xml:space="preserve">      derecho consagrado en el artículo 5 al haber sido privadas del derecho</w:t>
        <w:br/>
        <w:t xml:space="preserve">      de acceder a la justicia ya sea individualmente,  como  sobrevivientes</w:t>
        <w:br/>
        <w:t xml:space="preserve">      de la masacre, o en su calidad de familiares de las  39  personas  que</w:t>
        <w:br/>
        <w:t xml:space="preserve">      murieron en la aldea de Moiwana;</w:t>
        <w:br/>
        <w:br/>
        <w:br/>
        <w:t xml:space="preserve">      c)    las violaciones del artículo 5 de la Convención son directamente</w:t>
        <w:br/>
        <w:t xml:space="preserve">      imputables a Suriname en razón de su responsabilidad por  la  masacre,</w:t>
        <w:br/>
        <w:t xml:space="preserve">      su constante y amplio rechazo a proporcionar justicia a las  presuntas</w:t>
        <w:br/>
        <w:t xml:space="preserve">      víctimas y el consecuente estado  de  impunidad,   y  su  negativa  de</w:t>
        <w:br/>
        <w:t xml:space="preserve">      cooperar de alguna forma con aquéllas y en los diversos  intentos  que</w:t>
        <w:br/>
        <w:t xml:space="preserve">      han  hecho  por  esclarecer  los  hechos,  encontrar  y  dar  adecuada</w:t>
        <w:br/>
        <w:t xml:space="preserve">      sepultura a los  restos  mortales  de  sus  seres  queridos  y  buscar</w:t>
        <w:br/>
        <w:t xml:space="preserve">      soluciones para su angustia y sufrimiento;</w:t>
        <w:br/>
        <w:br/>
        <w:br/>
        <w:t xml:space="preserve">      d)    las presuntas víctimas han sufrido profunda ansiedad debido a su</w:t>
        <w:br/>
        <w:t xml:space="preserve">      creencia de que la falta de obtención de justicia  para  las  personas</w:t>
        <w:br/>
        <w:t xml:space="preserve">      que murieron ha violado normas  y  obligaciones  fundamentales  de  su</w:t>
        <w:br/>
        <w:t xml:space="preserve">      pueblo y ha “provocado la  ira  de  los  espíritus  de  los  muertos”,</w:t>
        <w:br/>
        <w:t xml:space="preserve">      quienes  también  provocarían  el  sufrimiento  de  sus  hijos  y   de</w:t>
        <w:br/>
        <w:t xml:space="preserve">      generaciones futuras;</w:t>
        <w:br/>
        <w:br/>
        <w:br/>
        <w:t xml:space="preserve">      e)    la angustia de las presuntas víctimas empeoró sustancialmente en</w:t>
        <w:br/>
        <w:t xml:space="preserve">      el presente caso  debido  a  las  acciones  del  Estado  tendientes  a</w:t>
        <w:br/>
        <w:t xml:space="preserve">      obstruir la justicia;</w:t>
        <w:br/>
        <w:br/>
        <w:br/>
        <w:t xml:space="preserve">      f)    la falta de investigación por parte del Estado de la  masacre  y</w:t>
        <w:br/>
        <w:t xml:space="preserve">      la ausencia de esclarecimiento de los hechos  y  las  causas  que  los</w:t>
        <w:br/>
        <w:t xml:space="preserve">      produjeron ha conllevado a  que  las  presuntas  víctimas  se  sientan</w:t>
        <w:br/>
        <w:t xml:space="preserve">      inseguras y temerosas de que pueda ocurrir otra masacre; y</w:t>
        <w:br/>
        <w:br/>
        <w:br/>
        <w:t xml:space="preserve">      g)    las presuntas víctimas  han sufrido intensamente debido a que no</w:t>
        <w:br/>
        <w:t xml:space="preserve">      han podido proveer sepultura apropiada a los restos  mortales  de  sus</w:t>
        <w:br/>
        <w:t xml:space="preserve">      seres queridos y porque han debido soportar dos décadas de  separación</w:t>
        <w:br/>
        <w:t xml:space="preserve">      forzada de sus tierras ancestrales, que son la piedra  angular  de  su</w:t>
        <w:br/>
        <w:t xml:space="preserve">      cultura y de su bienestar espiritual.</w:t>
        <w:br/>
        <w:br/>
        <w:t>Alegatos de la Comisión</w:t>
        <w:br/>
        <w:br/>
        <w:t>88.   La Comisión no  presentó  argumentos  de  derecho  que  se  refirieran</w:t>
        <w:br/>
        <w:t>específicamente a la  supuesta  violación  del  derecho  establecido  en  el</w:t>
        <w:br/>
        <w:t>artículo 5 de la Convención Americana.</w:t>
        <w:br/>
        <w:br/>
        <w:t>Alegatos del Estado</w:t>
        <w:br/>
        <w:br/>
        <w:t>89.   El Estado tampoco presentó argumentos de  derecho  que  se  refirieran</w:t>
        <w:br/>
        <w:t>expresamente a la presunta violación del derecho establecido en el  artículo</w:t>
        <w:br/>
        <w:t>5 de la Convención Americana.</w:t>
        <w:br/>
        <w:br/>
        <w:t>Consideraciones de la Corte</w:t>
        <w:br/>
        <w:br/>
        <w:t>90.   El artículo  5.1  de  la  Convención  Americana  dispone  que  “[t]oda</w:t>
        <w:br/>
        <w:t>persona tiene derecho a que se respete  su  integridad  física,  psíquica  y</w:t>
        <w:br/>
        <w:t>moral”.</w:t>
        <w:br/>
        <w:br/>
        <w:t>91.   La Corte observa que la Comisión no presentó  argumentos  en  relación</w:t>
        <w:br/>
        <w:t>con la presunta violación del artículo 5 de la  Convención  Americana.   Sin</w:t>
        <w:br/>
        <w:t>embargo, la jurisprudencia del Tribunal ha establecido con claridad que  los</w:t>
        <w:br/>
        <w:t>representantes pueden argumentar que ha habido otras violaciones  diferentes</w:t>
        <w:br/>
        <w:t>de las alegadas por  la  Comisión,  siempre  y  cuando  esos  argumentos  de</w:t>
        <w:br/>
        <w:t>derecho  se  atengan  a  los  hechos  contenidos  en  la  demanda[59].   Los</w:t>
        <w:br/>
        <w:t>peticionarios  son  los  titulares  de  los  derechos  consagrados   en   la</w:t>
        <w:br/>
        <w:t>Convención; por lo  tanto,  privarlos  de  la  oportunidad  de  someter  sus</w:t>
        <w:br/>
        <w:t>propios alegatos de derecho constituiría  una  restricción  indebida  de  su</w:t>
        <w:br/>
        <w:t>derecho de acceso a la justicia, que emana de su condición  de  sujetos  del</w:t>
        <w:br/>
        <w:t>Derecho Internacional de los Derechos  Humanos[60].   Asimismo,  esta  Corte</w:t>
        <w:br/>
        <w:t>tiene competencia – a la luz de la Convención Americana y  con  base  en  el</w:t>
        <w:br/>
        <w:t>principio iura novit curia, el cual se encuentra sólidamente  respaldado  en</w:t>
        <w:br/>
        <w:t>la jurisprudencia internacional – para estudiar la posible violación de  las</w:t>
        <w:br/>
        <w:t>normas  de  la  Convención  que  no  han  sido  alegadas  en  los   escritos</w:t>
        <w:br/>
        <w:t>presentados ante ella, en la inteligencia de que las partes hayan tenido  la</w:t>
        <w:br/>
        <w:t>oportunidad de expresar sus  respectivas  posiciones  en  relación  con  los</w:t>
        <w:br/>
        <w:t>hechos relevantes[61].</w:t>
        <w:br/>
        <w:br/>
        <w:t>92.   En cuanto al presente caso, el Tribunal decidió anteriormente  que  no</w:t>
        <w:br/>
        <w:t>tiene competencia para examinar los hechos del  29  de  noviembre  de  1986.</w:t>
        <w:br/>
        <w:t>Sin embargo, tiene competencia para examinar el cumplimiento por  parte  del</w:t>
        <w:br/>
        <w:t>Estado de su obligación de garantizar el derecho a la  integridad  personal,</w:t>
        <w:br/>
        <w:t>que se traduce aquí en la obligación de investigar las posibles  violaciones</w:t>
        <w:br/>
        <w:t>al artículo 5 de la Convención.</w:t>
        <w:br/>
        <w:br/>
        <w:t>93.   La falta  de  cumplimiento  de  esta  obligación  ha  impedido  a  los</w:t>
        <w:br/>
        <w:t>miembros de la comunidad Moiwana honrar adecuadamente a sus  seres  queridos</w:t>
        <w:br/>
        <w:t>fallecidos y ha implicado la separación forzosa  de  éstos  de  sus  tierras</w:t>
        <w:br/>
        <w:t>tradicionales, situaciones  que  afectan  los  derechos  de  estos  miembros</w:t>
        <w:br/>
        <w:t>consagrados en el artículo 5 de la Convención.  Además, se  ha  afectado  la</w:t>
        <w:br/>
        <w:t>integridad personal de los miembros de la comunidad por el  sufrimiento  que</w:t>
        <w:br/>
        <w:t>les ha causado la obstaculización, a pesar de  sus  esfuerzos  persistentes,</w:t>
        <w:br/>
        <w:t>para obtener justicia por el ataque a su aldea,  particularmente  a  la  luz</w:t>
        <w:br/>
        <w:t>del énfasis de los  N’djuka  en  sancionar  apropiadamente  las  violaciones</w:t>
        <w:br/>
        <w:t>cometidas.  La Corte empezará este examen por este último punto.</w:t>
        <w:br/>
        <w:br/>
        <w:t>a)    Obstaculización a los esfuerzos de los miembros de la  comunidad  para</w:t>
        <w:br/>
        <w:t>obtener justicia</w:t>
        <w:br/>
        <w:br/>
        <w:t>94.   A pesar de los diversos esfuerzos de los miembros de  la  comunidad  y</w:t>
        <w:br/>
        <w:t>de sus representantes  legales,  así  como  de  la  clara  evidencia  de  la</w:t>
        <w:br/>
        <w:t>responsabilidad del Estado, no existe indicación alguna de que  haya  habido</w:t>
        <w:br/>
        <w:t>una investigación seria y completa sobre los hechos del 29 de  noviembre  de</w:t>
        <w:br/>
        <w:t>1986, como se analizará en la sección correspondiente a los  artículos  8  y</w:t>
        <w:br/>
        <w:t>25 de la Convención Americana  (infra  párrs.  139  a  164).  Asimismo,  los</w:t>
        <w:br/>
        <w:t>miembros de la comunidad no han recibido reparación alguna por  esos  hechos</w:t>
        <w:br/>
        <w:t>(supra  párr.  86.33).   Tal  ausencia  de  recursos   efectivos   ha   sido</w:t>
        <w:br/>
        <w:t>considerada por  la  Corte  como  fuente  de  sufrimiento  y  angustia  para</w:t>
        <w:br/>
        <w:t>víctimas y sus familiares[62]; incluso, en el presente caso,  ha  creado  en</w:t>
        <w:br/>
        <w:t>los miembros de la comunidad la convicción de que el Estado  los  discrimina</w:t>
        <w:br/>
        <w:t>activamente.  Por ejemplo, Antonia Difienjo señaló que “en  comparación  con</w:t>
        <w:br/>
        <w:t>otros en el país, […] nosotros no tenemos los mismos derechos en  Suriname”.</w:t>
        <w:br/>
        <w:t xml:space="preserve"> Stanley Rensch expresó que existe “un apoyo insuficiente a la idea  […]  de</w:t>
        <w:br/>
        <w:t>que los Maroons se merezcan el mismo tipo de protección legal en el país”.</w:t>
        <w:br/>
        <w:br/>
        <w:t>95.   Más aun, la impunidad persistente ha tenido un grave  impacto  en  los</w:t>
        <w:br/>
        <w:t>miembros de la comunidad de Moiwana, como pueblo N’djuka.  Tal  como  se  ha</w:t>
        <w:br/>
        <w:t>señalado en los hechos probados  (supra  párr.  86.10),  la  justicia  y  la</w:t>
        <w:br/>
        <w:t>“responsabilidad colectiva” son principios centrales en la sociedad  N’djuka</w:t>
        <w:br/>
        <w:t>tradicional.  Si un miembro de la comunidad es ofendido,  sus  familiares  –</w:t>
        <w:br/>
        <w:t>que serían todos los miembros de linaje maternal – están obligados a  buscar</w:t>
        <w:br/>
        <w:t>justicia para la ofensa cometida.  Si ese familiar ha  muerto,  los  N’djuka</w:t>
        <w:br/>
        <w:t>creen que su espíritu no podrá descansar en paz hasta que se haga  justicia.</w:t>
        <w:br/>
        <w:t xml:space="preserve"> Mientras que la ofensa siga sin sanción, el espíritu  de  la  víctima  –  y</w:t>
        <w:br/>
        <w:t>posiblemente  otros  espíritus  ancestrales  –  pueden  atormentar   a   sus</w:t>
        <w:br/>
        <w:t>familiares vivientes.</w:t>
        <w:br/>
        <w:br/>
        <w:t>96.    En  este  sentido,  el  perito  Kenneth  Bilby  manifestó   que,   de</w:t>
        <w:br/>
        <w:t>conformidad con las creencias tradicionales, los espíritus  de  los  muertos</w:t>
        <w:br/>
        <w:t>afectan a un número cada vez mayor de miembros de  la  comunidad  cuando  no</w:t>
        <w:br/>
        <w:t>hay solución a una transgresión grave.  Los testigos que declararon ante  la</w:t>
        <w:br/>
        <w:t>Corte expresaron un gran miedo hacia esos espíritus  y  mucho  remordimiento</w:t>
        <w:br/>
        <w:t>porque sus esfuerzos para obtener justicia aun no han  tenido  éxito.   Como</w:t>
        <w:br/>
        <w:t>lo declaró Andre Ajintoena, es “esencial”  buscar  justicia  cuando  alguien</w:t>
        <w:br/>
        <w:t>muere de manera injusta; esta obligación de “enderezar las cosas”, si no  se</w:t>
        <w:br/>
        <w:t>cumple, causará sufrimientos tanto a los vivos  como  a  los  muertos.   Por</w:t>
        <w:br/>
        <w:t>estas razones, el señor Ajintoena estableció una  organización,  Association</w:t>
        <w:br/>
        <w:t>Moiwana, dedicada a promover una  investigación  del  ataque  de  1986;  sin</w:t>
        <w:br/>
        <w:t>embargo, debido a la denegación de justicia a la que se  siguen  enfrentando</w:t>
        <w:br/>
        <w:t>los miembros de la  comunidad,  el  señor  Ajintoena  señaló,  “es  como  si</w:t>
        <w:br/>
        <w:t>estuviéramos muriendo una segunda vez”,  Así, los miembros de  la  comunidad</w:t>
        <w:br/>
        <w:t>no sólo han sufrido la indignación y vergüenza  de  haber  sido  abandonados</w:t>
        <w:br/>
        <w:t>por el sistema de justicia penal  de  Suriname  –  a  pesar  de  las  graves</w:t>
        <w:br/>
        <w:t>acciones perpetradas en contra de su aldea – sino también han debido  sentir</w:t>
        <w:br/>
        <w:t>la ira de los familiares que murieron injustamente durante el ataque.</w:t>
        <w:br/>
        <w:br/>
        <w:t>97.   Asimismo, debido a la impunidad continuada por  la  operación  militar</w:t>
        <w:br/>
        <w:t>de 1986 y al desconocimiento por parte  de  los  miembros  de  la  comunidad</w:t>
        <w:br/>
        <w:t>acerca de los  motivos  de  tal  ataque,  éstos  han  sufrido  una  profunda</w:t>
        <w:br/>
        <w:t>ansiedad frente a la posibilidad de enfrentar hostilidades si  regresaran  a</w:t>
        <w:br/>
        <w:t>sus tierras tradicionales.  Erwin Willemdam testificó  ante  la  Corte  que,</w:t>
        <w:br/>
        <w:t>desde que ocurrió el ataque, ha conducido su vehículo cerca de la  aldea  de</w:t>
        <w:br/>
        <w:t>Moiwana en varias ocasiones, pero nunca se  ha  detenido:  “mientras  no  se</w:t>
        <w:br/>
        <w:t>haya hecho justicia, […] no podemos regresar a quedarnos a ese  lugar”.   La</w:t>
        <w:br/>
        <w:t>prueba testimonial demostró que para que los miembros  de  la  comunidad  se</w:t>
        <w:br/>
        <w:t>sientan suficientemente seguros para establecer nuevamente su residencia  en</w:t>
        <w:br/>
        <w:t>la aldea de Moiwana, deben conocer por qué  ocurrieron  las  muertes  y  qué</w:t>
        <w:br/>
        <w:t>hará el Estado para  exigir  la  responsabilidad  de  los  autores  de  esos</w:t>
        <w:br/>
        <w:t>hechos.</w:t>
        <w:br/>
        <w:br/>
        <w:t>b)     Imposibilidad  de  los   miembros   de   la   comunidad   de   honrar</w:t>
        <w:br/>
        <w:t>apropiadamente a sus seres queridos fallecidos</w:t>
        <w:br/>
        <w:br/>
        <w:t>98.   Como quedó establecido en los hechos probados  (supra  párrs.  86.7  a</w:t>
        <w:br/>
        <w:t>86.9), el pueblo N’djuka tiene  rituales  específicos  y  complejos  que  se</w:t>
        <w:br/>
        <w:t>deben seguir después de la muerte de un miembro de la comunidad.   Asimismo,</w:t>
        <w:br/>
        <w:t>es extremadamente importante tener la posesión de los  restos  mortales  del</w:t>
        <w:br/>
        <w:t>fallecido, ya que el cadáver  debe  ser  tratado  en  una  forma  particular</w:t>
        <w:br/>
        <w:t>durante las ceremonias  mortuorias  N’djuka  y  ser  colocado  en  el  lugar</w:t>
        <w:br/>
        <w:t>adecuado  de  entierro  del  grupo  familiar.    Sólo   quienes   han   sido</w:t>
        <w:br/>
        <w:t>considerados indignos no reciben un entierro honorable.</w:t>
        <w:br/>
        <w:br/>
        <w:t>99.   Si no se realizan los diferentes rituales  mortuorios  de  conformidad</w:t>
        <w:br/>
        <w:t>con  la  tradición  N’djuka,  esto  se  considera  una  transgresión   moral</w:t>
        <w:br/>
        <w:t>profunda, lo cual no sólo provoca el enojo del espíritu de  la  persona  que</w:t>
        <w:br/>
        <w:t>murió, sino también puede ofender a  otros  ancestros  (supra  párr.  86.9).</w:t>
        <w:br/>
        <w:t>Esto  tiene  como  consecuencia  una  serie  de  “enfermedades   de   origen</w:t>
        <w:br/>
        <w:t>espiritual” que se manifiestan como enfermedades  físicas  reales  y  pueden</w:t>
        <w:br/>
        <w:t>afectar a toda la descendencia (supra párr. 86.9).  Los  N’djuka  consideran</w:t>
        <w:br/>
        <w:t>que tales enfermedades no se curan espontáneamente, sino deben resolverse  a</w:t>
        <w:br/>
        <w:t>través de  medios  culturales  y  ceremoniales;  si  esto  no  es  así,  las</w:t>
        <w:br/>
        <w:t>condiciones persistirían a través de generaciones (supra  párr.  86.9).   En</w:t>
        <w:br/>
        <w:t>este sentido, la  señora  Difienjo  manifestó  que,  de  no  realizarse  las</w:t>
        <w:br/>
        <w:t>ceremonias mortuorias:</w:t>
        <w:br/>
        <w:br/>
        <w:t xml:space="preserve">      esto  representará  una  carga  para  todos  los  niños,  también  nos</w:t>
        <w:br/>
        <w:t xml:space="preserve">      perseguirá a nosotros. […] Es como si no existiéramos  en  la  tierra.</w:t>
        <w:br/>
        <w:t xml:space="preserve">      Quiero decir, esa sería la carga. […] Si no se hace apropiadamente con</w:t>
        <w:br/>
        <w:t xml:space="preserve">      aquellos a quienes mataron, entonces muchas cosas  nos  pueden  pasar.</w:t>
        <w:br/>
        <w:t xml:space="preserve">      […]. De manera que si no se llevan a  cabo  los  ritos  apropiados  de</w:t>
        <w:br/>
        <w:t xml:space="preserve">      quienes murieron, entonces estamos en medio de la nada.</w:t>
        <w:br/>
        <w:br/>
        <w:t>100.  Por esta razón, una de las principales  fuentes  de  sufrimiento  para</w:t>
        <w:br/>
        <w:t>los miembros de la comunidad es que ignoran lo que aconteció con los  restos</w:t>
        <w:br/>
        <w:t>de su seres queridos y, como resultado, no pueden  honrarlos  y  enterrarlos</w:t>
        <w:br/>
        <w:t>según los principios fundamentales de la cultura N’djuka.  Además, la  Corte</w:t>
        <w:br/>
        <w:t>observa  que  los  miembros  de  la  comunidad  se   han   visto   afectados</w:t>
        <w:br/>
        <w:t>emocionalmente  por  la  información  de  que   algunos   cadáveres   fueron</w:t>
        <w:br/>
        <w:t>incinerados en una funeraria de  Moengo.   Tal  como  lo  declaró  el  señor</w:t>
        <w:br/>
        <w:t>Willemdam, “esa es una de las peores cosas que nos  podría  ocurrir,  quemar</w:t>
        <w:br/>
        <w:t>el cuerpo de alguien que murió”.</w:t>
        <w:br/>
        <w:br/>
        <w:t>c)    La  separación  de  los  miembros  de  la  comunidad  de  sus  tierras</w:t>
        <w:br/>
        <w:t>tradicionales</w:t>
        <w:br/>
        <w:br/>
        <w:t>101.  Los hechos  probados  demuestran  que  la  conexión  de  la  comunidad</w:t>
        <w:br/>
        <w:t>N’djuka a  su  tierra  tradicional  reviste  vital  importancia  espiritual,</w:t>
        <w:br/>
        <w:t>cultural y material (supra párr. 86.6).  En efecto, tal  como  lo  señalaron</w:t>
        <w:br/>
        <w:t>los peritos Thomas Polimé y Kenneth Bilby (supra párrs.  79  y  80.e),  para</w:t>
        <w:br/>
        <w:t>que se pueda  preservar  la  identidad  e  integridad  de  la  cultura,  los</w:t>
        <w:br/>
        <w:t>miembros  de  la  comunidad   deben   mantener   una   relación   fluida   y</w:t>
        <w:br/>
        <w:t>multidimensional con sus tierras ancestrales.</w:t>
        <w:br/>
        <w:br/>
        <w:t>102.   Sin  embargo,  la  aldea  de  Moiwana  y  las  tierras  tradicionales</w:t>
        <w:br/>
        <w:t>circundantes han estado abandonadas desde los hechos del 29 de noviembre  de</w:t>
        <w:br/>
        <w:t>1986 (supra  párr.  86.19).   Muchos  miembros  de  la  comunidad  han  sido</w:t>
        <w:br/>
        <w:t>desplazados internamente en Suriname y el resto permanece, hasta  hoy,  como</w:t>
        <w:br/>
        <w:t>refugiados en la Guyana Francesa (supra párr. 86.18).  Desde su huida de  la</w:t>
        <w:br/>
        <w:t>aldea de Moiwana, muchos miembros de la comunidad, si no todos, han  sufrido</w:t>
        <w:br/>
        <w:t>pobreza  y  privación  por  su  incapacidad  de   desarrollar   sus   formas</w:t>
        <w:br/>
        <w:t>tradicionales de subsistencia y sustento (supra  párr.  86.18).   La  señora</w:t>
        <w:br/>
        <w:t>Difienjo testificó ante la Corte que, desde la fecha  del  ataque,  su  vida</w:t>
        <w:br/>
        <w:t>“se ha visto completamente perturbada”; además, indicó que las  dificultades</w:t>
        <w:br/>
        <w:t>de los refugiados han sido ignoradas por el Estado y enfatizó que la  Guyana</w:t>
        <w:br/>
        <w:t>Francesa “no es [su] lugar”.  Por su parte, el señor Ajintoena  declaró  que</w:t>
        <w:br/>
        <w:t>“han  perdido  todo”  después  de  los  hechos  de  1986  y  que   necesitan</w:t>
        <w:br/>
        <w:t>“urgentemente” regresar a sus tierras tradicionales  para  “restaurar  [sus]</w:t>
        <w:br/>
        <w:t>vidas”.  Asimismo, manifestó que, con el ataque, “el  gobierno  destruyó  la</w:t>
        <w:br/>
        <w:t>tradición cultural […] de las comunidades Maroon en Moiwana”.</w:t>
        <w:br/>
        <w:t xml:space="preserve">                                      *</w:t>
        <w:br/>
        <w:t xml:space="preserve">                                 *         *</w:t>
        <w:br/>
        <w:br/>
        <w:t>103.  Con fundamento en el anterior análisis,  la  Corte  concluye  que  los</w:t>
        <w:br/>
        <w:t>miembros  de  la  comunidad  Moiwana  han  sufrido  emocional,  psicológica,</w:t>
        <w:br/>
        <w:t>espiritual y económicamente, en forma tal que constituye  un  violación  por</w:t>
        <w:br/>
        <w:t>parte del Estado del artículo 5.1 de la Convención  Americana,  en  relación</w:t>
        <w:br/>
        <w:t>con el artículo 1.1 de dicho tratado, en perjuicio de aquéllos.</w:t>
        <w:br/>
        <w:br/>
        <w:t xml:space="preserve">                                      X</w:t>
        <w:br/>
        <w:t xml:space="preserve">                   Artículo 22 de la Convención Americana</w:t>
        <w:br/>
        <w:t xml:space="preserve">                    (Derecho de Circulación y Residencia)</w:t>
        <w:br/>
        <w:t xml:space="preserve">                 en relación con el artículo 1.1 de la misma</w:t>
        <w:br/>
        <w:t xml:space="preserve">                    (Obligación de Respetar los Derechos)</w:t>
        <w:br/>
        <w:br/>
        <w:br/>
        <w:t>Alegatos de la Comisión</w:t>
        <w:br/>
        <w:br/>
        <w:t>104.  Pese a que la Comisión no alegó expresamente la violación del  derecho</w:t>
        <w:br/>
        <w:t>establecido en el articulo 22 de la Convención Americana, ha  sostenido  que</w:t>
        <w:br/>
        <w:t>– debido a la impunidad existente  en  lo  relativo  al  ataque  del  29  de</w:t>
        <w:br/>
        <w:t>noviembre de 1986 en la aldea de Moiwana y  al  hecho  de  que  los  autores</w:t>
        <w:br/>
        <w:t>todavía  mantienen  cargos  de  poder  e  influencia  en  Suriname   –   los</w:t>
        <w:br/>
        <w:t>sobrevivientes de Moiwana continúan con temor y se  ven  imposibilitados  de</w:t>
        <w:br/>
        <w:t>volver a sus tierras ancestrales.  Además,  la  Comisión  afirmó  que  “[e]l</w:t>
        <w:br/>
        <w:t>[supuesto] desplazamiento forzado [de los  miembros  de  la  comunidad],  el</w:t>
        <w:br/>
        <w:t>cual fue ocasionado por la masacre  y  por  la  impunidad  subsiguiente  por</w:t>
        <w:br/>
        <w:t>dichas  violaciones  [presuntamente]  continúa  negando  protección  a   los</w:t>
        <w:br/>
        <w:t>derechos fundamentales y dignidad humana de los miembros de la comunidad”.</w:t>
        <w:br/>
        <w:br/>
        <w:t>Alegatos de los representantes</w:t>
        <w:br/>
        <w:br/>
        <w:t>105.  Pese a que los representantes no alegaron  expresamente  la  violación</w:t>
        <w:br/>
        <w:t>del derecho establecido en  el  artículo  22  de  la  Convención  Americana,</w:t>
        <w:br/>
        <w:t>argumentaron lo siguiente:</w:t>
        <w:br/>
        <w:br/>
        <w:t xml:space="preserve">      a)     las  presuntas  víctimas  han  sido  privadas  de  sus   medios</w:t>
        <w:br/>
        <w:t xml:space="preserve">      tradicionales de subsistencia debido a la  expulsión  de  sus  tierras</w:t>
        <w:br/>
        <w:t xml:space="preserve">      ancestrales y a la continuada imposibilidad de regresar a ellas;  como</w:t>
        <w:br/>
        <w:t xml:space="preserve">      resultado de lo anterior, las presuntas víctimas viven en  condiciones</w:t>
        <w:br/>
        <w:t xml:space="preserve">      paupérrimas; y</w:t>
        <w:br/>
        <w:br/>
        <w:br/>
        <w:t xml:space="preserve">      b)    el desplazamiento forzado  o  reasentamiento  involuntario  está</w:t>
        <w:br/>
        <w:t xml:space="preserve">      prohibido  bajo  el  derecho  internacional  debido  a   que   lesiona</w:t>
        <w:br/>
        <w:t xml:space="preserve">      gravemente los derechos fundamentales civiles, políticos,  económicos,</w:t>
        <w:br/>
        <w:t xml:space="preserve">      sociales y culturales, tanto individuales como colectivos. En el  caso</w:t>
        <w:br/>
        <w:t xml:space="preserve">      de los pueblos tribales, el desplazamiento forzado  afecta  seriamente</w:t>
        <w:br/>
        <w:t xml:space="preserve">      sus diversas relaciones con sus tierras ancestrales.</w:t>
        <w:br/>
        <w:br/>
        <w:br/>
        <w:br/>
        <w:t>Alegatos del Estado</w:t>
        <w:br/>
        <w:br/>
        <w:t>106.  A pesar de que el Estado no se  refirió  expresamente  a  la  presunta</w:t>
        <w:br/>
        <w:t>violación del  derecho  consagrado  en  el  artículo  22  de  la  Convención</w:t>
        <w:br/>
        <w:t>Americana, sostuvo que</w:t>
        <w:br/>
        <w:br/>
        <w:t xml:space="preserve">      a)    Los sobrevivientes de Moiwana  “nunca  han  sido  una  comunidad</w:t>
        <w:br/>
        <w:t xml:space="preserve">      aislada, que practicara […] su propia cultura”;</w:t>
        <w:br/>
        <w:br/>
        <w:br/>
        <w:t xml:space="preserve">      b)    “[pese] a que la mayoría se ha movilizado a otros lugares, ellos</w:t>
        <w:br/>
        <w:t xml:space="preserve">      se encuentran regularmente en el noroeste  de  la  región  costeña  de</w:t>
        <w:br/>
        <w:t xml:space="preserve">      Marowijne de Suriname y/o en otros lugares del país”; y</w:t>
        <w:br/>
        <w:br/>
        <w:br/>
        <w:t xml:space="preserve">      c)    los sobrevivientes se movilizan libremente por todo el país. “El</w:t>
        <w:br/>
        <w:t xml:space="preserve">      Gobierno de Suriname no ha recibido comunicación alguna con respecto a</w:t>
        <w:br/>
        <w:t xml:space="preserve">      que los derechos de estas personas hayan sido violados o a  que  ellas</w:t>
        <w:br/>
        <w:t xml:space="preserve">      hayan sido intimidadas”.</w:t>
        <w:br/>
        <w:br/>
        <w:t>Consideraciones de la Corte</w:t>
        <w:br/>
        <w:br/>
        <w:t>107.  Como se ha señalado tanto en la presente Sentencia (supra  párr.  91),</w:t>
        <w:br/>
        <w:t>como en otros casos, la Corte está facultada,  con  base  en  la  Convención</w:t>
        <w:br/>
        <w:t>Americana y a la luz del  principio  iura  novit  curia,  para  estudiar  la</w:t>
        <w:br/>
        <w:t>posible violación de normas de la Convención que no hayan sido alegadas  por</w:t>
        <w:br/>
        <w:t>las partes.  En efecto, el Tribunal tiene el  deber  de  aplicar  todos  los</w:t>
        <w:br/>
        <w:t>estándares jurídicos apropiados – aun  cuando  no  hayan  sido  expresamente</w:t>
        <w:br/>
        <w:t>invocados por las partes – en la inteligencia de que las partes  han  tenido</w:t>
        <w:br/>
        <w:t>la oportunidad de  expresar  sus  respectivas  posiciones  respecto  de  los</w:t>
        <w:br/>
        <w:t>hechos relevantes[63].  En este sentido, el Tribunal subraya que los  hechos</w:t>
        <w:br/>
        <w:t>que serán considerados en el presente capítulo se basan en la demanda y  han</w:t>
        <w:br/>
        <w:t>sido esclarecidos en el curso del procedimiento  ante  esta  Corte;  por  lo</w:t>
        <w:br/>
        <w:t>tanto, todas las partes involucradas han tenido  la  debida  oportunidad  de</w:t>
        <w:br/>
        <w:t>presentar sus posiciones en relación con dichos hechos[64].</w:t>
        <w:br/>
        <w:br/>
        <w:t>108.  Los hechos probados  establecen  que  los  miembros  de  la  comunidad</w:t>
        <w:br/>
        <w:t>residían  en  la  aldea  de  Moiwana,  y  que  esta  aldea  y  sus   tierras</w:t>
        <w:br/>
        <w:t>tradicionales circundantes no han sido habitadas desde los hechos del 29  de</w:t>
        <w:br/>
        <w:t>noviembre  de  1986  (supra  párr.  86.19).   A  la  fecha  de  la  presente</w:t>
        <w:br/>
        <w:t>Sentencia, los miembros de la comunidad continúan  desplazados  internamente</w:t>
        <w:br/>
        <w:t>en Suriname o viven como refugiados  en  la  Guyana  Francesa  (supra  párr.</w:t>
        <w:br/>
        <w:t>86.18).  En razón de ello, el Tribunal puede ejercer  su  competencia  sobre</w:t>
        <w:br/>
        <w:t>el desplazamiento continuo de la  comunidad,  el  cual  –  a  pesar  de  que</w:t>
        <w:br/>
        <w:t>inicialmente se produjo por el ataque de 1986  –  constituye  una  situación</w:t>
        <w:br/>
        <w:t>que persistió  después  de  que  el  Estado  reconoció  la  competencia  del</w:t>
        <w:br/>
        <w:t>Tribunal en 1987 y se mantiene hasta el presente.</w:t>
        <w:br/>
        <w:br/>
        <w:t xml:space="preserve">                                      *</w:t>
        <w:br/>
        <w:t xml:space="preserve">                                 *         *</w:t>
        <w:br/>
        <w:br/>
        <w:t>109.  El artículo 22 de la Convención Americana establece que:</w:t>
        <w:br/>
        <w:br/>
        <w:t xml:space="preserve">      1.    Toda persona que se halle legalmente  en  el  territorio  de  un</w:t>
        <w:br/>
        <w:t xml:space="preserve">      Estado tiene derecho a circular por el mismo y, a residir  en  él  con</w:t>
        <w:br/>
        <w:t xml:space="preserve">      sujeción a las disposiciones legales.</w:t>
        <w:br/>
        <w:br/>
        <w:br/>
        <w:t xml:space="preserve">      2.    Toda persona tiene derecho a salir libremente de cualquier país,</w:t>
        <w:br/>
        <w:t xml:space="preserve">      inclusive del propio.</w:t>
        <w:br/>
        <w:br/>
        <w:br/>
        <w:t xml:space="preserve">      3.    El ejercicio de los derechos anteriores no puede se  restringido</w:t>
        <w:br/>
        <w:t xml:space="preserve">      sino en virtud de una ley, en la medida indispensable en una  sociedad</w:t>
        <w:br/>
        <w:t xml:space="preserve">      democrática, para prevenir infracciones penales  o  para  proteger  la</w:t>
        <w:br/>
        <w:t xml:space="preserve">      seguridad nacional, la seguridad o el orden públicos, la  moral  o  la</w:t>
        <w:br/>
        <w:t xml:space="preserve">      salud públicas o los derechos y libertades de los demás.</w:t>
        <w:br/>
        <w:br/>
        <w:br/>
        <w:t xml:space="preserve">      4.    El ejercicio de los derechos reconocidos en el  inciso  1  puede</w:t>
        <w:br/>
        <w:t xml:space="preserve">      asimismo ser restringido  por  la  ley,  en  zonas  determinadas,  por</w:t>
        <w:br/>
        <w:t xml:space="preserve">      razones de interés público.</w:t>
        <w:br/>
        <w:br/>
        <w:br/>
        <w:t xml:space="preserve">      5.    Nadie puede ser expulsado del territorio del Estado del cual  es</w:t>
        <w:br/>
        <w:t xml:space="preserve">      nacional, ni ser privado del derecho a ingresar en el mismo.</w:t>
        <w:br/>
        <w:br/>
        <w:br/>
        <w:t xml:space="preserve">      […]</w:t>
        <w:br/>
        <w:br/>
        <w:t>110.  Esta Corte  ha  sostenido  que  la  libertad  de  circulación  es  una</w:t>
        <w:br/>
        <w:t>condición  indispensable  para  el  libre  desarrollo  de  la   persona[65].</w:t>
        <w:br/>
        <w:t>Asimismo, el Tribunal coincide con lo indicado por  el  Comité  de  Derechos</w:t>
        <w:br/>
        <w:t>Humanos de las Naciones Unidas en su Comentario  General  No.  27,  el  cual</w:t>
        <w:br/>
        <w:t>establece que el derecho de circulación  y  de  residencia  consiste,  inter</w:t>
        <w:br/>
        <w:t>alia, en lo siguiente: a) el derecho de  quienes  se  encuentren  legalmente</w:t>
        <w:br/>
        <w:t>dentro de un Estado a circular libremente en ese Estado y escoger  su  lugar</w:t>
        <w:br/>
        <w:t>de residencia; y b) el derecho de  una  persona  a  ingresar  a  su  país  y</w:t>
        <w:br/>
        <w:t>permanecer en él.   El  disfrute  de  este  derecho  no  depende  de  ningún</w:t>
        <w:br/>
        <w:t>objetivo o  motivo  en  particular  de  la  persona  que  desea  circular  o</w:t>
        <w:br/>
        <w:t>permanecer en un lugar[66].</w:t>
        <w:br/>
        <w:br/>
        <w:t>111.   De  particular  relevancia  para  el  presente  caso   resultan   los</w:t>
        <w:br/>
        <w:t>Principios Rectores emitidos en 1998 por  el  Representante  del  Secretario</w:t>
        <w:br/>
        <w:t>General de  las  Naciones  Unidas  sobre  la  cuestión  de  los  desplazados</w:t>
        <w:br/>
        <w:t>internos[67], los cuales se basan en la normativa internacional de  derechos</w:t>
        <w:br/>
        <w:t>humanos y de derecho internacional  humanitario.   La  Corte  considera  que</w:t>
        <w:br/>
        <w:t>varias de estas directrices iluminan el contenido y alcance del artículo  22</w:t>
        <w:br/>
        <w:t>de la Convención en el contexto de desplazamiento interno.  Para  los  fines</w:t>
        <w:br/>
        <w:t>del presente caso, el Tribunal enfatiza los siguientes principios:</w:t>
        <w:br/>
        <w:br/>
        <w:t xml:space="preserve">      1.1.  Los desplazados internos disfrutarán en condiciones de  igualdad</w:t>
        <w:br/>
        <w:t xml:space="preserve">      de los mismos derechos y libertades que el derecho internacional y  el</w:t>
        <w:br/>
        <w:t xml:space="preserve">      derecho interno reconocen a los demás habitantes del país.   No  serán</w:t>
        <w:br/>
        <w:t xml:space="preserve">      objeto de discriminación alguna en  el  disfrute  de  sus  derechos  y</w:t>
        <w:br/>
        <w:t xml:space="preserve">      libertades por el mero hecho de ser desplazados internos.</w:t>
        <w:br/>
        <w:br/>
        <w:br/>
        <w:t xml:space="preserve">      5.    Todas las autoridades y  órganos  internacionales  respetarán  y</w:t>
        <w:br/>
        <w:t xml:space="preserve">      harán  respetar  las  obligaciones   que   les   impone   el   derecho</w:t>
        <w:br/>
        <w:t xml:space="preserve">      internacional,  incluidos  los   derechos   humanos   y   el   derecho</w:t>
        <w:br/>
        <w:t xml:space="preserve">      humanitario, en toda circunstancia, a fin  de  prevenir  y  evitar  la</w:t>
        <w:br/>
        <w:t xml:space="preserve">      aparición de condiciones que  puedan  provocar  el  desplazamiento  de</w:t>
        <w:br/>
        <w:t xml:space="preserve">      personas.</w:t>
        <w:br/>
        <w:br/>
        <w:br/>
        <w:t xml:space="preserve">      8.    El desplazamiento no se llevará a cabo de forma  que  viole  los</w:t>
        <w:br/>
        <w:t xml:space="preserve">      derechos a la vida, dignidad, libertad y seguridad de los afectados.</w:t>
        <w:br/>
        <w:br/>
        <w:br/>
        <w:t xml:space="preserve">      9.    Los Estados tienen la obligación específica de tomar medidas  de</w:t>
        <w:br/>
        <w:t xml:space="preserve">      protección contra los desplazamientos de pueblos indígenas,  minorías,</w:t>
        <w:br/>
        <w:t xml:space="preserve">      campesinos,  pastores  y  otros  grupos  que  tienen  una  dependencia</w:t>
        <w:br/>
        <w:t xml:space="preserve">      especial de su tierra o un apego particular a la misma.</w:t>
        <w:br/>
        <w:br/>
        <w:br/>
        <w:t xml:space="preserve">      14.1.  Todo  desplazado  interno  tiene  derecho  a  la  libertad   de</w:t>
        <w:br/>
        <w:t xml:space="preserve">      circulación y a la libertad de escoger su residencia.</w:t>
        <w:br/>
        <w:br/>
        <w:br/>
        <w:t xml:space="preserve">      28.1.   Las   autoridades   competentes   tienen   la   obligación   y</w:t>
        <w:br/>
        <w:t xml:space="preserve">      responsabilidad primarias de establecer las condiciones y proporcionar</w:t>
        <w:br/>
        <w:t xml:space="preserve">      los medios que permitan el regreso voluntario, seguro y digno, de  los</w:t>
        <w:br/>
        <w:t xml:space="preserve">      desplazados internos a su hogar o su lugar de residencia  habitual,  o</w:t>
        <w:br/>
        <w:t xml:space="preserve">      su reasentamiento voluntario en otra parte del país.  Esas autoridades</w:t>
        <w:br/>
        <w:t xml:space="preserve">      tratarán de facilitar la reintegración de los desplazados internos que</w:t>
        <w:br/>
        <w:t xml:space="preserve">      han regresado o se han reasentado en otra parte.</w:t>
        <w:br/>
        <w:br/>
        <w:t>112.  En el caso sub judice, los representantes  han  presentado  argumentos</w:t>
        <w:br/>
        <w:t>sobre el tema general del artículo 22 de la Convención,  señalando  que  los</w:t>
        <w:br/>
        <w:t>miembros de la comunidad han sufrido una “expulsión forzada” de sus  tierras</w:t>
        <w:br/>
        <w:t>ancestrales, y afirmando que, desde los hechos del 29 de noviembre de  1986,</w:t>
        <w:br/>
        <w:t>Suriname no ha hecho ningún esfuerzo por “ayudar o facilitar  [su]  regreso”</w:t>
        <w:br/>
        <w:t>a esas tierras.  Por  el  contrario,  los  representantes  alegan  que  “las</w:t>
        <w:br/>
        <w:t>acciones y omisiones [del Estado], violatorias de la  Convención  Americana,</w:t>
        <w:br/>
        <w:t>han hecho imposible que las [presuntas] víctimas regresen”  a  la  aldea  de</w:t>
        <w:br/>
        <w:t>Moiwana.</w:t>
        <w:br/>
        <w:br/>
        <w:t>113.  Se ha demostrado claramente que los miembros de  la  comunidad  tienen</w:t>
        <w:br/>
        <w:t>la convicción de que no podrán regresar a su territorio  ancestral  mientras</w:t>
        <w:br/>
        <w:t>no obtengan justicia por los hechos de 1986.  Andre  Ajintoena  declaró  que</w:t>
        <w:br/>
        <w:t>después del ataque visitó  el  área  junto  con  otras  personas  sólo  para</w:t>
        <w:br/>
        <w:t>recolectar información y sacar fotos del lugar.  Una vez que el  grupo  hubo</w:t>
        <w:br/>
        <w:t>terminado, algunos de sus integrantes se sintieron enfermos; según el  señor</w:t>
        <w:br/>
        <w:t>Ajintoena, se dieron cuenta de que  “las  cosas  no  estaban  bien,  no  era</w:t>
        <w:br/>
        <w:t>apropiado, porque de acuerdo con nuestra cultura uno no  puede  regresar  al</w:t>
        <w:br/>
        <w:t>lugar sin haber hecho  arreglos”.   Al  haber  regresado  sin  “aplicar  las</w:t>
        <w:br/>
        <w:t>reglas  religiosas  [y]  culturales”  –  es  decir,  realizar  los  rituales</w:t>
        <w:br/>
        <w:t>mortuorios  necesarios  y  alcanzar  reconciliación  con  los  espíritus  de</w:t>
        <w:br/>
        <w:t>quienes fallecieron en el ataque de 1986 (supra párrs. 86.7  a  86.9)  –  el</w:t>
        <w:br/>
        <w:t>señor Ajintoena y quienes le acompañaban creían haber ofendido seriamente  a</w:t>
        <w:br/>
        <w:t>esos  espíritus  y,  como  consecuencia,  empezaron  a  sufrir  enfermedades</w:t>
        <w:br/>
        <w:t>físicas  y  psicológicas.   Todos  los  miembros   de   la   comunidad   que</w:t>
        <w:br/>
        <w:t>testificaron ante la Corte  expresaron  temores  similares  con  respecto  a</w:t>
        <w:br/>
        <w:t>espíritus vengadores, y afirmaron que sólo podrían  vivir  en  la  aldea  de</w:t>
        <w:br/>
        <w:t>Moiwana nuevamente si se purificaran primero sus tierras tradicionales.</w:t>
        <w:br/>
        <w:br/>
        <w:t>114.  Asimismo, varios miembros de  la  comunidad  han  demostrado  profunda</w:t>
        <w:br/>
        <w:t>preocupación ante la posibilidad de  sufrir  agresiones,  una  vez  más,  si</w:t>
        <w:br/>
        <w:t>vuelven a su residencia de origen, la cual se encuentra ubicada en  un  área</w:t>
        <w:br/>
        <w:t>que fue el blanco de  varias  operaciones  del  ejército  en  el  curso  del</w:t>
        <w:br/>
        <w:t>conflicto interno (supra  párr.  86.43).   El  señor  Ajintoena  declaró  lo</w:t>
        <w:br/>
        <w:t>siguiente:</w:t>
        <w:br/>
        <w:br/>
        <w:t xml:space="preserve">      la purificación religiosa, la purificación de la tierra es un aspecto;</w:t>
        <w:br/>
        <w:t xml:space="preserve">      pero, en segundo lugar, no sabemos quiénes fueron  los  perpetradores.</w:t>
        <w:br/>
        <w:t xml:space="preserve">      No ha habido una investigación, de manera que  se  debería  garantizar</w:t>
        <w:br/>
        <w:t xml:space="preserve">      que a nuestro regreso no nos tengamos que enfrentar a la  misma  clase</w:t>
        <w:br/>
        <w:t xml:space="preserve">      de problemas que ocurrieron en 1986.</w:t>
        <w:br/>
        <w:br/>
        <w:t>El temor de los miembros de la comunidad de que haya  futuras  persecuciones</w:t>
        <w:br/>
        <w:t>se ilustra por el caso de aquellos sobrevivientes, como el señor  Ajintoena,</w:t>
        <w:br/>
        <w:t>que han permanecido en el  exilio  en  la  Guyana  Francesa.   En  1991,  se</w:t>
        <w:br/>
        <w:t>hicieron arreglos – a través de la asistencia del ACNUR – para que miles  de</w:t>
        <w:br/>
        <w:t>refugiados surinameses, la gran mayoría de ellos  Maroons,  participaran  en</w:t>
        <w:br/>
        <w:t>las elecciones nacionales (supra párr. 86.21).  Sin embargo,  pocos  Maroons</w:t>
        <w:br/>
        <w:t>se atrevieron a cruzar el Río Maroni para votar en territorio surinamés.</w:t>
        <w:br/>
        <w:br/>
        <w:t>115.   También  en  1991,  los   refugiados   surinameses   expusieron   sus</w:t>
        <w:br/>
        <w:t>condiciones  para   ser   repatriados   a   una   comisión   compuesta   por</w:t>
        <w:br/>
        <w:t>representantes del ACNUR y de los gobiernos  de  Suriname  y  de  la  Guyana</w:t>
        <w:br/>
        <w:t>Francesa (supra párr. 86.22).  Dichos requisitos, los  cuales  nunca  fueron</w:t>
        <w:br/>
        <w:t>cumplidos  por  la  referida  comisión,  incluían  que  Suriname   proveyera</w:t>
        <w:br/>
        <w:t>seguridad y libertad, así como garantías de que los  responsables  de  haber</w:t>
        <w:br/>
        <w:t>privado  de  la  vida  a  civiles  durante  el  conflicto   interno   serían</w:t>
        <w:br/>
        <w:t>investigados y juzgados.  Además, la Corte estima pertinente  subrayar  que,</w:t>
        <w:br/>
        <w:t>cuando los campos oficiales de  refugiados  en  la  Guyana  Francesa  fueron</w:t>
        <w:br/>
        <w:t>clausurados en 1992,  el  gobierno  francés  permitió  a  una  parte  de  la</w:t>
        <w:br/>
        <w:t>población que permaneciera en la Guyana Francesa.  La gran  mayoría  de  los</w:t>
        <w:br/>
        <w:t>integrantes de ese grupo eran de la aldea de Moiwana, quienes  se  rehusaban</w:t>
        <w:br/>
        <w:t>a regresar a Suriname sin garantías para su seguridad (supra  párr.  86.23).</w:t>
        <w:br/>
        <w:t>El gobierno francés  reconoció  los  peligros  específicos  que  enfrentaban</w:t>
        <w:br/>
        <w:t>dichas personas y por ello en 1997 les otorgó permisos,  por  cinco  y  diez</w:t>
        <w:br/>
        <w:t>años, renovables para permanecer en la Guyana Francesa.</w:t>
        <w:br/>
        <w:br/>
        <w:t>116.  Ante el Comité de Derechos Humanos de las Naciones Unidas  se  analizó</w:t>
        <w:br/>
        <w:t>el caso de un defensor colombiano de derechos civiles  que  fue  obligado  a</w:t>
        <w:br/>
        <w:t>exiliarse en el Reino Unido después de haber recibido numerosas amenazas  de</w:t>
        <w:br/>
        <w:t>muerte y de haber sufrido un atentado contra su vida[68].  Al momento de  la</w:t>
        <w:br/>
        <w:t>decisión del Comité, habían pasado diez años desde el referido  atentado,  y</w:t>
        <w:br/>
        <w:t>todavía no se conocía el resultado de la investigación  penal  en  Colombia.</w:t>
        <w:br/>
        <w:t>En relación con los alegatos de la  víctima  de  que  se  había  violado  su</w:t>
        <w:br/>
        <w:t>derecho de circulación y de residencia, el Comité sostuvo lo siguiente:</w:t>
        <w:br/>
        <w:br/>
        <w:t xml:space="preserve">      a la luz de la determinación del Comité  de  que  hubo  violación  del</w:t>
        <w:br/>
        <w:t xml:space="preserve">      derecho a la seguridad  personal  (artículo  9,  párrafo  1)  y  a  su</w:t>
        <w:br/>
        <w:t xml:space="preserve">      estimación [de] que no había recursos  efectivos  en  la  jurisdicción</w:t>
        <w:br/>
        <w:t xml:space="preserve">      interna para permitir al autor regresar  en  seguridad  de  su  exilio</w:t>
        <w:br/>
        <w:t xml:space="preserve">      involuntario, el Comité concluye que el Estado parte no ha garantizado</w:t>
        <w:br/>
        <w:t xml:space="preserve">      el derecho del autor de permanecer en, regresar a,  y  residir  en  su</w:t>
        <w:br/>
        <w:t xml:space="preserve">      propio país.  Por consiguiente, se violaron los párrafos  1  y  4  del</w:t>
        <w:br/>
        <w:t xml:space="preserve">      artículo 12 del Pacto[69].</w:t>
        <w:br/>
        <w:br/>
        <w:t>117.  En el presente caso,  tal  como  se  señaló  anteriormente,  numerosos</w:t>
        <w:br/>
        <w:t>miembros de la comunidad que residían  en  Moiwana  han  permanecido  en  la</w:t>
        <w:br/>
        <w:t>Guyana Francesa, debido al temor que sienten por su seguridad  y  a  que  el</w:t>
        <w:br/>
        <w:t>Estado no ha efectuado  una  investigación  penal.   No  obstante,  en  1993</w:t>
        <w:br/>
        <w:t>algunos de los miembros de la comunidad  regresaron  a  Suriname,  y  fueron</w:t>
        <w:br/>
        <w:t>ubicados en un centro de recepción temporal en Moengo, en el que  permanecen</w:t>
        <w:br/>
        <w:t>hasta el día de hoy, ya que  no  se  les  ha  brindado  ninguna  alternativa</w:t>
        <w:br/>
        <w:t>mejor. La señora Difienjo expresó indignación ante  la  actitud  del  Estado</w:t>
        <w:br/>
        <w:t>hacia los refugiados en general; declaró que, a pesar de  que  los  miembros</w:t>
        <w:br/>
        <w:t>de la comunidad han escrito cartas al Estado, los funcionarios del  gobierno</w:t>
        <w:br/>
        <w:t>rara vez los han visitado en la Guyana Francesa  o  se  han  preocupado  por</w:t>
        <w:br/>
        <w:t>atender sus necesidades: “ellos nos consideran perros: uno los puede  matar,</w:t>
        <w:br/>
        <w:t>no hay que prestarles atención”.  Como se  estableció  anteriormente  (supra</w:t>
        <w:br/>
        <w:t>párr. 86.18), desde su huida de la aldea  de  Moiwana  en  1986,  tanto  los</w:t>
        <w:br/>
        <w:t>refugiados en la Guyana Francesa como quienes nunca han salido  de  Suriname</w:t>
        <w:br/>
        <w:t>se han enfrentado a condiciones de pobreza y a la falta de acceso  a  muchos</w:t>
        <w:br/>
        <w:t>servicios básicos.</w:t>
        <w:br/>
        <w:br/>
        <w:t>118.  En resumen, sólo cuando se obtenga justicia por los hechos del  29  de</w:t>
        <w:br/>
        <w:t>noviembre de 1986 los miembros de la comunidad  podrán:  1)  aplacar  a  los</w:t>
        <w:br/>
        <w:t>espíritus enfurecidos de sus familiares y purificar su  tierra  tradicional;</w:t>
        <w:br/>
        <w:t>y 2) dejar de temer que se hostilice a su comunidad.  Esos dos elementos,  a</w:t>
        <w:br/>
        <w:t>su vez, son indispensables para el regreso permanente de los miembros de  la</w:t>
        <w:br/>
        <w:t>comunidad a la aldea de Moiwana, que muchos – si  no  todos  –desean  (supra</w:t>
        <w:br/>
        <w:t>párr. 86.43).</w:t>
        <w:br/>
        <w:br/>
        <w:t>119.  La Corte nota  que  Suriname  ha  objetado  que  los  miembros  de  la</w:t>
        <w:br/>
        <w:t>comunidad hayan sufrido restricciones a  su  circulación  o  residencia;  al</w:t>
        <w:br/>
        <w:t>respecto, el Estado afirma que  pueden  circular  libremente  a  través  del</w:t>
        <w:br/>
        <w:t>territorio del país.  Sin perjuicio de que pueda  existir  en  Suriname  una</w:t>
        <w:br/>
        <w:t>norma que establezca este derecho, sobre lo cual esta Corte no ve  necesidad</w:t>
        <w:br/>
        <w:t>de pronunciarse, en este caso la libertad de circulación y de residencia  de</w:t>
        <w:br/>
        <w:t>los miembros de la comunidad se encuentra limitada por  una  restricción  de</w:t>
        <w:br/>
        <w:t>facto  muy  precisa,  que  se  origina  en   el   miedo   fundado   descrito</w:t>
        <w:br/>
        <w:t>anteriormente, que los aleja de su territorio ancestral.</w:t>
        <w:br/>
        <w:br/>
        <w:t>120.  Por tanto, el Estado no ha establecido  las  condiciones  ni  provisto</w:t>
        <w:br/>
        <w:t>los  medios  que  permitirían  a  los  miembros  de  la  comunidad  regresar</w:t>
        <w:br/>
        <w:t>voluntariamente,  en  forma  segura  y   con   dignidad,   a   sus   tierras</w:t>
        <w:br/>
        <w:t>tradicionales, con respecto a las cuales  tienen  una  dependencia  y  apego</w:t>
        <w:br/>
        <w:t>especiales – dado que objetivamente no hay ninguna  garantía  de  que  serán</w:t>
        <w:br/>
        <w:t>respetados sus derechos humanos, particularmente los derechos a  la  vida  e</w:t>
        <w:br/>
        <w:t>integridad personal.  Al no establecer tales elementos –  incluyendo,  sobre</w:t>
        <w:br/>
        <w:t>todo, una investigación  penal  efectiva  para  poner  fin  a  la  impunidad</w:t>
        <w:br/>
        <w:t>reinante por el ataque de 1986 – Suriname no ha garantizado a  los  miembros</w:t>
        <w:br/>
        <w:t>de la comunidad su  derecho  de  circulación  y  residencia.   Asimismo,  el</w:t>
        <w:br/>
        <w:t>Estado ha privado efectivamente a los miembros de la comunidad  que  todavía</w:t>
        <w:br/>
        <w:t>se encuentran exiliados en la Guyana Francesa de sus derechos a  ingresar  a</w:t>
        <w:br/>
        <w:t>su país y permanecer en él.</w:t>
        <w:br/>
        <w:br/>
        <w:t>121.  Por las razones anteriores, la Corte declara  que  Suriname  violó  el</w:t>
        <w:br/>
        <w:t>artículo 22 de la Convención Americana, en relación con el artículo  1.1  de</w:t>
        <w:br/>
        <w:t>dicho tratado, en perjuicio de los miembros de la comunidad Moiwana.</w:t>
        <w:br/>
        <w:br/>
        <w:t xml:space="preserve">                                     XI</w:t>
        <w:br/>
        <w:t xml:space="preserve">       Artículo 21 de la Convención Americana (Derecho a la Propiedad)</w:t>
        <w:br/>
        <w:t xml:space="preserve">                 en relación con el artículo 1.1 de la misma</w:t>
        <w:br/>
        <w:t xml:space="preserve">                    (Obligación de Respetar los Derechos)</w:t>
        <w:br/>
        <w:br/>
        <w:t>Alegatos de los representantes</w:t>
        <w:br/>
        <w:br/>
        <w:t>122.  Los representantes argumentaron que el Estado violó el  derecho  a  la</w:t>
        <w:br/>
        <w:t>propiedad establecido en el artículo 21 de Convención Americana con base  en</w:t>
        <w:br/>
        <w:t>las siguientes consideraciones:</w:t>
        <w:br/>
        <w:br/>
        <w:t xml:space="preserve">      a)    mientras que  la  presunta  violación  inicial  –  la  expulsión</w:t>
        <w:br/>
        <w:t xml:space="preserve">      forzosa de la comunidad de sus tierras y  territorio  tradicionales  –</w:t>
        <w:br/>
        <w:t xml:space="preserve">      ocurrió el 29 de noviembre de 1986, con anterioridad a la ratificación</w:t>
        <w:br/>
        <w:t xml:space="preserve">      de Suriname a la Convención y su reconocimiento de la  competencia  de</w:t>
        <w:br/>
        <w:t xml:space="preserve">      la Corte, la  violación  del  artículo  21  de  la  Convención  es  de</w:t>
        <w:br/>
        <w:t xml:space="preserve">      naturaleza continuada fáctica y jurídicamente;</w:t>
        <w:br/>
        <w:br/>
        <w:br/>
        <w:t xml:space="preserve">      b)    las violaciones continuadas son particularmente comunes en casos</w:t>
        <w:br/>
        <w:t xml:space="preserve">      en  los  que  pueblos  indígenas  y  tribales  han  sido   desplazados</w:t>
        <w:br/>
        <w:t xml:space="preserve">      forzosamente de sus tierras tradicionales;</w:t>
        <w:br/>
        <w:br/>
        <w:br/>
        <w:t xml:space="preserve">      c)    el Consejo de Administración de la Organización Internacional de</w:t>
        <w:br/>
        <w:t xml:space="preserve">      Trabajo  ha  ejercido  su  competencia  con  regularidad   sobre   las</w:t>
        <w:br/>
        <w:t xml:space="preserve">      consecuencias de reubicaciones, particularmente en lo que se relaciona</w:t>
        <w:br/>
        <w:t xml:space="preserve">      con los derechos de propiedad, los cuales persisten aun en  los  casos</w:t>
        <w:br/>
        <w:t xml:space="preserve">      en que los hechos que las originaron ocurrieron décadas  antes  de  la</w:t>
        <w:br/>
        <w:t xml:space="preserve">      entrada en vigor del Convenio No. 169;</w:t>
        <w:br/>
        <w:br/>
        <w:br/>
        <w:t xml:space="preserve">      d)    las presuntas víctimas continúan siendo privadas de sus derechos</w:t>
        <w:br/>
        <w:t xml:space="preserve">      de propiedad como consecuencia de las siguientes acciones y  omisiones</w:t>
        <w:br/>
        <w:t xml:space="preserve">      del Estado: i) denegación de justicia, la cual en sí  misma  impide  a</w:t>
        <w:br/>
        <w:t xml:space="preserve">      las  presuntas  víctimas  reinstalar  su  comunidad  en  sus   tierras</w:t>
        <w:br/>
        <w:t xml:space="preserve">      tradicionales;  y  ii)  el  hecho  que  Suriname  no  ha   establecido</w:t>
        <w:br/>
        <w:t xml:space="preserve">      mecanismos legales o administrativos para que las  presuntas  víctimas</w:t>
        <w:br/>
        <w:t xml:space="preserve">      reclamen y aseguren sus  derechos  a  la  tenencia  de  la  tierra  de</w:t>
        <w:br/>
        <w:t xml:space="preserve">      conformidad con las normas consuetudinarias, valores y usos N’djuka;</w:t>
        <w:br/>
        <w:br/>
        <w:br/>
        <w:t xml:space="preserve">      e)     los  derechos  de  propiedad  de  las  presuntas  víctimas   se</w:t>
        <w:br/>
        <w:t xml:space="preserve">      encuentran  garantizados  y  protegidos  en  el  artículo  21  de   la</w:t>
        <w:br/>
        <w:t xml:space="preserve">      Convención, el cual tiene un significado autónomo y  no  se  encuentra</w:t>
        <w:br/>
        <w:t xml:space="preserve">      restringido a la propiedad tal como está definida  por  los  regímenes</w:t>
        <w:br/>
        <w:t xml:space="preserve">      legales nacionales; esa disposición también protege  los  derechos  de</w:t>
        <w:br/>
        <w:t xml:space="preserve">      propiedad de los “miembros de comunidades indígenas dentro  del  marco</w:t>
        <w:br/>
        <w:t xml:space="preserve">      de la propiedad colectiva”;</w:t>
        <w:br/>
        <w:br/>
        <w:br/>
        <w:t xml:space="preserve">      f)    las presuntas víctimas se han visto privadas  de  su  medios  de</w:t>
        <w:br/>
        <w:t xml:space="preserve">      subsistencia  tradicionales  debido  a  la  expulsión  forzada  de  su</w:t>
        <w:br/>
        <w:t xml:space="preserve">      territorio tradicional y la imposibilidad de regresar a él;  viven  en</w:t>
        <w:br/>
        <w:t xml:space="preserve">      condiciones de pobreza; y</w:t>
        <w:br/>
        <w:br/>
        <w:br/>
        <w:t xml:space="preserve">      g)    el desalojo  forzado  o  el  reasentamiento  involuntario  están</w:t>
        <w:br/>
        <w:t xml:space="preserve">      prohibidos en el derecho internacional porque provocan daños graves  a</w:t>
        <w:br/>
        <w:t xml:space="preserve">      los  derechos  básicos  civiles,  políticos,  económicos,  sociales  y</w:t>
        <w:br/>
        <w:t xml:space="preserve">      culturales, tanto de individuos como de colectividades.  En el caso de</w:t>
        <w:br/>
        <w:t xml:space="preserve">      pueblos tribales, el desalojo forzado anula  las  relaciones  con  sus</w:t>
        <w:br/>
        <w:t xml:space="preserve">      tierras ancestrales.</w:t>
        <w:br/>
        <w:br/>
        <w:t>Alegatos de la Comisión</w:t>
        <w:br/>
        <w:br/>
        <w:t>123.  La Comisión no  presentó  específicamente  argumentos  de  derecho  en</w:t>
        <w:br/>
        <w:t>relación con la presunta violación del derecho establecido  en  el  artículo</w:t>
        <w:br/>
        <w:t>21 de la Convención Americana.</w:t>
        <w:br/>
        <w:br/>
        <w:br/>
        <w:t>Alegatos del Estado</w:t>
        <w:br/>
        <w:br/>
        <w:t>124.  El Estado tampoco presentó expresamente argumentos de derecho  que  se</w:t>
        <w:br/>
        <w:t>refirieran a la supuesta violación del derecho establecido  en  el  artículo</w:t>
        <w:br/>
        <w:t>21 de la Convención Americana.</w:t>
        <w:br/>
        <w:br/>
        <w:t>Consideraciones de la Corte</w:t>
        <w:br/>
        <w:br/>
        <w:t>125.  La Corte observa una vez más que la Comisión  no  presentó  argumentos</w:t>
        <w:br/>
        <w:t>que  expresamente  se  refirieran  a  la  presunta  violación  del   derecho</w:t>
        <w:br/>
        <w:t>consagrado en el artículo 21  de  la  Convención  Americana.   Sin  embargo,</w:t>
        <w:br/>
        <w:t>recuerda (supra  párr.  91)  que  los  representantes  pueden  alegar  otras</w:t>
        <w:br/>
        <w:t>violaciones de la Convención diferentes de las alegadas por la Comisión,  en</w:t>
        <w:br/>
        <w:t>la inteligencia de que tales argumentos de derecho se refieran a los  hechos</w:t>
        <w:br/>
        <w:t>recogidos en la demanda[70].</w:t>
        <w:br/>
        <w:br/>
        <w:t>126.  Asimismo, como se estableció en el capítulo relativo  al  artículo  22</w:t>
        <w:br/>
        <w:t>de la Convención Americana (supra párr. 108),  la  Corte  puede  ejercer  su</w:t>
        <w:br/>
        <w:t>competencia sobre desplazamiento continuo de la  comunidad  de  sus  tierras</w:t>
        <w:br/>
        <w:t>tradicionales, situación que persistió después de que  el  Estado  reconoció</w:t>
        <w:br/>
        <w:t>la competencia del Tribunal en 1987, y continúa hasta el presente.</w:t>
        <w:br/>
        <w:br/>
        <w:br/>
        <w:t xml:space="preserve">                                      *</w:t>
        <w:br/>
        <w:t xml:space="preserve">                                 *         *</w:t>
        <w:br/>
        <w:br/>
        <w:br/>
        <w:t>127.  El artículo 21 de la Convención Americana dispone:</w:t>
        <w:br/>
        <w:br/>
        <w:t xml:space="preserve">      1. Toda persona tiene derecho al uso y goce de  sus  bienes.   La  ley</w:t>
        <w:br/>
        <w:t xml:space="preserve">      puede subordinar tal uso y goce al interés social.</w:t>
        <w:br/>
        <w:br/>
        <w:br/>
        <w:t xml:space="preserve">      2. Ninguna persona puede ser privada de sus bienes,  excepto  mediante</w:t>
        <w:br/>
        <w:t xml:space="preserve">      el pago de una indemnización justa, por razones de utilidad pública  o</w:t>
        <w:br/>
        <w:t xml:space="preserve">      de interés social y en los casos y según las formas  establecidas  por</w:t>
        <w:br/>
        <w:t xml:space="preserve">      la ley.</w:t>
        <w:br/>
        <w:br/>
        <w:br/>
        <w:t xml:space="preserve">      […]</w:t>
        <w:br/>
        <w:br/>
        <w:t>128.  En el capítulo relativo al artículo 22  de  la  Convención,  la  Corte</w:t>
        <w:br/>
        <w:t>consideró que la ausencia de una investigación efectiva del ataque de 29  de</w:t>
        <w:br/>
        <w:t>noviembre de 1986, que lleve  al  esclarecimiento  de  los  hechos  y  a  la</w:t>
        <w:br/>
        <w:t>sanción de los responsables, ha impedido a  los  miembros  de  la  comunidad</w:t>
        <w:br/>
        <w:t>regresar a sus tierras tradicionales.  Así, Suriname no ha  establecido  las</w:t>
        <w:br/>
        <w:t>condiciones, ni provisto los medios  que  permitan  a  los  miembros  de  la</w:t>
        <w:br/>
        <w:t>comunidad vivir nuevamente en su territorio  ancestral  en  forma  segura  y</w:t>
        <w:br/>
        <w:t>pacífica; en consecuencia, la aldea de Moiwana ha  estado  abandonada  desde</w:t>
        <w:br/>
        <w:t>el ataque de 1986.</w:t>
        <w:br/>
        <w:br/>
        <w:t>129.  Para determinar si dichas  circunstancias  constituyen  una  privación</w:t>
        <w:br/>
        <w:t>del derecho al uso y  goce  de  la  propiedad,  la  Corte  debe  considerar,</w:t>
        <w:br/>
        <w:t>naturalmente, si la aldea  de  Moiwana   pertenece  a  los  miembros  de  la</w:t>
        <w:br/>
        <w:t>comunidad, tomando en cuenta para  ello  el  concepto  amplio  de  propiedad</w:t>
        <w:br/>
        <w:t>desarrollado en la jurisprudencia del Tribunal.</w:t>
        <w:br/>
        <w:br/>
        <w:t>130.  Las partes en el presente caso están de acuerdo en  que  los  miembros</w:t>
        <w:br/>
        <w:t>de la comunidad  no  tienen  un  título  legal  formal  –  ni  colectiva  ni</w:t>
        <w:br/>
        <w:t>individualmente – sobre sus tierras tradicionales en la aldea de  Moiwana  y</w:t>
        <w:br/>
        <w:t>los territorios circundantes.  Según lo manifestado por  los  representantes</w:t>
        <w:br/>
        <w:t>y por Suriname, el territorio pertenece  al  Estado  residualmente,  ya  que</w:t>
        <w:br/>
        <w:t>ningún particular o sujeto  colectivo  tiene  título  oficial  sobre  dichos</w:t>
        <w:br/>
        <w:t>terrenos.</w:t>
        <w:br/>
        <w:br/>
        <w:t>131.  Sin embargo, esta Corte ha sostenido que, en el  caso  de  comunidades</w:t>
        <w:br/>
        <w:t>indígenas que han  ocupado  sus  tierras  ancestrales  de  acuerdo  con  sus</w:t>
        <w:br/>
        <w:t>prácticas consuetudinarias –  pero  que  carecen  de  un  título  formal  de</w:t>
        <w:br/>
        <w:t>propiedad – la posesión de la tierra debería bastar  para  que  obtengan  el</w:t>
        <w:br/>
        <w:t>reconocimiento oficial de dicha propiedad y  el  consiguiente  registro[71].</w:t>
        <w:br/>
        <w:t>La Corte llegó a esa conclusión considerando los lazos  únicos  y  duraderos</w:t>
        <w:br/>
        <w:t>que unen a las  comunidades  indígenas  con  su  territorio  ancestral.   La</w:t>
        <w:br/>
        <w:t>estrecha relación que los indígenas mantienen con  la  tierra  debe  de  ser</w:t>
        <w:br/>
        <w:t>reconocida y comprendida como la base fundamental de sus culturas,  su  vida</w:t>
        <w:br/>
        <w:t>espiritual, su integridad y  su  supervivencia  económica[72].   Para  tales</w:t>
        <w:br/>
        <w:t>pueblos, su nexo comunal con el territorio ancestral  no  es  meramente  una</w:t>
        <w:br/>
        <w:t>cuestión de posesión y producción, sino un elemento  material  y  espiritual</w:t>
        <w:br/>
        <w:t>del que deben gozar plenamente, inclusive para preservar su legado  cultural</w:t>
        <w:br/>
        <w:t>y transmitirlo a las generaciones futuras[73].</w:t>
        <w:br/>
        <w:br/>
        <w:t>132.  Los miembros de la comunidad no son indígenas de la región; según  los</w:t>
        <w:br/>
        <w:t>hechos probados, la aldea de  Moiwana  fue  fundada  por  clanes  N’djuka  a</w:t>
        <w:br/>
        <w:t>finales del siglo XIX (supra párr. 86.11).  Sin embargo, desde  ese  momento</w:t>
        <w:br/>
        <w:t>hasta el ataque de 1986, los miembros de la comunidad vivieron  en  el  área</w:t>
        <w:br/>
        <w:t>con estricto apego a  las  costumbres  N’djuka.   El  perito  Thomas  Polimé</w:t>
        <w:br/>
        <w:t>describió la naturaleza de su relación  con  las  tierras  en  la  aldea  de</w:t>
        <w:br/>
        <w:t>Moiwana y sus alrededores de la siguiente manera:</w:t>
        <w:br/>
        <w:br/>
        <w:t xml:space="preserve">      [los] N’djuka, al igual que otros pueblos indígenas y tribales, tienen</w:t>
        <w:br/>
        <w:t xml:space="preserve">      una relación profunda y omnicomprensiva con sus  tierras  ancestrales.</w:t>
        <w:br/>
        <w:t xml:space="preserve">      Se encuentran intrínsecamente ligados a esas tierras y  a  los  sitios</w:t>
        <w:br/>
        <w:t xml:space="preserve">      sagrados que ahí se encuentran, y su desplazamiento forzado ha cortado</w:t>
        <w:br/>
        <w:t xml:space="preserve">      esos  lazos  fundamentales.   Muchos  de  los  sobrevivientes  y   sus</w:t>
        <w:br/>
        <w:t xml:space="preserve">      familiares señalan su lugar de origen en, o  cerca  de,  la  aldea  de</w:t>
        <w:br/>
        <w:t xml:space="preserve">      Moiwana.  Su imposibilidad de mantener su  relación  con  sus  tierras</w:t>
        <w:br/>
        <w:t xml:space="preserve">      ancestrales y con sus sitios sagrados los ha  privado  de  un  aspecto</w:t>
        <w:br/>
        <w:t xml:space="preserve">      fundamental de su identidad y de su sentido  de  bienestar.   Sin  una</w:t>
        <w:br/>
        <w:t xml:space="preserve">      comunión regular con esas tierras y sitios, son incapaces de practicar</w:t>
        <w:br/>
        <w:t xml:space="preserve">      y gozar sus tradiciones culturales y religiosas, en mayor detrimento a</w:t>
        <w:br/>
        <w:t xml:space="preserve">      su seguridad personal y colectiva y a su sentido de bienestar.</w:t>
        <w:br/>
        <w:br/>
        <w:t>133.  En este sentido, los  miembros  de  la  comunidad,  un  pueblo  tribal</w:t>
        <w:br/>
        <w:t>N’djuka,   poseen   una   “relación   omnicomprensiva”   con   sus   tierras</w:t>
        <w:br/>
        <w:t>tradicionales, y su concepto de propiedad en relación con ese territorio  no</w:t>
        <w:br/>
        <w:t>se centra en el individuo, sino  en  la  comunidad  como  un  todo[74].   En</w:t>
        <w:br/>
        <w:t>virtud de lo anterior, la jurisprudencia de esta Corte en relación  con  las</w:t>
        <w:br/>
        <w:t>comunidades  indígenas  y  sus  derechos  comunales  a  la   propiedad,   de</w:t>
        <w:br/>
        <w:t>conformidad con el artículo 21 de la Convención, debe  también  aplicarse  a</w:t>
        <w:br/>
        <w:t>los miembros de la comunidad tribal que residía  en  Moiwana:  su  ocupación</w:t>
        <w:br/>
        <w:t>tradicional de la aldea de Moiwana y las tierras circundantes – lo  cual  ha</w:t>
        <w:br/>
        <w:t>sido reconocido y respetado durante años por los clanes N’djuka  y  por  las</w:t>
        <w:br/>
        <w:t>comunidades indígenas vecinas (supra párr. 86.4) – debe bastar para  obtener</w:t>
        <w:br/>
        <w:t>reconocimiento  estatal  de  su  propiedad.   Los  límites  exactos  de  ese</w:t>
        <w:br/>
        <w:t>territorio, sin  embargo,  sólo  pueden  determinarse  previa  consulta  con</w:t>
        <w:br/>
        <w:t>dichas comunidades vecinas (infra párr. 210).</w:t>
        <w:br/>
        <w:br/>
        <w:t>134.  Con base en lo anterior, los  miembros  de  la  comunidad  pueden  ser</w:t>
        <w:br/>
        <w:t>considerados los dueños legítimos de sus tierras tradicionales, por lo  cual</w:t>
        <w:br/>
        <w:t>tienen derecho al uso y goce de las mismas.   Sin  embargo,  de  los  hechos</w:t>
        <w:br/>
        <w:t>aparece que este derecho les ha sido negado hasta hoy como  consecuencia  de</w:t>
        <w:br/>
        <w:t>los sucesos de noviembre  del  1986  y  la  conducta  posterior  del  Estado</w:t>
        <w:br/>
        <w:t>respecto de la investigación de estos hechos.</w:t>
        <w:br/>
        <w:br/>
        <w:t>135.  Por todo lo expuesto, la Corte concluye que Suriname violó el  derecho</w:t>
        <w:br/>
        <w:t>de los miembros de la comunidad al  uso  y  goce  comunal  de  su  propiedad</w:t>
        <w:br/>
        <w:t>tradicional.  Consecuentemente, el Tribunal considera que  el  Estado  violó</w:t>
        <w:br/>
        <w:t>el artículo 21 de la Convención Americana, en relación con el  artículo  1.1</w:t>
        <w:br/>
        <w:t>de dicho tratado, en perjuicio de los miembros de la comunidad Moiwana.</w:t>
        <w:br/>
        <w:br/>
        <w:br/>
        <w:t xml:space="preserve">                                     XII</w:t>
        <w:br/>
        <w:t xml:space="preserve">                 Artículos 8 y 25 de la Convención Americana</w:t>
        <w:br/>
        <w:t xml:space="preserve">                (Garantías Judiciales y Protección Judicial)</w:t>
        <w:br/>
        <w:t xml:space="preserve">                        en relación con artículo 1.1</w:t>
        <w:br/>
        <w:t xml:space="preserve">                    (Obligación de Respetar los Derechos)</w:t>
        <w:br/>
        <w:br/>
        <w:br/>
        <w:t>Alegatos de la Comisión</w:t>
        <w:br/>
        <w:br/>
        <w:t>136.  La Comisión alegó en su demanda que el Estado  es  responsable  de  la</w:t>
        <w:br/>
        <w:t>violación de los derechos a las  garantías  judiciales  y  a  la  protección</w:t>
        <w:br/>
        <w:t>judicial establecidos en los  artículos  8  y  25,  respectivamente,  de  la</w:t>
        <w:br/>
        <w:t>Convención Americana, con base en las siguientes consideraciones:</w:t>
        <w:br/>
        <w:br/>
        <w:t xml:space="preserve">      a)    a las presuntas víctimas y a sus familiares  les  fue  imposible</w:t>
        <w:br/>
        <w:t xml:space="preserve">      invocar y ejercitar su derecho a un recurso judicial simple, rápido  y</w:t>
        <w:br/>
        <w:t xml:space="preserve">      efectivo para la protección de sus derechos,  de  conformidad  con  el</w:t>
        <w:br/>
        <w:t xml:space="preserve">      artículo 25 de la Convención;</w:t>
        <w:br/>
        <w:br/>
        <w:br/>
        <w:t xml:space="preserve">      b)    los esfuerzos de las presuntas  víctimas  y  sus  familiares  se</w:t>
        <w:br/>
        <w:t xml:space="preserve">      encontraron con resistencia institucional y no  produjeron  resultados</w:t>
        <w:br/>
        <w:t xml:space="preserve">      sustanciales; consecuentemente, no sólo se les ha negado el derecho  a</w:t>
        <w:br/>
        <w:t xml:space="preserve">      una investigación efectiva para establecer las violaciones cometidas y</w:t>
        <w:br/>
        <w:t xml:space="preserve">      las responsabilidades correspondientes,  sino  también  el  derecho  a</w:t>
        <w:br/>
        <w:t xml:space="preserve">      buscar reparación por las consecuencias de esas violaciones;</w:t>
        <w:br/>
        <w:br/>
        <w:br/>
        <w:t xml:space="preserve">      c)    la obligación  de  brindar  protección  judicial  no  se  cumple</w:t>
        <w:br/>
        <w:t xml:space="preserve">      simplemente con la existencia formal de los recursos legales;  por  el</w:t>
        <w:br/>
        <w:t xml:space="preserve">      contrario, los Estados deben adoptar medidas específicas para asegurar</w:t>
        <w:br/>
        <w:t xml:space="preserve">      que la protección judicial sea efectiva;</w:t>
        <w:br/>
        <w:br/>
        <w:br/>
        <w:t xml:space="preserve">      d)     los  recursos  judiciales  disponibles   teóricamente   en   el</w:t>
        <w:br/>
        <w:t xml:space="preserve">      ordenamiento jurídico han probado ser completamente  ilusorios  en  el</w:t>
        <w:br/>
        <w:t xml:space="preserve">      presente caso, dado que las víctimas nunca  han  logrado  obtener  una</w:t>
        <w:br/>
        <w:t xml:space="preserve">      investigación adecuada de del ataque a la aldea de  Moiwana,  a  pesar</w:t>
        <w:br/>
        <w:t xml:space="preserve">      que ocurrieron  múltiples  crímenes  que  requerían  investigación  de</w:t>
        <w:br/>
        <w:t xml:space="preserve">      oficio, incluyendo,  pero  sin  limitarse  a,  homicidio,  agresión  y</w:t>
        <w:br/>
        <w:t xml:space="preserve">      destrucción de propiedad;</w:t>
        <w:br/>
        <w:br/>
        <w:br/>
        <w:t xml:space="preserve">      e)    los únicos esfuerzos para llevar a cabo una investigación en  el</w:t>
        <w:br/>
        <w:t xml:space="preserve">      presente caso, encabezados por el inspector  Gooding,  alcanzaron  una</w:t>
        <w:br/>
        <w:t xml:space="preserve">      etapa en  la  que  varios  miembros  de  las  fuerzas  armadas  fueron</w:t>
        <w:br/>
        <w:t xml:space="preserve">      arrestados, sólo para ser liberados por la policía militar;</w:t>
        <w:br/>
        <w:br/>
        <w:br/>
        <w:t xml:space="preserve">      f)    a pesar de que esta acción  del  ejército  para  liberar  a  los</w:t>
        <w:br/>
        <w:t xml:space="preserve">      soldados detenidos implicó un incumplimiento abierto y notorio del rol</w:t>
        <w:br/>
        <w:t xml:space="preserve">      y autoridad de la policía militar, no se impuso a esta acción  ninguna</w:t>
        <w:br/>
        <w:t xml:space="preserve">      sanción oficial.  Al contrario,  la  investigación  del  ataque  a  la</w:t>
        <w:br/>
        <w:t xml:space="preserve">      Comunidad Moiwana fue suspendida después del homicidio  del  inspector</w:t>
        <w:br/>
        <w:t xml:space="preserve">      Gooding, en circunstancias que nunca se han aclarado.  De esta manera,</w:t>
        <w:br/>
        <w:t xml:space="preserve">      las autoridades responsables de llevar a cabo  una  investigación  han</w:t>
        <w:br/>
        <w:t xml:space="preserve">      sido intimidadas o se les ha impedido directamente aplicar  la  debida</w:t>
        <w:br/>
        <w:t xml:space="preserve">      diligencia en la investigación del ataque;</w:t>
        <w:br/>
        <w:br/>
        <w:br/>
        <w:t xml:space="preserve">      g)    adicionalmente a la  obligación  del  Estado  de  investigar  de</w:t>
        <w:br/>
        <w:t xml:space="preserve">      oficio cuando existe la sospecha de violaciones de  derechos  humanos,</w:t>
        <w:br/>
        <w:t xml:space="preserve">      la ley surinamés establece el derecho de la víctima de intervenir como</w:t>
        <w:br/>
        <w:t xml:space="preserve">      parte en una investigación penal.  Las presuntas  víctimas,  entonces,</w:t>
        <w:br/>
        <w:t xml:space="preserve">      tenían un derecho civil fundamental de ir ante las cortes,  y  de  esa</w:t>
        <w:br/>
        <w:t xml:space="preserve">      manera jugar un rol importante en impulsar el caso penal; sin embargo,</w:t>
        <w:br/>
        <w:t xml:space="preserve">      ese derecho no se puede realizar cuando  se  obstruye  el  proceso  de</w:t>
        <w:br/>
        <w:t xml:space="preserve">      investigación;</w:t>
        <w:br/>
        <w:br/>
        <w:br/>
        <w:t xml:space="preserve">      h)     los  familiares  tienen  derecho  a  conocer   los   hechos   y</w:t>
        <w:br/>
        <w:t xml:space="preserve">      circunstancias relativos al destino de sus  seres  queridos.   También</w:t>
        <w:br/>
        <w:t xml:space="preserve">      tienen derecho a una investigación judicial llevada  a  cabo  por  una</w:t>
        <w:br/>
        <w:t xml:space="preserve">      corte  penal   designada   para   establecer   responsabilidades   por</w:t>
        <w:br/>
        <w:t xml:space="preserve">      violaciones de derechos humanos;</w:t>
        <w:br/>
        <w:br/>
        <w:br/>
        <w:t xml:space="preserve">      i)    la ley de amnistía adoptada por el Estado promueve el  clima  de</w:t>
        <w:br/>
        <w:t xml:space="preserve">      impunidad que prevalece en Suriname después del ataque a la  Comunidad</w:t>
        <w:br/>
        <w:t xml:space="preserve">      Moiwana.  Dado que las iniciativas de investigación  nunca  alcanzaron</w:t>
        <w:br/>
        <w:t xml:space="preserve">      la etapa de acusación, la ley de amnistía no ha sido aplicada en  este</w:t>
        <w:br/>
        <w:t xml:space="preserve">      caso. Sin embargo, existen elementos probatorios que sugieren  que  la</w:t>
        <w:br/>
        <w:t xml:space="preserve">      ley tuvo el efecto de indicar a funcionarios relacionados con el  caso</w:t>
        <w:br/>
        <w:t xml:space="preserve">      que los responsables de las violaciones cometidas durante ese  período</w:t>
        <w:br/>
        <w:t xml:space="preserve">      de tiempo no serían llamados a rendir cuentas; y</w:t>
        <w:br/>
        <w:br/>
        <w:br/>
        <w:t xml:space="preserve">      j)    la ley de amnistía sigue siendo interpretada por  muchos  en  el</w:t>
        <w:br/>
        <w:t xml:space="preserve">      sentido de ser un obstáculo para la  aplicación  de  cualquier  medida</w:t>
        <w:br/>
        <w:t xml:space="preserve">      para identificar, perseguir penalmente y sancionar a los  responsables</w:t>
        <w:br/>
        <w:t xml:space="preserve">      del ataque a la aldea de Moiwana y, de  esa  forma,  contribuye  a  la</w:t>
        <w:br/>
        <w:t xml:space="preserve">      impunidad en Suriname, tanto en el presente caso como en otros.</w:t>
        <w:br/>
        <w:br/>
        <w:br/>
        <w:t>Alegatos de los representantes</w:t>
        <w:br/>
        <w:br/>
        <w:t>137.  Los representantes estuvieron de acuerdo con la  Comisión  en  que  el</w:t>
        <w:br/>
        <w:t>Estado ha violado los referidos derechos a las garantías judiciales y  a  la</w:t>
        <w:br/>
        <w:t>protección judicial, y argumentaron de la siguiente manera:</w:t>
        <w:br/>
        <w:br/>
        <w:t xml:space="preserve">      a)    la prueba presentada ante  la  Corte  demuestra  que  todas  las</w:t>
        <w:br/>
        <w:t xml:space="preserve">      presuntas víctimas buscaron activa y repetidamente un recurso jurídico</w:t>
        <w:br/>
        <w:t xml:space="preserve">      en Suriname, pero sus intentos de obtener justicia  fueron  ignorados,</w:t>
        <w:br/>
        <w:t xml:space="preserve">      rechazados y obstaculizados, y no produjeron resultado alguno;</w:t>
        <w:br/>
        <w:br/>
        <w:br/>
        <w:t xml:space="preserve">      b)    como resultado del incumplimiento  de  Suriname  de  proveer  un</w:t>
        <w:br/>
        <w:t xml:space="preserve">      recurso y garantías judiciales efectivas, así como de  la  obstrucción</w:t>
        <w:br/>
        <w:t xml:space="preserve">      de justicia por parte del Estado, a las presuntas víctimas se  les  ha</w:t>
        <w:br/>
        <w:t xml:space="preserve">      negado no sólo el derecho a una  investigación  efectiva  tendiente  a</w:t>
        <w:br/>
        <w:t xml:space="preserve">      esclarecer los hechos y a determinar responsabilidades,  sino  también</w:t>
        <w:br/>
        <w:t xml:space="preserve">      el  derecho  a  buscar  reparación  por  las  consecuencias   de   las</w:t>
        <w:br/>
        <w:t xml:space="preserve">      violaciones perpetradas en su contra;</w:t>
        <w:br/>
        <w:br/>
        <w:br/>
        <w:t xml:space="preserve">      c)    Suriname ha obstruido positivamente la justicia  en  este  caso,</w:t>
        <w:br/>
        <w:t xml:space="preserve">      tanto a través de las acciones de funcionarios militares en 1989  como</w:t>
        <w:br/>
        <w:t xml:space="preserve">      a través de la invocación de la Ley de Amnistía de  1989  en  relación</w:t>
        <w:br/>
        <w:t xml:space="preserve">      con la investigación inicial de restos mortales en 1993; y</w:t>
        <w:br/>
        <w:br/>
        <w:br/>
        <w:t xml:space="preserve">      d)    Suriname tiene una “responsabilidad internacional agravada”  por</w:t>
        <w:br/>
        <w:t xml:space="preserve">      su obstrucción de justicia en este caso y su continuada tolerancia  de</w:t>
        <w:br/>
        <w:t xml:space="preserve">      esa obstrucción.  Asimismo, la denegación de  justicia  en  este  caso</w:t>
        <w:br/>
        <w:t xml:space="preserve">      también  debe  verse  a  la  luz  de  la  “extrema  gravedad”  de  las</w:t>
        <w:br/>
        <w:t xml:space="preserve">      violaciones subyacentes; en este sentido, hay una obligación  positiva</w:t>
        <w:br/>
        <w:t xml:space="preserve">      para el Estado de investigar y juzgar crímenes contra la humanidad.</w:t>
        <w:br/>
        <w:br/>
        <w:t>Alegatos del Estado</w:t>
        <w:br/>
        <w:br/>
        <w:t>138.  En relación con la presunta violación de los derechos  consagrados  en</w:t>
        <w:br/>
        <w:t>los artículos 8 y 25 de la Convención Americana, el Estado alegó que:</w:t>
        <w:br/>
        <w:br/>
        <w:t xml:space="preserve">      a)    si el Estado puede  probar  en  el  presente  caso  que  ofreció</w:t>
        <w:br/>
        <w:t xml:space="preserve">      protección  judicial  adecuada  después  de  su  ratificación  de   la</w:t>
        <w:br/>
        <w:t xml:space="preserve">      Convención,  entonces  no  habría  una  violación  del  artículo   25,</w:t>
        <w:br/>
        <w:t xml:space="preserve">      suponiendo que  la  Corte  aceptara  el  argumento  de  la  “violación</w:t>
        <w:br/>
        <w:t xml:space="preserve">      continuada”;</w:t>
        <w:br/>
        <w:br/>
        <w:br/>
        <w:t xml:space="preserve">      b)    el Estado ha iniciado una investigación penal que  se  encuentra</w:t>
        <w:br/>
        <w:t xml:space="preserve">      en trámite, y no tiene intención de que ningún  delito  se  quede  sin</w:t>
        <w:br/>
        <w:t xml:space="preserve">      sanción;</w:t>
        <w:br/>
        <w:br/>
        <w:br/>
        <w:t xml:space="preserve">      c)    no hay falta de voluntad ni de capacidad por parte del Estado de</w:t>
        <w:br/>
        <w:t xml:space="preserve">      investigar, juzgar y  sancionar  a  quienes  presuntamente  cometieron</w:t>
        <w:br/>
        <w:t xml:space="preserve">      violaciones de derechos humanos  contra  los  residentes  de  Moiwana.</w:t>
        <w:br/>
        <w:t xml:space="preserve">      Suriname no ha rehusado en el pasado  ni  en  el  presente  a  proveer</w:t>
        <w:br/>
        <w:t xml:space="preserve">      justicia por el presunto ataque, ni ha obstruido la justicia  en  este</w:t>
        <w:br/>
        <w:t xml:space="preserve">      caso;</w:t>
        <w:br/>
        <w:br/>
        <w:br/>
        <w:t xml:space="preserve">      d)    a pesar de que las presuntas víctimas han requerido al  Gobierno</w:t>
        <w:br/>
        <w:t xml:space="preserve">      que inicie una investigación penal independiente, no  han  “denunciado</w:t>
        <w:br/>
        <w:t xml:space="preserve">      ningún delito”; por otro lado, no han iniciado un procedimiento  civil</w:t>
        <w:br/>
        <w:t xml:space="preserve">      ante las autoridades;</w:t>
        <w:br/>
        <w:br/>
        <w:br/>
        <w:t xml:space="preserve">      e)    en 1989 se inicio una investigación penal, sin que hubiera  sido</w:t>
        <w:br/>
        <w:t xml:space="preserve">      promovida por las presuntas víctimas o los peticionarios; sin embargo,</w:t>
        <w:br/>
        <w:t xml:space="preserve">      en ese  momento  “la  democracia  todavía  no  era  estable”  y,  como</w:t>
        <w:br/>
        <w:t xml:space="preserve">      resultado, el clima no  era  el  apropiado  para  llevar  a  cabo  una</w:t>
        <w:br/>
        <w:t xml:space="preserve">      investigación suficiente;</w:t>
        <w:br/>
        <w:br/>
        <w:br/>
        <w:t xml:space="preserve">      f)    en agosto de 2002 se reinició una investigación penal, sobre los</w:t>
        <w:br/>
        <w:t xml:space="preserve">      hechos del 29 de noviembre de 1986, que se está  llevando  a  cabo  de</w:t>
        <w:br/>
        <w:t xml:space="preserve">      conformidad con las normas legales nacionales,  con  el  propósito  de</w:t>
        <w:br/>
        <w:t xml:space="preserve">      juzgar y sancionar a los culpables;</w:t>
        <w:br/>
        <w:br/>
        <w:br/>
        <w:t xml:space="preserve">      g)    la situación política en Suriname es adecuada  para  un  enfoque</w:t>
        <w:br/>
        <w:t xml:space="preserve">      estructurado de la investigación penal en el caso Moiwana, así como de</w:t>
        <w:br/>
        <w:t xml:space="preserve">      otros hechos que ocurrieron durante los ochentas y principios  de  los</w:t>
        <w:br/>
        <w:t xml:space="preserve">      noventas. Se ha establecido un equipo de  oficiales  de  investigación</w:t>
        <w:br/>
        <w:t xml:space="preserve">      liderado por un fiscal en jefe;</w:t>
        <w:br/>
        <w:br/>
        <w:br/>
        <w:t xml:space="preserve">      h)    las presuntas víctimas y sus familiares tenían y tienen  todavía</w:t>
        <w:br/>
        <w:t xml:space="preserve">      la oportunidad de invocar y ejercer el derecho a un  recurso  judicial</w:t>
        <w:br/>
        <w:t xml:space="preserve">      sencillo, rápido y efectivo para la protección de sus derechos;</w:t>
        <w:br/>
        <w:br/>
        <w:br/>
        <w:t xml:space="preserve">      i)    la manera más efectiva de obtener una compensación por daños  es</w:t>
        <w:br/>
        <w:t xml:space="preserve">      el proceso civil. El Código de Procedimientos Civiles surinamés ofrece</w:t>
        <w:br/>
        <w:t xml:space="preserve">      a todos la oportunidad de iniciar un  acción  civil;  aunque  se  pudo</w:t>
        <w:br/>
        <w:t xml:space="preserve">      haber entablado una acción de esas características contra  el  Estado,</w:t>
        <w:br/>
        <w:t xml:space="preserve">      esto no se ha hecho en el presente caso;</w:t>
        <w:br/>
        <w:br/>
        <w:br/>
        <w:t xml:space="preserve">      j)    la Oficina de Asistencia Legal  del  Ministerio  de  Justicia  y</w:t>
        <w:br/>
        <w:t xml:space="preserve">      Policía  provee  asistencia  legal  a  personas  de   bajos   recursos</w:t>
        <w:br/>
        <w:t xml:space="preserve">      económicos;</w:t>
        <w:br/>
        <w:br/>
        <w:br/>
        <w:t xml:space="preserve">      k)    el  peticionario  original,  Moiwana  ’86,  conoce  la  referida</w:t>
        <w:br/>
        <w:t xml:space="preserve">      posibilidad para obtener justicia, dado que dicha organización inició,</w:t>
        <w:br/>
        <w:t xml:space="preserve">      a nivel nacional, una acción en contra del Estado para declarar que la</w:t>
        <w:br/>
        <w:t xml:space="preserve">      Ley de Amnistía de 1989 no es obligatoria;</w:t>
        <w:br/>
        <w:br/>
        <w:br/>
        <w:t xml:space="preserve">      l)    a través de la Ley  de  Amnistía  de  1989  no  se  han  violado</w:t>
        <w:br/>
        <w:t xml:space="preserve">      derechos de individuos. “Si  el  Estado  renuncia  al  juzgamiento  de</w:t>
        <w:br/>
        <w:t xml:space="preserve">      ciertas personas  […]  o  difiere  el  juzgamiento  hasta  un  momento</w:t>
        <w:br/>
        <w:t xml:space="preserve">      adecuado, lo que hace es diferir o renunciar al uso de ciertos  medios</w:t>
        <w:br/>
        <w:t xml:space="preserve">      para ejecutar o proteger […] derechos”;</w:t>
        <w:br/>
        <w:br/>
        <w:br/>
        <w:t xml:space="preserve">      m)    un Estado tiene tanto el derecho como la autoridad para “diferir</w:t>
        <w:br/>
        <w:t xml:space="preserve">      o renunciar al uso de ciertos  medios  para  hacer  cumplir  la  ley”,</w:t>
        <w:br/>
        <w:t xml:space="preserve">      cuando el uso de tales medios implicaría comprometer  otros  intereses</w:t>
        <w:br/>
        <w:t xml:space="preserve">      importantes que forman parte de las  responsabilidades  del  gobierno,</w:t>
        <w:br/>
        <w:t xml:space="preserve">      tales como asegurar la paz y el orden;</w:t>
        <w:br/>
        <w:br/>
        <w:br/>
        <w:t xml:space="preserve">      n)    al redactar la Ley de Amnistía de 1989 “el legislador  no  tenía</w:t>
        <w:br/>
        <w:t xml:space="preserve">      en mente la impunidad de los posibles perpetradores de los  hechos  en</w:t>
        <w:br/>
        <w:t xml:space="preserve">      Moiwana”;</w:t>
        <w:br/>
        <w:br/>
        <w:br/>
        <w:t xml:space="preserve">      o)     la  Ley  de  Amnistía  de  1989  no  es  contraria  al  derecho</w:t>
        <w:br/>
        <w:t xml:space="preserve">      internacional,  dado  que  otros  Estados   han   otorgado   amnistías</w:t>
        <w:br/>
        <w:t xml:space="preserve">      similares,  “con  la  cooperación  de  la  Organización   de   Estados</w:t>
        <w:br/>
        <w:t xml:space="preserve">      Americanos y la Organización para la Unidad Africana”;</w:t>
        <w:br/>
        <w:br/>
        <w:br/>
        <w:t xml:space="preserve">      p)    la Ley de Amnistía de 1989 no es aplicable a  crímenes  de  lesa</w:t>
        <w:br/>
        <w:t xml:space="preserve">      humanidad. No todas las infracciones a los derechos  otorgados  a  las</w:t>
        <w:br/>
        <w:t xml:space="preserve">      personas se incluyen bajo el título de  crímenes  de  lesa  humanidad;</w:t>
        <w:br/>
        <w:t xml:space="preserve">      estos abarcan crímenes cometidos dentro del  marco  de  una  violación</w:t>
        <w:br/>
        <w:t xml:space="preserve">      sistemática de derechos humanos con el objetivo de destruir o  diezmar</w:t>
        <w:br/>
        <w:t xml:space="preserve">      cierto grupo de personas, o al menos privarlas de un lugar  dentro  de</w:t>
        <w:br/>
        <w:t xml:space="preserve">      la sociedad normal.  Tal grupo se identifica con base en  el  carácter</w:t>
        <w:br/>
        <w:t xml:space="preserve">      nacional, la etnicidad, la raza o la religión; y</w:t>
        <w:br/>
        <w:br/>
        <w:br/>
        <w:t xml:space="preserve">      q)    La Ley de Amnistía de 1989 expresamente excluye la aplicación de</w:t>
        <w:br/>
        <w:t xml:space="preserve">      la amnistía a quienes hayan perpetrado crímenes contra la humanidad  y</w:t>
        <w:br/>
        <w:t xml:space="preserve">      “es  incorrectamente  considerada  como  una   herramienta   para   la</w:t>
        <w:br/>
        <w:t xml:space="preserve">      denegación de justicia”. “Si una  investigación  posterior  demostrara</w:t>
        <w:br/>
        <w:t xml:space="preserve">      que los acontecimientos en Moiwana  deben  ser  calificados  como  una</w:t>
        <w:br/>
        <w:t xml:space="preserve">      práctica de terrorismo en contra de la población o parte de  ella,  lo</w:t>
        <w:br/>
        <w:t xml:space="preserve">      cual significa que se puede verificar  en  forma  razonable  que  hubo</w:t>
        <w:br/>
        <w:t xml:space="preserve">      violaciones sistemáticas de derechos humanos, entonces, de conformidad</w:t>
        <w:br/>
        <w:t xml:space="preserve">      con la ley,  la  amnistía  no  se  aplica  a  los  autores  de  dichos</w:t>
        <w:br/>
        <w:t xml:space="preserve">      acontecimientos”.</w:t>
        <w:br/>
        <w:br/>
        <w:t>Consideraciones de la Corte</w:t>
        <w:br/>
        <w:br/>
        <w:t>139. 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140.  El artículo 25 de la Convención dispone: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a) a garantizar que la autoridad competente prevista  por  el  sistema</w:t>
        <w:br/>
        <w:t xml:space="preserve">      lega del Estado decidirá  sobre  los  derechos  de  toda  persona  que</w:t>
        <w:br/>
        <w:t xml:space="preserve">      interponga tal recurso;</w:t>
        <w:br/>
        <w:br/>
        <w:br/>
        <w:t xml:space="preserve">      b) a desarrollar las posibilidades de recurso judicial; y</w:t>
        <w:br/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141.  La Corte ha afirmado que carece de competencia  para  conocer  de  los</w:t>
        <w:br/>
        <w:t>hechos ocurridos el 29 de noviembre de 1986  en  la  aldea  de  Moiwana;  no</w:t>
        <w:br/>
        <w:t>obstante, tiene competencia para examinar la conducta  del  Estado  respecto</w:t>
        <w:br/>
        <w:t>del cumplimiento de la obligación de investigar estos  hechos  (supra  párr.</w:t>
        <w:br/>
        <w:t>43).  Este examen tendrá como objetivo  establecer  si  esta  obligación  se</w:t>
        <w:br/>
        <w:t>cumplió de conformidad con las  normas  de  los  artículos  8  y  25  de  la</w:t>
        <w:br/>
        <w:t>Convención.</w:t>
        <w:br/>
        <w:br/>
        <w:t>142.  La Corte ha sostenido que, según la Convención Americana, los  Estados</w:t>
        <w:br/>
        <w:t>Partes  se  obligan  a  suministrar  recursos  judiciales  efectivos  a  las</w:t>
        <w:br/>
        <w:t>víctimas de violaciones de los derechos  humanos  (art.  25),  recursos  que</w:t>
        <w:br/>
        <w:t>deben ser sustanciados de conformidad con  las  reglas  del  debido  proceso</w:t>
        <w:br/>
        <w:t>legal (art. 8.1), todo ello dentro de la obligación general, a cargo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jurisdicción[75].</w:t>
        <w:br/>
        <w:br/>
        <w:t>143.   En  casos  similares,   esta   Corte   ha   establecido   que   “[e]l</w:t>
        <w:br/>
        <w:t>esclarecimiento  de  si  el  Estado  ha  violado  o  no   sus   obligaciones</w:t>
        <w:br/>
        <w:t>internacionales por virtud de las  actuaciones  de  sus  órganos  judiciales</w:t>
        <w:br/>
        <w:t>puede conducir a que el Tribunal deba ocuparse de examinar  los  respectivos</w:t>
        <w:br/>
        <w:t>procesos  internos”[76].   Con  base  en  los   precedentes,   el   Tribunal</w:t>
        <w:br/>
        <w:t>considerará la  totalidad  de  los  procesos  nacionales  relevantes  en  el</w:t>
        <w:br/>
        <w:t>presente caso, con el fin de realizar una determinación informada  sobre  si</w:t>
        <w:br/>
        <w:t>se han violado las normas  de  la  Convención  mencionadas  relativas  a  la</w:t>
        <w:br/>
        <w:t>protección judicial y al debido  proceso[77].   Las  consideraciones  de  la</w:t>
        <w:br/>
        <w:t>Corte incluirán una discusión de los siguientes  elementos:  a)  el  recurso</w:t>
        <w:br/>
        <w:t>legal  adecuado,  dadas  las  circunstancias  del  presente  caso;   b)   la</w:t>
        <w:br/>
        <w:t>efectividad de dicho recurso; y c) el principio de plazo razonable.</w:t>
        <w:br/>
        <w:br/>
        <w:t>a)    El recurso legal adecuado</w:t>
        <w:br/>
        <w:br/>
        <w:t>144.  Durante el trámite del caso ante esta Corte, el  Estado  ha  sostenido</w:t>
        <w:br/>
        <w:t>que los miembros de la comunidad debieron haber  iniciado  acciones  civiles</w:t>
        <w:br/>
        <w:t>en las cortes nacionales para obtener  reparación  por  las  violaciones  de</w:t>
        <w:br/>
        <w:t>derechos humanos que alegan haber sufrido.  Suriname ha manifestado que  “la</w:t>
        <w:br/>
        <w:t>manera más efectiva de obtener una indemnización por daños y una  reparación</w:t>
        <w:br/>
        <w:t>es el proceso civil”, y que  “está  claro  que  los  peticionarios  debieron</w:t>
        <w:br/>
        <w:t>haber interpuesto una demanda civil para recibir compensación por los  daños</w:t>
        <w:br/>
        <w:t>materiales y [morales]”. En este sentido, Suriname presentó  prueba  de  que</w:t>
        <w:br/>
        <w:t>han prosperado acciones  contra  el  Estado  para  obtener  compensación,  y</w:t>
        <w:br/>
        <w:t>además señaló que no existe registro alguno de que miembros de la  comunidad</w:t>
        <w:br/>
        <w:t>hayan interpuesto una acción civil ante las cortes nacionales  (supra  párr.</w:t>
        <w:br/>
        <w:t>86.38).</w:t>
        <w:br/>
        <w:br/>
        <w:t>145.  La Corte observa  que,  eventualmente,  las  acciones  civiles  pueden</w:t>
        <w:br/>
        <w:t>servir como  medio  para  reparar  parcialmente  las  consecuencias  de  las</w:t>
        <w:br/>
        <w:t>violaciones de derechos humanos sufridas por los miembros de  la  comunidad,</w:t>
        <w:br/>
        <w:t>realizadas por agentes del Estado y  sus  colaboradores.   Sin  embargo,  se</w:t>
        <w:br/>
        <w:t>encuentra probado (supra párr. 86.15), así como expresamente reconocido  por</w:t>
        <w:br/>
        <w:t>Suriname, que agentes estatales estuvieron involucrados en el ataque del  29</w:t>
        <w:br/>
        <w:t>de noviembre de 1986 en el que murieron al menos  39  residentes  indefensos</w:t>
        <w:br/>
        <w:t>de la aldea de Moiwana – entre los cuales había niños, mujeres y ancianos  –</w:t>
        <w:br/>
        <w:t>y muchos otros resultaron heridos.  De  esta  manera,  los  hechos  muestran</w:t>
        <w:br/>
        <w:t>múltiples ejecuciones extrajudiciales; en tal situación,  la  jurisprudencia</w:t>
        <w:br/>
        <w:t>del Tribunal es inequívoca: el Estado tiene el deber de iniciar ex  officio,</w:t>
        <w:br/>
        <w:t>sin dilación, una investigación seria, imparcial y efectiva[78].</w:t>
        <w:br/>
        <w:br/>
        <w:t>146.  Al acceder a la Convención  Americana  en  el  año  1987,  la  primera</w:t>
        <w:br/>
        <w:t>acción  legal  que  Suriname  estaba  obligado   a   suministrar   era   una</w:t>
        <w:br/>
        <w:t>investigación pronta y exhaustiva sobre los hechos del 29  de  noviembre  de</w:t>
        <w:br/>
        <w:t>1986.  La Corte ha establecido que  tal  investigación  debe  cumplirse  con</w:t>
        <w:br/>
        <w:t>seriedad y no como  una  simple  formalidad  condenada  de  antemano  a  ser</w:t>
        <w:br/>
        <w:t>infructuosa[79].  Además, esta búsqueda efectiva de  la  verdad  corresponde</w:t>
        <w:br/>
        <w:t>al Estado, y definitivamente no depende de  la  iniciativa  procesal  de  la</w:t>
        <w:br/>
        <w:t>víctima,  o  de  sus  familiares   o   de   su   aportación   de   elementos</w:t>
        <w:br/>
        <w:t>probatorios[80].</w:t>
        <w:br/>
        <w:br/>
        <w:t>147.  El Tribunal ha afirmado que durante el proceso de investigación  y  el</w:t>
        <w:br/>
        <w:t>trámite judicial, las víctimas de violaciones de  derechos  humanos,  o  sus</w:t>
        <w:br/>
        <w:t>familiares,  deben  tener  amplias  oportunidades  para  participar  y   ser</w:t>
        <w:br/>
        <w:t>escuchados, tanto en el esclarecimiento de los hechos y la  sanción  de  los</w:t>
        <w:br/>
        <w:t>responsables, como en la búsqueda de una justa compensación[81].   La  Corte</w:t>
        <w:br/>
        <w:t>ha establecido que las víctimas de violaciones de  derechos  humanos  y  sus</w:t>
        <w:br/>
        <w:t>familiares  tienen  derecho  a  conocer  la  verdad  con  respecto  a   esas</w:t>
        <w:br/>
        <w:t>violaciones  –  esto  es,  a  ser  informados  sobre  los   hechos   y   los</w:t>
        <w:br/>
        <w:t>responsables[82].  Por  lo  tanto,  los  miembros  de  la  comunidad  tienen</w:t>
        <w:br/>
        <w:t>derecho en el presente caso a que las muertes y violaciones a la  integridad</w:t>
        <w:br/>
        <w:t>personal producto del ataque de 1986 sean efectivamente investigadas por  la</w:t>
        <w:br/>
        <w:t>autoridades estatales, a que  se  juzgue  y  sancione  adecuadamente  a  los</w:t>
        <w:br/>
        <w:t>responsables de las acciones ilegales, y  a  recibir  compensación  por  los</w:t>
        <w:br/>
        <w:t>daños y perjuicios sufridos[83].</w:t>
        <w:br/>
        <w:br/>
        <w:t>b)    La efectividad de la investigación estatal en el presente caso</w:t>
        <w:br/>
        <w:br/>
        <w:t>148.  Así, en respuesta a las ejecuciones extrajudiciales que ocurrieron  el</w:t>
        <w:br/>
        <w:t>29 de noviembre de 1986,  el  primer  recurso  que  el  Estado  debió  haber</w:t>
        <w:br/>
        <w:t>suministrado  era  una  investigación  efectiva  y   un   proceso   judicial</w:t>
        <w:br/>
        <w:t>tendientes al esclarecimiento de los hechos, la sanción de los  responsables</w:t>
        <w:br/>
        <w:t>y una compensación adecuada.  Para poder juzgar sobre la efectividad  de  la</w:t>
        <w:br/>
        <w:t>investigación del Estado en el presente caso, la Corte  considerará  si  las</w:t>
        <w:br/>
        <w:t>acciones oficiales se condujeron con la debida diligencia[84].</w:t>
        <w:br/>
        <w:br/>
        <w:t>149.   En  este  sentido,  el  Tribunal  ha  especificado  previamente   los</w:t>
        <w:br/>
        <w:t>principios rectores que es preciso observar  cuando  se  considera  que  una</w:t>
        <w:br/>
        <w:t>muerte  pudo  deberse  a  una  ejecución  extrajudicial.   Las   autoridades</w:t>
        <w:br/>
        <w:t>estatales que conducen una investigación deben intentar como  mínimo,  inter</w:t>
        <w:br/>
        <w:t>alia: a) identificar a la víctima; b)  recuperar  y  preservar  el  material</w:t>
        <w:br/>
        <w:t>probatorio relacionado con la muerte, con el  fin  de  ayudar  en  cualquier</w:t>
        <w:br/>
        <w:t>potencial investigación penal de los responsables; c)  identificar  posibles</w:t>
        <w:br/>
        <w:t>testigos y obtener sus declaraciones  en  relación  con  la  muerte  que  se</w:t>
        <w:br/>
        <w:t>investiga; d) determinar la causa, forma, lugar y momento de la muerte,  así</w:t>
        <w:br/>
        <w:t>como cualquier patrón o práctica que pueda haber causado  la  muerte;  y  e)</w:t>
        <w:br/>
        <w:t>distinguir   entre   muerte   natural,   muerte   accidental,   suicidio   y</w:t>
        <w:br/>
        <w:t>homicidio[85].  Además, la Corte hace  notar  que:  a)  se  debe  investigar</w:t>
        <w:br/>
        <w:t>exhaustivamente la escena del crimen, y b) profesionales  competentes  deben</w:t>
        <w:br/>
        <w:t>llevar a cabo autopsias rigurosamente, así como análisis de restos  humanos,</w:t>
        <w:br/>
        <w:t>empleando los procedimientos más apropiados[86].</w:t>
        <w:br/>
        <w:br/>
        <w:t>150.  En cuanto al  presente  caso,  los  hechos  probados  indican  que  la</w:t>
        <w:br/>
        <w:t>policía civil inició una investigación de los hechos del 29 de noviembre  de</w:t>
        <w:br/>
        <w:t>1986 en la aldea de Moiwana en 1989, más de  dos  años  después  del  ataque</w:t>
        <w:br/>
        <w:t>(supra párr. 86.25).  Durante marzo y abril de  1989,  el  inspector  Herman</w:t>
        <w:br/>
        <w:t>Gooding, que se encontraba a  cargo  de  dicha  investigación,  interrogó  a</w:t>
        <w:br/>
        <w:t>varios sospechosos y arrestó  al  menos  a  dos  personas,  Frits  Moesel  y</w:t>
        <w:br/>
        <w:t>Orlando Swedo (supra párr. 86.25). Sin  embargo,  poco  después  de  que  el</w:t>
        <w:br/>
        <w:t>señor Swedo quedara bajo custodia  estatal,  un  contingente  armado  de  la</w:t>
        <w:br/>
        <w:t>policía  militar  se  presentó  en  la  estación  de  policía  y  obtuvo  su</w:t>
        <w:br/>
        <w:t>liberación por la fuerza (supra párr.  86.26).   Después  del  asalto  a  la</w:t>
        <w:br/>
        <w:t>estación de la policía civil, el Comandante  del  Ejército  Desire  Bouterse</w:t>
        <w:br/>
        <w:t>emitió una  declaración,  en  la  cual  informó  lo  siguiente:  a)  que  la</w:t>
        <w:br/>
        <w:t>operación en la aldea de Moiwana fue una acción militar que él  mismo  había</w:t>
        <w:br/>
        <w:t>ordenado; b) que no permitiría que la policía civil investigara  operaciones</w:t>
        <w:br/>
        <w:t>militares; y c) que había ordenado la  liberación  del  señor  Swedo  (supra</w:t>
        <w:br/>
        <w:t>párr. 86.27).</w:t>
        <w:br/>
        <w:br/>
        <w:t>151.  La investigación oficial quedó abandonada hasta mayo de  1993,  cuando</w:t>
        <w:br/>
        <w:t>Moiwana ’86 descubrió una fosa común cerca de  la  aldea  de  Moiwana  y  lo</w:t>
        <w:br/>
        <w:t>notificó a la Oficina del Fiscal General (supra párr. 86.31).  El  sitio  de</w:t>
        <w:br/>
        <w:t>la fosa fue posteriormente visitado en dos ocasiones – 29 de  mayo  y  9  de</w:t>
        <w:br/>
        <w:t>junio de 1993 – por la policía militar y civil, un patólogo  y  Moiwana  ’86</w:t>
        <w:br/>
        <w:t>(supra párr. 86.31).  El equipo de excavación descubrió restos humanos,  que</w:t>
        <w:br/>
        <w:t>fueron llevados a  Paramaribo  para  hacer  mayores  análisis  (supra  párr.</w:t>
        <w:br/>
        <w:t>86.31).   Posteriormente,  sin  embargo,  las  autoridades  estatales   sólo</w:t>
        <w:br/>
        <w:t>informaron que los restos podían corresponder a entre cinco y siete  adultos</w:t>
        <w:br/>
        <w:t>y entre dos y tres niños; el Estado no ha provisto la identificación de  los</w:t>
        <w:br/>
        <w:t>cadáveres ni mayor información sobre  el  sitio  de  la  fosa  (supra  párr.</w:t>
        <w:br/>
        <w:t>86.31).</w:t>
        <w:br/>
        <w:br/>
        <w:t>152.  La Corte observa con gran preocupación que sólo  los  limitados  pasos</w:t>
        <w:br/>
        <w:t>de investigación descritos anteriormente fueron  realizados  por  el  Estado</w:t>
        <w:br/>
        <w:t>desde los hechos del 29 de  noviembre  de  1986.   Asimismo,  el  Estado  ha</w:t>
        <w:br/>
        <w:t>sostenido su posición de indiferencia a pesar de la  directiva  adoptada  el</w:t>
        <w:br/>
        <w:t>19 de diciembre de 1995 por la Asamblea Nacional de Suriname,  que  requirió</w:t>
        <w:br/>
        <w:t>al Poder Ejecutivo “iniciar una investigación inmediata” de las  violaciones</w:t>
        <w:br/>
        <w:t>de derechos humanos  cometidas  durante  el  régimen  militar  (supra  párr.</w:t>
        <w:br/>
        <w:t>86.32).</w:t>
        <w:br/>
        <w:br/>
        <w:t>153.  En sus esfuerzos por explicar la preocupante falta de  resultados,  el</w:t>
        <w:br/>
        <w:t>Estado ha señalado que el clima político en Suriname después del  ataque  de</w:t>
        <w:br/>
        <w:t>1986 impidió “una investigación independiente e  imparcial”,  dado  que  “la</w:t>
        <w:br/>
        <w:t>posición de poder que ostentan  antiguos  líderes  militares  aún  no  había</w:t>
        <w:br/>
        <w:t>finalizado y que […] la democracia aun no era estable”.   En  este  sentido,</w:t>
        <w:br/>
        <w:t>la Corte reconoce las difíciles circunstancias por  las  que  ha  atravesado</w:t>
        <w:br/>
        <w:t>Suriname en su lucha por la democracia.  Sin embargo,  las  condiciones  del</w:t>
        <w:br/>
        <w:t>país, sin importar qué tan difíciles sean,  generalmente  no  liberan  a  un</w:t>
        <w:br/>
        <w:t>Estado  Parte  en  la  Convención  Americana  de  sus  obligaciones  legales</w:t>
        <w:br/>
        <w:t>establecidas  en  ese  tratado,  que  subsisten  por  lo  que   respecta   a</w:t>
        <w:br/>
        <w:t>ejecuciones extrajudiciales[87].  El Tribunal ha sostenido que al  llevar  a</w:t>
        <w:br/>
        <w:t>cabo o tolerar acciones dirigidas a  realizar  ejecuciones  extrajudiciales,</w:t>
        <w:br/>
        <w:t>no investigarlas de manera adecuada y  no  sancionar,  en  su  caso,  a  los</w:t>
        <w:br/>
        <w:t>responsables, el Estado viola el deber de respetar los derechos  reconocidos</w:t>
        <w:br/>
        <w:t>por la Convención y garantizar su libre  y  pleno  ejercicio,  tanto  de  la</w:t>
        <w:br/>
        <w:t>presunta víctima como de sus familiares, e impide que  la  sociedad  conozca</w:t>
        <w:br/>
        <w:t>lo ocurrido[88].</w:t>
        <w:br/>
        <w:br/>
        <w:t>154.  Por su parte, las presuntas víctimas y las organizaciones  que  actúan</w:t>
        <w:br/>
        <w:t>en  su  nombre,  Moiwana  ’86  y   Association   Moiwana,   han   solicitado</w:t>
        <w:br/>
        <w:t>repetidamente una investigación oficial sobre  el  ataque  a  Moiwana.   Por</w:t>
        <w:br/>
        <w:t>ejemplo, de conformidad con los hechos probados,  el  24  de  mayo  de  1993</w:t>
        <w:br/>
        <w:t>Moiwana ’86 reportó el descubrimiento de la fosa común al Fiscal  General  y</w:t>
        <w:br/>
        <w:t>solicitó que se realizara con urgencia una investigación  del  ataque  y  el</w:t>
        <w:br/>
        <w:t>juzgamiento de los responsables (supra párr. 83.31).  El  23  de  agosto  de</w:t>
        <w:br/>
        <w:t>1993,  Moiwana  ’86  dirigió  otra  nota  al  Fiscal  General,   solicitando</w:t>
        <w:br/>
        <w:t>información sobre el estado de la investigación penal (supra párr. 86.34).</w:t>
        <w:br/>
        <w:br/>
        <w:t>155.  Asimismo, tal como se relata  en  los  hechos  probados  (supra  párr.</w:t>
        <w:br/>
        <w:t>86.35), después de la moción de la Asamblea Nacional, Moiwana  ’86  presentó</w:t>
        <w:br/>
        <w:t>dos solicitudes formales  en  1996  ante  el  Fiscal  General  para  que  se</w:t>
        <w:br/>
        <w:t>realizara una investigación adecuada sobre el ataque.  Al no haber  recibido</w:t>
        <w:br/>
        <w:t>una respuesta, Moiwana ’86 se comunicó con el  Presidente  de  la  Corte  de</w:t>
        <w:br/>
        <w:t>Justicia.  El 21 de agosto de 1996 el Presidente de  la  Corte  de  Justicia</w:t>
        <w:br/>
        <w:t>ordenó al Fiscal General que presentara a esa Corte, de conformidad  con  el</w:t>
        <w:br/>
        <w:t>artículo 4 del  Código  de  Procedimientos  Penales,  un  informe  sobre  el</w:t>
        <w:br/>
        <w:t>asunto,  que  debía  estar  acompañado   de   los   expedientes   policiales</w:t>
        <w:br/>
        <w:t>disponibles.  Sin embargo, la Oficina del Fiscal General  no  ha  respondido</w:t>
        <w:br/>
        <w:t>hasta ahora en forma adecuada estas solicitudes del Presidente de  la  Corte</w:t>
        <w:br/>
        <w:t>de Justicia y de Moiwana ’86.</w:t>
        <w:br/>
        <w:br/>
        <w:t>156.   La   inactividad   manifiesta   de   Suriname   ante   estos   hechos</w:t>
        <w:br/>
        <w:t>extremadamente graves – a pesar de la presión  de  las  presuntas  víctimas,</w:t>
        <w:br/>
        <w:t>así como del propio Poder Legislativo del Estado para investigar  el  ataque</w:t>
        <w:br/>
        <w:t>de 1986 – evidencia falta de respeto al principio de diligencia debida.   En</w:t>
        <w:br/>
        <w:t>efecto, cuando se realizó la audiencia pública  ante  esta  Corte  el  9  de</w:t>
        <w:br/>
        <w:t>septiembre de 2004, ni siquiera el propio Fiscal General de  Suriname  podía</w:t>
        <w:br/>
        <w:t>describir con algún grado de especificidad el  estado  de  la  investigación</w:t>
        <w:br/>
        <w:t>sobre  el  ataque  de   1986.    El   Tribunal,   entonces,   comparte   las</w:t>
        <w:br/>
        <w:t>consideraciones del Comité de Derechos Humanos de las  Naciones  Unidas,  el</w:t>
        <w:br/>
        <w:t>cual, en sus Observaciones  Finales  de  2004  sobre  la  situación  de  los</w:t>
        <w:br/>
        <w:t>derechos humanos en Suriname, señaló:</w:t>
        <w:br/>
        <w:br/>
        <w:t xml:space="preserve">      las investigaciones sobre […] la masacre en Moiwana  de  1986  aun  se</w:t>
        <w:br/>
        <w:t xml:space="preserve">      encuentran pendientes y todavía no han producido resultados concretos.</w:t>
        <w:br/>
        <w:t xml:space="preserve">       [La información aportada de que el  caso]  aun  se  encuentra  siendo</w:t>
        <w:br/>
        <w:t xml:space="preserve">      investigado es perturbadora, especialmente dado el tiempo transcurrido</w:t>
        <w:br/>
        <w:t xml:space="preserve">      desde que aconteció.  El Comité además considera  que  esta  situación</w:t>
        <w:br/>
        <w:t xml:space="preserve">      refleja falta de recursos efectivos disponibles para las  víctimas  de</w:t>
        <w:br/>
        <w:t xml:space="preserve">      violaciones de derechos humanos […][89].</w:t>
        <w:br/>
        <w:br/>
        <w:t xml:space="preserve">                                      *</w:t>
        <w:br/>
        <w:t xml:space="preserve">                                *          *</w:t>
        <w:br/>
        <w:br/>
        <w:t>157.  La Corte además observa que en el expediente consta  abundante  prueba</w:t>
        <w:br/>
        <w:t>que acredita el involucramiento  del  régimen  militar  de  Suriname  en  la</w:t>
        <w:br/>
        <w:t>obstrucción de justicia en el presente caso.  La liberación por medio de  la</w:t>
        <w:br/>
        <w:t>fuerza por parte del Comandante  Desire  Bouterse  de  Orlando  Swedo  y  su</w:t>
        <w:br/>
        <w:t>declaración   prohibiendo   investigaciones   adicionales   de   operaciones</w:t>
        <w:br/>
        <w:t>militares por parte de la policía civil son ejemplos irrefutables de ello.</w:t>
        <w:br/>
        <w:br/>
        <w:t>158.  Los hechos probados (supra párrs. 86.28, 86.29 y 86.37) también  ponen</w:t>
        <w:br/>
        <w:t>de manifiesto que los actores esenciales en la búsqueda de  justicia  en  el</w:t>
        <w:br/>
        <w:t>presente caso sufrieron grave violencia y hostigamientos: a) el 4 de  agosto</w:t>
        <w:br/>
        <w:t>de  1990  el  inspector  Herman  Gooding,  después  de  su  reunión  con  el</w:t>
        <w:br/>
        <w:t>Comandante Adjunto de la policía  militar,  fue  víctima  de  homicidio;  b)</w:t>
        <w:br/>
        <w:t>algunos de los investigadores policiales que colaboraron  con  el  inspector</w:t>
        <w:br/>
        <w:t>Gooding se enfrentaron  a  circunstancias  que  amenazaban  su  vida  y,  en</w:t>
        <w:br/>
        <w:t>consecuencia, huyeron de Suriname; c) Stanley Rensch,  fundador  de  Moiwana</w:t>
        <w:br/>
        <w:t>’86, sobrevivió un atentado de muerte y fue arrestado  en  forma  arbitraria</w:t>
        <w:br/>
        <w:t>en cuatro oportunidades; posteriormente, buscó refugió en el  extranjero;  y</w:t>
        <w:br/>
        <w:t>d) quienes colaboraron con Moiwana ’86 para obtener justicia por  el  ataque</w:t>
        <w:br/>
        <w:t>de 1986 y otras violaciones  de  derechos  humanos  relacionadas  con  aquél</w:t>
        <w:br/>
        <w:t>fueron amenazados y hostigados  con  frecuencia;  como  resultado  de  ello,</w:t>
        <w:br/>
        <w:t>algunos se vieron en la  necesidad  de  salir  de  Suriname  por  su  propia</w:t>
        <w:br/>
        <w:t>seguridad.</w:t>
        <w:br/>
        <w:br/>
        <w:t>159.  Esta Corte considera que  los  referidos  actos  de  violencia  y  las</w:t>
        <w:br/>
        <w:t>mencionadas amenazas se dirigían a disuadir a las  personas  mencionadas  de</w:t>
        <w:br/>
        <w:t>sus respectivos papeles en la investigación  y  el  esclarecimiento  de  los</w:t>
        <w:br/>
        <w:t>hechos relativos al ataque de 1986 a la aldea de Moiwana.  En este  sentido,</w:t>
        <w:br/>
        <w:t>el Tribunal nota con preocupación que, después de casi 15  años,  la  muerte</w:t>
        <w:br/>
        <w:t>del inspector Gooding aun no ha sido investigada en  forma  adecuada.   Para</w:t>
        <w:br/>
        <w:t>garantizar  el  debido  proceso  y  la  protección  judicial  en  una  nueva</w:t>
        <w:br/>
        <w:t>investigación oficial sobre el ataque de 1986 y las violaciones de  derechos</w:t>
        <w:br/>
        <w:t>humanos relacionadas con aquél, el Estado debe facilitar  todos  los  medios</w:t>
        <w:br/>
        <w:t>necesarios para proteger a los investigadores, testigos, fiscales, jueces  y</w:t>
        <w:br/>
        <w:t>a los miembros de la comunidad (infra párr. 207)[90].</w:t>
        <w:br/>
        <w:br/>
        <w:br/>
        <w:br/>
        <w:t>c)    El principio del plazo razonable</w:t>
        <w:br/>
        <w:br/>
        <w:t>160.  Desde que Suriname reconoció la competencia  de  la  Corte  el  12  de</w:t>
        <w:br/>
        <w:t>noviembre de 1987, han pasado casi 18 años y el Estado no ha  realizado  una</w:t>
        <w:br/>
        <w:t>investigación seria y efectiva de estos hechos que pueda haber  conducido  a</w:t>
        <w:br/>
        <w:t>un enjuiciamiento de los responsables del  ataque  a  la  aldea  de  Moiwana</w:t>
        <w:br/>
        <w:t>(supra párr. 86.33).  El Tribunal considera que una  demora  tan  prolongada</w:t>
        <w:br/>
        <w:t>constituye  per  se  una  violación  de  las   garantías   judiciales,   que</w:t>
        <w:br/>
        <w:t>difícilmente podría ser justificada por el Estado, sin perjuicio de lo  cual</w:t>
        <w:br/>
        <w:t>el Tribunal considerará si la demora se debió a la complejidad del caso o  a</w:t>
        <w:br/>
        <w:t>la conducta de las partes[91].</w:t>
        <w:br/>
        <w:br/>
        <w:t>161.  Con respecto a la conducta de las partes, los hechos  probados  (supra</w:t>
        <w:br/>
        <w:t>párrs.  86.34  y  86.35)  indican  que  las   presuntas   víctimas   y   sus</w:t>
        <w:br/>
        <w:t>representantes frecuentemente han solicitado con urgencia una  investigación</w:t>
        <w:br/>
        <w:t>penal sobre el ataque a la aldea de Moiwana, y en ocasiones  han  favorecido</w:t>
        <w:br/>
        <w:t>directamente los esfuerzos del Estado, como ocurrió en 1993, cuando  Moiwana</w:t>
        <w:br/>
        <w:t>’86 informó a la Oficina del Fiscal General el  descubrimiento  de  la  fosa</w:t>
        <w:br/>
        <w:t>común.</w:t>
        <w:br/>
        <w:br/>
        <w:t>162.  En relación con la complejidad del caso,  la  Corte  reconoce  que  la</w:t>
        <w:br/>
        <w:t>investigación sobre los hechos del 29 de noviembre de 1986  es  difícil,  ya</w:t>
        <w:br/>
        <w:t>que el ataque  involucró  las  acciones  de  un  régimen  militar  poderoso,</w:t>
        <w:br/>
        <w:t>comprendió  un  gran  número  de  víctimas  –  que  fallecieron   o   fueron</w:t>
        <w:br/>
        <w:t>desplazadas – y tuvo lugar en  una  región  remota  del  país,  entre  otros</w:t>
        <w:br/>
        <w:t>factores.  Sin embargo, se recuerda que en la  investigación  del  inspector</w:t>
        <w:br/>
        <w:t>Gooding, en 1989, se tomaron declaraciones de testigos y se llevaron a  cabo</w:t>
        <w:br/>
        <w:t>arrestos de probables responsables de los hechos (supra  párr.  86.25).   Si</w:t>
        <w:br/>
        <w:t>esta investigación no hubiera sido abandonada poco tiempo después  –  debido</w:t>
        <w:br/>
        <w:t>a las acciones militares de obstrucción (supra párrs. 86.26 y 86.27) y a  la</w:t>
        <w:br/>
        <w:t>posterior falta de iniciativa por parte de la  Oficina  del  Fiscal  General</w:t>
        <w:br/>
        <w:t>(supra párrs. 86.31 a 86.33 y 86.35) – podría haber culminado con  prontitud</w:t>
        <w:br/>
        <w:t>en la identificación y la sanción de los perpetradores del ataque.   Por  lo</w:t>
        <w:br/>
        <w:t>expuesto, la Corte considera que no se ha justificado la prolongada  demora;</w:t>
        <w:br/>
        <w:t>en consecuencia, se ha vulnerado el principio del plazo  razonable  en  esta</w:t>
        <w:br/>
        <w:t>investigación.</w:t>
        <w:br/>
        <w:br/>
        <w:t xml:space="preserve">                                      *</w:t>
        <w:br/>
        <w:t xml:space="preserve">                                *           *</w:t>
        <w:br/>
        <w:br/>
        <w:t>163.  En atención a  los  diversos  factores  analizados  anteriormente,  la</w:t>
        <w:br/>
        <w:t>Corte considera que  la  gravemente  deficiente  investigación  de  Suriname</w:t>
        <w:br/>
        <w:t>sobre el ataque de 1986 a la aldea de Moiwana, la  obstrucción  violenta  de</w:t>
        <w:br/>
        <w:t>justicia  y  el  largo  período   transcurrido   sin   que   se   logre   el</w:t>
        <w:br/>
        <w:t>esclarecimiento  de  los  hechos  y  la  sanción  de  los  responsables  han</w:t>
        <w:br/>
        <w:t>violentado las normas de acceso a la justicia y debido proceso  establecidas</w:t>
        <w:br/>
        <w:t>en la Convención Americana.</w:t>
        <w:br/>
        <w:br/>
        <w:t>164.   En  consecuencia,  el  Tribunal  declara  que  el  Estado  violó  los</w:t>
        <w:br/>
        <w:t>artículos 8.1 y 25 de la Convención Americana, en relación con  el  artículo</w:t>
        <w:br/>
        <w:t>1.1 de dicho tratado, en perjuicio de los miembros de la comunidad Moiwana.</w:t>
        <w:br/>
        <w:br/>
        <w:br/>
        <w:br/>
        <w:br/>
        <w:t xml:space="preserve">                                      *</w:t>
        <w:br/>
        <w:t xml:space="preserve">                                *           *</w:t>
        <w:br/>
        <w:br/>
        <w:t>165.  La Corte toma nota de que el 19 de agosto de  1992  el  Presidente  de</w:t>
        <w:br/>
        <w:t>Suriname promulgó oficialmente la Ley de Amnistía de 1989,  la  cual  otorga</w:t>
        <w:br/>
        <w:t>amnistía a quienes cometieron ciertos actos criminales, con la excepción  de</w:t>
        <w:br/>
        <w:t>crímenes de lesa humanidad, entre enero de 1985  y  agosto  de  1992  (supra</w:t>
        <w:br/>
        <w:t>párr. 86.39).  La ley define vagamente los crímenes de lesa  humanidad  como</w:t>
        <w:br/>
        <w:t>“aquellos crímenes que, de conformidad  con  el  derecho  internacional,  se</w:t>
        <w:br/>
        <w:t>encuentren  clasificados  como  tales”.   Naturalmente,  hubo  mucho  debate</w:t>
        <w:br/>
        <w:t>durante el trámite del caso ante el Tribunal sobre la posibilidad de que  el</w:t>
        <w:br/>
        <w:t>ataque de 1986 constituya  un  crimen  de  lesa  humanidad  conforme  a  esa</w:t>
        <w:br/>
        <w:t>definición.</w:t>
        <w:br/>
        <w:br/>
        <w:t>166.   En  este  sentido,   la   Corte   estima   necesario   reiterar   sus</w:t>
        <w:br/>
        <w:t>consideraciones anteriores: en respuesta a las  ejecuciones  extrajudiciales</w:t>
        <w:br/>
        <w:t>que ocurrieron el 29 de noviembre de 1986, el primer remedio que  el  Estado</w:t>
        <w:br/>
        <w:t>debió haber aportado era una investigación y un proceso  judicial  efectivos</w:t>
        <w:br/>
        <w:t>y prontos, tendientes al esclarecimiento de los hechos, la  sanción  de  los</w:t>
        <w:br/>
        <w:t>responsables y la compensación adecuada a las víctimas.</w:t>
        <w:br/>
        <w:br/>
        <w:t>167.  Como el Tribunal ha afirmado en repetidas ocasiones[92],  ninguna  ley</w:t>
        <w:br/>
        <w:t>o  disposición  interna  –  incluyendo  leyes  de  amnistía  y   plazos   de</w:t>
        <w:br/>
        <w:t>prescripción – podría oponerse al  cumplimiento  de  las  decisiones  de  la</w:t>
        <w:br/>
        <w:t>Corte en cuanto a la investigación y sanción  de  los  responsables  de  las</w:t>
        <w:br/>
        <w:t>violaciones  de  los  derechos  humanos.  Si  no  fuera  así,  los  derechos</w:t>
        <w:br/>
        <w:t>consagrados en la Convención Americana estarían desprovistos  de  protección</w:t>
        <w:br/>
        <w:t>efectiva. Este entendimiento de la  Corte  es  conforme  a  la  letra  y  al</w:t>
        <w:br/>
        <w:t>espíritu de la Convención, así como a los principios generales  del  derecho</w:t>
        <w:br/>
        <w:t>internacional.  Posee especial preeminencia entre dichos  principios  el  de</w:t>
        <w:br/>
        <w:t>pacta sunt Servando, el cual requiere que se asegure un efecto útil  de  las</w:t>
        <w:br/>
        <w:t>disposiciones de un tratado en el plano del derecho  interno  de  un  Estado</w:t>
        <w:br/>
        <w:t>Parte[93].</w:t>
        <w:br/>
        <w:br/>
        <w:br/>
        <w:t xml:space="preserve">                                    XIII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>Obligación de reparar</w:t>
        <w:br/>
        <w:br/>
        <w:t>168.  De acuerdo con las consideraciones sobre el  fondo  expuestas  en  los</w:t>
        <w:br/>
        <w:t>capítulos anteriores, la Corte declaró, con base en los hechos del caso,  la</w:t>
        <w:br/>
        <w:t>violación de los artículos 5, 22, 21, 8 y 25  de  la  Convención  Americana,</w:t>
        <w:br/>
        <w:t>todos en relación con el  artículo  1.1  de  dicho  tratado.   La  Corte  ha</w:t>
        <w:br/>
        <w:t>establecido, en varias ocasiones,  que  toda  violación  de  una  obligación</w:t>
        <w:br/>
        <w:t>internacional que  haya  producido  daño  comporta  el  deber  de  repararlo</w:t>
        <w:br/>
        <w:t>adecuadamente[94]. A tales  efectos,  el  artículo  63.1  de  la  Convención</w:t>
        <w:br/>
        <w:t>Americana establece que: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 una  justa  indemnización  a  la  parte  lesionada.  (El</w:t>
        <w:br/>
        <w:t xml:space="preserve">      subrayado no es del original.)</w:t>
        <w:br/>
        <w:br/>
        <w:t>169.  Dicho artículo refleja una norma consuetudinaria  que  constituye  uno</w:t>
        <w:br/>
        <w:t>de los principios  fundamentales  del  Derecho  Internacional  contemporáneo</w:t>
        <w:br/>
        <w:t>sobre la responsabilidad de los Estados. De esta manera,  al  producirse  un</w:t>
        <w:br/>
        <w:t>hecho ilícito imputable a un Estado, surge de inmediato  la  responsabilidad</w:t>
        <w:br/>
        <w:t>internacional de éste por la violación de la norma internacional de  que  se</w:t>
        <w:br/>
        <w:t>trata, con el consecuente deber de reparar y hacer cesar  las  consecuencias</w:t>
        <w:br/>
        <w:t>de la violación[95].</w:t>
        <w:br/>
        <w:br/>
        <w:t>170.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cabe  al  tribunal  internacional  determinar  una  serie  de</w:t>
        <w:br/>
        <w:t>medidas  para  que,  además  de  garantizar  el  respeto  de  los   derechos</w:t>
        <w:br/>
        <w:t>conculcados, se reparen las consecuencias producidas por las infracciones  y</w:t>
        <w:br/>
        <w:t>se establezca, inter alia, el pago de una  indemnización  como  compensación</w:t>
        <w:br/>
        <w:t>por los daños ocasionados[96]. La obligación de reparar, que  se  regula  en</w:t>
        <w:br/>
        <w:t>todos los aspectos (alcance, naturaleza, modalidades y determinación de  los</w:t>
        <w:br/>
        <w:t>beneficiarios) por el Derecho  Internacional,  no  puede  ser  modificada  o</w:t>
        <w:br/>
        <w:t>incumplida por el Estado obligado  invocando  disposiciones  de  su  derecho</w:t>
        <w:br/>
        <w:t>interno[97].</w:t>
        <w:br/>
        <w:br/>
        <w:t>171.  Las  reparaciones  consisten  en  las  medidas  que  tienden  a  hacer</w:t>
        <w:br/>
        <w:t>desaparecer los efectos de las violaciones cometidas.  Su  naturaleza  y  su</w:t>
        <w:br/>
        <w:t>monto dependen del daño ocasionado en  los  planos  material  e  inmaterial.</w:t>
        <w:br/>
        <w:t>Las reparaciones no pueden implicar ni  enriquecimiento  ni  empobrecimiento</w:t>
        <w:br/>
        <w:t>para la víctima o sus sucesores[98].</w:t>
        <w:br/>
        <w:br/>
        <w:t>172.  A la luz de los criterios anteriores, la Corte  procederá  a  analizar</w:t>
        <w:br/>
        <w:t>las pretensiones presentadas  por  la  Comisión  y  por  los  representantes</w:t>
        <w:br/>
        <w:t>respecto de  las  reparaciones,  con  el  objeto  de  disponer  las  medidas</w:t>
        <w:br/>
        <w:t>tendientes a reparar los daños en el presente caso.</w:t>
        <w:br/>
        <w:br/>
        <w:br/>
        <w:br/>
        <w:br/>
        <w:t xml:space="preserve">                             A)    Beneficiarios</w:t>
        <w:br/>
        <w:br/>
        <w:t>Alegatos de la Comisión</w:t>
        <w:br/>
        <w:br/>
        <w:t>173.  La Comisión considera que los beneficiarios de las indemnizaciones  en</w:t>
        <w:br/>
        <w:t>el presente caso deben ser  los  residentes  de  la  aldea  de  Moiwana  que</w:t>
        <w:br/>
        <w:t>sobrevivieron el ataque y los familiares de quienes murieron.</w:t>
        <w:br/>
        <w:br/>
        <w:t>Alegatos de los representantes</w:t>
        <w:br/>
        <w:br/>
        <w:t>174.  De igual forma, los representantes alegan  que  los  beneficiarios  de</w:t>
        <w:br/>
        <w:t>las  indemnizaciones  deben  ser  los  sobrevivientes  del  ataque   y   los</w:t>
        <w:br/>
        <w:t>familiares de quienes murieron.</w:t>
        <w:br/>
        <w:br/>
        <w:t>Alegatos del Estado</w:t>
        <w:br/>
        <w:br/>
        <w:t>175.  El Estado solicitó que se  rechace  la  solicitud  de  indemnizaciones</w:t>
        <w:br/>
        <w:t>presentada por la Comisión, basándose en que “el método aplicado por  [ésta]</w:t>
        <w:br/>
        <w:t>para determinar quiénes tienen derecho a las indemnizaciones,  así  como  el</w:t>
        <w:br/>
        <w:t>nivel de las reparaciones, no está justificado”.</w:t>
        <w:br/>
        <w:br/>
        <w:t>Consideraciones de la Corte</w:t>
        <w:br/>
        <w:br/>
        <w:t>176.  En primer lugar, la Corte considera que la “parte lesionada”,  en  los</w:t>
        <w:br/>
        <w:t>términos del artículo 63.1 de la Convención Americana, está constituida  por</w:t>
        <w:br/>
        <w:t>las personas definidas en el párrafo 71 como “los miembros de la  comunidad”</w:t>
        <w:br/>
        <w:t>(supra párrs. 71 y 86.17, en donde se encuentra la  lista  completa  de  las</w:t>
        <w:br/>
        <w:t>víctimas).  En consecuencia, dichas personas serán los beneficiarios de  las</w:t>
        <w:br/>
        <w:t>reparaciones que el Tribunal estime pertinentes ordenar.</w:t>
        <w:br/>
        <w:br/>
        <w:t>177.  Es preciso recordar que  cuando  se  está  en  presencia  de  un  caso</w:t>
        <w:br/>
        <w:t>contencioso ante la Corte,  la  parte  interesada  debe  comunicar  quién  o</w:t>
        <w:br/>
        <w:t>quiénes son los beneficiarios[99].  Por esta razón, este Tribunal  no  puede</w:t>
        <w:br/>
        <w:t>aceptar la solicitud de que ciertas víctimas, que a la  fecha  no  han  sido</w:t>
        <w:br/>
        <w:t>individualizadas  ante  la  Corte,  sean  identificadas  para   efectos   de</w:t>
        <w:br/>
        <w:t>indemnización con posterioridad a la presente Sentencia.   Tal  decisión  es</w:t>
        <w:br/>
        <w:t>consistente con la adoptada  por  la  Corte  en  el  Caso  Masacre  Plan  de</w:t>
        <w:br/>
        <w:t>Sánchez, en el que no se permitió que otras  víctimas  fueran  identificadas</w:t>
        <w:br/>
        <w:t>con  posterioridad  a   la   sentencia   de   reparaciones,   para   recibir</w:t>
        <w:br/>
        <w:t>indemnizaciones[100].</w:t>
        <w:br/>
        <w:br/>
        <w:t>178.  De conformidad con su  jurisprudencia[101],  este  Tribunal  considera</w:t>
        <w:br/>
        <w:t>como  adecuadamente  identificadas  aquellas  víctimas  a  quienes  se  hace</w:t>
        <w:br/>
        <w:t>referencia en un documento expedido por autoridad competente, como lo es  un</w:t>
        <w:br/>
        <w:t>certificado  de  nacimiento  o  “libro  de  familia”,  presentado  ante   el</w:t>
        <w:br/>
        <w:t>Tribunal.  En  relación  con  las  demás  víctimas  individualizadas  en  la</w:t>
        <w:br/>
        <w:t>demanda que no han sido adecuadamente identificadas  mediante  documentación</w:t>
        <w:br/>
        <w:t>oficial, la Corte dispone que la compensación que  corresponda  a  cada  una</w:t>
        <w:br/>
        <w:t>deberá ser otorgada de la misma manera que se prevé con respecto  a  quienes</w:t>
        <w:br/>
        <w:t>están  debidamente  identificados  mediante  documentos  públicos  –  en  la</w:t>
        <w:br/>
        <w:t>inteligencia de que deberán comparecer ante las autoridades competentes  del</w:t>
        <w:br/>
        <w:t>Estado dentro de los 24 meses siguientes a la notificación  de  la  presente</w:t>
        <w:br/>
        <w:t>Sentencia y presentar  un  medio  suficiente  de  identificación[102].   Son</w:t>
        <w:br/>
        <w:t>medios adecuados de identificación: a) un documento oficial  que  certifique</w:t>
        <w:br/>
        <w:t>la identidad de la persona; o b) una declaración rendida ante  la  autoridad</w:t>
        <w:br/>
        <w:t>pertinente por un líder reconocido por los  miembros  de  la  comunidad  que</w:t>
        <w:br/>
        <w:t>residían en Moiwana, unida a la declaración  de  dos  personas  adicionales,</w:t>
        <w:br/>
        <w:t>que den fe, claramente, de la identidad de la  persona.   Esta  amplitud  de</w:t>
        <w:br/>
        <w:t>criterio con respecto a la identificación obedece a las afirmaciones  de  la</w:t>
        <w:br/>
        <w:t>Comisión y de los representantes en el sentido  de  que  muchos  Maroons  no</w:t>
        <w:br/>
        <w:t>poseen documentos de identidad formales  y  nunca  fueron  inscritos  en  el</w:t>
        <w:br/>
        <w:t>registro nacional.</w:t>
        <w:br/>
        <w:br/>
        <w:t>179.   La  compensación  que  la  Corte  determine  será  entregada  a  cada</w:t>
        <w:br/>
        <w:t>beneficiario en su condición de víctima de las violaciones enumeradas en  el</w:t>
        <w:br/>
        <w:t>párrafo 168 de esta Sentencia.  Si alguna víctima ha  fallecido,  o  fallece</w:t>
        <w:br/>
        <w:t>antes de que le sea entregada la  indemnización  respectiva,  el  monto  que</w:t>
        <w:br/>
        <w:t>hubiera correspondido a esa  persona  se  distribuirá  conforme  al  derecho</w:t>
        <w:br/>
        <w:t>nacional aplicable. Si los legítimos  herederos  carecen  de  documentos  de</w:t>
        <w:br/>
        <w:t>identidad  oficiales,   deben   presentar   los   medios   alternativos   de</w:t>
        <w:br/>
        <w:t>identificación especificados anteriormente  para  recibir  la  indemnización</w:t>
        <w:br/>
        <w:t>correspondiente (supra párr. 178).</w:t>
        <w:br/>
        <w:br/>
        <w:t>180.  Las víctimas suficientemente identificadas son las siguientes:</w:t>
        <w:br/>
        <w:br/>
        <w:t>|1  |Hesdy Adam o Hesdie Adam                  |</w:t>
        <w:br/>
        <w:t>|2  |Marlene Adam                              |</w:t>
        <w:br/>
        <w:t>|3  |Marlon Adam                               |</w:t>
        <w:br/>
        <w:t>|4  |Petrus Adam                               |</w:t>
        <w:br/>
        <w:t>|5  |Antonius Agemi                            |</w:t>
        <w:br/>
        <w:t>|6  |A. Andro Ajintoena                        |</w:t>
        <w:br/>
        <w:t>|7  |Aboeda Ajintoena                          |</w:t>
        <w:br/>
        <w:t>|8  |Andre Ajintoena                           |</w:t>
        <w:br/>
        <w:t>|9  |Atema Ajintoena                           |</w:t>
        <w:br/>
        <w:t>|10 |Cynthia Ajintoena                         |</w:t>
        <w:br/>
        <w:t>|11 |Doortje Ajintoena                         |</w:t>
        <w:br/>
        <w:t>|12 |Eddy Ajintoena                            |</w:t>
        <w:br/>
        <w:t>|13 |Franklin Ajintoena                        |</w:t>
        <w:br/>
        <w:t>|14 |Gladys Ajintoena                          |</w:t>
        <w:br/>
        <w:t>|15 |Jacoba Ajintoena                          |</w:t>
        <w:br/>
        <w:t>|16 |Juliana Ajintoena                         |</w:t>
        <w:br/>
        <w:t>|17 |Letitia Ajintoena or Lettia Ajintoena     |</w:t>
        <w:br/>
        <w:t>|18 |Maikel Ajintoena                          |</w:t>
        <w:br/>
        <w:t>|19 |Marietje Ajintoena or Maritje Ajintoena   |</w:t>
        <w:br/>
        <w:t>|20 |Maureen Ajintoena                         |</w:t>
        <w:br/>
        <w:t>|21 |Miranda Ajintoena                         |</w:t>
        <w:br/>
        <w:t>|22 |Ottolina Ajintoena                        |</w:t>
        <w:br/>
        <w:t>|23 |P. Joetoe Ajintoena                       |</w:t>
        <w:br/>
        <w:t>|24 |S. Marciano Ajintoena                     |</w:t>
        <w:br/>
        <w:t>|25 |Richard Allawinsi                         |</w:t>
        <w:br/>
        <w:t>|26 |Roy Allawinsi                             |</w:t>
        <w:br/>
        <w:t>|27 |Alphons Apinsa                            |</w:t>
        <w:br/>
        <w:t>|28 |Erna Apinsa                               |</w:t>
        <w:br/>
        <w:t>|29 |Gwhen D. Apinsa                           |</w:t>
        <w:br/>
        <w:t>|30 |Meriam Apinsa                             |</w:t>
        <w:br/>
        <w:t>|31 |Sylvia Apinsa                             |</w:t>
        <w:br/>
        <w:t>|32 |Dannie Anna Asaiti                        |</w:t>
        <w:br/>
        <w:t>|33 |Erwien  Awese                             |</w:t>
        <w:br/>
        <w:t>|34 |Tjamaniesting Bron                        |</w:t>
        <w:br/>
        <w:t>|35 |Jacqueline Bron o Jacquelina  Bron        |</w:t>
        <w:br/>
        <w:t>|36 |Sawe Bron o Sawe Djang Abente Bron        |</w:t>
        <w:br/>
        <w:t>|37 |Marlon Difienjo o Michel Difienjo         |</w:t>
        <w:br/>
        <w:t>|38 |Antonia  Difienjo                         |</w:t>
        <w:br/>
        <w:t>|39 |Diana  Difienjo                           |</w:t>
        <w:br/>
        <w:t>|40 |Martha  Difienjo                          |</w:t>
        <w:br/>
        <w:t>|41 |M. Milton  Difienjo                       |</w:t>
        <w:br/>
        <w:t>|42 |Patricia  Difienjo                        |</w:t>
        <w:br/>
        <w:t>|43 |Petra  Difienjo                           |</w:t>
        <w:br/>
        <w:t>|44 |Anelies Djemesie o Annelies Jemessie      |</w:t>
        <w:br/>
        <w:t>|45 |Alfons Dogodoe                            |</w:t>
        <w:br/>
        <w:t>|46 |Benita  Dogodoe                           |</w:t>
        <w:br/>
        <w:t>|47 |Benito Dogodoe                            |</w:t>
        <w:br/>
        <w:t>|48 |Cynthia Dogodoe                           |</w:t>
        <w:br/>
        <w:t>|49 |D. Silvana  Dogodoe                       |</w:t>
        <w:br/>
        <w:t>|50 |Hellen Dogodoe                            |</w:t>
        <w:br/>
        <w:t>|51 |R. Patrick  Dogodoe                       |</w:t>
        <w:br/>
        <w:t>|52 |Richenel  Dogodoe                         |</w:t>
        <w:br/>
        <w:t>|53 |S. Claudia  Dogodoe                       |</w:t>
        <w:br/>
        <w:t>|54 |Z. Jose  Dogodoe                          |</w:t>
        <w:br/>
        <w:t>|55 |Johannes Jajo                             |</w:t>
        <w:br/>
        <w:t>|56 |Cornelly Madzy  James                     |</w:t>
        <w:br/>
        <w:t>|57 |Humprey James o Humphrey  James           |</w:t>
        <w:br/>
        <w:t>|58 |Manfika Kamee                             |</w:t>
        <w:br/>
        <w:t>|59 |Johannes Kanape                           |</w:t>
        <w:br/>
        <w:t>|60 |Agwe Kastiel                              |</w:t>
        <w:br/>
        <w:t>|61 |Alexander  Kate                           |</w:t>
        <w:br/>
        <w:t>|62 |Martha Makwasie                           |</w:t>
        <w:br/>
        <w:t>|63 |Benito  Martinies                         |</w:t>
        <w:br/>
        <w:t>|64 |Chequita  Martinies                       |</w:t>
        <w:br/>
        <w:t>|65 |Marciano Martinies                        |</w:t>
        <w:br/>
        <w:t>|66 |Petrus Martinies                          |</w:t>
        <w:br/>
        <w:t>|67 |Rodney Martinies                          |</w:t>
        <w:br/>
        <w:t>|68 |S. Ruben  Martinies                       |</w:t>
        <w:br/>
        <w:t>|69 |Rinia  Meenars                            |</w:t>
        <w:br/>
        <w:t>|70 |Andre Misidjan                            |</w:t>
        <w:br/>
        <w:t>|71 |Beata Misidjan o Beata Misdjan            |</w:t>
        <w:br/>
        <w:t>|72 |Carla Misidjan                            |</w:t>
        <w:br/>
        <w:t>|73 |Edmundo Misidjan o Edmundo Misdjan        |</w:t>
        <w:br/>
        <w:t>|74 |Ludwig Misidjan                           |</w:t>
        <w:br/>
        <w:t>|75 |Malai Misidjan                            |</w:t>
        <w:br/>
        <w:t>|76 |Mitori Misidjan                           |</w:t>
        <w:br/>
        <w:t>|77 |Reguillio Misidjan o Reguillio Misdjan    |</w:t>
        <w:br/>
        <w:t>|78 |Wilma Misidjan                            |</w:t>
        <w:br/>
        <w:t>|79 |Anoje M. Misidjan o Anoje M. Misiedjan    |</w:t>
        <w:br/>
        <w:t>|80 |Sandra  Misidjan o Sandra Misiedjan       |</w:t>
        <w:br/>
        <w:t>|81 |Apoer Lobbi Misiedjan o Apoerlobbi        |</w:t>
        <w:br/>
        <w:t>|   |Misidjan                                  |</w:t>
        <w:br/>
        <w:t>|82 |Leonie Pinas                              |</w:t>
        <w:br/>
        <w:t>|83 |Felisie Sate                              |</w:t>
        <w:br/>
        <w:t>|84 |Annelies Sjonko o Annalies Sjonko         |</w:t>
        <w:br/>
        <w:t>|85 |Cornelia Sjonko                           |</w:t>
        <w:br/>
        <w:t>|86 |Inez Sjonko o Aines Sjonko                |</w:t>
        <w:br/>
        <w:t>|87 |Jeanette E. Sjonko                        |</w:t>
        <w:br/>
        <w:t>|88 |R. Sjonko                                 |</w:t>
        <w:br/>
        <w:t>|89 |Carlo Sjonko                              |</w:t>
        <w:br/>
        <w:t>|90 |Isabella Sjonko                           |</w:t>
        <w:br/>
        <w:t>|91 |Johan Sjonko                              |</w:t>
        <w:br/>
        <w:t>|92 |Lothar Sjonko                             |</w:t>
        <w:br/>
        <w:t>|93 |Natashia Sjonko                           |</w:t>
        <w:br/>
        <w:t>|94 |Nicolien Sjonko                           |</w:t>
        <w:br/>
        <w:t>|95 |Antoon Solega                             |</w:t>
        <w:br/>
        <w:t>|96 |A. Dorothy Solega                         |</w:t>
        <w:br/>
        <w:t>|97 |H. Roel Solega                            |</w:t>
        <w:br/>
        <w:t>|98 |K. Delano Solega                          |</w:t>
        <w:br/>
        <w:t>|99 |M. Sellely Solega o M. Seclely Solega     |</w:t>
        <w:br/>
        <w:t>|100|Awese Lina L. Toetoe                      |</w:t>
        <w:br/>
        <w:t>|101|Jozef Toetoe o Jozef Toeboe               |</w:t>
        <w:br/>
        <w:t>|102|Erwin Willemdam                           |</w:t>
        <w:br/>
        <w:br/>
        <w:br/>
        <w:t>181.  Las víctimas que deben presentar medios adecuados  de  identificación,</w:t>
        <w:br/>
        <w:t>de conformidad con los términos del párrafo 178, son las siguientes:</w:t>
        <w:br/>
        <w:br/>
        <w:br/>
        <w:t>|1  |Johiena Adam                              |</w:t>
        <w:br/>
        <w:t>|2  |Majo Ajintoena                            |</w:t>
        <w:br/>
        <w:t>|3  |Miraldo Allawinsi o Miraldo Misidjan      |</w:t>
        <w:br/>
        <w:t>|4  |Anika M. Apinsa                           |</w:t>
        <w:br/>
        <w:t>|5  |Hermine Asaiti                            |</w:t>
        <w:br/>
        <w:t>|6  |Cyriel Bane                               |</w:t>
        <w:br/>
        <w:t>|7  |Mena Bron                                 |</w:t>
        <w:br/>
        <w:t>|8  |Rosita  Bron                              |</w:t>
        <w:br/>
        <w:t>|9  |Rudy Daniel                               |</w:t>
        <w:br/>
        <w:t>|10 |Gladys Djemesie                           |</w:t>
        <w:br/>
        <w:t>|11 |Glenn Djemesie                            |</w:t>
        <w:br/>
        <w:t>|12 |Ligia Djemesie                            |</w:t>
        <w:br/>
        <w:t>|13 |John James                                |</w:t>
        <w:br/>
        <w:t>|14 |Romeo  James                              |</w:t>
        <w:br/>
        <w:t>|15 |Adaja Kagoe                               |</w:t>
        <w:br/>
        <w:t>|16 |Johan  Laurence                           |</w:t>
        <w:br/>
        <w:t>|17 |Awena Misidjan                            |</w:t>
        <w:br/>
        <w:t>|18 |Jofita Misidjan                           |</w:t>
        <w:br/>
        <w:t>|19 |Marlon M. Misidjan                        |</w:t>
        <w:br/>
        <w:t>|20 |Rudy Misidjan                             |</w:t>
        <w:br/>
        <w:t>|21 |Theodorus Misidjan                        |</w:t>
        <w:br/>
        <w:t>|22 |Antonius Misiedjan o Misidjan Antonius    |</w:t>
        <w:br/>
        <w:t>|23 |John Misiedjan o John Misidjan            |</w:t>
        <w:br/>
        <w:t>|24 |Johnny Delano Misiedjan o Johny Delano    |</w:t>
        <w:br/>
        <w:t>|   |Misidjan                                  |</w:t>
        <w:br/>
        <w:t>|25 |Sadijeni Moiman                           |</w:t>
        <w:br/>
        <w:t>|26 |Jozef Toeli Pinas o Toeli-Jozef Pinas     |</w:t>
        <w:br/>
        <w:t>|27 |Alma O. Sjonko                            |</w:t>
        <w:br/>
        <w:t>|28 |Pepita M.J. Solega                        |</w:t>
        <w:br/>
        <w:br/>
        <w:br/>
        <w:t xml:space="preserve">                              B)  Daño Material</w:t>
        <w:br/>
        <w:br/>
        <w:t>Alegatos de la Comisión</w:t>
        <w:br/>
        <w:br/>
        <w:t>182.  La Comisión solicitó a la Corte que ordene al Estado el pago de  daños</w:t>
        <w:br/>
        <w:t>materiales concernientes  a  la  denegación  de  justicia  sufrida  por  las</w:t>
        <w:br/>
        <w:t>víctimas, basándose en las siguientes consideraciones:</w:t>
        <w:br/>
        <w:br/>
        <w:t xml:space="preserve">      a)     los  sobrevivientes  del  ataque  siguen  presionando   a   las</w:t>
        <w:br/>
        <w:t xml:space="preserve">      autoridades locales para que cumplan con su deber legal de  investigar</w:t>
        <w:br/>
        <w:t xml:space="preserve">      el caso, y una buena parte  de  esa  labor  ha  sido  llevada  a  cabo</w:t>
        <w:br/>
        <w:t xml:space="preserve">      conjuntamente con la organización Moiwana  ´86.  Estas  iniciativas  y</w:t>
        <w:br/>
        <w:t xml:space="preserve">      esfuerzos han implicado tiempo y gastos;</w:t>
        <w:br/>
        <w:br/>
        <w:br/>
        <w:t xml:space="preserve">      b)    los antiguos residentes de la aldea  de  Moiwana  perdieron  sus</w:t>
        <w:br/>
        <w:t xml:space="preserve">      hogares, posesiones y medios de subsistencia cuando se vieron forzados</w:t>
        <w:br/>
        <w:t xml:space="preserve">      a huir. Hasta la actualidad permanecen  en  condiciones  precarias  de</w:t>
        <w:br/>
        <w:t xml:space="preserve">      vida debido a que no han obtenido justicia ni  han  sido  indemnizados</w:t>
        <w:br/>
        <w:t xml:space="preserve">      durante los años subsiguientes;</w:t>
        <w:br/>
        <w:br/>
        <w:br/>
        <w:t xml:space="preserve">      c)     el  daño  material  también  incluye  las  pérdidas  económicas</w:t>
        <w:br/>
        <w:t xml:space="preserve">      relacionadas con el tratamiento  médico  o  psicológico   requerido  a</w:t>
        <w:br/>
        <w:t xml:space="preserve">      consecuencia del daño causado por  la  denegación  de  justicia  y  el</w:t>
        <w:br/>
        <w:t xml:space="preserve">      desplazamiento que se produjo en el presente caso;</w:t>
        <w:br/>
        <w:br/>
        <w:br/>
        <w:t xml:space="preserve">      d)    debido a que el ataque ha quedado impune, los sobrevivientes  no</w:t>
        <w:br/>
        <w:t xml:space="preserve">      han podido contar con los fundamentos de hecho y de derecho necesarios</w:t>
        <w:br/>
        <w:t xml:space="preserve">      para obtener indemnización por los daños  sufridos.  Consecuentemente,</w:t>
        <w:br/>
        <w:t xml:space="preserve">      pese a que es difícil cuantificar dichas  pérdidas,  estas  deben  ser</w:t>
        <w:br/>
        <w:t xml:space="preserve">      calculadas por la Corte en equidad.</w:t>
        <w:br/>
        <w:br/>
        <w:t>Alegatos de los representantes</w:t>
        <w:br/>
        <w:br/>
        <w:t>183.  Los representantes solicitaron que la Corte ordene el pago  por  daños</w:t>
        <w:br/>
        <w:t>materiales  e  inmateriales  resultantes  de  la  violación  continuada  del</w:t>
        <w:br/>
        <w:t>artículo 21 de la  Convención  Americana,  la  cual  “exige  que  el  Estado</w:t>
        <w:br/>
        <w:t>responda por el grave daño causado a  la  integridad  cultural,  dignidad  y</w:t>
        <w:br/>
        <w:t>bienestar  espiritual  de  las  víctimas  provocado   por   esta   privación</w:t>
        <w:br/>
        <w:t>arbitraria, no indemnizada y continua, así como por  la  destrucción  de  la</w:t>
        <w:br/>
        <w:t>manera de subsistencia de las víctimas”.</w:t>
        <w:br/>
        <w:br/>
        <w:t>Alegatos del Estado</w:t>
        <w:br/>
        <w:br/>
        <w:t>184.  En lo relativo a la petición de indemnización por  concepto  de  daños</w:t>
        <w:br/>
        <w:t>materiales, el Estado ha argumentado que:</w:t>
        <w:br/>
        <w:br/>
        <w:t xml:space="preserve">      a)    no se han proporcionado indicios o pruebas  concretas  sobre  el</w:t>
        <w:br/>
        <w:t xml:space="preserve">      daño material e inmaterial real que  se  produjo  como  resultado  del</w:t>
        <w:br/>
        <w:t xml:space="preserve">      presunto  incumplimiento  de  la  obligación  del  Estado  de  brindar</w:t>
        <w:br/>
        <w:t xml:space="preserve">      protección judicial y garantías conforme a la Convención.  Además,  no</w:t>
        <w:br/>
        <w:t xml:space="preserve">      existe correlación entre las presuntas violaciones y  el  nivel  y  la</w:t>
        <w:br/>
        <w:t xml:space="preserve">      naturaleza de las indemnizaciones solicitadas; y</w:t>
        <w:br/>
        <w:br/>
        <w:br/>
        <w:t xml:space="preserve">      b)    la Comisión intenta obtener, “mediante rodeos”,  pago  de  daños</w:t>
        <w:br/>
        <w:t xml:space="preserve">      por presuntas violaciones a los derechos humanos  que  ocurrieron  con</w:t>
        <w:br/>
        <w:t xml:space="preserve">      anterioridad a la ratificación del Estado a la  Convención  Americana,</w:t>
        <w:br/>
        <w:t xml:space="preserve">      incluyendo las violaciones al derecho a la vida.</w:t>
        <w:br/>
        <w:br/>
        <w:t>Consideraciones de la Corte</w:t>
        <w:br/>
        <w:br/>
        <w:t>185.  La Corte se referirá ahora al daño material sufrido por  las  víctimas</w:t>
        <w:br/>
        <w:t>como resultado de los hechos del presente caso, con el fin  de  ordenar  una</w:t>
        <w:br/>
        <w:t>indemnización apropiada.  A tales efectos, el Tribunal tomará en  cuenta  la</w:t>
        <w:br/>
        <w:t>prueba ofrecida, su jurisprudencia y  los  alegatos  relevantes  presentados</w:t>
        <w:br/>
        <w:t>por la Comisión, los representantes y el Estado.</w:t>
        <w:br/>
        <w:br/>
        <w:t>186.  Los hechos probados indican que los miembros de  la  comunidad  fueron</w:t>
        <w:br/>
        <w:t>forzados a dejar sus hogares y tierras tradicionales abruptamente, y se  han</w:t>
        <w:br/>
        <w:t>encontrado en situación de desplazamiento continuo, en la Guyana Francesa  o</w:t>
        <w:br/>
        <w:t>en otras partes de Suriname (supra  párr.  86.18).   Asimismo,  han  sufrido</w:t>
        <w:br/>
        <w:t>pobreza y privaciones desde su huida de la aldea de  Moiwana,  dado  que  la</w:t>
        <w:br/>
        <w:t>posibilidad de utilizar sus  medios  tradicionales  de  subsistencia  se  ha</w:t>
        <w:br/>
        <w:t>visto limitada drásticamente (supra párr. 86.18).</w:t>
        <w:br/>
        <w:br/>
        <w:t>187.  La Corte, tomando en cuenta, inter alia, las circunstancias  del  caso</w:t>
        <w:br/>
        <w:t>y la existencia de base suficiente para presumir  daño  material,  considera</w:t>
        <w:br/>
        <w:t>procedente, en equidad, ordenar al Estado el pago de una  indemnización  por</w:t>
        <w:br/>
        <w:t>concepto de daño material de US $3,000.00 (tres mil dólares de  los  Estados</w:t>
        <w:br/>
        <w:t>Unidos de América), a cada una de las víctimas  indicadas  en  los  párrafos</w:t>
        <w:br/>
        <w:t>180 y 181 de la presente Sentencia. La indemnización por  concepto  de  daño</w:t>
        <w:br/>
        <w:t>material deberá ser entregada a cada una de las víctimas de conformidad  con</w:t>
        <w:br/>
        <w:t>los párrafos 178 y 179 de este fallo.  Se ordenará una medida  adicional  en</w:t>
        <w:br/>
        <w:t>un apartado posterior de la presente Sentencia, con el  fin  de  reparar  la</w:t>
        <w:br/>
        <w:t>pérdida de los  hogares  de  los  miembros  de  la  comunidad  (infra  párr.</w:t>
        <w:br/>
        <w:t>214)[103].</w:t>
        <w:br/>
        <w:br/>
        <w:t xml:space="preserve">                             C)  Daño Inmaterial</w:t>
        <w:br/>
        <w:br/>
        <w:t>Alegatos de la Comisión</w:t>
        <w:br/>
        <w:br/>
        <w:t>188.  La Comisión solicitó que la Corte ordene al Estado  que  indemnice  el</w:t>
        <w:br/>
        <w:t>daño inmaterial causado  a  las  víctimas  por  la  denegación  de  justicia</w:t>
        <w:br/>
        <w:t>sufrida por éstas, basándose en las siguientes consideraciones:</w:t>
        <w:br/>
        <w:br/>
        <w:t xml:space="preserve">      a)    tanto los sobrevivientes como los familiares de quienes murieron</w:t>
        <w:br/>
        <w:t xml:space="preserve">      en el ataque han experimentado un sufrimiento moral como resultado  de</w:t>
        <w:br/>
        <w:t xml:space="preserve">      la permanente denegación de justicia, el desplazamiento forzado  y  la</w:t>
        <w:br/>
        <w:t xml:space="preserve">      ausencia de una explicación satisfactoria de lo ocurrido;</w:t>
        <w:br/>
        <w:br/>
        <w:t xml:space="preserve">      b)    los antiguos  residentes  de  la  aldea  de  Moiwana  se  vieron</w:t>
        <w:br/>
        <w:t xml:space="preserve">      traumatizados-  física,   sicológica   y   emocionalmente-   por   las</w:t>
        <w:br/>
        <w:t xml:space="preserve">      circunstancias del ataque que los forzó a huir con  terror  y  que  se</w:t>
        <w:br/>
        <w:t xml:space="preserve">      tradujo en la destrucción de sus hogares  y  de  la  comunidad  en  su</w:t>
        <w:br/>
        <w:t xml:space="preserve">      conjunto;</w:t>
        <w:br/>
        <w:br/>
        <w:t xml:space="preserve">      c)    las víctimas también  han  sufrido  porque  no  han  podido  dar</w:t>
        <w:br/>
        <w:t xml:space="preserve">      sepultura a sus seres queridos, siguiendo sus costumbres  ancestrales,</w:t>
        <w:br/>
        <w:t xml:space="preserve">      y en la mayoría de casos no tienen conocimiento de lo que ocurrió  con</w:t>
        <w:br/>
        <w:t xml:space="preserve">      sus cadáveres;</w:t>
        <w:br/>
        <w:br/>
        <w:t xml:space="preserve">      d)    las víctimas deben vivir con la idea de que su imposibilidad  de</w:t>
        <w:br/>
        <w:t xml:space="preserve">      obtener justicia, ha causado la ira en el mundo espiritual, lo cual ya</w:t>
        <w:br/>
        <w:t xml:space="preserve">      se ha  manifestado en forma de enfermedades, dolencias y desgracias;</w:t>
        <w:br/>
        <w:br/>
        <w:t xml:space="preserve">      e)    la incapacidad  para  mantener  una  relación  con  sus  tierras</w:t>
        <w:br/>
        <w:t xml:space="preserve">      ancestrales y sus lugares sagrados priva a las víctimas de un  aspecto</w:t>
        <w:br/>
        <w:t xml:space="preserve">      fundamental de su identidad cultural, lo cual se suma a su sentido  de</w:t>
        <w:br/>
        <w:t xml:space="preserve">      pérdida e incertidumbre sobre el futuro de la comunidad; y</w:t>
        <w:br/>
        <w:br/>
        <w:t xml:space="preserve">      f)    las víctimas temen  por  su  seguridad  personal,  debido  a  la</w:t>
        <w:br/>
        <w:t xml:space="preserve">      continua y persistente impunidad.</w:t>
        <w:br/>
        <w:br/>
        <w:br/>
        <w:t>Alegatos de los representantes</w:t>
        <w:br/>
        <w:br/>
        <w:t>189.  Los representantes solicitaron la reparación de daños inmateriales  en</w:t>
        <w:br/>
        <w:t>los siguientes términos:</w:t>
        <w:br/>
        <w:br/>
        <w:t xml:space="preserve">      a)    la compensación por daños morales debe  ser  ordenada  en  forma</w:t>
        <w:br/>
        <w:t xml:space="preserve">      adicional  a  la  decisión  condenatoria,  dada  la  gravedad  de  las</w:t>
        <w:br/>
        <w:t xml:space="preserve">      circunstancias y las violaciones de derechos humanos fundamentales que</w:t>
        <w:br/>
        <w:t xml:space="preserve">      se han dado en el presente caso, “tanto violaciones expuestas ante  la</w:t>
        <w:br/>
        <w:t xml:space="preserve">      Corte así como las subyacentes violaciones”; la constante indiferencia</w:t>
        <w:br/>
        <w:t xml:space="preserve">      del Estado frente a éste y el consecuente sufrimiento extremo  de  las</w:t>
        <w:br/>
        <w:t xml:space="preserve">      víctimas,;</w:t>
        <w:br/>
        <w:br/>
        <w:br/>
        <w:t xml:space="preserve">      b)    las circunstancias agravadas del caso que deben ser  tomadas  en</w:t>
        <w:br/>
        <w:t xml:space="preserve">      cuenta incluyen: graves violaciones al derecho a la vida como parte de</w:t>
        <w:br/>
        <w:t xml:space="preserve">      un patrón sistemático de violaciones, represalias colectivas en contra</w:t>
        <w:br/>
        <w:t xml:space="preserve">      de ciudadanos maroons; destrucción de los restos  mortales  de  muchas</w:t>
        <w:br/>
        <w:t xml:space="preserve">      víctimas de  la  matanza  y  denegación  del  derecho  fundamental  de</w:t>
        <w:br/>
        <w:t xml:space="preserve">      sepultarlos;  continua desposesión de las tierras y  de  los  recursos</w:t>
        <w:br/>
        <w:t xml:space="preserve">      tradicionales; marcada indiferencia y hostilidad  del  Estado  por  el</w:t>
        <w:br/>
        <w:t xml:space="preserve">      sufrimiento de las víctimas; obstrucción activa  de  la  justicia  por</w:t>
        <w:br/>
        <w:t xml:space="preserve">      parte de Suriname, y  ausencia  completa,  durante  18  años,  de  una</w:t>
        <w:br/>
        <w:t xml:space="preserve">      investigación sobre el ataque, el castigo de  los  responsables  y  la</w:t>
        <w:br/>
        <w:t xml:space="preserve">      indemnización a las víctimas;</w:t>
        <w:br/>
        <w:br/>
        <w:t xml:space="preserve">      c)    las víctimas han sufrido y sufren por la  imposibilidad  de  dar</w:t>
        <w:br/>
        <w:t xml:space="preserve">      cumplimiento  a  sus  normas   culturales   fundamentales   y   porque</w:t>
        <w:br/>
        <w:t xml:space="preserve">      “espíritus  enfurecidos  se  vengan  contra  [ellas]  y   les   causan</w:t>
        <w:br/>
        <w:t xml:space="preserve">      padecimiento físico y mental”;</w:t>
        <w:br/>
        <w:br/>
        <w:t xml:space="preserve">      d)    las víctimas se han visto forzadas a “recomenzar sus vidas en el</w:t>
        <w:br/>
        <w:t xml:space="preserve">      extranjero, lejos del contexto en el que [sus vidas] se habían  estado</w:t>
        <w:br/>
        <w:t xml:space="preserve">      desarrollando, en condiciones de soledad,  pobreza  y  grave  angustia</w:t>
        <w:br/>
        <w:t xml:space="preserve">      física y psicológica”; y</w:t>
        <w:br/>
        <w:br/>
        <w:t xml:space="preserve">      e)    el ataque no es un hecho superado para las  víctimas,  sino  una</w:t>
        <w:br/>
        <w:t xml:space="preserve">      carga que cada una ha soportado durante los últimos 18 años, que se ha</w:t>
        <w:br/>
        <w:t xml:space="preserve">      agudizado y ha causado un sufrimiento mayor debido a  la  indiferencia</w:t>
        <w:br/>
        <w:t xml:space="preserve">      del Estado.</w:t>
        <w:br/>
        <w:br/>
        <w:t>Alegatos del Estado</w:t>
        <w:br/>
        <w:br/>
        <w:t>190.  Los alegatos del Estado que  se  encuentran  en  la  sección  de  daño</w:t>
        <w:br/>
        <w:t>material (supra párr.  184)  también  se  aplican  a  lo  relativo  al  daño</w:t>
        <w:br/>
        <w:t>inmaterial.</w:t>
        <w:br/>
        <w:br/>
        <w:t>Consideraciones de la Corte</w:t>
        <w:br/>
        <w:br/>
        <w:t>191.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 víctima.  No siendo posible asignar al daño  inmaterial  un</w:t>
        <w:br/>
        <w:t>equivalente monetario preciso, para fines de la reparación  integral  a  las</w:t>
        <w:br/>
        <w:t>víctimas, sólo puede ser objeto de compensación de dos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que tengan como efecto,  entre  otros,  el  reconocimiento  de  la</w:t>
        <w:br/>
        <w:t>dignidad de la  víctima  y  evitar  la  repetición  de  las  violaciones  de</w:t>
        <w:br/>
        <w:t>derechos humanos[104].</w:t>
        <w:br/>
        <w:br/>
        <w:t>192.  La jurisprudencia internacional ha establecido reiteradamente  que  la</w:t>
        <w:br/>
        <w:t>sentencia constituye,  per  se,  una  forma  de  reparación.   No  obstante,</w:t>
        <w:br/>
        <w:t>tomando en  cuenta  las  graves  circunstancias  del  presente  caso  y  sus</w:t>
        <w:br/>
        <w:t>diversas consecuencias de orden  no  material  o  no  pecuniario,  la  Corte</w:t>
        <w:br/>
        <w:t>estima pertinente que los daños inmateriales  sean  reparados,  en  equidad,</w:t>
        <w:br/>
        <w:t>mediante el pago de una indemnización[105].</w:t>
        <w:br/>
        <w:br/>
        <w:t>193.  Con el fin de evaluar el daño inmaterial sufrido por las  víctimas  en</w:t>
        <w:br/>
        <w:t>el presente caso – un daño tan grave que tuvo como  resultado  la  violación</w:t>
        <w:br/>
        <w:t>del artículo 5 de la Convención Americana, en conjunto con el  artículo  1.1</w:t>
        <w:br/>
        <w:t>de dicho tratado (supra párr. 103) – la Corte ha estudiado el testimonio  de</w:t>
        <w:br/>
        <w:t>los miembros de la comunidad  Erwin  Willemdam,  Antonia  Difienjo  y  Andre</w:t>
        <w:br/>
        <w:t>Ajintoena,  y  considera  que  su  experiencia   puede   ser   tomada   como</w:t>
        <w:br/>
        <w:t>representativa de las víctimas en general[106].  Asimismo,  el  Tribunal  ha</w:t>
        <w:br/>
        <w:t>examinado las declaraciones del testigo Stanley Rensch,  y  de  los  peritos</w:t>
        <w:br/>
        <w:t>Kenneth M. Bilby y Thomas Polimé (rendida mediante affidávit),  quienes  han</w:t>
        <w:br/>
        <w:t>demostrado amplio conocimiento de la sociedad N’djuka en general, y  de  las</w:t>
        <w:br/>
        <w:t>circunstancias de los miembros de la comunidad en particular.</w:t>
        <w:br/>
        <w:br/>
        <w:t>194.  Dado que las víctimas del presente caso son  miembros  de  la  cultura</w:t>
        <w:br/>
        <w:t>N’djuka, este Tribunal considera que las reparaciones  individuales  que  se</w:t>
        <w:br/>
        <w:t>determinen deben complementarse con medidas que se ordenen  a  favor  de  la</w:t>
        <w:br/>
        <w:t>comunidad como un todo; tales medidas de reparación  serán  determinadas  en</w:t>
        <w:br/>
        <w:t>la sección D) de este capítulo[107].</w:t>
        <w:br/>
        <w:br/>
        <w:t>195.  La valoración por  parte  de  la  Corte  del  daño  inmaterial  en  el</w:t>
        <w:br/>
        <w:t>presente caso toma en cuenta, especialmente,  los  siguientes  aspectos  del</w:t>
        <w:br/>
        <w:t>sufrimiento de los miembros de la comunidad:</w:t>
        <w:br/>
        <w:br/>
        <w:t xml:space="preserve">      a)    la imposibilidad, a pesar  de  sus  esfuerzos  persistentes,  de</w:t>
        <w:br/>
        <w:t xml:space="preserve">      obtener justicia por el ataque a su aldea, particularmente a la luz de</w:t>
        <w:br/>
        <w:t xml:space="preserve">      la importancia que la cultura N’djuka asigna a la sanción adecuada  de</w:t>
        <w:br/>
        <w:t xml:space="preserve">      las ofensas inferidas (supra párr.  86.10).   La  impunidad  continua,</w:t>
        <w:br/>
        <w:t xml:space="preserve">      favorecida por los esfuerzos  del  Estado  por  obstruir  la  justicia</w:t>
        <w:br/>
        <w:t xml:space="preserve">      (supra párr.  86.33),  provoca  sentimientos  de  humillación,  ira  e</w:t>
        <w:br/>
        <w:t xml:space="preserve">      impotencia a los miembros de la comunidad, y les infunde temor de  que</w:t>
        <w:br/>
        <w:t xml:space="preserve">      los espíritus ofendidos busquen vengarse en ellos (supra párr. 86.43).</w:t>
        <w:br/>
        <w:t xml:space="preserve">       Adicionalmente, debido a la falta  de  una  investigación  penal  por</w:t>
        <w:br/>
        <w:t xml:space="preserve">      parte del Estado,  los  miembros  de  la  comunidad  tienen  miedo  de</w:t>
        <w:br/>
        <w:t xml:space="preserve">      enfrentar hostilidades,  una  vez  más,  si  regresan  a  sus  tierras</w:t>
        <w:br/>
        <w:t xml:space="preserve">      tradicionales (supra párr. 86.43);</w:t>
        <w:br/>
        <w:br/>
        <w:br/>
        <w:t xml:space="preserve">      b)    las víctimas no saben qué sucedió con los restos mortales de sus</w:t>
        <w:br/>
        <w:t xml:space="preserve">      seres queridos y,  como  resultado,  no  pueden  honrarlos  ni  darles</w:t>
        <w:br/>
        <w:t xml:space="preserve">      sepultura, según los principios fundamentales de la  cultura  N’djuka,</w:t>
        <w:br/>
        <w:t xml:space="preserve">      lo cual les causa  profunda  angustia  y  desesperación  (supra  párr.</w:t>
        <w:br/>
        <w:t xml:space="preserve">      86.42).   Dado  que  no  se  han  realizado  los  diferentes  rituales</w:t>
        <w:br/>
        <w:t xml:space="preserve">      mortuorios de acuerdo con la tradición N’djuka,  los  miembros  de  la</w:t>
        <w:br/>
        <w:t xml:space="preserve">      comunidad  tienen  miedo   de   contraer   “enfermedades   de   origen</w:t>
        <w:br/>
        <w:t xml:space="preserve">      espiritual”, que en su  concepto  pueden  afectar  al  linaje  natural</w:t>
        <w:br/>
        <w:t xml:space="preserve">      completo y que,  de  no  lograr  la  reconciliación,  persistirán  por</w:t>
        <w:br/>
        <w:t xml:space="preserve">      generaciones (supra párr. 86.9); y</w:t>
        <w:br/>
        <w:br/>
        <w:br/>
        <w:t xml:space="preserve">      c)    la conexión de los miembros de la comunidad  con  su  territorio</w:t>
        <w:br/>
        <w:t xml:space="preserve">      ancestral fue interrumpida de forma brusca – provocando su  dispersión</w:t>
        <w:br/>
        <w:t xml:space="preserve">      por todo Suriname y la Guyana Francesa.  Dado que la relación  de  una</w:t>
        <w:br/>
        <w:t xml:space="preserve">      comunidad N’djuka con su tierra tradicional es  de  vital  importancia</w:t>
        <w:br/>
        <w:t xml:space="preserve">      espiritual,  cultural  y  material,  el  desplazamiento   forzado   ha</w:t>
        <w:br/>
        <w:t xml:space="preserve">      lesionado emocional,  espiritual,  cultural  y  económicamente  a  los</w:t>
        <w:br/>
        <w:t xml:space="preserve">      integrantes de aquélla (supra párr. 86.42).</w:t>
        <w:br/>
        <w:br/>
        <w:t>196.   En  consideración  de   las   graves   circunstancias   anteriormente</w:t>
        <w:br/>
        <w:t>descritas, el Tribunal estima procedente, en equidad, ordenar al  Estado  el</w:t>
        <w:br/>
        <w:t>pago de indemnización por concepto de  daño  inmaterial  por  US  $10,000.00</w:t>
        <w:br/>
        <w:t>(diez mil dólares de los Estados Unidos  de  América)  a  cada  una  de  las</w:t>
        <w:br/>
        <w:t>víctimas indicadas en  los  párrafos  180  y  181  de  esta  Sentencia.   La</w:t>
        <w:br/>
        <w:t>indemnización por daño inmaterial deberá ser entregada a  cada  una  de  las</w:t>
        <w:br/>
        <w:t>víctimas en los términos de los párrafos 178 y 179 de este fallo.</w:t>
        <w:br/>
        <w:br/>
        <w:br/>
        <w:t xml:space="preserve">                       D)  Otras Formas de Reparación</w:t>
        <w:br/>
        <w:t xml:space="preserve">           (Medidas de satisfacción y garantías de no repetición)</w:t>
        <w:br/>
        <w:br/>
        <w:t>Alegatos de la Comisión</w:t>
        <w:br/>
        <w:br/>
        <w:t>197.  Con  respecto  a  las  medidas  de  satisfacción  y  garantías  de  no</w:t>
        <w:br/>
        <w:t>repetición, la Comisión solicitó  a  la  Corte  que  ordene  a  Suriname  lo</w:t>
        <w:br/>
        <w:t>siguiente:</w:t>
        <w:br/>
        <w:br/>
        <w:t xml:space="preserve">      a)    adoptar todas las medidas necesarias para asegurar una rápida  y</w:t>
        <w:br/>
        <w:t xml:space="preserve">      efectiva investigación del ataque a la aldea de Moiwana y la posterior</w:t>
        <w:br/>
        <w:t xml:space="preserve">      denegación de justicia, para  garantizar  que  los  responsables  sean</w:t>
        <w:br/>
        <w:t xml:space="preserve">      enjuiciados y sancionados;</w:t>
        <w:br/>
        <w:br/>
        <w:t xml:space="preserve">      b)    disponer el regreso de todos  los  antiguos  integrantes  de  la</w:t>
        <w:br/>
        <w:t xml:space="preserve">      aldea de Moiwana y sus familiares, así como de todos los familiares de</w:t>
        <w:br/>
        <w:t xml:space="preserve">      quienes fueron asesinados, que deseen  reanudar  sus  vidas  en  dicha</w:t>
        <w:br/>
        <w:t xml:space="preserve">      aldea. Estas medidas deben incluir: i) reconocimiento formal  y  legal</w:t>
        <w:br/>
        <w:t xml:space="preserve">      del derecho a poseer y ocupar el lugar tradicional  en  su  comunidad;</w:t>
        <w:br/>
        <w:t xml:space="preserve">      ii) garantías que aseguren su seguridad personal; y iii) construcción,</w:t>
        <w:br/>
        <w:t xml:space="preserve">      equipamiento y dotación de personal a facilidades de educación y salud</w:t>
        <w:br/>
        <w:t xml:space="preserve">      en la comunidad;</w:t>
        <w:br/>
        <w:br/>
        <w:t xml:space="preserve">      c)    ubicar los restos mortales de las víctimas que  murieron  en  el</w:t>
        <w:br/>
        <w:t xml:space="preserve">      ataque a Moiwana, cuyos cuerpos no han sido  recuperados  y  exhumados</w:t>
        <w:br/>
        <w:t xml:space="preserve">      y/o adoptar las demás medidas necesarias para satisfacer los deseos de</w:t>
        <w:br/>
        <w:t xml:space="preserve">      sus familiares respecto a la sepultura adecuada y definitiva  de  esos</w:t>
        <w:br/>
        <w:t xml:space="preserve">      restos;</w:t>
        <w:br/>
        <w:br/>
        <w:t xml:space="preserve">      d)    erigir un monumento en memoria de la  matanza  de  la  aldea  de</w:t>
        <w:br/>
        <w:t xml:space="preserve">      Moiwana y de sus víctimas, en consulta con los  sobrevivientes  y  los</w:t>
        <w:br/>
        <w:t xml:space="preserve">      familiares de los muertos, teniendo en cuenta los deseos de éstos; y</w:t>
        <w:br/>
        <w:br/>
        <w:t xml:space="preserve">      e)    emitir una disculpa formal al Gaanman designado por la comunidad</w:t>
        <w:br/>
        <w:t xml:space="preserve">      N’djuka por la negación de brindar protección y garantías  judiciales,</w:t>
        <w:br/>
        <w:t xml:space="preserve">      y por el desplazamiento forzado.</w:t>
        <w:br/>
        <w:br/>
        <w:t>198.  La Comisión basó sus solicitudes en las siguientes consideraciones:</w:t>
        <w:br/>
        <w:br/>
        <w:t xml:space="preserve">      1. Investigación criminal</w:t>
        <w:br/>
        <w:br/>
        <w:t xml:space="preserve">      a)    las víctimas sienten que tienen la obligación de  garantizar  la</w:t>
        <w:br/>
        <w:t xml:space="preserve">      reivindicación de la dignidad de quienes fueron asesinados mediante el</w:t>
        <w:br/>
        <w:t xml:space="preserve">      esclarecimiento de los hechos y la  determinación  de  responsabilidad</w:t>
        <w:br/>
        <w:t xml:space="preserve">      por las violaciones sufridas. Además, han señalado  que  la  impunidad</w:t>
        <w:br/>
        <w:t xml:space="preserve">      que reviste el presente caso muestra el desprecio del Estado hacia las</w:t>
        <w:br/>
        <w:t xml:space="preserve">      vidas de quienes murieron  en  el  ataque  y  al  sufrimiento  de  los</w:t>
        <w:br/>
        <w:t xml:space="preserve">      sobrevivientes;</w:t>
        <w:br/>
        <w:br/>
        <w:t xml:space="preserve">      b)    la cultura N’djuka atribuye un papel central a la justicia.  Los</w:t>
        <w:br/>
        <w:t xml:space="preserve">      sobrevivientes y los familiares están obligados por la ley  N’djuka  a</w:t>
        <w:br/>
        <w:t xml:space="preserve">      procurar justicia a fin de que los espíritus puedan descansar en  paz.</w:t>
        <w:br/>
        <w:t xml:space="preserve">      Si ello no ocurre, los espíritus pueden  irritarse  y  causar  grandes</w:t>
        <w:br/>
        <w:t xml:space="preserve">      dificultades a los sobrevivientes y a sus familiares;</w:t>
        <w:br/>
        <w:br/>
        <w:t xml:space="preserve">      c)    el hecho de que las  víctimas  no  hayan  obtenido  justicia  ni</w:t>
        <w:br/>
        <w:t xml:space="preserve">      reparaciones por la matanza es visto por  otros  miembros  de  N’djuka</w:t>
        <w:br/>
        <w:t xml:space="preserve">      como algo sumamente vergonzoso, pues es percibido como  incumplimiento</w:t>
        <w:br/>
        <w:t xml:space="preserve">      de sus obligaciones con los muertos.  Esta pérdida de posición  dentro</w:t>
        <w:br/>
        <w:t xml:space="preserve">      de la sociedad N’djuka es una constante fuente de  dolor  y  vergüenza</w:t>
        <w:br/>
        <w:t xml:space="preserve">      para las víctimas;</w:t>
        <w:br/>
        <w:br/>
        <w:t xml:space="preserve">      2. El regreso de las víctimas</w:t>
        <w:br/>
        <w:br/>
        <w:t xml:space="preserve">      d)    después del ataque y de la masacre, los  sobrevivientes  huyeron</w:t>
        <w:br/>
        <w:t xml:space="preserve">      a otros lugares en Suriname y a la Guyana Francesa. Los sobrevivientes</w:t>
        <w:br/>
        <w:t xml:space="preserve">      que llegaron a la Guyana Francesa fueron  ubicados  en  un  campamento</w:t>
        <w:br/>
        <w:t xml:space="preserve">      para refugiados; a comienzos de 1993  algunos  de  los  sobrevivientes</w:t>
        <w:br/>
        <w:t xml:space="preserve">      decidieron volver a Suriname;</w:t>
        <w:br/>
        <w:br/>
        <w:t xml:space="preserve">      e)    de conformidad con lo establecido en  el  acuerdo  con  Francia,</w:t>
        <w:br/>
        <w:t xml:space="preserve">      cuando las víctimas volvieron a Suriname fueron ubicadas temporalmente</w:t>
        <w:br/>
        <w:t xml:space="preserve">      en un centro de recepciones en  Moengo,  oportunidad  en  la  cual  el</w:t>
        <w:br/>
        <w:t xml:space="preserve">      Estado  prometió  reconstruir  su  aldea  y  atender   a   sus   otras</w:t>
        <w:br/>
        <w:t xml:space="preserve">      necesidades. Sin embargo, dicha promesa nunca fue  cumplida  y  muchos</w:t>
        <w:br/>
        <w:t xml:space="preserve">      aún permanecen en dicho centro de recepción;</w:t>
        <w:br/>
        <w:br/>
        <w:t xml:space="preserve">      f)    hasta la presente fecha, muchas de  las  víctimas  no  están  en</w:t>
        <w:br/>
        <w:t xml:space="preserve">      condiciones de regresar a Moiwana en forma  permanente  debido  a  los</w:t>
        <w:br/>
        <w:t xml:space="preserve">      recuerdos traumáticos y sumamente dolorosos del ataque;</w:t>
        <w:br/>
        <w:br/>
        <w:t xml:space="preserve">      g)    otros están temerosos de que la matanza pueda repetirse debido a</w:t>
        <w:br/>
        <w:t xml:space="preserve">      la continua impunidad. El autor de la matanza, Desire Bouterse,  posee</w:t>
        <w:br/>
        <w:t xml:space="preserve">      un cargo prominente y  poderoso  en  la  vida  pública  surinamés:  es</w:t>
        <w:br/>
        <w:t xml:space="preserve">      miembro del Parlamento y líder del Partido  Democrático  Nacional,  el</w:t>
        <w:br/>
        <w:t xml:space="preserve">      mayor partido de oposición;</w:t>
        <w:br/>
        <w:br/>
        <w:t xml:space="preserve">      h)    algunas víctimas quieren regresar en forma permanente a  Moiwana</w:t>
        <w:br/>
        <w:t xml:space="preserve">      y otras desean simplemente cultivar las tierras, pero no vivir ahí; en</w:t>
        <w:br/>
        <w:t xml:space="preserve">      cualquier caso, todos quieren cumplir sus obligaciones espirituales  y</w:t>
        <w:br/>
        <w:t xml:space="preserve">      culturales y asegurar  que  las  futuras  generaciones  puedan  volver</w:t>
        <w:br/>
        <w:t xml:space="preserve">      cuando así lo deseen;</w:t>
        <w:br/>
        <w:br/>
        <w:t xml:space="preserve">      3. Recuperación de los restos mortales de las víctimas que murieron en</w:t>
        <w:br/>
        <w:t xml:space="preserve">      el ataque</w:t>
        <w:br/>
        <w:br/>
        <w:t xml:space="preserve">      i)    esta medida abarca el  deber  del  Estado  de  proporcionar  una</w:t>
        <w:br/>
        <w:t xml:space="preserve">      investigación efectiva que permita establecer  responsables  así  como</w:t>
        <w:br/>
        <w:t xml:space="preserve">      indemnizar a los sobrevivientes y familiares, quienes  no  han  podido</w:t>
        <w:br/>
        <w:t xml:space="preserve">      cumplir sus obligaciones familiares, culturales y religiosas de dar  a</w:t>
        <w:br/>
        <w:t xml:space="preserve">      sus seres queridos inhumación adecuada; y</w:t>
        <w:br/>
        <w:br/>
        <w:t xml:space="preserve">      4. Acto oficial de disculpa y construcción de un monumento</w:t>
        <w:br/>
        <w:br/>
        <w:t xml:space="preserve">      j)     Las  autoridades  estatales  nunca  brindaron  ningún  tipo  de</w:t>
        <w:br/>
        <w:t xml:space="preserve">      “apoyo”, no se disculparon y no han demostrado  respeto  alguno  hacia</w:t>
        <w:br/>
        <w:t xml:space="preserve">      las víctimas. El Estado  ha  reconocido  en  pocas  ocasiones  que  la</w:t>
        <w:br/>
        <w:t xml:space="preserve">      matanza ocurrió.</w:t>
        <w:br/>
        <w:br/>
        <w:t>Alegatos de los representantes</w:t>
        <w:br/>
        <w:br/>
        <w:t>199.  Con  relación  a  las  medidas  de  satisfacción  y  garantías  de  no</w:t>
        <w:br/>
        <w:t>repetición, los representantes solicitaron que la Corte  ordene  a  Suriname</w:t>
        <w:br/>
        <w:t>que adopte las siguientes medidas:</w:t>
        <w:br/>
        <w:br/>
        <w:t xml:space="preserve">       1.  Investigación  del  ataque  y  enjuiciamiento  de   los   autores</w:t>
        <w:br/>
        <w:t>intelectuales</w:t>
        <w:br/>
        <w:br/>
        <w:t xml:space="preserve">      a)    Suriname debe declarar públicamente que investigará  el  ataque,</w:t>
        <w:br/>
        <w:t xml:space="preserve">      enjuiciará  a  sus  autores  intelectuales  por  crímenes  contra   la</w:t>
        <w:br/>
        <w:t xml:space="preserve">      humanidad y violaciones graves al derecho humanitario y al derecho  de</w:t>
        <w:br/>
        <w:t xml:space="preserve">      los derechos humanos, en concordancia con las leyes aplicables;</w:t>
        <w:br/>
        <w:br/>
        <w:t xml:space="preserve">      b)    el Estado debe conducir una investigación seria y  diligente  de</w:t>
        <w:br/>
        <w:t xml:space="preserve">      la  matanza  y  enjuiciar  a  los  autores   intelectuales   descritos</w:t>
        <w:br/>
        <w:t xml:space="preserve">      anteriormente, de conformidad con la ley aplicable;</w:t>
        <w:br/>
        <w:br/>
        <w:t xml:space="preserve">      c)    Suriname también debe investigar, enjuiciar y  sancionar  a  los</w:t>
        <w:br/>
        <w:t xml:space="preserve">      responsables de obstrucción de la justicia en el presente caso;</w:t>
        <w:br/>
        <w:br/>
        <w:t xml:space="preserve">      d)    el Estado debe adoptar las providencias de carácter  legislativo</w:t>
        <w:br/>
        <w:t xml:space="preserve">      y de cualquier otro tipo que sean necesarias  para  asegurar  que  las</w:t>
        <w:br/>
        <w:t xml:space="preserve">      medidas anteriormente mencionadas se cumplan y que  no  se  aplique  a</w:t>
        <w:br/>
        <w:t xml:space="preserve">      este caso la prescripción que pueda existir en el derecho interno; y</w:t>
        <w:br/>
        <w:br/>
        <w:t xml:space="preserve">      e)     Suriname debe revocar la Ley de Amnistía de 1989 y declarar que</w:t>
        <w:br/>
        <w:t xml:space="preserve">      está desprovista de efectos legales ab initio.</w:t>
        <w:br/>
        <w:br/>
        <w:t xml:space="preserve">      2. Restitución de las tierras y los recursos tradicionales</w:t>
        <w:br/>
        <w:br/>
        <w:t xml:space="preserve">      f)    El Estado debe proporcionar:  i)  restitución  y  reconocimiento</w:t>
        <w:br/>
        <w:t xml:space="preserve">      legal del derecho de propiedad de la comunidad  sobre  sus  tierras  y</w:t>
        <w:br/>
        <w:t xml:space="preserve">      recursos tradicionales, de conformidad con el derecho consuetudinario,</w:t>
        <w:br/>
        <w:t xml:space="preserve">      valores y usos de  la  comunidad;  ii)  título  colectivo  sobre  esas</w:t>
        <w:br/>
        <w:t xml:space="preserve">      tierras y recursos tradicionales que confirme y asegure  efectivamente</w:t>
        <w:br/>
        <w:t xml:space="preserve">      los  derechos   de   propiedad   de   conformidad   con   su   derecho</w:t>
        <w:br/>
        <w:t xml:space="preserve">      consuetudinario; iii) demarcación física; iv) garantizar la  seguridad</w:t>
        <w:br/>
        <w:t xml:space="preserve">      de  quienes  elijan  volver;  y  v)   oportunidad   para   una   plena</w:t>
        <w:br/>
        <w:t xml:space="preserve">      participación y consentimiento tanto de las víctimas así como  de  las</w:t>
        <w:br/>
        <w:t xml:space="preserve">      otras comunidades vecinas  Cottica  N’djuka,  en  lo  relativo  a  las</w:t>
        <w:br/>
        <w:t xml:space="preserve">      medidas precedentes;</w:t>
        <w:br/>
        <w:br/>
        <w:t xml:space="preserve">      g)    el Estado debe adoptar medidas de carácter legislativo y de otro</w:t>
        <w:br/>
        <w:t xml:space="preserve">      tipo con la finalidad de identificar y otorgar  títulos  de  propiedad</w:t>
        <w:br/>
        <w:t xml:space="preserve">      eficaces sobre las tierras tradicionales de  la  comunidad  de  manera</w:t>
        <w:br/>
        <w:t xml:space="preserve">      consistente con la Convención Americana y  con  los  derechos  de  los</w:t>
        <w:br/>
        <w:t xml:space="preserve">      pueblos  indígenas  contenidos  en  otros  instrumentos  de   derechos</w:t>
        <w:br/>
        <w:t xml:space="preserve">      humanos; y</w:t>
        <w:br/>
        <w:br/>
        <w:t xml:space="preserve">      h)    Suriname debe reconstruir las casas en  la  aldea  y  construir,</w:t>
        <w:br/>
        <w:t xml:space="preserve">      equipar y proveer servicios de  educación  e  instalaciones  de  salud</w:t>
        <w:br/>
        <w:t xml:space="preserve">      totalmente funcionales y completos, todo esto,  previo  consentimiento</w:t>
        <w:br/>
        <w:t xml:space="preserve">      de las víctimas y con su total colaboración.</w:t>
        <w:br/>
        <w:br/>
        <w:t xml:space="preserve">      3. Otras medidas</w:t>
        <w:br/>
        <w:br/>
        <w:t xml:space="preserve">      i)    el Estado debe convocar a una conferencia de prensa y  reconocer</w:t>
        <w:br/>
        <w:t xml:space="preserve">      públicamente  que  ocurrió  el  ataque  a   Moiwana,   así   como   su</w:t>
        <w:br/>
        <w:t xml:space="preserve">      responsabilidad en él, la posterior denegación  de  justicia  y  otras</w:t>
        <w:br/>
        <w:t xml:space="preserve">      violaciones comprobadas;</w:t>
        <w:br/>
        <w:br/>
        <w:t xml:space="preserve">      j)    Suriname debe proveer fondos para el diseño, la  construcción  y</w:t>
        <w:br/>
        <w:t xml:space="preserve">      la colocación de un monumento en un lugar público  para  las  personas</w:t>
        <w:br/>
        <w:t xml:space="preserve">      asesinadas en Moiwana, con el consentimiento de las víctimas;</w:t>
        <w:br/>
        <w:br/>
        <w:t xml:space="preserve">      k)     el  Estado,  con  el  consentimiento  y  participación  de  las</w:t>
        <w:br/>
        <w:t xml:space="preserve">      víctimas, debe usar todos los medios que tenga disponibles,  asumiendo</w:t>
        <w:br/>
        <w:t xml:space="preserve">      los gastos, para localizar y  devolver  los  restos  mortales  de  las</w:t>
        <w:br/>
        <w:t xml:space="preserve">      víctimas de las  masacres  a  sus  familias  y  asegurarles  el  libre</w:t>
        <w:br/>
        <w:t xml:space="preserve">      ejercicio de su derecho de enterrar a sus seres  queridos  de  acuerdo</w:t>
        <w:br/>
        <w:t xml:space="preserve">      con sus costumbres y creencias; y</w:t>
        <w:br/>
        <w:br/>
        <w:t xml:space="preserve">      l)    Suriname debe emitir disculpas públicas  por  la  matanza  y  la</w:t>
        <w:br/>
        <w:t xml:space="preserve">      posterior denegación de  justicia  a  Gaanman  Matodja  Gazon,  en  su</w:t>
        <w:br/>
        <w:t xml:space="preserve">      calidad de líder supremo y representante del pueblo N’djuka,  y  a  la</w:t>
        <w:br/>
        <w:t xml:space="preserve">      sociedad surinamés en general.</w:t>
        <w:br/>
        <w:br/>
        <w:t>Alegatos del Estado</w:t>
        <w:br/>
        <w:br/>
        <w:t>200.  En lo relativo a las referidas medidas de reparación  solicitadas,  el</w:t>
        <w:br/>
        <w:t>Estado contestó que:</w:t>
        <w:br/>
        <w:br/>
        <w:t xml:space="preserve">      a)    los pobladores de la aldea de Moiwana subsisten del  comercio  y</w:t>
        <w:br/>
        <w:t xml:space="preserve">      de la agricultura, tal como es típico en aquella región, por lo que no</w:t>
        <w:br/>
        <w:t xml:space="preserve">      han  sido  jamás   una   comunidad   aislada   que   haya   practicado</w:t>
        <w:br/>
        <w:t xml:space="preserve">      primordialmente su propia cultura;</w:t>
        <w:br/>
        <w:br/>
        <w:t xml:space="preserve">      b)    la Comisión no ha podido  demostrar  que  los  responsables  del</w:t>
        <w:br/>
        <w:t xml:space="preserve">      ataque todavía ocupan posiciones de poder e  influencia  en  el  país.</w:t>
        <w:br/>
        <w:t xml:space="preserve">      Tampoco ha podido probar que los miembros de la comunidad se han visto</w:t>
        <w:br/>
        <w:t xml:space="preserve">      impedidos de regresar a la aldea de Moiwana o de reconstruir  su  vida</w:t>
        <w:br/>
        <w:t xml:space="preserve">      cultural como pueblo N’djuka;</w:t>
        <w:br/>
        <w:br/>
        <w:t xml:space="preserve">      c)      Suriname   continuará   su   investigación   sobre    “    los</w:t>
        <w:br/>
        <w:t xml:space="preserve">      acontecimientos que tuvieron lugar en la aldea de Moiwana”; y</w:t>
        <w:br/>
        <w:br/>
        <w:t xml:space="preserve">      d)    El Estado “  no  tiene  objeción  alguna”  con  respecto  a  las</w:t>
        <w:br/>
        <w:t xml:space="preserve">      siguientes medidas: i) dar disculpas públicas “a toda la nación en  lo</w:t>
        <w:br/>
        <w:t xml:space="preserve">      relativo a los acontecimientos que ocurrieron en la aldea de Moiwana y</w:t>
        <w:br/>
        <w:t xml:space="preserve">      a los sobrevivientes y familiares en particular”; ii)  instalación  de</w:t>
        <w:br/>
        <w:t xml:space="preserve">      un monumento con referencia a los hechos de Moiwana,  para  que  sirva</w:t>
        <w:br/>
        <w:t xml:space="preserve">      como “un recordatorio para toda la nación de lo que ocurrió  y  de  lo</w:t>
        <w:br/>
        <w:t xml:space="preserve">      que no debe repetirse en el futuro”; y iii) pago de costos  razonables</w:t>
        <w:br/>
        <w:t xml:space="preserve">      para  que  los  sobrevivientes  y  los  familiares  puedan   “comenzar</w:t>
        <w:br/>
        <w:t xml:space="preserve">      actividades culturales en Suriname, relativas  a  los  acontecimientos</w:t>
        <w:br/>
        <w:t xml:space="preserve">      que ocurrieron el 29 de noviembre de 1986”.</w:t>
        <w:br/>
        <w:br/>
        <w:t>Consideraciones de la Corte</w:t>
        <w:br/>
        <w:br/>
        <w:t>201.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pública[108].  Estas medidas tienen especial relevancia en el presente  caso</w:t>
        <w:br/>
        <w:t>por la extrema gravedad de los hechos y el carácter colectivo de  los  daños</w:t>
        <w:br/>
        <w:t>ocasionados.</w:t>
        <w:br/>
        <w:br/>
        <w:t>a)    Obligación del Estado de investigar los hechos del caso,  identificar,</w:t>
        <w:br/>
        <w:t>juzgar y sancionar a los responsables, así como recuperar los restos de  los</w:t>
        <w:br/>
        <w:t>miembros de la comunidad que fallecieron en el ataque de 1986</w:t>
        <w:br/>
        <w:br/>
        <w:t>202.  La Corte sostuvo  anteriormente  (supra  párrs.  163  y  164)  que  la</w:t>
        <w:br/>
        <w:t>deficiente investigación conducida por Suriname sobre el  ataque  de  29  de</w:t>
        <w:br/>
        <w:t>noviembre de 1986  a  la  aldea  de  Moiwana,  la  violenta  obstrucción  de</w:t>
        <w:br/>
        <w:t>justicia por parte del Estado y el prolongado período  que  transcurrió  sin</w:t>
        <w:br/>
        <w:t>un esclarecimiento de los hechos y la sanción de los responsables  incumplen</w:t>
        <w:br/>
        <w:t>los estándares de acceso a la justicia y debido proceso establecidos  en  la</w:t>
        <w:br/>
        <w:t>Convención Americana.</w:t>
        <w:br/>
        <w:br/>
        <w:t>203.  De esta manera, todavía prevalece, más de 18 años después de  ocurrido</w:t>
        <w:br/>
        <w:t>el ataque, la impunidad de los autores materiales e intelectuales. La  Corte</w:t>
        <w:br/>
        <w:t>ha definido la impunidad como la falta  en  su  conjunto  de  investigación,</w:t>
        <w:br/>
        <w:t>persecución, captura, enjuiciamiento y condena de los  responsables  de  las</w:t>
        <w:br/>
        <w:t>violaciones de los derechos protegidos  por  la  Convención  Americana[109].</w:t>
        <w:br/>
        <w:t>El Estado está obligado a combatir  esta  situación  por  todos  los  medios</w:t>
        <w:br/>
        <w:t>disponibles, ya que ésta propicia la repetición crónica de  las  violaciones</w:t>
        <w:br/>
        <w:t>de derechos humanos y  la  total  indefensión  de  las  víctimas  y  de  sus</w:t>
        <w:br/>
        <w:t>familiares[110].</w:t>
        <w:br/>
        <w:br/>
        <w:t>204.  Asimismo, como se ha señalado anteriormente,  toda  persona  tiene  el</w:t>
        <w:br/>
        <w:t>derecho a conocer la  verdad,  incluyendo  los  familiares  de  víctimas  de</w:t>
        <w:br/>
        <w:t>graves violaciones de derechos humanos.  En consecuencia, los familiares  de</w:t>
        <w:br/>
        <w:t>las víctimas y la sociedad como un todo deben ser informados de lo  sucedido</w:t>
        <w:br/>
        <w:t>con relación a dichas  violaciones.   Este  derecho  a  la  verdad,  al  ser</w:t>
        <w:br/>
        <w:t>reconocido y  ejercido  en  una  situación  concreta,  constituye  un  medio</w:t>
        <w:br/>
        <w:t>importante de reparación.  Por tanto, en el presente caso, el derecho  a  la</w:t>
        <w:br/>
        <w:t>verdad da lugar a una expectativa  de  las  víctimas,  que  el  Estado  debe</w:t>
        <w:br/>
        <w:t>satisfacer[111].</w:t>
        <w:br/>
        <w:br/>
        <w:t>205.  A la luz de lo anterior, el Estado debe  realizar  inmediatamente  una</w:t>
        <w:br/>
        <w:t>investigación  y  un  proceso  judicial  efectivos  y  prontos   sobre   las</w:t>
        <w:br/>
        <w:t>ejecuciones extrajudiciales que ocurrieron el 29 de noviembre de  1986,  que</w:t>
        <w:br/>
        <w:t>lleven al esclarecimiento de los hechos, la sanción de  los  responsables  y</w:t>
        <w:br/>
        <w:t>la compensación adecuada a las víctimas.  Los resultados de  estos  procesos</w:t>
        <w:br/>
        <w:t>deberán ser públicamente divulgados por el Estado,  de  manera  tal  que  la</w:t>
        <w:br/>
        <w:t>sociedad surinamés  pueda  conocer  la  verdad  acerca  de  los  hechos  del</w:t>
        <w:br/>
        <w:t>presente caso.</w:t>
        <w:br/>
        <w:br/>
        <w:t>206.  Además, tal como se señaló en un capítulo  anterior,  ninguna  ley  ni</w:t>
        <w:br/>
        <w:t>disposición de derecho interno – incluyendo leyes de amnistía  y  plazos  de</w:t>
        <w:br/>
        <w:t>prescripción – puede impedir a un Estado cumplir la orden  de  la  Corte  de</w:t>
        <w:br/>
        <w:t>investigar y  sancionar  a  los  responsables  de  violaciones  de  derechos</w:t>
        <w:br/>
        <w:t>humanos.  En particular, las  disposiciones  de  amnistía,   las  reglas  de</w:t>
        <w:br/>
        <w:t>prescripción y el establecimiento  de  excluyentes  de  responsabilidad  que</w:t>
        <w:br/>
        <w:t>pretendan impedir la investigación y sanción  de  los  responsables  de  las</w:t>
        <w:br/>
        <w:t>violaciones graves de los derechos humanos – como  las  del  presente  caso,</w:t>
        <w:br/>
        <w:t>ejecuciones sumarias, extrajudiciales o arbitrarias – son  inadmisibles,  ya</w:t>
        <w:br/>
        <w:t>que dichas violaciones contravienen derechos  inderogables  reconocidos  por</w:t>
        <w:br/>
        <w:t>el Derecho Internacional de los Derechos Humanos[112].</w:t>
        <w:br/>
        <w:br/>
        <w:t>207.   Para  cumplir  la  obligación  de  investigar  y  sancionar   a   los</w:t>
        <w:br/>
        <w:t>responsables en el presente  caso,  Suriname  debe:  a)  remover  todos  los</w:t>
        <w:br/>
        <w:t>obstáculos, de facto y de jure, que  mantengan  la  impunidad;  b)  utilizar</w:t>
        <w:br/>
        <w:t>todos los medios disponibles para  hacer  expedita  la  investigación  y  el</w:t>
        <w:br/>
        <w:t>proceso judicial; c)  sancionar,  de  conformidad  con  las  leyes  internas</w:t>
        <w:br/>
        <w:t>aplicables, a los funcionarios estatales, así como a los  particulares,  que</w:t>
        <w:br/>
        <w:t>sean declarados responsables  de  haber  obstruido  la  investigación  penal</w:t>
        <w:br/>
        <w:t>sobre el ataque a la aldea  de  Moiwana;  y  d)  otorgar  las  garantías  de</w:t>
        <w:br/>
        <w:t>seguridad  adecuadas  a  las  víctimas,  testigos,   empleados   judiciales,</w:t>
        <w:br/>
        <w:t>fiscales y otros operadores de justicia.</w:t>
        <w:br/>
        <w:br/>
        <w:t>208.   Finalmente,  Suriname  debe  emplear  todos  los  medios  técnicos  y</w:t>
        <w:br/>
        <w:t>científicos posibles – tomando  en  cuenta  las  normas  pertinentes  en  la</w:t>
        <w:br/>
        <w:t>materia, tales como las establecidas en el Manual de Naciones  Unidas  sobre</w:t>
        <w:br/>
        <w:t>la Prevención  e  Investigación  Efectiva  de  Ejecuciones  Extrajudiciales,</w:t>
        <w:br/>
        <w:t>Arbitrarias y Sumarias – para recuperar con  prontitud  los  restos  de  los</w:t>
        <w:br/>
        <w:t>miembros de la comunidad que fallecieron durante el ataque de 1986.   Si  el</w:t>
        <w:br/>
        <w:t>Estado encuentra los restos  mortales,  deberá  entregarlos  a  la  brevedad</w:t>
        <w:br/>
        <w:t>posible  a  los  miembros  de  la  comunidad  sobrevivientes  para  que  los</w:t>
        <w:br/>
        <w:t>fallecidos puedan ser honrados según los rituales  de  la  cultura  N’djuka.</w:t>
        <w:br/>
        <w:t>Asimismo, el Estado deberá concluir, en un plazo razonable, los  análisis  a</w:t>
        <w:br/>
        <w:t>los restos humanos encontrados  en  la  fosa  común  en  1993  (supra  párr.</w:t>
        <w:br/>
        <w:t>86.31), y comunicar el resultado de dichos análisis a los representantes  de</w:t>
        <w:br/>
        <w:t>las víctimas.</w:t>
        <w:br/>
        <w:br/>
        <w:t>b)    Título colectivo a las tierras tradicionales</w:t>
        <w:br/>
        <w:br/>
        <w:t>209.  A la luz de sus conclusiones en el capítulo relativo  al  artículo  21</w:t>
        <w:br/>
        <w:t>de la Convención Americana (supra  párr.  135),  la  Corte  dispone  que  el</w:t>
        <w:br/>
        <w:t>Estado debe adoptar todas las medidas  legislativas,  administrativas  y  de</w:t>
        <w:br/>
        <w:t>cualquier otra  índole  necesarias  para  asegurar  a  los  miembros  de  la</w:t>
        <w:br/>
        <w:t>comunidad su derecho de propiedad sobre  los  territorios  tradicionales  de</w:t>
        <w:br/>
        <w:t>los que fueron expulsados y asegurar, por lo tanto, el uso y goce  de  estos</w:t>
        <w:br/>
        <w:t>territorios.  Estas medidas deberán incluir  la  creación  de  un  mecanismo</w:t>
        <w:br/>
        <w:t>efectivo   para   delimitar,   demarcar   y   titular   dichos   territorios</w:t>
        <w:br/>
        <w:t>tradicionales.</w:t>
        <w:br/>
        <w:br/>
        <w:t>210.  El Estado deberá  tomar  estas  medidas  con  la  participación  y  el</w:t>
        <w:br/>
        <w:t>consentimiento  informado  de  las  víctimas,  expresado  a  través  de  sus</w:t>
        <w:br/>
        <w:t>representantes, y de los miembros de las demás aldeas Cottica N’djuka y  las</w:t>
        <w:br/>
        <w:t>comunidades indígenas vecinas, incluyendo la comunidad de Alfonsdorp.</w:t>
        <w:br/>
        <w:br/>
        <w:t>211.  Hasta que el derecho de propiedad de  los  miembros  de  la  comunidad</w:t>
        <w:br/>
        <w:t>sobre  sus  territorios  tradicionales  sea  asegurado,  el  Estado   deberá</w:t>
        <w:br/>
        <w:t>abstenerse de realizar acciones – ya sea por parte de  agentes  estatales  o</w:t>
        <w:br/>
        <w:t>de terceros que actúen con la aquiescencia o tolerancia  del  Estado  –  que</w:t>
        <w:br/>
        <w:t>afecten la existencia, valor, uso o goce de la propiedad ubicada en el  área</w:t>
        <w:br/>
        <w:t>geográfica donde vivieron tradicionalmente  los  miembros  de  la  comunidad</w:t>
        <w:br/>
        <w:t>hasta los hechos del 29 de noviembre de 1986.</w:t>
        <w:br/>
        <w:br/>
        <w:t>c)    Garantías estatales de seguridad para los  miembros  de  la  comunidad</w:t>
        <w:br/>
        <w:t>que decidan regresar a la aldea de Moiwana</w:t>
        <w:br/>
        <w:br/>
        <w:t>212.  La Corte está consciente de  que  los  miembros  de  la  comunidad  no</w:t>
        <w:br/>
        <w:t>desean regresar a sus tierras tradicionales hasta que: 1) el territorio  sea</w:t>
        <w:br/>
        <w:t>“purificado” de acuerdo con los rituales  culturales;  y  2)  ya  no  tengan</w:t>
        <w:br/>
        <w:t>temor de que se presenten nuevas hostilidades en  contra  de  la  comunidad.</w:t>
        <w:br/>
        <w:t>Ninguna  de  estas  dos  condiciones  se  presentarán  sin  que   haya   una</w:t>
        <w:br/>
        <w:t>investigación y proceso judicial efectivos, que  tengan  como  resultado  el</w:t>
        <w:br/>
        <w:t>esclarecimiento de los hechos y la sanción de  los  responsables.   Mientras</w:t>
        <w:br/>
        <w:t>se realizan estos procesos, hasta su culminación, sólo los  miembros  de  la</w:t>
        <w:br/>
        <w:t>comunidad pueden decidir cuándo sería apropiado el regreso  a  la  aldea  de</w:t>
        <w:br/>
        <w:t>Moiwana.  Cuando los miembros de la comunidad estén satisfechos  de  que  se</w:t>
        <w:br/>
        <w:t>ha hecho lo necesario para que puedan regresar, el Estado deberá  garantizar</w:t>
        <w:br/>
        <w:t>la seguridad de aquéllos.  A  tales  efectos,  cuando  los  miembros  de  la</w:t>
        <w:br/>
        <w:t>comunidad regresen a dicha aldea, el  Estado  deberá  enviar  representantes</w:t>
        <w:br/>
        <w:t>oficiales cada mes a la  aldea  de  Moiwana  durante  el  primer  año,  para</w:t>
        <w:br/>
        <w:t>realizar  consultas  con  los  residentes  de  Moiwana.   Si  durante   esas</w:t>
        <w:br/>
        <w:t>reuniones mensuales los miembros de la comunidad  expresan  preocupación  en</w:t>
        <w:br/>
        <w:t>relación con su seguridad, el Estado debe  adoptar  las  medidas  necesarias</w:t>
        <w:br/>
        <w:t>para garantizarla, las cuales serán diseñadas en consulta estricta  con  los</w:t>
        <w:br/>
        <w:t>destinatarios de las medidas.</w:t>
        <w:br/>
        <w:br/>
        <w:t>d)    Fondo de desarrollo financiado por el Estado</w:t>
        <w:br/>
        <w:br/>
        <w:t>213.  Dado que la operación militar de 1986  destruyó  la  propiedad  de  la</w:t>
        <w:br/>
        <w:t>aldea  de  Moiwana  y  forzó  a  los  sobrevivientes  a  huir,   tanto   los</w:t>
        <w:br/>
        <w:t>representantes como la Comisión han puesto especial énfasis en la  necesidad</w:t>
        <w:br/>
        <w:t>de implementar un programa  de  desarrollo  que  provea  servicios  sociales</w:t>
        <w:br/>
        <w:t>básicos a los miembros de la comunidad, cuando éstos regresen.   El  Estado,</w:t>
        <w:br/>
        <w:t>por su parte, se ha mostrado con voluntad de “pagar  los  costos  razonables</w:t>
        <w:br/>
        <w:t>para que los sobrevivientes y familiares  comiencen  actividades  culturales</w:t>
        <w:br/>
        <w:t>[…], en relación con los eventos de [29 de noviembre 1986]”.</w:t>
        <w:br/>
        <w:br/>
        <w:t>214.  En ese sentido, esta Corte estima que Suriname deberá crear  un  fondo</w:t>
        <w:br/>
        <w:t>de desarrollo por el  monto  US  $1,200,000.00  (un  millón  doscientos  mil</w:t>
        <w:br/>
        <w:t>dólares de los Estados Unidos de América), que será  destinado  a  programas</w:t>
        <w:br/>
        <w:t>de salud, vivienda y  educación  de  los  miembros  de  la  comunidad.   Los</w:t>
        <w:br/>
        <w:t>elementos específicos de dichos programas deberán ser  determinados  por  un</w:t>
        <w:br/>
        <w:t>comité de implementación, que se describe  a  continuación,  y  deberán  ser</w:t>
        <w:br/>
        <w:t>completados en un plazo de cinco años, a contar de  la  notificación  de  la</w:t>
        <w:br/>
        <w:t>presente Sentencia.</w:t>
        <w:br/>
        <w:br/>
        <w:t>215.  El comité al que se refiere el párrafo anterior  estará  encargado  de</w:t>
        <w:br/>
        <w:t>determinar las modalidades de implementación  del  fondo  de  desarrollo,  y</w:t>
        <w:br/>
        <w:t>estará conformado por tres miembros.  El referido comité deberá  contar  con</w:t>
        <w:br/>
        <w:t>un representante designado por las víctimas y otro por el Estado; el  tercer</w:t>
        <w:br/>
        <w:t>miembro  de  dicho  comité  será  designado  de  común  acuerdo  entre   los</w:t>
        <w:br/>
        <w:t>representantes de las víctimas y el Estado.  Si dentro de los seis  meses  a</w:t>
        <w:br/>
        <w:t>partir de la  notificación  de  la  presente  Sentencia,  el  Estado  y  los</w:t>
        <w:br/>
        <w:t>representantes no hubieren llegado a un acuerdo respecto de  la  integración</w:t>
        <w:br/>
        <w:t>del comité de implementación, la Corte los  convocará  a  una  reunión  para</w:t>
        <w:br/>
        <w:t>decidir sobre este asunto.</w:t>
        <w:br/>
        <w:br/>
        <w:t>e)    Disculpa pública y reconocimiento de responsabilidad internacional</w:t>
        <w:br/>
        <w:br/>
        <w:t>216.   La  Corte  aprecia  la  afirmación  de  Suriname  de  que  “no  tiene</w:t>
        <w:br/>
        <w:t>objeciones a emitir  una  disculpa  pública  a  toda  la  nación,  y  a  los</w:t>
        <w:br/>
        <w:t>sobrevivientes y familiares en particular, en relación con  los  hechos  que</w:t>
        <w:br/>
        <w:t>ocurrieron en la aldea de Moiwana”.  En este sentido,  como  una  medida  de</w:t>
        <w:br/>
        <w:t>satisfacción para las víctimas y garantía de no  repetición  de  las  graves</w:t>
        <w:br/>
        <w:t>violaciones  de  derechos  humanos  que  han  ocurrido,  el  Estado   deberá</w:t>
        <w:br/>
        <w:t>reconocer públicamente su responsabilidad internacional por los  hechos  del</w:t>
        <w:br/>
        <w:t>presente caso, y emitir una disculpa a los miembros de la  comunidad.   Este</w:t>
        <w:br/>
        <w:t>acto deberá llevarse a cabo con la participación del Gaanman, el  líder  del</w:t>
        <w:br/>
        <w:t>pueblo N’djuka, así como de autoridades estatales de  alto  nivel  y  deberá</w:t>
        <w:br/>
        <w:t>ser difundido a través de los medios de comunicación nacionales.   Asimismo,</w:t>
        <w:br/>
        <w:t>en atención a las circunstancias particulares del  presente  caso,  el  acto</w:t>
        <w:br/>
        <w:t>también debe honrar la memoria de Herman Gooding, el oficial de  la  policía</w:t>
        <w:br/>
        <w:t>civil que fue víctima de homicidio, debido a su  valiente  desempeño  en  la</w:t>
        <w:br/>
        <w:t>investigación de los hechos del 29 de noviembre de 1986.</w:t>
        <w:br/>
        <w:br/>
        <w:t>217.  El referido acto debe ser organizado y  financiado  por  el  Estado  y</w:t>
        <w:br/>
        <w:t>realizado dentro de un año a  partir  de  la  notificación  de  la  presente</w:t>
        <w:br/>
        <w:t>Sentencia.</w:t>
        <w:br/>
        <w:br/>
        <w:t>f)    Monumento</w:t>
        <w:br/>
        <w:br/>
        <w:t>218.  Finalmente, la Corte también observa con satisfacción  lo  manifestado</w:t>
        <w:br/>
        <w:t>por Suriname en el sentido de que  “no  tiene  objeciones  a  establecer  un</w:t>
        <w:br/>
        <w:t>monumento para señalar los hechos que ocurrieron en la aldea de Moiwana  […]</w:t>
        <w:br/>
        <w:t>este monumento debe ser un recordatorio para la  nación  entera  de  lo  que</w:t>
        <w:br/>
        <w:t>sucedió y no deberá repetirse en el futuro”.   Por  esas  mismas  razones  –</w:t>
        <w:br/>
        <w:t>para recordar los hechos  del  29  de  noviembre  de  1986,  así  como  para</w:t>
        <w:br/>
        <w:t>prevenir que hechos tan graves ocurran en  el  futuro  –  el  Estado  deberá</w:t>
        <w:br/>
        <w:t>construir un monumento y colocarlo en  un  lugar  público  apropiado.  Dicho</w:t>
        <w:br/>
        <w:t>monumento deberá ser instalado dentro del año siguiente  a  la  notificación</w:t>
        <w:br/>
        <w:t>de la presente Sentencia.  El diseño y la ubicación  deberán  ser  resueltos</w:t>
        <w:br/>
        <w:t>en consulta con los representantes de las víctimas.</w:t>
        <w:br/>
        <w:br/>
        <w:br/>
        <w:br/>
        <w:br/>
        <w:br/>
        <w:br/>
        <w:t xml:space="preserve">                                     XIV</w:t>
        <w:br/>
        <w:t xml:space="preserve">                               Costas y gastos</w:t>
        <w:br/>
        <w:br/>
        <w:br/>
        <w:t>Alegatos de la Comisión</w:t>
        <w:br/>
        <w:br/>
        <w:br/>
        <w:t>219.  Sobre este tema, la Comisión sostuvo que:</w:t>
        <w:br/>
        <w:br/>
        <w:t xml:space="preserve">      a)    no se puede obligar a los sobrevivientes  de  Moiwana  o  a  sus</w:t>
        <w:br/>
        <w:t xml:space="preserve">      representantes a solventar los gastos asociados con la  representación</w:t>
        <w:br/>
        <w:t xml:space="preserve">      legal necesaria para enfrentar la continua injusticia en  el  presente</w:t>
        <w:br/>
        <w:t xml:space="preserve">      caso; y</w:t>
        <w:br/>
        <w:br/>
        <w:t xml:space="preserve">      b)    el otorgamiento de costas y gastos razonables y justificados  es</w:t>
        <w:br/>
        <w:t xml:space="preserve">      esencial en este caso; se debe tomar en cuenta  las  costas  y  gastos</w:t>
        <w:br/>
        <w:t xml:space="preserve">      pasados y presentes así como los que se requerirán  para  realizar  el</w:t>
        <w:br/>
        <w:t xml:space="preserve">      trámite ante la Corte, en todas sus etapas, incluyendo el cumplimiento</w:t>
        <w:br/>
        <w:t xml:space="preserve">      de una eventual sentencia.</w:t>
        <w:br/>
        <w:br/>
        <w:br/>
        <w:t>Alegatos de los representantes</w:t>
        <w:br/>
        <w:br/>
        <w:br/>
        <w:t>220.  Los representantes solicitaron el pago de todos los gastos  incurridos</w:t>
        <w:br/>
        <w:t>en la preparación y el seguimiento del caso en la  vía  interna  y  ante  la</w:t>
        <w:br/>
        <w:t>Comisión y la Corte, repartidos de la  siguiente  forma:  a)  US  $10,000.00</w:t>
        <w:br/>
        <w:t>(diez mil dólares de los Estados Unidos  de  América)  para  la  Association</w:t>
        <w:br/>
        <w:t>Moiwana, así como US$ 5,000.00 (cinco mil dólares de los Estados  Unidos  de</w:t>
        <w:br/>
        <w:t>América) para gastos futuros probables; b) US  $68,213.75  (sesenta  y  ocho</w:t>
        <w:br/>
        <w:t>mil doscientos trece dólares de los Estados Unidos de América con setenta  y</w:t>
        <w:br/>
        <w:t>cinco centavos) para Moiwana ´86; y c) US  $32,681.61  (treinta  y  dos  mil</w:t>
        <w:br/>
        <w:t>seiscientos ochenta y un dólares  de  los  Estados  Unidos  de  América  con</w:t>
        <w:br/>
        <w:t>sesenta y un centavos) para el Forest Peoples Programme.</w:t>
        <w:br/>
        <w:br/>
        <w:br/>
        <w:t>Alegatos del Estado</w:t>
        <w:br/>
        <w:br/>
        <w:br/>
        <w:t>221.  El Estado solicitó que no se conceda  el  pago  de  costas  y  gastos,</w:t>
        <w:br/>
        <w:t>sobre la base de que  costos  legales  de  semejante  naturaleza  no  tienen</w:t>
        <w:br/>
        <w:t>ninguna relación con el contexto actual en el Sistema Interamericano  y  que</w:t>
        <w:br/>
        <w:t>su otorgamiento no posee base legal dentro del Sistema.</w:t>
        <w:br/>
        <w:br/>
        <w:br/>
        <w:t>Consideraciones de la Corte</w:t>
        <w:br/>
        <w:br/>
        <w:br/>
        <w:t>222.  Como lo ha señalado la Corte en oportunidades anteriores,  las  costas</w:t>
        <w:br/>
        <w:t>y gastos están comprendidos dentro del concepto de reparación consagrado  en</w:t>
        <w:br/>
        <w:t>el artículo 63.1  de  la  Convención  Americana,  puesto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sentencia condenatoria.  En cuanto a su reembolso, corresponde  al  Tribunal</w:t>
        <w:br/>
        <w:t>apreciar prudentemente su alcance, que comprende los gastos realizados  ante</w:t>
        <w:br/>
        <w:t>las autoridades de la jurisdicción interna, así como  los  generados  en  el</w:t>
        <w:br/>
        <w:t>curso del proceso ante el sistema interamericano,  teniendo  en  cuenta  las</w:t>
        <w:br/>
        <w:t>circunstancias  del  caso  concreto  y  la  naturaleza  de  la  jurisdicción</w:t>
        <w:br/>
        <w:t>internacional de protección de los derechos humanos.  Esta apreciación  debe</w:t>
        <w:br/>
        <w:t>ser realizada con base en el principio de equidad y tomando  en  cuenta  los</w:t>
        <w:br/>
        <w:t>gastos señalados y comprobados por las partes, siempre que  su  quantum  sea</w:t>
        <w:br/>
        <w:t>razonable.  En el presente caso, la Corte  observa  que  los  representantes</w:t>
        <w:br/>
        <w:t>renunciaron al reclamo de costas legales y sólo solicitaron el reintegro  de</w:t>
        <w:br/>
        <w:t>los gastos incurridos en el trámite del caso.</w:t>
        <w:br/>
        <w:br/>
        <w:t>223.  A la luz de lo anterior, la Corte considera  procedente,  en  equidad,</w:t>
        <w:br/>
        <w:t>ordenar al Estado, por concepto de gastos de este caso, que se  entregue  US</w:t>
        <w:br/>
        <w:t>$45,000.00 (cuarenta y cinco mil dólares de los Estados Unidos  de  América)</w:t>
        <w:br/>
        <w:t>al representante legal de la Association Moiwana, la cual funciona  como  un</w:t>
        <w:br/>
        <w:t>mecanismo de coordinación entre las víctimas (supra párr. 86.36).   De  este</w:t>
        <w:br/>
        <w:t>monto total, la cantidad de US $27,000.00 (veintisiete mil  dólares  de  los</w:t>
        <w:br/>
        <w:t>Estados Unidos de América), corresponderá a los gastos  de  la  organización</w:t>
        <w:br/>
        <w:t>Moiwana ’86, y US $10,000.00 (diez mil dólares  de  los  Estados  Unidos  de</w:t>
        <w:br/>
        <w:t>América) corresponderá a  los  gastos  de  la  organización  Forest  Peoples</w:t>
        <w:br/>
        <w:t>Programme.</w:t>
        <w:br/>
        <w:br/>
        <w:t>224.   Asimismo,  ha  quedado  demostrado  (supra  párr.   86.44)   que   la</w:t>
        <w:br/>
        <w:t>Association Moiwana ha realizado diversas acciones para obtener justicia  en</w:t>
        <w:br/>
        <w:t>el presente caso.  A pesar de que la Association Moiwana  no  presentó  ante</w:t>
        <w:br/>
        <w:t>la Corte recibos de gastos, los representantes han solicitado  un  monto  en</w:t>
        <w:br/>
        <w:t>equidad por gastos para dicha organización, y también han  indicado  que  la</w:t>
        <w:br/>
        <w:t>Association Moiwana continuará impulsando  la  investigación  y  el  proceso</w:t>
        <w:br/>
        <w:t>judicial relativos a  los  hechos  del  presente  caso.   En  virtud  de  lo</w:t>
        <w:br/>
        <w:t>anterior,  del  referido  monto  de  US  $45,000.00  que  se  entregará   al</w:t>
        <w:br/>
        <w:t>representante legal de la Association Moiwana, la cantidad de  US  $8,000.00</w:t>
        <w:br/>
        <w:t>(ocho mil dólares de los Estados de  América)  corresponderá  a  los  gastos</w:t>
        <w:br/>
        <w:t>pasados y futuros probables de la Association Moiwana.</w:t>
        <w:br/>
        <w:br/>
        <w:br/>
        <w:t xml:space="preserve">                                     XV</w:t>
        <w:br/>
        <w:t xml:space="preserve">                          Modalidad de Cumplimiento</w:t>
        <w:br/>
        <w:br/>
        <w:br/>
        <w:t>225.  Para dar cumplimiento  a  la  presente  Sentencia,  el  Estado  deberá</w:t>
        <w:br/>
        <w:t>efectuar el pago de  las  indemnizaciones  (supra  párrs.  187  y  196),  el</w:t>
        <w:br/>
        <w:t>reintegro de gastos (supra párrs. 223 y 224), el acto público de disculpa  y</w:t>
        <w:br/>
        <w:t>reconocimiento de responsabilidad internacional (supra párrs.  216  y  217),</w:t>
        <w:br/>
        <w:t>así como la construcción del monumento (supra párr. 218), dentro  del  plazo</w:t>
        <w:br/>
        <w:t>de un año, salvo cuando se dispongan distintos (supra párr. 178).   Respecto</w:t>
        <w:br/>
        <w:t>del fondo de desarrollo, que será destinado a programas de  salud,  vivienda</w:t>
        <w:br/>
        <w:t>y educación de los miembros de la comunidad, los  elementos  específicos  de</w:t>
        <w:br/>
        <w:t>dichos programas deberán ser determinados por un comité  de  implementación,</w:t>
        <w:br/>
        <w:t>y deberán ser completados en un plazo de cinco años.  Si dentro de los  seis</w:t>
        <w:br/>
        <w:t>meses a partir de la notificación de la presente Sentencia, el Estado y  los</w:t>
        <w:br/>
        <w:t>representantes no hubieren llegado a un acuerdo respecto de  la  integración</w:t>
        <w:br/>
        <w:t>del comité de implementación, la Corte los  convocará  a  una  reunión  para</w:t>
        <w:br/>
        <w:t>decidir sobre este asunto.  Finalmente, el  Estado  deberá,  a  la  brevedad</w:t>
        <w:br/>
        <w:t>posible,  recuperar  los  restos  de  los  miembros  de  la  comunidad   que</w:t>
        <w:br/>
        <w:t>fallecieron durante los hechos  del  29  de  noviembre  de  1986,  así  como</w:t>
        <w:br/>
        <w:t>entregarlos a los miembros de  la  comunidad  sobrevivientes.   Todos  estos</w:t>
        <w:br/>
        <w:t>plazos se contarán a partir de la notificación  de  la  presente  Sentencia.</w:t>
        <w:br/>
        <w:t>Respecto de las otras medidas ordenadas sin un plazo  específico  dispuesto,</w:t>
        <w:br/>
        <w:t>el Estado deberá cumplirlas dentro de un plazo razonable, contado  a  partir</w:t>
        <w:br/>
        <w:t>de la notificación de esta Sentencia.</w:t>
        <w:br/>
        <w:br/>
        <w:t>226.  El pago de las indemnizaciones establecidas a favor  de  las  víctimas</w:t>
        <w:br/>
        <w:t>se realizará según lo dispuesto en los párrafos 178 a  181  de  la  presente</w:t>
        <w:br/>
        <w:t>Sentencia, según sea el caso.</w:t>
        <w:br/>
        <w:br/>
        <w:t>227.  Los pagos correspondientes al reintegro de gastos  generados  por  las</w:t>
        <w:br/>
        <w:t>gestiones realizadas  por  los  representantes  serán  efectuados  según  lo</w:t>
        <w:br/>
        <w:t>dispuesto en los párrafos 223 y 224 de la presente Sentencia.</w:t>
        <w:br/>
        <w:br/>
        <w:t>228.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229.  Si por causas atribuibles a los beneficiarios de  las  indemnizaciones</w:t>
        <w:br/>
        <w:t>no fuese posible que las reciban dentro de los indicados plazos de un año  o</w:t>
        <w:br/>
        <w:t>veinticuatro meses, contados a partir de  la  notificación  de  la  presente</w:t>
        <w:br/>
        <w:t>Sentencia, el Estado consignará dichos montos a su favor  en  una  cuenta  o</w:t>
        <w:br/>
        <w:t>certificado de depósito en una institución  bancaria  estatal  solvente,  en</w:t>
        <w:br/>
        <w:t>dólares estadounidenses y en las condiciones financieras más favorables  que</w:t>
        <w:br/>
        <w:t>permitan la legislación y la práctica bancaria.  Si al cabo de diez años  la</w:t>
        <w:br/>
        <w:t>indemnización no ha sido reclamada, la cantidad será devuelta al Estado  con</w:t>
        <w:br/>
        <w:t>los intereses devengados.</w:t>
        <w:br/>
        <w:br/>
        <w:t>230.  Los montos asignados en la presente Sentencia bajo  los  conceptos  de</w:t>
        <w:br/>
        <w:t>indemnización del daño material, inmaterial, costas y gastos no  podrán  ser</w:t>
        <w:br/>
        <w:t>afectados,  reducidos  o  condicionados  por  motivos  fiscales  actuales  o</w:t>
        <w:br/>
        <w:t>futuros.  En consecuencia, deberán ser entregados  a  los  beneficiarios  en</w:t>
        <w:br/>
        <w:t>forma íntegra conforme a lo establecido en la Sentencia.</w:t>
        <w:br/>
        <w:br/>
        <w:t>231.  En caso de que el Estado incurriese en mora, deberá pagar  un  interés</w:t>
        <w:br/>
        <w:t>sobre la cantidad adeudada, correspondiente al  interés  bancario  moratorio</w:t>
        <w:br/>
        <w:t>en Suriname.</w:t>
        <w:br/>
        <w:br/>
        <w:t>232.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Suriname deberá rendir a la  Corte  un  primer  informe  sobre  las  medidas</w:t>
        <w:br/>
        <w:t>adoptadas para dar cumplimiento a la misma.</w:t>
        <w:br/>
        <w:br/>
        <w:br/>
        <w:br/>
        <w:br/>
        <w:br/>
        <w:br/>
        <w:br/>
        <w:br/>
        <w:br/>
        <w:t xml:space="preserve">                                     XVI</w:t>
        <w:br/>
        <w:t xml:space="preserve">                             Puntos Resolutivos</w:t>
        <w:br/>
        <w:br/>
        <w:br/>
        <w:t>233.  Por tanto,</w:t>
        <w:br/>
        <w:br/>
        <w:t>LA CORTE,</w:t>
        <w:br/>
        <w:br/>
        <w:t>DECIDE,</w:t>
        <w:br/>
        <w:br/>
        <w:t>Por unanimidad,</w:t>
        <w:br/>
        <w:br/>
        <w:t>1.    Desestimar las excepciones preliminares interpuestas por el Estado.</w:t>
        <w:br/>
        <w:br/>
        <w:br/>
        <w:t>DECLARA,</w:t>
        <w:br/>
        <w:br/>
        <w:br/>
        <w:t>Por unanimidad, que:</w:t>
        <w:br/>
        <w:br/>
        <w:br/>
        <w:t>1.    El Estado violó el derecho a la integridad personal consagrado  en  el</w:t>
        <w:br/>
        <w:t>artículo 5.1 de la Convención Americana sobre Derechos Humanos, en  relación</w:t>
        <w:br/>
        <w:t>con el artículo 1.1 de  la  misma,  en  perjuicio  de  los  miembros  de  la</w:t>
        <w:br/>
        <w:t>comunidad  Moiwana,  en  los  términos  del  párrafo  103  de  la   presente</w:t>
        <w:br/>
        <w:t>Sentencia.</w:t>
        <w:br/>
        <w:br/>
        <w:t>2.    El Estado violó el derecho de circulación y de  residencia  consagrado</w:t>
        <w:br/>
        <w:t>en el artículo 22 de la Convención Americana, en relación  con  el  artículo</w:t>
        <w:br/>
        <w:t>1.1 de la misma, en perjuicio de los miembros de la  comunidad  Moiwana,  en</w:t>
        <w:br/>
        <w:t>los términos del párrafo 121 de la presente Sentencia.</w:t>
        <w:br/>
        <w:br/>
        <w:t>3.    El Estado violó el derecho a la propiedad consagrado  en  el  artículo</w:t>
        <w:br/>
        <w:t>21 de la Convención Americana, en relación con el artículo 1.1 de la  misma,</w:t>
        <w:br/>
        <w:t>en perjuicio de los miembros de la comunidad Moiwana, en  los  términos  del</w:t>
        <w:br/>
        <w:t>párrafo 135 de la presente Sentencia.</w:t>
        <w:br/>
        <w:br/>
        <w:t>4.    El Estado violó los derechos a las garantías judiciales  y  protección</w:t>
        <w:br/>
        <w:t>judicial consagrados en los artículos 8.1 y 25 de la  Convención  Americana,</w:t>
        <w:br/>
        <w:t>en relación con el artículo 1.1 de la misma, en perjuicio  de  los  miembros</w:t>
        <w:br/>
        <w:t>de la comunidad Moiwana, en los términos de los párrafos 163  y  164  de  la</w:t>
        <w:br/>
        <w:t>presente Sentencia.</w:t>
        <w:br/>
        <w:br/>
        <w:t>5.    Esta Sentencia constituye per se  una  forma  de  reparación,  en  los</w:t>
        <w:br/>
        <w:t>términos del párrafo 192 de la presente Sentencia.</w:t>
        <w:br/>
        <w:br/>
        <w:br/>
        <w:t>Y DISPONE,</w:t>
        <w:br/>
        <w:br/>
        <w:br/>
        <w:t>Por unanimidad, que:</w:t>
        <w:br/>
        <w:br/>
        <w:br/>
        <w:t>1.     El  Estado  debe  cumplir  las  medidas  dispuestas  relativas  a  su</w:t>
        <w:br/>
        <w:t>obligación de investigar  los  hechos  denunciados,  así  como  identificar,</w:t>
        <w:br/>
        <w:t>juzgar y sancionar a los responsables, en los términos de los  párrafos  202</w:t>
        <w:br/>
        <w:t>a 207 de la presente Sentencia.</w:t>
        <w:br/>
        <w:br/>
        <w:t>2.    El Estado debe, a la brevedad posible, recuperar  los  restos  de  los</w:t>
        <w:br/>
        <w:t>miembros de la comunidad Moiwana que fallecieron durante los hechos  del  29</w:t>
        <w:br/>
        <w:t>de noviembre de 1986, así como entregarlos a los miembros  de  la  comunidad</w:t>
        <w:br/>
        <w:t>Moiwana sobrevivientes, en los términos  del  párrafo  208  de  la  presente</w:t>
        <w:br/>
        <w:t>Sentencia.</w:t>
        <w:br/>
        <w:br/>
        <w:t>3.      El   Estado   debe   adoptar   todas   las   medidas   legislativas,</w:t>
        <w:br/>
        <w:t>administrativas y de cualquier otra índole necesarias para  asegurar  a  los</w:t>
        <w:br/>
        <w:t>miembros  de  la  comunidad  Moiwana  su  derecho  de  propiedad  sobre  los</w:t>
        <w:br/>
        <w:t>territorios tradicionales de los que fueron expulsados y  asegurar,  por  lo</w:t>
        <w:br/>
        <w:t>tanto, el uso y goce de estos territorios.  Estas  medidas  deberán  incluir</w:t>
        <w:br/>
        <w:t>la creación de un mecanismo efectivo  para  delimitar,  demarcar  y  titular</w:t>
        <w:br/>
        <w:t>dichos territorios tradicionales, en los términos de los párrafos 209 a  211</w:t>
        <w:br/>
        <w:t>de la presente Sentencia.</w:t>
        <w:br/>
        <w:br/>
        <w:t>4.    El  Estado  debe  garantizar  la  seguridad  de  los  miembros  de  la</w:t>
        <w:br/>
        <w:t>comunidad Moiwana que decidan  regresar  a  la  aldea  de  Moiwana,  en  los</w:t>
        <w:br/>
        <w:t>términos del párrafo 212 de la presente Sentencia.</w:t>
        <w:br/>
        <w:br/>
        <w:t>5.    El Estado debe implementar un fondo de desarrollo comunitario, en  los</w:t>
        <w:br/>
        <w:t>términos de los párrafos 213 a 215 de la presente Sentencia.</w:t>
        <w:br/>
        <w:br/>
        <w:t>6.    El Estado debe realizar un acto de disculpa pública  y  reconocimiento</w:t>
        <w:br/>
        <w:t>de responsabilidad internacional, en los términos de los párrafos 216 y  217</w:t>
        <w:br/>
        <w:t>de la presente Sentencia.</w:t>
        <w:br/>
        <w:br/>
        <w:t>7.    El Estado debe construir un monumento y colocarlo en un lugar  público</w:t>
        <w:br/>
        <w:t>apropiado, en los términos del párrafo 218 de la presente Sentencia.</w:t>
        <w:br/>
        <w:br/>
        <w:t>8.    El Estado debe pagar las cantidades fijadas en el párrafo  187  de  la</w:t>
        <w:br/>
        <w:t>presente Sentencia a favor de los miembros  de  la  comunidad  Moiwana,  por</w:t>
        <w:br/>
        <w:t>concepto de daño material, en los términos de los párrafos 179 a 181, 226  y</w:t>
        <w:br/>
        <w:t>228 a 231 de la presente Sentencia.</w:t>
        <w:br/>
        <w:br/>
        <w:br/>
        <w:t>9.    El Estado debe pagar las cantidades fijadas en el párrafo 196   de  la</w:t>
        <w:br/>
        <w:t>presente Sentencia a favor de los miembros  de  la  comunidad  Moiwana,  por</w:t>
        <w:br/>
        <w:t>concepto de daño inmaterial, en los términos de los párrafos 179 a 181,  226</w:t>
        <w:br/>
        <w:t>y 228 a 231 de la presente Sentencia.</w:t>
        <w:br/>
        <w:br/>
        <w:t>10.   El Estado debe pagar la cantidad  fijada  en  el  párrafo  223  de  la</w:t>
        <w:br/>
        <w:t>presente Sentencia, por concepto de gastos, en los términos de los  párrafos</w:t>
        <w:br/>
        <w:t>223, 224 y 228 a 231 de la presente Sentencia.</w:t>
        <w:br/>
        <w:br/>
        <w:t>11.   Supervisará el cumplimiento íntegro  de  esta  Sentencia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232 de la misma.</w:t>
        <w:br/>
        <w:br/>
        <w:t>El Juez Cançado Trindade y la Jueza Medina Quiroga  hicieron  conocer  a  la</w:t>
        <w:br/>
        <w:t>Corte sus Votos Concurrentes, los cuales acompañan a la presente  Sentencia.</w:t>
        <w:br/>
        <w:t xml:space="preserve"> El Juez García Ramírez se adhirió al Voto de la Jueza Medina Quiroga.</w:t>
        <w:br/>
        <w:br/>
        <w:br/>
        <w:br/>
        <w:t>Redactada en español y en inglés, haciendo fe los textos en  ambos  idiomas,</w:t>
        <w:br/>
        <w:t>en San José, Costa Rica, el día 15 de junio de 2005.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t xml:space="preserve">                VOTO RAZONADO DEL JUEZ A.A. CANÇADO TRINDADE</w:t>
        <w:br/>
        <w:br/>
        <w:br/>
        <w:t>1.     Aproximadamente  14  años  después  de  la  decisión  de   la   Corte</w:t>
        <w:br/>
        <w:t>Interamericana en el caso Aloeboetoe y otros vs.  Surinam  (de  fecha  4  de</w:t>
        <w:br/>
        <w:t>diciembre de 1991), - mi primer caso ante la Corte,  con  una  pena  que  ha</w:t>
        <w:br/>
        <w:t>sido cumplida de manera extraordinaria por  el  demandado,  un  país  joven,</w:t>
        <w:br/>
        <w:t>golpeado por la pobreza material pero  rico  en  cuanto  a   manifestaciones</w:t>
        <w:br/>
        <w:t>culturales, - la presente Sentencia de la Corte Interamericana  de  Derechos</w:t>
        <w:br/>
        <w:t>Humanos en el caso Comunidad Moiwana vs. Surinam, en  la  cual  acompaño  mi</w:t>
        <w:br/>
        <w:t>voto a favor de su adopción,  trae cuestiones de gran  trascendencia,  desde</w:t>
        <w:br/>
        <w:t>el  punto  de  vista  jurídico.  En  los  siguientes  párrafos  trataré   de</w:t>
        <w:br/>
        <w:t>identificar estas cuestiones,  ya  que  me  veo  obligado  de  expresar  mis</w:t>
        <w:br/>
        <w:t>reflexiones personales, con  esperanza  de  poder  contribuir  a  la  futura</w:t>
        <w:br/>
        <w:t>evolución del derecho internacional en lo que parece ser, a  mi  juicio,  su</w:t>
        <w:br/>
        <w:t>terra nova o incógnita en el estado actual de su evolución.</w:t>
        <w:br/>
        <w:br/>
        <w:br/>
        <w:t xml:space="preserve">      I.    Observaciones Preliminares</w:t>
        <w:br/>
        <w:br/>
        <w:br/>
        <w:t>2.    Al señalar,  en mi Voto Razonado del cas d’espece, los fundamentos  de</w:t>
        <w:br/>
        <w:t>mi posición respecto de los múltiples  aspectos  de  la  cuestión  traída  a</w:t>
        <w:br/>
        <w:t>estudio, según mi punto de vista, centraré mis reflexiones  en  tres  puntos</w:t>
        <w:br/>
        <w:t>básicos.  En el primer punto, ponderaré las siguientes  cuestiones:  a)   la</w:t>
        <w:br/>
        <w:t>subjetividad legal de  los  pueblos  en  el  derecho  internacional;  b)  el</w:t>
        <w:br/>
        <w:t>desarraigo como un  problema  de  los  derechos  humanos  que  confronta  la</w:t>
        <w:br/>
        <w:t>conciencia jurídica universal; c) la proyección del  sufrimiento  humano  en</w:t>
        <w:br/>
        <w:t>el tiempo y, d) la ilusión de lo “post- moderno” y la  incorporación  en  la</w:t>
        <w:br/>
        <w:t>vida de la muerte.  En segundo lugar, me dedicaré a ampliar  los  siguientes</w:t>
        <w:br/>
        <w:t>puntos: a) la mortalidad y la relevancia ineludible para los vivos;  b)  los</w:t>
        <w:br/>
        <w:t>deberes  de los vivos hacia sus muertos y, c) los deberes hacia los  muertes</w:t>
        <w:br/>
        <w:t>en los orígenes y en la evolución del derecho internacional  y  jurisdicción</w:t>
        <w:br/>
        <w:t>interna.   Por ultimo, en  el  tercer  punto,  presentaré  mis  reflexiones,</w:t>
        <w:br/>
        <w:t>totalmente de lege ferenda, en lo que llamaré:  a) el paso del derecho a  un</w:t>
        <w:br/>
        <w:t>proyecto  de  vida  al  derecho  a  un  proyecto  de  post-  vida;   b)   la</w:t>
        <w:br/>
        <w:t>configuración del daño espiritual  más  allá  del  daño  moral  y,  c)   mis</w:t>
        <w:br/>
        <w:t>observaciones finales en la forma de alegato contra el olvido.</w:t>
        <w:br/>
        <w:br/>
        <w:t>3.    Algunos de los pensamientos que expresaré en mi voto son,  a  mi  leal</w:t>
        <w:br/>
        <w:t>saber y entender, avanzados por primera vez,-  particularmente,  la  tercera</w:t>
        <w:br/>
        <w:t>línea de reflexión sobre el derecho  a  un  proyecto  de  post-  vida  y  la</w:t>
        <w:br/>
        <w:t>configuración del daño espiritual, en el sentido que lo  concibo,  más  allá</w:t>
        <w:br/>
        <w:t>del daño moral y concentrado en el género humano, en  su  vida  y  su  post-</w:t>
        <w:br/>
        <w:t>vida.  Aún no he visto que los “centros  de  excelencia  académica”  de  las</w:t>
        <w:br/>
        <w:t>sociedades  post-  industriales,   donde   los   autores   generalmente   se</w:t>
        <w:br/>
        <w:t>comprometen en citarse entre ellos,  hayan  considerado  estos  temas  -  en</w:t>
        <w:br/>
        <w:t>acuerdo o en desacuerdo, revelando una mezcla de estrechez de pensamiento  y</w:t>
        <w:br/>
        <w:t>autosuficiencia,- y casi invariable por su cuenta y  con  un  mismo  idioma,</w:t>
        <w:br/>
        <w:t>aparentemente desconectados, en gran medida,  de  los  problemas  cotidianos</w:t>
        <w:br/>
        <w:t>que afectan a las “personas comunes”.</w:t>
        <w:br/>
        <w:br/>
        <w:t>4.    Soy totalmente libre, aunque me  sienta  obligado,   de  expresar  mis</w:t>
        <w:br/>
        <w:t>pensamientos  sobre  los  puntos  recién  mencionados,  dado  que  vivo,  in</w:t>
        <w:br/>
        <w:t>extremis, en la ciudad surrealista de Brasilia, en  el  medio  de  la  nada,</w:t>
        <w:br/>
        <w:t>donde los amaneceres convincentes y la luz de  luna  penetrante  lejanamente</w:t>
        <w:br/>
        <w:t>superan el furor arquitectónico “ultra- moderno”.   Sin estar, en  absoluto,</w:t>
        <w:br/>
        <w:t>impresionado ni limitado por el “post modernismo”, siento que puedo  valorar</w:t>
        <w:br/>
        <w:t>la pena que atraviesan los N’djukas Maroon de Moiwana, en el  presente  caso</w:t>
        <w:br/>
        <w:t>contra el estado de Surinam.</w:t>
        <w:br/>
        <w:br/>
        <w:br/>
        <w:t xml:space="preserve">       II.    La  Subjetividad  Legal  de  los   Pueblos   en   el   Derecho</w:t>
        <w:br/>
        <w:t>Internacional.</w:t>
        <w:br/>
        <w:br/>
        <w:br/>
        <w:t>5.    De forma preliminar, me referiré brevemente a  la  subjetividad  legal</w:t>
        <w:br/>
        <w:t>de los pueblos en el derecho internacional.  En la sentencia del caso de  la</w:t>
        <w:br/>
        <w:t>Comunidad Moiwana vs. Surinam, la Corte señala, en la sección de los  hechos</w:t>
        <w:br/>
        <w:t>probados del presente decisorio, que:</w:t>
        <w:br/>
        <w:br/>
        <w:t xml:space="preserve">           “  En  el  Siglo  XVII,  durante  la  colonización  europea  del</w:t>
        <w:br/>
        <w:t xml:space="preserve">      territorio actual de Surinam, se llevó forzadamente a  esta  región  a</w:t>
        <w:br/>
        <w:t xml:space="preserve">      numerosas personas originarias de África que fueron puestas a trabajar</w:t>
        <w:br/>
        <w:t xml:space="preserve">      como esclavos en las plantaciones.   Muchas  de  ellas,  sin  embargo,</w:t>
        <w:br/>
        <w:t xml:space="preserve">      lograron escapar al bosque lluvioso en la parte oriental de lo que hoy</w:t>
        <w:br/>
        <w:t xml:space="preserve">      es Surinam, donde establecieron comunidades nuevas y autónomas;  estas</w:t>
        <w:br/>
        <w:t xml:space="preserve">      personas llegaron  a  ser  conocidas  como  Bush  Negroes  o  Maroons.</w:t>
        <w:br/>
        <w:t xml:space="preserve">      Posteriormente,  emergieron  seis  diferentes   grupos   de   Maroons:</w:t>
        <w:br/>
        <w:t xml:space="preserve">      N’djuka, Matawai, Saramaka,  Kwinti,  Paamaka y  Boni o Aluku.</w:t>
        <w:br/>
        <w:t xml:space="preserve">           Estas seis comunidades negociaron  individualmente  tratados  de</w:t>
        <w:br/>
        <w:t xml:space="preserve">      paz con las autoridades coloniales. En 1760 el pueblo N’djuka firmó un</w:t>
        <w:br/>
        <w:t xml:space="preserve">      tratado que dispuso su liberación de la esclavitud, un siglo antes  de</w:t>
        <w:br/>
        <w:t xml:space="preserve">      que la esclavitud fuera abolida en la región.  En  1837  este  tratado</w:t>
        <w:br/>
        <w:t xml:space="preserve">      fue renovado;  los  términos  del  acuerdo  permitían  a  los  N’djuka</w:t>
        <w:br/>
        <w:t xml:space="preserve">      continuar residiendo en el territorio donde se  habían  establecido  y</w:t>
        <w:br/>
        <w:t xml:space="preserve">      determinaron los límites de ese área.  Los Maroons en general – y  los</w:t>
        <w:br/>
        <w:t xml:space="preserve">      N’djuka en particular – consideran dichos tratados aún válidos  y  con</w:t>
        <w:br/>
        <w:t xml:space="preserve">      autoridad respecto de su relación  con  el  Estado,  a  pesar  de  que</w:t>
        <w:br/>
        <w:t xml:space="preserve">      Surinam logró su independencia de Holanda en 1975"[113].</w:t>
        <w:br/>
        <w:br/>
        <w:t>6.    Por ello, dos siglos antes de que Suriname  lograra  su  condición  de</w:t>
        <w:br/>
        <w:t>estado,  las comunidades  Maroon celebraban los  acuerdos  de  paz  con  las</w:t>
        <w:br/>
        <w:t>autoridades coloniales, posteriormente renovadas y obtenían, de  este  modo,</w:t>
        <w:br/>
        <w:t>su libertad de la  esclavitud.  Los  Maroon,-  en  especial,  los  N’djuka,-</w:t>
        <w:br/>
        <w:t>consideran estos tratados aún válidos y con autoridad en las relaciones  con</w:t>
        <w:br/>
        <w:t>el estado sucesor, Surinam. Esto significa que esas personas  ejercieron  su</w:t>
        <w:br/>
        <w:t>cualidad de persona legal en el derecho internacional mucho tiempo antes  de</w:t>
        <w:br/>
        <w:t>que el territorio que habitaban adquiriera  su  condición  de  estado.  Esto</w:t>
        <w:br/>
        <w:t>refuerza la tesis que siempre he apoyado, es decir, que los Estados  no  son</w:t>
        <w:br/>
        <w:t>y  nunca  han  sido,  los  sujetos   únicos   y   exclusivos   del   derecho</w:t>
        <w:br/>
        <w:t>internacional.</w:t>
        <w:br/>
        <w:br/>
        <w:t>7.    El positivismo forjó esta visión puramente inter-  estatal,  a  partir</w:t>
        <w:br/>
        <w:t>del  reduccionismo de Vattel,  a mitad del siglo XVIII [114], y se  puso  en</w:t>
        <w:br/>
        <w:t>boga a finales del siglo XIX y principios del XX [115],  con  sus  conocidas</w:t>
        <w:br/>
        <w:t>consecuencias desastrosas-  las  próximas  atrocidades  perpetradas  en  las</w:t>
        <w:br/>
        <w:t>distintas regiones del mundo contra los seres humanos, de  forma  individual</w:t>
        <w:br/>
        <w:t>y colectiva- que marcaron la trágica y aberrante historia del siglo XX.  Sin</w:t>
        <w:br/>
        <w:t>embargo, desde sus orígenes históricos  en  el  siglo  XVI,  el  derecho  de</w:t>
        <w:br/>
        <w:t>gentes (droit des gens, derecho de gentes, direito  das  gentes)  abarcó  no</w:t>
        <w:br/>
        <w:t>sólo a los estados sino que  a  los  pueblos  y  al  ser  humano  (en  forma</w:t>
        <w:br/>
        <w:t>individual o grupal) y a la humanidad en su conjunto[116].</w:t>
        <w:br/>
        <w:br/>
        <w:t>8.    Se puede hacer referencia, en este sentido, al inspirador  trabajo  de</w:t>
        <w:br/>
        <w:t>Francisco de Vitoria[117], especialmente su  obra  intitulada   De  Indis  -</w:t>
        <w:br/>
        <w:t>Relectio Prior (1538-1539)[118]. En sus conocidos seminarios  que  dictó  en</w:t>
        <w:br/>
        <w:t>Salamanca  sobre  De  Indis  (capítulos  VI  y  VII),  Vitoria   aclaró   su</w:t>
        <w:br/>
        <w:t>comprensión  de  jus  gentium  como  el   derecho   para   todos,   personas</w:t>
        <w:br/>
        <w:t>individuales y pueblos así como estados, “cada  fracción  de  la  humanidad”</w:t>
        <w:br/>
        <w:t>"[119]. En el siglo XVII, en tiempos  de  Hugo  Grocio  (De  Jure  Belli  ac</w:t>
        <w:br/>
        <w:t>Pacis, 1625), en el mismo sentido,  el  jus  humanae  societatis,  concebido</w:t>
        <w:br/>
        <w:t>como algo universal, comprendía a todos los estados como así también  a  los</w:t>
        <w:br/>
        <w:t>pueblos e individuos[120]. Es importar rescatar  esta  visión  universalista</w:t>
        <w:br/>
        <w:t>en el  proceso  actual  de  humanización  del  derecho  internacional  y  de</w:t>
        <w:br/>
        <w:t>interpretación del nuevo jus gentium del siglo XXI.</w:t>
        <w:br/>
        <w:br/>
        <w:t>9.    El presente caso de Comunidad Moiwana ante  la  Corte  Interamericana,</w:t>
        <w:br/>
        <w:t>en el cual se  revela la riqueza cultural de lo que se conoce como  “América</w:t>
        <w:br/>
        <w:t>Latina”,- de la cual podemos  y  debemos  sentirnos  orgullosos  como  seres</w:t>
        <w:br/>
        <w:t>humanos- ofrece un testimonio  elocuente  de  la  necesidad  de  plantear  y</w:t>
        <w:br/>
        <w:t>avanzar en esta visión universalista del derecho de gentes. Tal como  en  la</w:t>
        <w:br/>
        <w:t>presente Sentencia  de  la  Corte  se  reconoce,  en  cuanto  a  los  hechos</w:t>
        <w:br/>
        <w:t>probados,</w:t>
        <w:br/>
        <w:br/>
        <w:t xml:space="preserve">           “La  relación  de  la  comunidad  de  N’djuka  con   su   tierra</w:t>
        <w:br/>
        <w:t xml:space="preserve">      tradicional es de vital importancia espiritual, cultural  y  material.</w:t>
        <w:br/>
        <w:t xml:space="preserve">      Para que la cultura mantenga su integridad e identidad,  los  miembros</w:t>
        <w:br/>
        <w:t xml:space="preserve">      de la comunidad deben  tener  acceso  a  su  tierra  de  origen.   Los</w:t>
        <w:br/>
        <w:t xml:space="preserve">      derechos a la tierra en la sociedad N’djuka existen en varios  niveles</w:t>
        <w:br/>
        <w:t xml:space="preserve">      y van desde los derechos de la comunidad étnica entera hasta  los  del</w:t>
        <w:br/>
        <w:t xml:space="preserve">      individuo.   El pueblo entero goza del derecho a la tierra, de acuerdo</w:t>
        <w:br/>
        <w:t xml:space="preserve">      don la costumbre N'djuka; los miembros de la comunidad consideran  que</w:t>
        <w:br/>
        <w:t xml:space="preserve">      dichos derechos son perpetuos e inalienables"[121].</w:t>
        <w:br/>
        <w:br/>
        <w:t>10.   Los seres humanos, de forma individual y colectiva, han  surgido  como</w:t>
        <w:br/>
        <w:t>sujetos del derecho  internacional.  Los  derechos  protegidos  revelan  una</w:t>
        <w:br/>
        <w:t>dimensión individual y una colectiva o social; pero, son los seres  humanos,</w:t>
        <w:br/>
        <w:t>miembros  de  esas  minorías  o  colectividades,  quienes  son,  en   última</w:t>
        <w:br/>
        <w:t>instancia los titulaires de esos derechos[122]. La Corte  Interamericana  de</w:t>
        <w:br/>
        <w:t>Derechos Humanos adoptó esta postura en la  sentencia  sin  precedentes  (el</w:t>
        <w:br/>
        <w:t>primer pronunciamiento de este tipo emitido por un  tribunal  internacional)</w:t>
        <w:br/>
        <w:t>en el caso de Comunidad Mayagna(Sumo) Awas Tingni  vs.Nicaragua  (2001),  en</w:t>
        <w:br/>
        <w:t>la cual se protegió el derecho de propiedad  de  las  tierras  (conforme  al</w:t>
        <w:br/>
        <w:t>Artículo 21 de la Convención de Derechos Humanos)  de  los  miembros  de  la</w:t>
        <w:br/>
        <w:t>comunidad indígena[123].</w:t>
        <w:br/>
        <w:br/>
        <w:t>11.   En este sentido, los esfuerzos realizados  tanto  en  Naciones  Unidas</w:t>
        <w:br/>
        <w:t>como en la Organización de Estados Americanos (OEA) en los ’90, para  lograr</w:t>
        <w:br/>
        <w:t>el reconocimiento de los derechos de las comunidades indígenas a  través  de</w:t>
        <w:br/>
        <w:t>las respectiva declaraciones, conforme a  ciertos  principios  básicos  (por</w:t>
        <w:br/>
        <w:t>ejemplo, derecho de igualdad y de no  discriminación),  han  surgido  de  la</w:t>
        <w:br/>
        <w:t>conciencia del ser humano. Se ha dicho que, en estos esfuerzos  se  reconoce</w:t>
        <w:br/>
        <w:t>la deuda que tiene la humanidad con las comunidades indígenas debido  a  los</w:t>
        <w:br/>
        <w:t>"históricos delitos cometidos en su contra"  y  al  respectivo  sentido  del</w:t>
        <w:br/>
        <w:t>deber para "deshacer las cosas malas" que a ellas les ha ocurrido[124].</w:t>
        <w:br/>
        <w:br/>
        <w:t>12.   Esta evolución en especial ha, también, contribuido a la expansión  de</w:t>
        <w:br/>
        <w:t>la personalidad legal e internacional de los  individuos  (pertenecientes  a</w:t>
        <w:br/>
        <w:t>grupos, minorías o colectividades  humanas)  como  sujetos  (contemporáneos)</w:t>
        <w:br/>
        <w:t>del derecho internacional. El Derecho Internacional de los Derechos  Humanos</w:t>
        <w:br/>
        <w:t>en general y esta Corte, en particular, han contribuido a dicho  desarrollo.</w:t>
        <w:br/>
        <w:t>De conformidad con lo establecido en los tratados de derechos  humanos  como</w:t>
        <w:br/>
        <w:t>la Convención Americana,  el  poder  identificar  a  individuos  en  ciertas</w:t>
        <w:br/>
        <w:t>comunidades tiene la ventaja de poder otorgarles  los  respectivos  derechos</w:t>
        <w:br/>
        <w:t>subjetivos en vigor.[125]. En  la  presente  Sentencia  del  caso  Comunidad</w:t>
        <w:br/>
        <w:t>Moiwana, la Corte Interamericana ha destacado, con mucho  acierto,  que  los</w:t>
        <w:br/>
        <w:t>peticionarios  son  los  titulares  de  los  derechos  consagrados   en   la</w:t>
        <w:br/>
        <w:t>Convención; por lo tanto, privarlos  de  la  oportunidad  de  presentar  sus</w:t>
        <w:br/>
        <w:t>propios alegatos constituiría una “restricción indebida” que  emana  “de  su</w:t>
        <w:br/>
        <w:t>condición de sujetos del Derecho  Internacional  de  los  Derechos  Humanos”</w:t>
        <w:br/>
        <w:t>(párr.91). Más allá de  eso,  todavía  existe  la  cuestión  relativa  a  la</w:t>
        <w:br/>
        <w:t>condición  evolutiva  de  los  mismos  pueblos  como  sujetos  del   derecho</w:t>
        <w:br/>
        <w:t>internacional[126].</w:t>
        <w:br/>
        <w:br/>
        <w:br/>
        <w:t xml:space="preserve">      III.  El Desarraigo como un Problema de los Derechos Humanos versus la</w:t>
        <w:br/>
        <w:t xml:space="preserve">           Conciencia Jurídica Universal.</w:t>
        <w:br/>
        <w:br/>
        <w:br/>
        <w:t>13.   La masacre organizada  por  el  poder  militar  estatal  en  1986  que</w:t>
        <w:br/>
        <w:t>suscitó el inicio del presente caso de la  Comunidad  Moiwana  vs.  Suriname</w:t>
        <w:br/>
        <w:t>también motivó el desalojo de ex residentes de la aldea  de  Moiwana  aparte</w:t>
        <w:br/>
        <w:t>de aquellos que tuvieron que refugiarse en la Guyana Francesa. Han  padecido</w:t>
        <w:br/>
        <w:t>este  problema  de  desorganización  social  y  familiar  durante  casi  dos</w:t>
        <w:br/>
        <w:t>décadas. El problema del desarraigo, como se indica en el presente caso,  no</w:t>
        <w:br/>
        <w:t>puede pasar desapercibido ya que el desarraigo afecta, en última  instancia,</w:t>
        <w:br/>
        <w:t>al derecho de una identidad cultural que compone el contenido  sustantivo  o</w:t>
        <w:br/>
        <w:t>material del derecho a la vida misma lato sensu.</w:t>
        <w:br/>
        <w:br/>
        <w:t>14.   En relación con ello, en una conferencia que dicté en el  Convento  de</w:t>
        <w:br/>
        <w:t>San Carlos y San Ambrosio en la Habana, Cuba, el 28 de  noviembre  de  2000,</w:t>
        <w:br/>
        <w:t>al pronunciarme respecto de los  traumas  generados  por  el  desplazamiento</w:t>
        <w:br/>
        <w:t>forzoso y el consequence desarraigo de  tantos  seres  humanos  actualmente,</w:t>
        <w:br/>
        <w:t>tuve a bien recordar la advertencia, una vez planteada por Simone Weil ya  a</w:t>
        <w:br/>
        <w:t>mediados del siglo XX, respecto de que el hecho de  estar  desarraigado  era</w:t>
        <w:br/>
        <w:t>"tal vez la necesidad más importante y menos reconocida del alma  humana"  y</w:t>
        <w:br/>
        <w:t>una de las “más difíciles de definir"[127]. En la misma  época  y  línea  de</w:t>
        <w:br/>
        <w:t>pensamiento, Hannah Arendt advertía contra, además,  los  “padecimientos  de</w:t>
        <w:br/>
        <w:t>los desarraigados  (la  pérdida  del  hogar  y  de  la  familiaridad  de  lo</w:t>
        <w:br/>
        <w:t>cotidiano; la pérdida de la profesión y del  sentimiento  de  utilidad  para</w:t>
        <w:br/>
        <w:t>los demás; la pérdida del idioma materna como expresión  espontánea  de  los</w:t>
        <w:br/>
        <w:t>sentimientos)" y, asimismo, contra la  ilusión  de  "tratar  de  olvidar  el</w:t>
        <w:br/>
        <w:t>pasado (dada la influencia que ejercen sobre cada uno  de  sus  antepasados,</w:t>
        <w:br/>
        <w:t>las generaciones predecesoras)” [128].</w:t>
        <w:br/>
        <w:br/>
        <w:t>15.   Asimismo, en esta línea de razonamiento, J.  M.  Domenach  observó,  a</w:t>
        <w:br/>
        <w:t>mediados de los ’60, que no hay cómo negar las raíces  del  propio  espíritu</w:t>
        <w:br/>
        <w:t>humano, por cuanto la forma misma de adquisición de conocimientos por  parte</w:t>
        <w:br/>
        <w:t>de cada ser humano – y consecuentemente de su manera de ver el mundo –  está</w:t>
        <w:br/>
        <w:t>en gran parte condicionada por factores, como el  lugar  de  nacimiento,  el</w:t>
        <w:br/>
        <w:t>idioma materno, los cultos, la familia y la  cultura  [129].  Con  motivo  a</w:t>
        <w:br/>
        <w:t>ello, ha caracterizado el  desarraigo  como  problema  de  derechos  humanos</w:t>
        <w:br/>
        <w:t>frente a la conciencia jurídica universal [130].</w:t>
        <w:br/>
        <w:br/>
        <w:t>16.   De hecho, a pesar de persistir el problema del desplazamiento  interno</w:t>
        <w:br/>
        <w:t>a lo largo de las últimas dos décadas, recién  en  el  primer  trimestre  de</w:t>
        <w:br/>
        <w:t>1998,  la  Comisión  de  Naciones  Unidas  sobre  Derechos  Humanos  adoptó,</w:t>
        <w:br/>
        <w:t>finalmente, los Principios Rectores de los Desplazamientos  Internos, a  fin</w:t>
        <w:br/>
        <w:t>de mejorar los existentes medios  de  protección;  a  tal  fin,  los  nuevos</w:t>
        <w:br/>
        <w:t>principios propuestos se aplican tanto a los gobiernos  como  a  los  grupos</w:t>
        <w:br/>
        <w:t>insurgentes en todos los niveles de desplazamiento. El principio  básico  de</w:t>
        <w:br/>
        <w:t>la no-discriminación es uno de los temas centrales del mencionado  documento</w:t>
        <w:br/>
        <w:t>de 1998[131], que enumera los mismos derechos,   de  las  personas  que  han</w:t>
        <w:br/>
        <w:t>sido internamente desplazadas, que  gozan  aquellas  otras  personas  en  su</w:t>
        <w:br/>
        <w:t>país. [132].</w:t>
        <w:br/>
        <w:br/>
        <w:t>17.   Los Principios Rectores de 1998  ya  mencionados,  determinan  que  el</w:t>
        <w:br/>
        <w:t>desplazamiento no se llevará a cabo de forma que viole  los  derechos  a  la</w:t>
        <w:br/>
        <w:t>vida, dignidad,  libertad  y  seguridad  de  los  afectados  [133];  también</w:t>
        <w:br/>
        <w:t>establecen otros derechos, como el derecho a respetar la vida  familiar,  el</w:t>
        <w:br/>
        <w:t>derecho a un adecuado nivel de vida, el  derecho  al  reconocimiento  de  la</w:t>
        <w:br/>
        <w:t>persona jurídica, el derecho a la educación [134]. La  idea  primordial  del</w:t>
        <w:br/>
        <w:t>documento es que  las  personas  desplazadas  internamente  no  pierdan  los</w:t>
        <w:br/>
        <w:t>derechos inherentes, como resultado de ese desplazo y puedan, de este  modo,</w:t>
        <w:br/>
        <w:t xml:space="preserve"> invocar las normas  internacionales  de  protección  correspondientes  para</w:t>
        <w:br/>
        <w:t>salvaguardar sus derechos.</w:t>
        <w:br/>
        <w:br/>
        <w:t>18.   En el continente americano, la  Declaración  de  Cartagena  sobre  los</w:t>
        <w:br/>
        <w:t>Refugiados de 1984, la Declaración de San José sobre Refugiados  y  Personas</w:t>
        <w:br/>
        <w:t>Desplazadas de 1994 y la  Declaración  y  Plan  de  Acción  de  Méjico  para</w:t>
        <w:br/>
        <w:t>Fortalecer la Protección Internacional de Refugiados en  América  Latina  de</w:t>
        <w:br/>
        <w:t>2004 es, cada una de ella,  el producto de un momento histórico  específico.</w:t>
        <w:br/>
        <w:t>La primera de  ellas,  la  Declaración  de  Cartagena,  se  inspiró  en  las</w:t>
        <w:br/>
        <w:t>necesidades  urgentes  generadas  por  una  crisis   concreta   de   grandes</w:t>
        <w:br/>
        <w:t>proporciones; al punto que, a medida que se superaba esta crisis, debido  en</w:t>
        <w:br/>
        <w:t>parte a esta  Declaración,  su  legado  comenzaba  a  proyectarse  en  otras</w:t>
        <w:br/>
        <w:t>regiones y subregiones del continente americano.</w:t>
        <w:br/>
        <w:br/>
        <w:t>19.   La segunda Declaración fue aprobada en medio de una  crisis  distinta,</w:t>
        <w:br/>
        <w:t>una crisis más difusa, marcada por el deterioro de  las  condiciones  socio-</w:t>
        <w:br/>
        <w:t>económicas de amplios segmentos de la población en  distintas  regiones.  En</w:t>
        <w:br/>
        <w:t>resumen, las declaraciones de Cartagena y de San José  fueron  el  resultado</w:t>
        <w:br/>
        <w:t>de ese momento. La adopción de la Declaración de San José  por  el  Coloquio</w:t>
        <w:br/>
        <w:t>profundizó la identificación  de  las  necesidades  de  protección  del  ser</w:t>
        <w:br/>
        <w:t>humano en cualquier circunstancia [135]. No  quedó  lugar  para  la  vacatio</w:t>
        <w:br/>
        <w:t>legis[136]. La Declaración de San José de 1994 no sólo enmarcó  el  problema</w:t>
        <w:br/>
        <w:t>del desplazamiento interno sino que profundizó los desafíos presentados  por</w:t>
        <w:br/>
        <w:t>las nuevas situaciones del desarraigo humano en América Latina y el  Caribe,</w:t>
        <w:br/>
        <w:t>así como los movimientos migratorios originados por causas distintas  a  las</w:t>
        <w:br/>
        <w:t>previstas en la Declaración de Cartagena.</w:t>
        <w:br/>
        <w:br/>
        <w:t>20.   La Declaración de 1994 reconoció que  la  violación  de  los  derechos</w:t>
        <w:br/>
        <w:t>humanos es una de las causas del desplazamiento forzado y que, por ello,  la</w:t>
        <w:br/>
        <w:t>protección  de  aquellos  derechos  y   el   fortalecimiento   del   sistema</w:t>
        <w:br/>
        <w:t>democrático  constituyen  la  mejor  herramienta  para   buscar   soluciones</w:t>
        <w:br/>
        <w:t>duraderas como así también para prevenir conflictos, huídas de refugiados  y</w:t>
        <w:br/>
        <w:t>graves crisis humanitarias[137]. Recientemente, luego de un  amplio  proceso</w:t>
        <w:br/>
        <w:t>de consultas y de participación pública, se aprobó la Declaración y Plan  de</w:t>
        <w:br/>
        <w:t>Acción  de  México  para  fortalecer  la  Protección  Internacional  de  los</w:t>
        <w:br/>
        <w:t>Refugiados en América Latina [138], gracias a la organización del ACNUR,  en</w:t>
        <w:br/>
        <w:t>conmemoración del 20° aniversario de la Declaración  de  Cartagena  (supra).</w:t>
        <w:br/>
        <w:t>Por primera vez en el presente proceso, un Plan de Acción  acompañó  a  este</w:t>
        <w:br/>
        <w:t>tipo de documento.  Esto se debe a la gravedad de la crisis  humanitaria  de</w:t>
        <w:br/>
        <w:t>la región, especialmente de la subregión andina.</w:t>
        <w:br/>
        <w:br/>
        <w:t>21.   Tal como expuso el relator del  Comité  de  Consultores  Jurídicos  de</w:t>
        <w:br/>
        <w:t>ACNUR en la presentación del informe final del Coloquio  de  México,  en  su</w:t>
        <w:br/>
        <w:t>primera sesión plenaria, el 15 de noviembre de 2004, aparte  del  hecho  que</w:t>
        <w:br/>
        <w:t>los tiempos de la creación de  la  Declaración  de  Cartagena  de  1984  son</w:t>
        <w:br/>
        <w:t>distintos a los tiempos que se vivía para la  Declaración  de  San  José  en</w:t>
        <w:br/>
        <w:t>1994, sus logros son "acumulativos  y  constituyen,  en  la  actualidad,  el</w:t>
        <w:br/>
        <w:t>patrimonio jurídico" de todos  los  pueblos  de  la  región,  revelando  las</w:t>
        <w:br/>
        <w:t>nuevas tendencias de la  evolución  de  la  garantía  internacional  de  los</w:t>
        <w:br/>
        <w:t>derechos de un ser humano  en  vista  a  las  necesidades  de  protección  y</w:t>
        <w:br/>
        <w:t>proyectándose ellos mismos en el futuro[139]. Por lo tanto,</w:t>
        <w:br/>
        <w:br/>
        <w:t xml:space="preserve">           “la Declaración de Cartagena enfrentó el gran  drama  humano  de</w:t>
        <w:br/>
        <w:t xml:space="preserve">      conflictos  armados  de  América  Central,  pero  asimismo  previó  la</w:t>
        <w:br/>
        <w:t xml:space="preserve">      gravedad del problema de las  personas  desplazadas  internamente.  La</w:t>
        <w:br/>
        <w:t xml:space="preserve">      Declaración de San José, a su vez, profundizó  sobre  la  cuestión  de</w:t>
        <w:br/>
        <w:t xml:space="preserve">      protección  de,  aparte  de  los  refugiados,   personas   desplazadas</w:t>
        <w:br/>
        <w:t xml:space="preserve">      internamente y también previó la gravedad del problema de  los  flujos</w:t>
        <w:br/>
        <w:t xml:space="preserve">      migratorios forzados.</w:t>
        <w:br/>
        <w:t xml:space="preserve">           Desde que fue superada la separación en categorías  anacrónicas,</w:t>
        <w:br/>
        <w:t xml:space="preserve">      propia      de un modo de pensar de un pasado que no existe  más,   se</w:t>
        <w:br/>
        <w:t xml:space="preserve">      reconoce la convergencia entre los tres regímenes de protección de los</w:t>
        <w:br/>
        <w:t xml:space="preserve">      derechos del  ser  humano,  a  saber,  el  Derecho  Internacional  del</w:t>
        <w:br/>
        <w:t xml:space="preserve">      Refugiado,  el  Derecho  Internacional  Humanitario   y   el   Derecho</w:t>
        <w:br/>
        <w:t xml:space="preserve">      Internacional de los Derechos Humanos. Dichas convergencias-  a  nivel</w:t>
        <w:br/>
        <w:t xml:space="preserve">      normativo, hermenéutico [cf.]  y  operativo-  fueron  reafirmadas  por</w:t>
        <w:br/>
        <w:t xml:space="preserve">      todas las reuniones preparatorias del presente Coloquio  Conmemorativo</w:t>
        <w:br/>
        <w:t xml:space="preserve">      de la ciudad de México [cf.] actualmente en otras  partes  del  mundo,</w:t>
        <w:br/>
        <w:t xml:space="preserve">      siendo parte de la doctrina legal internacional más brillante sobre el</w:t>
        <w:br/>
        <w:t xml:space="preserve">      tema"[140].</w:t>
        <w:br/>
        <w:br/>
        <w:t>22.   Aquellas convergencias [141] sorprendentemente, no  se  reflejaron  en</w:t>
        <w:br/>
        <w:t>la  Declaración  y  Plan  de  Acción  de  México  2004  para  Fortalecer  la</w:t>
        <w:br/>
        <w:t>Protección Internacional de  las  Refugiados  de  América  Latina.   Por  lo</w:t>
        <w:br/>
        <w:t>tanto, como  el  relator  del  Comité  de  Consultores  Jurídicos  de  ACNUR</w:t>
        <w:br/>
        <w:t>finalmente advirtió en el Coloquio de México en noviembre de 2004,</w:t>
        <w:br/>
        <w:br/>
        <w:t xml:space="preserve">           “no hay lugar para vacatio legis, no existe  Vacío legal y todas</w:t>
        <w:br/>
        <w:t xml:space="preserve">      (...)  las  personas  están  protegidas  por  el   Derecho   en   toda</w:t>
        <w:br/>
        <w:t xml:space="preserve">      circunstancia (y también frente a medidas de seguridad)"[142].</w:t>
        <w:br/>
        <w:br/>
        <w:t>23.   Ésta no es la primera vez que debo llamar  la  atención  en  la  Corte</w:t>
        <w:br/>
        <w:t>Interamericana  respecto  de  la  tragedia  contemporánea  y  creciente  del</w:t>
        <w:br/>
        <w:t>desarraigo. Ya en la Resolución de Medidas Provisionales  de  Protección  de</w:t>
        <w:br/>
        <w:t>la Corte Interamericana, del 18 de agosto del 2000, en el caso de  Haitianos</w:t>
        <w:br/>
        <w:t>y Dominicanos de origen haitiano en  la  República  Dominicana,  dediqué  mi</w:t>
        <w:br/>
        <w:t>voto concurrente (párr. 1-25) a revelar la verdadera  dimensión  global  del</w:t>
        <w:br/>
        <w:t>desarraigo en el mundo deshumanizados en el que actualmente  vivimos  [143].</w:t>
        <w:br/>
        <w:t>Es importante mencionar que, en el presente caso de Comunidad   Moiwana  vs.</w:t>
        <w:br/>
        <w:t>Suriname, la Corte, con  arreglo  a  la  Convención  Americana  y  según  el</w:t>
        <w:br/>
        <w:t>principio jura novit  curia,  dedicó  una  sección  entera  de  la  presente</w:t>
        <w:br/>
        <w:t>sentencia a discutir el tema de  desplazamiento  forzoso  –  un  malaise  de</w:t>
        <w:br/>
        <w:t>nuestros tiempos- y estableció que el estado demandado violó  el  art.22  de</w:t>
        <w:br/>
        <w:t>la Convención Americana (sobre libertad de circulación y  residencia)  y  el</w:t>
        <w:br/>
        <w:t>deber general del Artículo 1(1) de la Convención (párr. 107-121). 107-121).</w:t>
        <w:br/>
        <w:br/>
        <w:br/>
        <w:t xml:space="preserve">      IV.   La Proyección del Padecimiento Humano en el Tiempo.</w:t>
        <w:br/>
        <w:br/>
        <w:br/>
        <w:t>24.   Las  circunstancias  del  presente  caso  de  Comunidad   Moiwana  vs.</w:t>
        <w:br/>
        <w:t>Suriname invita a una breve  reflexión,  más  allá  de  sus  límites.  Desde</w:t>
        <w:br/>
        <w:t>antes, como también con posterioridad, de que Suriname lograre su  condición</w:t>
        <w:br/>
        <w:t>de estado, la existencia de las comunidades Maroon (como  los  Saramakas  en</w:t>
        <w:br/>
        <w:t>el caso Aloeboetoe y los N’djukas  en  el  presente  caso  de  la  Comunidad</w:t>
        <w:br/>
        <w:t>Moiwana sometido ante esta Corte) ha estado marcada por  sufrimiento  en  su</w:t>
        <w:br/>
        <w:t>constante lucha contra las distintas formas de dominación.  Esta  no  es  la</w:t>
        <w:br/>
        <w:t>primera vez que me dedicó a este tema que tengo a bien llamar la  proyección</w:t>
        <w:br/>
        <w:t>del padecimiento humano en el tiempo; ya lo he hecho previamente en mi  voto</w:t>
        <w:br/>
        <w:t>razonado  (párr.  10-14)  en  el  caso  Bámaca   Velásquez   vs.   Guatemala</w:t>
        <w:br/>
        <w:t>(Reparaciones,  Sentencia  del  22.02.2002)  y  ahora  retomo  el  punto  en</w:t>
        <w:br/>
        <w:t>cuestión para seguir discutiendo la materia,  en  el  presente  caso  de  la</w:t>
        <w:br/>
        <w:t>Comunidad  Moiwana.</w:t>
        <w:br/>
        <w:br/>
        <w:t>25.   La proyección del sufrimiento humano en el  tiempo  (en  su  dimensión</w:t>
        <w:br/>
        <w:t>temporal) está  reconocida,  por  ejemplo,  en  el  documento  final  de  la</w:t>
        <w:br/>
        <w:t>Conferencia Mundial de Naciones Unidas contra el Racismo, la  Discriminación</w:t>
        <w:br/>
        <w:t>Racial, la Xenofobia y las formas conexas de  Intolerancia  (Dunbar,  2001),</w:t>
        <w:br/>
        <w:t>su Declaración  y  Programa  de  Acción.   Al  respecto,  dicha  declaración</w:t>
        <w:br/>
        <w:t>comienza afirmando que</w:t>
        <w:br/>
        <w:br/>
        <w:t xml:space="preserve">           “Somos conscientes de que  la  historia  de  la  humanidad  está</w:t>
        <w:br/>
        <w:t xml:space="preserve">      repleta de grandes atrocidades resultantes de violaciones  manifiestas</w:t>
        <w:br/>
        <w:t xml:space="preserve">      de los  derechos  humanos  y  pensamos  que  puede  aprenderse  de  la</w:t>
        <w:br/>
        <w:t xml:space="preserve">      historia, rememorándola, para evitar futuras tragedias” (párr.57).</w:t>
        <w:br/>
        <w:br/>
        <w:t>26.   Luego, subraya “la importancia y la necesidad de enseñar los hechos  y</w:t>
        <w:br/>
        <w:t>la verdad de la historia de la humanidad” a fin  de  “llegar  a  conocer  de</w:t>
        <w:br/>
        <w:t>manera amplia y objetiva las tragedias del pasado” (párr.98). En esta  línea</w:t>
        <w:br/>
        <w:t>de razonamiento, el documento  final  de  Durban  reconoce  y  profundamente</w:t>
        <w:br/>
        <w:t>lamenta “los masivos sufrimientos  humanos  y  el  trágico  padecimiento  de</w:t>
        <w:br/>
        <w:t>millones de hombres, mujeres y niños causados por  la  esclavitud”  y  luego</w:t>
        <w:br/>
        <w:t>hace un llamamiento a los Estados interesados “para que  honren  la  memoria</w:t>
        <w:br/>
        <w:t>de las víctimas de tragedias pasadas ”  y afirma que donde quiera  y  cuando</w:t>
        <w:br/>
        <w:t>quiera que hubieran ocurrido “deben ser condenados y  ha  de  impedirse  que</w:t>
        <w:br/>
        <w:t>ocurran de nuevo” (párr.99).</w:t>
        <w:br/>
        <w:br/>
        <w:t>27.    El  documento  final  de  la  Conferencia  de  Durban  atribuye  gran</w:t>
        <w:br/>
        <w:t>importancia a recordar  los  crímenes  y  abusos  del  pasado,  en  términos</w:t>
        <w:br/>
        <w:t>enfáticos como:</w:t>
        <w:br/>
        <w:br/>
        <w:t xml:space="preserve">           “Subrayamos que recordar los crímenes e injusticias del  pasado,</w:t>
        <w:br/>
        <w:t xml:space="preserve">      cuando quiera y dondequiera que ocurrieron,  condenar  inequívocamente</w:t>
        <w:br/>
        <w:t xml:space="preserve">      las tragedias racistas  y  decir  la  verdad  sobre  la  historia  son</w:t>
        <w:br/>
        <w:t xml:space="preserve">      elementos  esenciales  para  la  reconciliación  internacional  y   la</w:t>
        <w:br/>
        <w:t xml:space="preserve">      creación de sociedades basadas  en  la  justicia,  la  igualdad  y  la</w:t>
        <w:br/>
        <w:t xml:space="preserve">      solidaridad” (párr.106).</w:t>
        <w:br/>
        <w:br/>
        <w:t>Finalmente,  reconoce  que  las  “injusticias  históricas”  han  contribuido</w:t>
        <w:br/>
        <w:t>innegablemente  a  la  pobreza,   marginalización    y   exclusión   social,</w:t>
        <w:br/>
        <w:t>inestabilidad e inseguridad que  afecta  a  muchas  personas  en  diferentes</w:t>
        <w:br/>
        <w:t>partes del mundo (párr. 158).</w:t>
        <w:br/>
        <w:br/>
        <w:t>28.   Una década atrás, el Presidente de la Academia de  Cultura  China  (el</w:t>
        <w:br/>
        <w:t>filósofo Tang Yi Jie) y el Profesor del Collège  de  France  (el  geofísico,</w:t>
        <w:br/>
        <w:t>Xavier Le Pichon) participaron de un diálogo académico sobre la  muerte,  en</w:t>
        <w:br/>
        <w:t>el cual Tang Yi Jie recordó la visión budista según la cual  “la  existencia</w:t>
        <w:br/>
        <w:t>humana es un mar  de  sufrimiento”  y  el  punto  de  vista  de  R.  Rolland</w:t>
        <w:br/>
        <w:t>(traducido del chino) con el mismo sentido, que dice</w:t>
        <w:br/>
        <w:br/>
        <w:t xml:space="preserve">           "La vie humaine est une souffrance. C'est  un  combat  incessant</w:t>
        <w:br/>
        <w:t xml:space="preserve">      pour ceux qui ne se contentent pas d'avoir une vie médiocre, un combat</w:t>
        <w:br/>
        <w:t xml:space="preserve">      souvent cruel, sans gloire, sans bonheur, mené dans la solitude et  le</w:t>
        <w:br/>
        <w:t xml:space="preserve">      silence"[144].</w:t>
        <w:br/>
        <w:br/>
        <w:t>A su vez, X. Le Pichon agregó que "el grado de humanización de una  sociedad</w:t>
        <w:br/>
        <w:t>está medida por la calidad de cuidado de aquéllos que sufren o  de  aquéllos</w:t>
        <w:br/>
        <w:t>cuya discapacidad lo excluyen de la posibilidad de tener una  vida  como  la</w:t>
        <w:br/>
        <w:t>del resto"[145].</w:t>
        <w:br/>
        <w:br/>
        <w:t>29.   En el presente caso  de  Comunidad  Moiwana,  la  discapacidad,  o  el</w:t>
        <w:br/>
        <w:t>sufrimiento, de los sobrevivientes de la masacre y  los  parientes  cercanos</w:t>
        <w:br/>
        <w:t>de las víctimas directas de la masacre del 29 de noviembre  de  1986  en  la</w:t>
        <w:br/>
        <w:t>comunidad N’djuka Maroon  de  Moiwana,  es  espiritual.  Según  su  cultura,</w:t>
        <w:br/>
        <w:t>permanecen aún atormentados por las circunstancias  en  que  sucedieron  las</w:t>
        <w:br/>
        <w:t>violentas muertes  de  sus  seres  queridos  y  por  el  hecho  de  que  los</w:t>
        <w:br/>
        <w:t>fallecidos no tuvieron un entierro adecuado.   Esta  privación,  que  genera</w:t>
        <w:br/>
        <w:t>sufrimiento espiritual, ha durado casi veinte años, desde el momento  de  la</w:t>
        <w:br/>
        <w:t>masacre de 1986, en la  que  se  vio  comprometida  la  responsabilidad  del</w:t>
        <w:br/>
        <w:t>estado, hasta ahora. Los N’djukas no han olvidado a sus muertos.</w:t>
        <w:br/>
        <w:br/>
        <w:t>30.   Ni tampoco pueden hacerlo. En la conferencia pública ante esta  Corte,</w:t>
        <w:br/>
        <w:t>el 29.09.2004, uno de los dos representantes de las presuntas  víctimas  (F.</w:t>
        <w:br/>
        <w:t>Mackay) declaró que:</w:t>
        <w:br/>
        <w:br/>
        <w:t xml:space="preserve">           “los representantes de las víctimas de la masacre de  Moiwana  y</w:t>
        <w:br/>
        <w:t xml:space="preserve">      el pariente más cercano se presenta hoy ante esta Corte como parte del</w:t>
        <w:br/>
        <w:t xml:space="preserve">      esfuerzo permanente  para  obtener  justicia;  justicia  para  las  39</w:t>
        <w:br/>
        <w:t xml:space="preserve">      personas que han sido  brutalmente  asesinadas  y  mutiladas  por  las</w:t>
        <w:br/>
        <w:t xml:space="preserve">      fuerzas armadas de Suriname el 29 de noviembre de 1986; justicia  para</w:t>
        <w:br/>
        <w:t xml:space="preserve">      los sobrevivientes de dicha  masacre que han sido testigos de cómo sus</w:t>
        <w:br/>
        <w:t xml:space="preserve">      parientes indefensos recibían disparos y eran masacrados con machetes;</w:t>
        <w:br/>
        <w:t xml:space="preserve">      su aldea ancestral con sus sitios  sagrados  totalmente  incendiada  y</w:t>
        <w:br/>
        <w:t xml:space="preserve">      quien tuvo que soportar el exilio forzado de sus tierras tradicionales</w:t>
        <w:br/>
        <w:t xml:space="preserve">      y el concilio espiritual que solo puede disfrutarse en esas tierra;  y</w:t>
        <w:br/>
        <w:t xml:space="preserve">      justicia para los sobrevivientes y parientes cercanos  que  tienen  el</w:t>
        <w:br/>
        <w:t xml:space="preserve">      deber, a través de reglas culturales fundamentales, de asegurarse  que</w:t>
        <w:br/>
        <w:t xml:space="preserve">      los muertos reciban entierros adecuados y de  asegurarse  que  reciban</w:t>
        <w:br/>
        <w:t xml:space="preserve">      justicia para que, de este modo, sus espíritus descansen en paz.</w:t>
        <w:br/>
        <w:t xml:space="preserve">           La búsqueda de justicia  no se ha detenido  desde  lo  ocurrido,</w:t>
        <w:br/>
        <w:t xml:space="preserve">      hace casi 18 años.  (…)  la  masacre  constituye  un  delito  de  lesa</w:t>
        <w:br/>
        <w:t xml:space="preserve">      humanidad, una violación flagrante de las normas jus  cogens,  de  las</w:t>
        <w:br/>
        <w:t xml:space="preserve">      obligaciones erga omnes y  de  las  normas  de  Derecho  Internacional</w:t>
        <w:br/>
        <w:t xml:space="preserve">      Humanitario codificadas en las Convenciones de Ginebra  y  consagradas</w:t>
        <w:br/>
        <w:t xml:space="preserve">      por haber logrado el status de derecho internacional  consuetudinario.</w:t>
        <w:br/>
        <w:t xml:space="preserve">      (…) La masacre se asemeja, en gran medida, a asesinato; al  menos,  39</w:t>
        <w:br/>
        <w:t xml:space="preserve">      personas fueron asesinadas en pocas horas el 29 de noviembre de  1986.</w:t>
        <w:br/>
        <w:t xml:space="preserve">      Casi 70% de las personas asesinadas  eran  menores  de  18  años;  25%</w:t>
        <w:br/>
        <w:t xml:space="preserve">      tenían menos de 5 años, incluso había cuatro  infantes  menores  de  2</w:t>
        <w:br/>
        <w:t xml:space="preserve">      años y 50% eran mujeres y niñas (...) Sin  dudas,  estaban  indefensos</w:t>
        <w:br/>
        <w:t xml:space="preserve">      (...).</w:t>
        <w:br/>
        <w:t xml:space="preserve">           (…) La masacre de Moiwana no fue un incidente aislado  sino  que</w:t>
        <w:br/>
        <w:t xml:space="preserve">      fue parte de una política de reprimendas  colectivas,  sistemáticas  y</w:t>
        <w:br/>
        <w:t xml:space="preserve">      dispersas contra la población civil Maroon  por  las  actividades  del</w:t>
        <w:br/>
        <w:t xml:space="preserve">      Comando Jungla.  Luego, el Comandante de las Fuerzas  Armadas,  Désiré</w:t>
        <w:br/>
        <w:t xml:space="preserve">      Bouterse declaró en la radio a fines de 1986 que –y cito-  “mataría  a</w:t>
        <w:br/>
        <w:t xml:space="preserve">      todos   los   Maroon   y   encontraría   sus   plantaciones   y    las</w:t>
        <w:br/>
        <w:t xml:space="preserve">      bombardearía"[146].</w:t>
        <w:br/>
        <w:br/>
        <w:t>31.   El mismo representante de  las  víctimas  presuntas  siguió  afirmando</w:t>
        <w:br/>
        <w:t>ante la Corte que</w:t>
        <w:br/>
        <w:br/>
        <w:t xml:space="preserve">           “se  denunciaron  también  masacres  en  las  aldeas  Maroon  de</w:t>
        <w:br/>
        <w:t xml:space="preserve">      Morakondre, Moengotapoe y que los Maroon quedaron  sujetos  al  hambre</w:t>
        <w:br/>
        <w:t xml:space="preserve">      forzada (...). Durante ese tiempo [1987] casi todas las aldeas  Maroon</w:t>
        <w:br/>
        <w:t xml:space="preserve">      en el este de Suriname fueron arrasadas con la ayuda de  fuerza  aérea</w:t>
        <w:br/>
        <w:t xml:space="preserve">      militar. Cerca de diez mil personas huyeron del área  y  los  rituales</w:t>
        <w:br/>
        <w:t xml:space="preserve">      religiosos de los Maroon quedaron totalmente destruidos. Además de  la</w:t>
        <w:br/>
        <w:t xml:space="preserve">      masacre de Moiwana, fuentes confiables  indican  que  en  noviembre  y</w:t>
        <w:br/>
        <w:t xml:space="preserve">      diciembre de 1986, las fuerzas armadas nacionales asesinaron  cerca de</w:t>
        <w:br/>
        <w:t xml:space="preserve">      244 civiles, en su mayoría Maroon. Finalmente, cabe mencionar  que  la</w:t>
        <w:br/>
        <w:t xml:space="preserve">      unidad  de  las  fuerzas  armadas  responsable  de  la   masacre   fue</w:t>
        <w:br/>
        <w:t xml:space="preserve">      especialmente entrenada para la operación en Moiwana, factor este  que</w:t>
        <w:br/>
        <w:t xml:space="preserve">      indica que la masacre fue planeada, calculada  y predeterminada.</w:t>
        <w:br/>
        <w:t xml:space="preserve">           (…) Nos gustaría enfatizar que la clasificación  de  la  masacre</w:t>
        <w:br/>
        <w:t xml:space="preserve">      como un delito de lesa humanidad, como una violación total de  la  ley</w:t>
        <w:br/>
        <w:t xml:space="preserve">      humanitaria  y  de  las  normas  de   jus   cogens,   (...)   [y]   la</w:t>
        <w:br/>
        <w:t xml:space="preserve">      responsabilidad de Surinam por la consecuente denegación  de  justicia</w:t>
        <w:br/>
        <w:t xml:space="preserve">      (...)  Respecto de la denegación de  justicia  en  el  presente  caso,</w:t>
        <w:br/>
        <w:t xml:space="preserve">      creemos que los hechos hablan por sí mismos. Los testimonios  y  demás</w:t>
        <w:br/>
        <w:t xml:space="preserve">      pruebas presentadas  ante esta Corte demuestran  que  las  [presuntas]</w:t>
        <w:br/>
        <w:t xml:space="preserve">      víctimas buscaron remedio activa y  repetidamente  en  Surinam.  Estos</w:t>
        <w:br/>
        <w:t xml:space="preserve">      intentos de obtener justicia fueron  ignorados,  refutados  e  incluso</w:t>
        <w:br/>
        <w:t xml:space="preserve">      castigados por Suriname y no produjeron ningún  resultado.  (...)  Los</w:t>
        <w:br/>
        <w:t xml:space="preserve">      autores  intelectuales,  que  son  conocidos   y   que   han   asumido</w:t>
        <w:br/>
        <w:t xml:space="preserve">      públicamente su responsabilidad  en  más  de  una  ocasión,  continúan</w:t>
        <w:br/>
        <w:t xml:space="preserve">      totalmente impunes"[147].</w:t>
        <w:br/>
        <w:br/>
        <w:t>32.   Es cierto que  los  hechos  hablan  por  sí  mismos.  En  la  presente</w:t>
        <w:br/>
        <w:t>Sentencia, la Corte recordó, en cuanto a los hechos  probados,  inter  alia,</w:t>
        <w:br/>
        <w:t>que el líder militar de Suriname (D. Bouterse) en una conferencia de  prensa</w:t>
        <w:br/>
        <w:t>[148] confirmó que “la operación en la  aldea  de  Moiwana  fue  una  acción</w:t>
        <w:br/>
        <w:t>militar que él mismo ordenó", y que “no iba a permitir que la Policía  civil</w:t>
        <w:br/>
        <w:t>investigue las  operaciones  militares"[149].  La  masacre  de  Moiwana  fue</w:t>
        <w:br/>
        <w:t>planeada, calculada y ejecutada por el estado: fue un crimen de estado.  Tal</w:t>
        <w:br/>
        <w:t>como  sostuve  en  mis  votos  razonados  en  los  casos  Myrna  Mack  Chang</w:t>
        <w:br/>
        <w:t>(sentencia del 2003) y Masacre Plan de Sánchez  (sentencia  del  2004)  ante</w:t>
        <w:br/>
        <w:t>esta Corte, ambos casos  relativos  a  Guatemala,  los  crímenes  de  estado</w:t>
        <w:br/>
        <w:t>existen. Lo aprueben o no los abogados internacionales, este tipo de  crimen</w:t>
        <w:br/>
        <w:t>existe. No dejan de existir únicamente porque a algunos- o la mayor parte  –</w:t>
        <w:br/>
        <w:t>de  los  abogados  internacionales   no   les   guste   la   expresión.   La</w:t>
        <w:br/>
        <w:t>responsabilidad individual y del estado coexisten, se complementan.</w:t>
        <w:br/>
        <w:br/>
        <w:t>33.   Por primera vez en casi dos décadas, desde la masacre ocurrida  en  la</w:t>
        <w:br/>
        <w:t>aldea de Moiwana en 1986, los sobrevivientes encontraron reparación  con  la</w:t>
        <w:br/>
        <w:t>presente Sentencia de la Corte Interamericana.   Durante  este  tiempo,  los</w:t>
        <w:br/>
        <w:t>N’djuka no olvidaron, ni pudieron olvidar, a los seres queridos inocentes  e</w:t>
        <w:br/>
        <w:t>indefensos que fueron asesinados a sangre fría. Nunca  los  olvidarán,  pero</w:t>
        <w:br/>
        <w:t>su sufrimiento- el de ellos junto con el de los muertos- ha  sido  al  menos</w:t>
        <w:br/>
        <w:t>reconocido ante la justicia. Su tan  esperado  deseo  de  justicia  ha  sido</w:t>
        <w:br/>
        <w:t>ahora cumplido, para que puedan descansar en paz junto a los seres  queridos</w:t>
        <w:br/>
        <w:t>asesinados.</w:t>
        <w:br/>
        <w:br/>
        <w:br/>
        <w:t xml:space="preserve">      V.    La Ilusión del  “Post-Modernismo”  y  la  Incorporación  de  los</w:t>
        <w:br/>
        <w:t xml:space="preserve">           Muertos en la Vida.</w:t>
        <w:br/>
        <w:br/>
        <w:br/>
        <w:t>34.   Ahora me dedicaré a explicar mi próximo  punto  en  el  presente  Voto</w:t>
        <w:br/>
        <w:t>razonado el cual constituye una importante lección para  aprender  del  caso</w:t>
        <w:br/>
        <w:t>Comunidad  Moiwana.  El  sufrimiento  humano  proyectado   en   el   tiempo,</w:t>
        <w:br/>
        <w:t>generalmente, se ve  minimizado  o  ignorado  en  el  llamado  “mundo  post-</w:t>
        <w:br/>
        <w:t>moderno”,- un mundo que se  preocupa  cada  vez  menos  por  el  sufrimiento</w:t>
        <w:br/>
        <w:t>humano y la muerte (y prefiere simplemente ignorar o minimizar estos  temas)</w:t>
        <w:br/>
        <w:t>y  valora,  cada  vez  más,  en  perjuicio  de  si  mismo,  la  ambición  de</w:t>
        <w:br/>
        <w:t>materialismo y acumulación de riqueza, la carrera armamentista y el  uso  de</w:t>
        <w:br/>
        <w:t>la fuerza. Se ha hecho, entonces,  la pregunta oportunamente: ¿cómo  podemos</w:t>
        <w:br/>
        <w:t>despertar a los contemporáneos? ¿cómo podemos  transmitir  la  necesidad  de</w:t>
        <w:br/>
        <w:t>espiritualidad?[150] El Derecho Internacional de los Derechos Humanos lo  ha</w:t>
        <w:br/>
        <w:t>intentado, ha  hecho  su  mejor  esfuerzo  pero  parece  que,  hoy  día,  se</w:t>
        <w:br/>
        <w:t>encuentra bajo fuego y hostilidad, por parte de aquéllos comprometidos a  su</w:t>
        <w:br/>
        <w:t>destrucción, los precursores del uso de la fuerza y  la  acumulación  de  la</w:t>
        <w:br/>
        <w:t>riqueza material.</w:t>
        <w:br/>
        <w:br/>
        <w:t>35.   Mas aún, la ceguera habitual de los que detentan el poder respecto  de</w:t>
        <w:br/>
        <w:t>los valores  humanos  no  ha  logrado-  ni  nunca  logrará-  evitar  que  el</w:t>
        <w:br/>
        <w:t>pensamiento humano se extienda en la concepción de mortalidad humana  a  fin</w:t>
        <w:br/>
        <w:t>de reflejar los enigmas de la existencia y la muerte. En los  fragmentos  de</w:t>
        <w:br/>
        <w:t>su obra Fausto-  Tragedia  Subjetiva,  inspirada  por  la  obra  maestra  de</w:t>
        <w:br/>
        <w:t>Goethe, el escritor universal Fernando  Pessoa  destacó,  a  principios  del</w:t>
        <w:br/>
        <w:t>siglo XX, precisamente el misterio que existe alrededor de la  muerte  y  la</w:t>
        <w:br/>
        <w:t>vida:</w:t>
        <w:br/>
        <w:br/>
        <w:t xml:space="preserve">      "Silente, medonho,</w:t>
        <w:br/>
        <w:t xml:space="preserve">      Embebido em sonho</w:t>
        <w:br/>
        <w:t xml:space="preserve">      Sombrio e profundo</w:t>
        <w:br/>
        <w:t xml:space="preserve">      É o mistério do mundo.</w:t>
        <w:br/>
        <w:t xml:space="preserve">      Quero fugir ao mistério</w:t>
        <w:br/>
        <w:t xml:space="preserve">      Para onde fugirei?</w:t>
        <w:br/>
        <w:t xml:space="preserve">      Ele é a vida e a morte</w:t>
        <w:br/>
        <w:t xml:space="preserve">      Ó dor, onde me irei?</w:t>
        <w:br/>
        <w:t xml:space="preserve">      Quem sabe se ainda</w:t>
        <w:br/>
        <w:t xml:space="preserve">      Não é mais profundo</w:t>
        <w:br/>
        <w:t xml:space="preserve">      Do que o pensamento</w:t>
        <w:br/>
        <w:t xml:space="preserve">      O enigma do mundo!"[151]</w:t>
        <w:br/>
        <w:br/>
        <w:t>36.   El pensamiento humano respecto de la mortalidad, de hecho,  ha  estado</w:t>
        <w:br/>
        <w:t>presente en la humanidad en todas las épocas y culturas. En los tiempos  del</w:t>
        <w:br/>
        <w:t>paleolítico, se hacia culto a la memoria y  en  los  tiempos  egipcios,  los</w:t>
        <w:br/>
        <w:t>vivos y los muertos permanecían juntos[152]. En la  antigua  Grecia,  surgió</w:t>
        <w:br/>
        <w:t>un  nuevo  sentimiento  respecto  del  destino  pos-moderno[153].  Solo   es</w:t>
        <w:br/>
        <w:t>necesario recordar, como dos ejemplos,  entre  muchos  otros,  a  saber,  la</w:t>
        <w:br/>
        <w:t>contribución de Platón  al  garantizar  la  continuidad  de  la  experiencia</w:t>
        <w:br/>
        <w:t>humana a través de  la  inmortalidad  y  la  trasmigración  del  alma  y  la</w:t>
        <w:br/>
        <w:t>contribución de Budha respecto de la separación del sufrimiento  humano  de,</w:t>
        <w:br/>
        <w:t>desde su punto de vista lo que lo originaba, los deseos [154].  El  mito  de</w:t>
        <w:br/>
        <w:t>la “vuelta eterna” (o repetición), tan conocida en las  sociedades  antiguas</w:t>
        <w:br/>
        <w:t>(como  en  Grecia)  que  otorgaba  en  el  tiempo  una  estructura  cíclica,</w:t>
        <w:br/>
        <w:t>intentando anular (incluso abolir) la irreversibilidad del paso del  tiempo,</w:t>
        <w:br/>
        <w:t>a fin de contener o mantener su acrimonia y alentar su regeneración[155].</w:t>
        <w:br/>
        <w:br/>
        <w:t>37.   En tiempos modernos, sin embargo, los  seres  humanos  se  integraron,</w:t>
        <w:br/>
        <w:t>inevitablemente, en la historia y en la idea de “progreso”, que suponía  “el</w:t>
        <w:br/>
        <w:t>abandono definitivo del paraíso de los arquetipos y de la  repetición”[156],</w:t>
        <w:br/>
        <w:t>propio de culturas y religiones antiguas. En  el  mundo  occidental,  en  el</w:t>
        <w:br/>
        <w:t>siglo XX, prevaleció la  actitud  de  evitar,  claramente,  referirse  a  la</w:t>
        <w:br/>
        <w:t>muerte; dominó el “gran  silencio”  sobre  la  muerte[157].  Las  sociedades</w:t>
        <w:br/>
        <w:t>occidentales contemporáneas “prohibieron” el estudio de la muerte  al  mismo</w:t>
        <w:br/>
        <w:t>tiempo que alentaban el hedonismo y el bienestar material[158].</w:t>
        <w:br/>
        <w:br/>
        <w:t>38.   Mientras que  las  antiguas  culturas  eran  muy  respetuosas  de  los</w:t>
        <w:br/>
        <w:t>mayores, las sociedades “modernas”  trataron,  en  cambio,  de  dejarlos  de</w:t>
        <w:br/>
        <w:t>lado[159].  Las  culturas  antiguas  atribuían  gran   importancia   a   las</w:t>
        <w:br/>
        <w:t>relaciones entre los vivos y los muertos y la misma muerte como parte de  la</w:t>
        <w:br/>
        <w:t>vida. Las sociedades modernas trataron en vano de  minimizar  o  ignorar  la</w:t>
        <w:br/>
        <w:t>muerte de manera casi patética.  En  la  actualidad,  existe  un  incentivo,</w:t>
        <w:br/>
        <w:t>simplemente, para olvidar, como en su momento auguraron  algunos  escritores</w:t>
        <w:br/>
        <w:t>lúcidos, como Jorge Luís Borges:</w:t>
        <w:br/>
        <w:br/>
        <w:t xml:space="preserve">           "Ya a nadie le importan los hechos. Son meros puntos de  partida</w:t>
        <w:br/>
        <w:t xml:space="preserve">      para la invención y el razonamiento. En las escuelas  nos  enseñan  la</w:t>
        <w:br/>
        <w:t xml:space="preserve">      duda y el arte del olvido. Ante todo el olvido de lo personal y local.</w:t>
        <w:br/>
        <w:t xml:space="preserve">      Vivimos en el tiempo, que es sucesivo,  pero  tratamos  de  vivir  sub</w:t>
        <w:br/>
        <w:t xml:space="preserve">      specie aeternitatis. Del pasado nos quedan  algunos  nombres,  que  el</w:t>
        <w:br/>
        <w:t xml:space="preserve">      lenguaje tiende a olvidar. Eludimos las inútiles precisiones.  No  hay</w:t>
        <w:br/>
        <w:t xml:space="preserve">      cronología ni historia"[160].</w:t>
        <w:br/>
        <w:br/>
        <w:t>39.   Ya en el siglo XX, el filósofo Max Scheler, en su  monografía  llamada</w:t>
        <w:br/>
        <w:t>Muerte y Supervivencia, advertía que el  “fanatismo”  del  “progreso”  había</w:t>
        <w:br/>
        <w:t>llevado al “hombre moderno”  a  negar  la  esencia  de  la  muerte  y  a  no</w:t>
        <w:br/>
        <w:t>preocuparse mucho por sobrevivir. Sin embargo, el “hombre moderno” no  puede</w:t>
        <w:br/>
        <w:t>ignorar, totalmente, a la muerte, presionado como está por su propio edad  y</w:t>
        <w:br/>
        <w:t>debilidades; la muerte no aparece, entonces, como una  "parte  empírica"  de</w:t>
        <w:br/>
        <w:t>las experiencias propias sino que, de acuerdo con Scheler,  como  una  parte</w:t>
        <w:br/>
        <w:t>esencial de las experiencias de vida y del traspaso  hacia  la  muerte[161].</w:t>
        <w:br/>
        <w:t>La historia universal revela la importancia del rol que juegan  los  muertos</w:t>
        <w:br/>
        <w:t>y de su legado en las decisiones hechas por los vivos[162].</w:t>
        <w:br/>
        <w:br/>
        <w:t>40.    Existe  una  actitud  desconfiada  de  lo   “post-moderno”,   debido,</w:t>
        <w:br/>
        <w:t>aparentemente, a la ignorancia más que a cualquier otra  cosa,  respecto  de</w:t>
        <w:br/>
        <w:t>las culturas de lo mal  llamado  “sociedades  primitivas”  que  revela,  sin</w:t>
        <w:br/>
        <w:t>embargo, un mejor entendimiento de la relación  entre  seres  humanos  y  el</w:t>
        <w:br/>
        <w:t>mundo externo y una posición  más  respetuosa  respecto  de  las  relaciones</w:t>
        <w:br/>
        <w:t>entre los vivos y los muertos. Aquellas personas que se  sienten  orgullosas</w:t>
        <w:br/>
        <w:t>de considerarse “post modernas” son, desde mi punto de vista,  personas  que</w:t>
        <w:br/>
        <w:t>hay  que  compadecer;  están  siendo  utilizadas  para  pensar  rápidamente,</w:t>
        <w:br/>
        <w:t>alimentarse de comida rápida, caminar rápido en la vía rápida devuelta a  lo</w:t>
        <w:br/>
        <w:t>primitivo, - si son afortunados.</w:t>
        <w:br/>
        <w:br/>
        <w:br/>
        <w:t xml:space="preserve">      VI.   Mortalidad y su Inevitable Relevancia para los Vivos.</w:t>
        <w:br/>
        <w:br/>
        <w:br/>
        <w:t>41.    Se  dice,-  ya  sea  que  le  guste  o  no   al   “post   modernismo”</w:t>
        <w:br/>
        <w:t>autosuficiente- que la mortalidad está dotada de una  inevitable  relevancia</w:t>
        <w:br/>
        <w:t>para los vivos. En un original ensayo publicado en 1937 se  sostuvo  que  la</w:t>
        <w:br/>
        <w:t>conciencia de la muerte surge del vivir con otros:  - "Nous avons  constitué</w:t>
        <w:br/>
        <w:t>un 'nous' avec le mourant. Et c'est dans ce 'nous'  (...)  que  nous  sommes</w:t>
        <w:br/>
        <w:t>amenés à la connaissance vécue de notre propre devoir mourir"[163].</w:t>
        <w:br/>
        <w:br/>
        <w:t>42.   Debería recordarse, en este sentido, que el inspirador Libro  Tibetano</w:t>
        <w:br/>
        <w:t>de los Muertos se detiene en  aconsejar acerca de la  incorporación  de  los</w:t>
        <w:br/>
        <w:t>muertos en la vida, para que, de este modo, los  vivos  puedan  gradualmente</w:t>
        <w:br/>
        <w:t>prepararse para el pasaje a la muerte; de hecho,- el  libro  recuerda,-  que</w:t>
        <w:br/>
        <w:t>en cada segundo algo nace y algo muere dentro nuestro y que  esto  es  parte</w:t>
        <w:br/>
        <w:t>de nuestra propia existencia. En el libro se discute,  en  cierto  modo,  la</w:t>
        <w:br/>
        <w:t>“conciencia universal” y se destaca que aquéllos que hayan,  en  vida  y  en</w:t>
        <w:br/>
        <w:t>meditación, reconocido "la verdadera naturaleza del  espíritu"  están  mejor</w:t>
        <w:br/>
        <w:t>preparados para ver llegar el día de su pase a la muerte,  a  la  liberación</w:t>
        <w:br/>
        <w:t>[164].</w:t>
        <w:br/>
        <w:br/>
        <w:t>43.   El igualmente inspirador Libro Egipcio  de  los  Muertos,  a  su  vez,</w:t>
        <w:br/>
        <w:t>revela la creencia  de  la  vida  después  de  la  muerte  y  la  “sustancia</w:t>
        <w:br/>
        <w:t>espiritual de los  dioses”;  para  los  antiguos  egipcios,  la  muerte  era</w:t>
        <w:br/>
        <w:t>considerada más como el pasaje al mundo eterno de los  dioses,  por  lo  que</w:t>
        <w:br/>
        <w:t>había cierta continuidad.  Los vivos tenían un cuidado  particular  con  sus</w:t>
        <w:br/>
        <w:t>muertos para  que  éstos  tuvieran  una  “eternidad  feliz”.   De  allí  los</w:t>
        <w:br/>
        <w:t>elaborados ritos fúnebres, el proceso de momificación, para que los  cuerpos</w:t>
        <w:br/>
        <w:t>se preserven en buen estado para conservar el alma (y por lo  tanto,  evitar</w:t>
        <w:br/>
        <w:t>que “desaparezcan para siempre”) y ser depositados delicadamente en  cuartos</w:t>
        <w:br/>
        <w:t>fúnebres y estar cuidados por los parientes del muerto[165].</w:t>
        <w:br/>
        <w:br/>
        <w:t>44.   La historia  del  pensamiento  humano  revela  la  durabilidad  de  la</w:t>
        <w:br/>
        <w:t>doctrina de la supervivencia y la eternidad del  espíritu,  desde  Platón  a</w:t>
        <w:br/>
        <w:t>los tiempos modernos (por ejemplo, Kant, Goethe); según el  punto  de  vista</w:t>
        <w:br/>
        <w:t>de Scheler, creer en la inmortalidad del espíritu  guarda  relación  con  la</w:t>
        <w:br/>
        <w:t>manera en que vivimos[166]. La importante actitud  de  recordar,  reingresar</w:t>
        <w:br/>
        <w:t>en el pasado, podría ofrecer  intuiciones  (Platón  con  su   Phaedon)  para</w:t>
        <w:br/>
        <w:t>sobrevivir[167].</w:t>
        <w:br/>
        <w:br/>
        <w:t>45.   Al enfrentar a la muerte, las distintas actitudes  colectivas  pueden,</w:t>
        <w:br/>
        <w:t>de hecho, ser detectadas no sólo en diferentes culturas sino que también  en</w:t>
        <w:br/>
        <w:t>distintos momentos históricos. En un estudio  pionero,  por  ejemplo,  sobre</w:t>
        <w:br/>
        <w:t>actitudes colectivas que enfrentan a la muerte en el siglo XVII y XVIII,  M.</w:t>
        <w:br/>
        <w:t>Vovelle destacó que eran en vano los intentos, en aquel  tiempo,  de  borrar</w:t>
        <w:br/>
        <w:t>la muerte de la mente humana ya que, hacia  las  últimas  década  del  siglo</w:t>
        <w:br/>
        <w:t>XVIII, la realidad de la muerte empezó a tener un espacio en el  pensamiento</w:t>
        <w:br/>
        <w:t>humano.  Recordó  el  punto  de  vista  de  Robespierre  acerca  de  que  la</w:t>
        <w:br/>
        <w:t>inmortalidad del alma no era más que un sueño, aunque seguía siendo  una  de</w:t>
        <w:br/>
        <w:t>las concepciones más hermosas del espíritu humano[168].</w:t>
        <w:br/>
        <w:br/>
        <w:t>46.   Conforme a la jurisprudencia reciente de la  Corte  Interamericana  de</w:t>
        <w:br/>
        <w:t>Derechos Humanos, existen casos que  tienen  una  relación  directa  con  la</w:t>
        <w:br/>
        <w:t>existencia y la muerte, como el  caso   Aloeboetoe  y  Otros  (sentencia  de</w:t>
        <w:br/>
        <w:t>1991), Bámaca Velásquez  (2000-2002), Bulacio (2003), “Niños  de  la  Calle”</w:t>
        <w:br/>
        <w:t>(Villagrán Morales y otros, 1999-2001),  Hermanos Gómez Paquiyauri (2004)  y</w:t>
        <w:br/>
        <w:t>Masacre Plan de Sánchez (2004), entre otros.  Existen  algunos  casos,  como</w:t>
        <w:br/>
        <w:t>Bámaca Velásquez, que encapsulan un ingrediente extraordinariamente  rico  y</w:t>
        <w:br/>
        <w:t>de grandeza cultura, precisamente en cuanto a la relación de  la  existencia</w:t>
        <w:br/>
        <w:t>y la muerte, como en el presente caso de la Comunidad Moiwana. Estos  casos,</w:t>
        <w:br/>
        <w:t>a  mi  parecer,  ocupan  la  posición  más  importante  del  mundo   en   la</w:t>
        <w:br/>
        <w:t>jurisprudencia sobre derechos humanos y podrían ser así  reconocidos  si  la</w:t>
        <w:br/>
        <w:t>gente, incluso los académicos, de todos  lados,  no  fuera  tan  provincial,</w:t>
        <w:br/>
        <w:t>superficial e intolerante y les importara únicamente solo  aquello  que  les</w:t>
        <w:br/>
        <w:t>es tan familiar.</w:t>
        <w:br/>
        <w:br/>
        <w:br/>
        <w:t xml:space="preserve">      VII.  Deberes de los Vivos hacia Sus Muertos.</w:t>
        <w:br/>
        <w:br/>
        <w:br/>
        <w:t>47.   Como ya señalé anteriormente, no es posible considerar el fenómeno  de</w:t>
        <w:br/>
        <w:t>la vida sin tener en cuenta lo mismo respecto de la muerte,  La  vida  y  la</w:t>
        <w:br/>
        <w:t>muerte han sido consideradas pari  passu  en  la  historia  del  pensamiento</w:t>
        <w:br/>
        <w:t>humano. Las antiguas culturas  fueron  testigo  de  ello;  por  ejemplo,  en</w:t>
        <w:br/>
        <w:t>palabras de A. Bentué:</w:t>
        <w:br/>
        <w:br/>
        <w:t xml:space="preserve">           "los primitivos no tienen mayor interés en saber  en  qué  pueda</w:t>
        <w:br/>
        <w:t xml:space="preserve">      consistir la ‘vida de ultratumba’. Para ellos, esa otra vida no afecta</w:t>
        <w:br/>
        <w:t xml:space="preserve">      para nada la vida presente. Lo que hay que procurar es simplemente que</w:t>
        <w:br/>
        <w:t xml:space="preserve">      los muertos, después de haberse cumplido su breve permanencia cerca de</w:t>
        <w:br/>
        <w:t xml:space="preserve">      la tumba, durante el período que duran los ritos mortuorios prescritos</w:t>
        <w:br/>
        <w:t xml:space="preserve">      por el duelo, descansen en  ese  otro  mundo,  sin  quedar  ‘vagando’,</w:t>
        <w:br/>
        <w:t xml:space="preserve">      afectando, ahí sí, la vida de quienes  siguen  permaneciendo  en  esta</w:t>
        <w:br/>
        <w:t xml:space="preserve">      tierra (‘penándoles').</w:t>
        <w:br/>
        <w:t xml:space="preserve">           Con todo, esa vida de ultratumba no es concebida como  ‘eterna’,</w:t>
        <w:br/>
        <w:t xml:space="preserve">      sino que tiene una duración mayor o menor según la ‘memoria’  que  los</w:t>
        <w:br/>
        <w:t xml:space="preserve">      sobrevivientes puedan mantener del difunto. El  país  de  los  muertos</w:t>
        <w:br/>
        <w:t xml:space="preserve">      coincide con el ‘recuerdo’ que de ellos puedan  tener  los  vivos,  de</w:t>
        <w:br/>
        <w:t xml:space="preserve">      manera que si éstos dejaran de recordarlos, las almas de los  difuntos</w:t>
        <w:br/>
        <w:t xml:space="preserve">      quedarían sumidas en la nada del olvido.  Sin  embargo,  los  difuntos</w:t>
        <w:br/>
        <w:t xml:space="preserve">      siguen vigentes en la continuidad de la vida  de  los  vivos  que  los</w:t>
        <w:br/>
        <w:t xml:space="preserve">      prolongan"[169].</w:t>
        <w:br/>
        <w:br/>
        <w:t>48.   Algunas líneas de pensamiento  tradicional  asocian  el  alma  con  la</w:t>
        <w:br/>
        <w:t>proximidad, por un tiempo, del cuerpo de aquellos que murieron y prestan,  a</w:t>
        <w:br/>
        <w:t>la vez,  cuidado  especial  con  los  restos  mortales.  Algunos  pensadores</w:t>
        <w:br/>
        <w:t>contemporáneos han advertido contra la denegación o  pretensión  de  ignorar</w:t>
        <w:br/>
        <w:t>la muerte y han  enfatizado  la  necesidad  de,  una  vez  más,  aprender  a</w:t>
        <w:br/>
        <w:t>integrar la muerte en la vida.  También se ha hecho hincapié en el “pesar  y</w:t>
        <w:br/>
        <w:t>dolor” por las muertes violentas y repentinas[170],  que  no  le  permite  a</w:t>
        <w:br/>
        <w:t>aquéllos que mueren, despedirse de las personas que los sobreviven.</w:t>
        <w:br/>
        <w:t>49.    De  hecho,  las  distintas  creencias  religiosas[171]  brindan   una</w:t>
        <w:br/>
        <w:t>especial importancia a la conducta de los vivos respecto de sus muertos.  La</w:t>
        <w:br/>
        <w:t>fe Bahá'í , por ejemplo, sostiene la posibilidad de que aún la condición  de</w:t>
        <w:br/>
        <w:t>“aquellos que han muerto en pecado y  descreídos  pueden  volver  cambiados"</w:t>
        <w:br/>
        <w:t>mediante las “oraciones y súplicas” por sus almas de aquellas  personas  que</w:t>
        <w:br/>
        <w:t>siguen con vida[172].</w:t>
        <w:br/>
        <w:br/>
        <w:t>50.   De acuerdo con la tradición cultural de la  comunidad  indígena  Wayuu</w:t>
        <w:br/>
        <w:t>(que viven en el desierto de La Guajira, cerca de la frontera de Colombia  y</w:t>
        <w:br/>
        <w:t>Venezuela), existen tres etapas en el pase de la vida a la  muerte  y  a  la</w:t>
        <w:br/>
        <w:t>vida después de la muerte.  La primer etapa  se  lleva  a  cabo  cuando  uno</w:t>
        <w:br/>
        <w:t>muere y es enterrado; su espíritu se convierte en “yoluja”.  Al  menos  tres</w:t>
        <w:br/>
        <w:t>años después, se exhuman los huesos, se los recupera y se los coloca en  una</w:t>
        <w:br/>
        <w:t>tumba común; el muerto pierde por  siempre  su  identidad  y  desaparece  el</w:t>
        <w:br/>
        <w:t>pesar de sus seres queridos y amigos. La muerte “definitiva”  ocurre  cuando</w:t>
        <w:br/>
        <w:t>es finalmente olvidado. Pero su espíritu se convierte en  lluvia  ("wanülü")</w:t>
        <w:br/>
        <w:t>y vuelve a la tierra[173].</w:t>
        <w:br/>
        <w:br/>
        <w:t>51.   Se puede mencionar otros ejemplos relacionados con este  tema.  En  la</w:t>
        <w:br/>
        <w:t>región de la Araucanía en Chile, por ejemplo, la comunidad  mapuche  también</w:t>
        <w:br/>
        <w:t>le atribuye  una  importancia  especial  a  los  ritos  fúnebres;  para  sus</w:t>
        <w:br/>
        <w:t>miembros, la ceremonia de la sepultura es una “expresión de  solidaridad  de</w:t>
        <w:br/>
        <w:t>la comunidad"[174]. Desde el punto de vista mapuche, “ la  comunicación  con</w:t>
        <w:br/>
        <w:t>los muertos es cultural, lógica, forma parte de la  cosmovisión  y  religión</w:t>
        <w:br/>
        <w:t>mapuche"[175].</w:t>
        <w:br/>
        <w:br/>
        <w:t>52.   A su vez, los mayas, aztecas y  los  incas  creían  en  la  vida  post</w:t>
        <w:br/>
        <w:t>mortem. Para los aztecas, la muerte formaba  parte  de  la  vida  (ciclo  de</w:t>
        <w:br/>
        <w:t>regeneración); para los incas, la muerte no era más  que  el  pase  de  esta</w:t>
        <w:br/>
        <w:t>vida a la otra vida. En la cultura maya, azteca e inca, “vivir  es  morir  y</w:t>
        <w:br/>
        <w:t>morir es vivir”; la vida post mortem no está condicionada por las  actitudes</w:t>
        <w:br/>
        <w:t>personales; es un ciclo continuo[176]. En las distintas  culturas,  el  paso</w:t>
        <w:br/>
        <w:t>del tiempo es visto como  aquello  que  refleja  la  solidaridad  entre  las</w:t>
        <w:br/>
        <w:t>generaciones humanas que, como las estaciones, se suceden entre ellas en  el</w:t>
        <w:br/>
        <w:t>tiempo[177].</w:t>
        <w:br/>
        <w:br/>
        <w:t>53.    Recuerdo  bien  que,  hace  una  década,  durante  el   procedimiento</w:t>
        <w:br/>
        <w:t>contencioso iniciado ante  esta  Corte  en  el  caso  Bámaca  Velásquez  vs.</w:t>
        <w:br/>
        <w:t>Guatemala (Fondo, 2000), se distinguió una cuestión  ante  este  Tribunal  y</w:t>
        <w:br/>
        <w:t>ésta fue  la  relevancia  central  atribuida  por  la  cultura  maya  a  una</w:t>
        <w:br/>
        <w:t>adecuada sepultura de los restos mortales de la  víctima,  lo  que  revelaba</w:t>
        <w:br/>
        <w:t>los lazos que unen a los vivos con sus muertos. En esa ocasión, en  mi  Voto</w:t>
        <w:br/>
        <w:t>Razonado en la Sentencia de la Corte del 25 de noviembre de  2000  en  aquel</w:t>
        <w:br/>
        <w:t>caso notable, sostuve que el género humano abarca no sólo los seres vivos  -</w:t>
        <w:br/>
        <w:t>titulares de los derechos humanos,  -   sino  también  los  muertos  con  su</w:t>
        <w:br/>
        <w:t>legado espiritual. Vivimos todos en el tiempo; de  igual  modo,  las  normas</w:t>
        <w:br/>
        <w:t>jurídicas son  creadas,  interpretadas  y  aplicadas  en  el  tiempo  (y  no</w:t>
        <w:br/>
        <w:t>independientemente   de    él,    como    equivocadamente    suponían    los</w:t>
        <w:br/>
        <w:t>positivistas)"[178].</w:t>
        <w:br/>
        <w:br/>
        <w:t>54.   Y el pasar  del  tiempo,-  agregué,-  no  representa  un  elemento  de</w:t>
        <w:br/>
        <w:t>separación, sino</w:t>
        <w:br/>
        <w:br/>
        <w:t xml:space="preserve">           “ sino más bien de acercamiento y de unión, entre  los  vivos  y</w:t>
        <w:br/>
        <w:t xml:space="preserve">      los muertos, en el camino común de  todos  hacia  lo  desconocido.  El</w:t>
        <w:br/>
        <w:t xml:space="preserve">      conocimiento y  la  preservación  del  legao  espiritual  de  nuestros</w:t>
        <w:br/>
        <w:t xml:space="preserve">      ancestros constituyen una vía por medio de la cual los muertos  pueden</w:t>
        <w:br/>
        <w:t xml:space="preserve">      comunicarse con los vivos[179]. Así como la experiencia  vivencial  de</w:t>
        <w:br/>
        <w:t xml:space="preserve">      una  comunidad  humana  se  desarrolla  con  el  flujo  continuo   del</w:t>
        <w:br/>
        <w:t xml:space="preserve">      pensamiento y de la acción de los  individuos  que  la  componen,  hay</w:t>
        <w:br/>
        <w:t xml:space="preserve">      igualmente una dimensión espiritual que se transmite de un individuo a</w:t>
        <w:br/>
        <w:t xml:space="preserve">      otro, de una generación a otra, que antecede a cada ser humano  y  que</w:t>
        <w:br/>
        <w:t xml:space="preserve">      sobrevive a él, en el tiempo.</w:t>
        <w:br/>
        <w:t xml:space="preserve">           Hay efectivamente un legado espiritual  de  los  muertos  a  los</w:t>
        <w:br/>
        <w:t xml:space="preserve">      vivos, captado por la conciencia humana. De igual modo, en el campo de</w:t>
        <w:br/>
        <w:t xml:space="preserve">      la ciencia del derecho, no veo cómo dejar de afirmar la existencia  de</w:t>
        <w:br/>
        <w:t xml:space="preserve">      una conciencia jurídica universal (correspondiente a la  opinio  juris</w:t>
        <w:br/>
        <w:t xml:space="preserve">      comunis), que constituye,  a  mi  entender,  la  fuente  material  por</w:t>
        <w:br/>
        <w:t xml:space="preserve">      excelencia (más allá de las fuentes formales) de todo  el  derecho  de</w:t>
        <w:br/>
        <w:t xml:space="preserve">      gentes (droit des gens) responsable de los avances del  género  humano</w:t>
        <w:br/>
        <w:t xml:space="preserve">      no sólo en el plano jurídico sino también en el espiritual. Lo que nos</w:t>
        <w:br/>
        <w:t xml:space="preserve">      sobrevive es  tan  solo  la  creación  de  nuestro  espíritu,  con  el</w:t>
        <w:br/>
        <w:t xml:space="preserve">      propósito de elevar la condición humana. Es así como concibo el legado</w:t>
        <w:br/>
        <w:t xml:space="preserve">      de los muertos desde una perspectiva de derechos humanos"[180].</w:t>
        <w:br/>
        <w:br/>
        <w:t>55.   En el mismo Voto Razonado de la Sentencia de Fondo en el  caso  Bámaca</w:t>
        <w:br/>
        <w:t>Velásquez, al analizar los lazos  de  solidaridad  entre  los  vivos  y  los</w:t>
        <w:br/>
        <w:t>muertos, ponderé que</w:t>
        <w:br/>
        <w:br/>
        <w:t xml:space="preserve">           "El respeto a los restos mortales también se  debe  al  espíritu</w:t>
        <w:br/>
        <w:t xml:space="preserve">      que animó en  vida  la  persona  fallecida,  vinculado  Además  a  las</w:t>
        <w:br/>
        <w:t xml:space="preserve">      creencias de los sobrevivientes en cuanto al destino post  mortem  del</w:t>
        <w:br/>
        <w:t xml:space="preserve">      fallecido[181]. No se puede negar que la muerte de un individuo afecta</w:t>
        <w:br/>
        <w:t xml:space="preserve">      directamente la  vida,  así  como  la  situación  jurídica,  de  otros</w:t>
        <w:br/>
        <w:t xml:space="preserve">      individuos, en especial sus familiares (como lo ilustra, en  el  marco</w:t>
        <w:br/>
        <w:t xml:space="preserve">      del derecho civil (droit civil), la normativa del derecho de familia y</w:t>
        <w:br/>
        <w:t xml:space="preserve">      de sucesiones). (...)</w:t>
        <w:br/>
        <w:t xml:space="preserve">           Los derechos  humanos  universales  encuentran  respaldo  en  la</w:t>
        <w:br/>
        <w:t xml:space="preserve">      espiritualidad  de  todas  las  culturas  y   religiones[182],   están</w:t>
        <w:br/>
        <w:t xml:space="preserve">      arraigados en el  propio  espíritu  humano;  como  tales,  no  son  la</w:t>
        <w:br/>
        <w:t xml:space="preserve">      expresión de una determinada cultura  (occidental  o  cualquier  otra)</w:t>
        <w:br/>
        <w:t xml:space="preserve">      sino de la propia conciencia jurídica  universal.  Todos  los  avances</w:t>
        <w:br/>
        <w:t xml:space="preserve">      mencionados, debido a esta conciencia jurídica universal, se han  dado</w:t>
        <w:br/>
        <w:t xml:space="preserve">      en medio de la diversidad cultural. Al contrario de  lo  que  pregonan</w:t>
        <w:br/>
        <w:t xml:space="preserve">      los voceros del llamado - y distorsionado  -  "relativismo  cultural",</w:t>
        <w:br/>
        <w:t xml:space="preserve">      las manifestaciones culturales (al menos las  que  se  ajustan  a  los</w:t>
        <w:br/>
        <w:t xml:space="preserve">      estándares universalmente aceptados de tratamiento del ser humano y de</w:t>
        <w:br/>
        <w:t xml:space="preserve">      respeto a sus muertos) no constituyen obstáculos a la  prevalencia  de</w:t>
        <w:br/>
        <w:t xml:space="preserve">      los derechos humanos, sino al revés: el  substratum  cultural  de  las</w:t>
        <w:br/>
        <w:t xml:space="preserve">      normas de protección del ser humano en mucho contribuye para  asegurar</w:t>
        <w:br/>
        <w:t xml:space="preserve">      su eficacia. Dichas manifestaciones culturales- como la del respeto  a</w:t>
        <w:br/>
        <w:t xml:space="preserve">      los muertos en las personas de los vivos, titulares de derechos  y  de</w:t>
        <w:br/>
        <w:t xml:space="preserve">      deberes- son como piedras sobrepuestas con las cuales se erige la gran</w:t>
        <w:br/>
        <w:t xml:space="preserve">      pirámide[183] de la universalidad de los derechos humanos"[184].</w:t>
        <w:br/>
        <w:br/>
        <w:t>56.   Asimismo, en la Sentencia sobre Reparaciones en el mismo  caso  Bámaca</w:t>
        <w:br/>
        <w:t>Velásquez vs. Guatemala (2002), ponderé, en mi Voto  Razonado,  que  en  los</w:t>
        <w:br/>
        <w:t>círculos  sociales  fuertemente  impregnados  de  una  visión   comunitaria,</w:t>
        <w:br/>
        <w:t>prevalece el sentimiento de armonía entre  los  vivos  y  los  muertos.  Por</w:t>
        <w:br/>
        <w:t>ello,  en  las  tumbas  más  antiguas,  aquellas  de  la  época  del  hombre</w:t>
        <w:br/>
        <w:t>neandertal, los muertos eran enterrados en posición fetal, para así  indicar</w:t>
        <w:br/>
        <w:t>que creían en la vida después de la muerte o en el renacimiento[185], y  los</w:t>
        <w:br/>
        <w:t>ritos fúnebres ayudaban a perpetrar el legado  cultural  y  a  contribuir  a</w:t>
        <w:br/>
        <w:t>enfrentar la realidad de la muerte y  la  angustia  que  eso  provocaba[186]</w:t>
        <w:br/>
        <w:t>(párr. 20). Además agregué que</w:t>
        <w:br/>
        <w:br/>
        <w:t xml:space="preserve">           “desde mi punto de vista,  lo  que  concebimos  como  el  género</w:t>
        <w:br/>
        <w:t xml:space="preserve">      humano abarca no sólo los seres vivos  -  titulares  de  los  derechos</w:t>
        <w:br/>
        <w:t xml:space="preserve">      humanos, -  sino también los muertos (con su  legado  espiritual).  El</w:t>
        <w:br/>
        <w:t xml:space="preserve">      respeto por los muertes de hecho se debe a las  personas de los vivos.</w:t>
        <w:br/>
        <w:t xml:space="preserve">      La  solidaridad  humana  tiene  una  dimensión  más  amplia   que   la</w:t>
        <w:br/>
        <w:t xml:space="preserve">      solidaridad puramente social, por cuanto se manifiesta también en  los</w:t>
        <w:br/>
        <w:t xml:space="preserve">      lazos de solidaridad entre los muertos y los vivos" (párr. 25)[187].</w:t>
        <w:br/>
        <w:br/>
        <w:t>57.   En el presente caso de la Comunidad Moiwana vs. Surinam,  originado  a</w:t>
        <w:br/>
        <w:t>raíz de una masacre  perpetrada  hace  más  de  dos  décadas,  la  comunidad</w:t>
        <w:br/>
        <w:t>N’djuka Maroon ha mostrado una conciencia  admirable  y  precisa  sobre  sus</w:t>
        <w:br/>
        <w:t>deberes hacia los muertos. Esto surge, claramente, de la prueba  testimonial</w:t>
        <w:br/>
        <w:t>presentada ante esta  Corte,  donde  se  indica  que  los  sobrevivientes  y</w:t>
        <w:br/>
        <w:t>familiares directos  de  las  presuntas  víctimas  de  la  masacre  de  1986</w:t>
        <w:br/>
        <w:t>asumieron la obligación  de  buscar  justicia  por  sus  muertos  (como  una</w:t>
        <w:br/>
        <w:t>“responsabilidad cultural que continúa a  través  de  las  generaciones”)  y</w:t>
        <w:br/>
        <w:t>reconocieron el deber inminente de recuperar los restos de los  muertos,  de</w:t>
        <w:br/>
        <w:t>realizar las ceremonias fúnebres y de brindar un "adecuado entierro”  a  sus</w:t>
        <w:br/>
        <w:t>muertos[188].</w:t>
        <w:br/>
        <w:br/>
        <w:t>58.    Además,  de  la  prueba  del  perito  (del   antropólogo   K.M.Bilby)</w:t>
        <w:br/>
        <w:t>presentada ante la Corte surge que</w:t>
        <w:br/>
        <w:br/>
        <w:t xml:space="preserve">           “La justicia es un  concepto  central  en  la  sociedad  N’djuka</w:t>
        <w:br/>
        <w:t xml:space="preserve">      tradicional; en efecto, una de las  principales  instituciones  de  la</w:t>
        <w:br/>
        <w:t xml:space="preserve">      vida diaria es la reunión del concejo que es el medio de resolución de</w:t>
        <w:br/>
        <w:t xml:space="preserve">      los conflictos de cualquier naturaleza  dentro  de  la  comunidad.  La</w:t>
        <w:br/>
        <w:t xml:space="preserve">      institución también tiene dimensiones espirituales, ya que se cree que</w:t>
        <w:br/>
        <w:t xml:space="preserve">      los ancestros participan en las reuniones del concejo, lo que da a sus</w:t>
        <w:br/>
        <w:t xml:space="preserve">      decisiones una legitimidad particular. En el contexto de la masacre de</w:t>
        <w:br/>
        <w:t xml:space="preserve">      Moiwana, los valores tradicionales determinan que esto se debe manejar</w:t>
        <w:br/>
        <w:t xml:space="preserve">      a  nivel  colectivo;  simples   esfuerzos   individuales   no   serían</w:t>
        <w:br/>
        <w:t xml:space="preserve">      suficientes. Para que un problema tan grave pueda quedar resuelto,  se</w:t>
        <w:br/>
        <w:t xml:space="preserve">      requiere la ayuda de la comunidad como un todo. De hecho, en la medida</w:t>
        <w:br/>
        <w:t xml:space="preserve">      que pasa el tiempo y el conflicto no se resuelve, esto afectará a  más</w:t>
        <w:br/>
        <w:t xml:space="preserve">      y más personas y grupos dentro de la sociedad"[189].</w:t>
        <w:br/>
        <w:br/>
        <w:t>59.   De acuerdo con un testimonio, la masacre del 29 de noviembre  de  1986</w:t>
        <w:br/>
        <w:t>fue parte de un patrón sistemático y grave de violencia y sus  perpetradores</w:t>
        <w:br/>
        <w:t>estaban “organizados, entrenados y  armados  por  el  personal  militar  del</w:t>
        <w:br/>
        <w:t>estado"[190]. De otro testimonio brindado ante esta Corte surge  que  si  no</w:t>
        <w:br/>
        <w:t>se hacía justicia, después de tantos años, en  el  caso  Comunidad  Moiwana,</w:t>
        <w:br/>
        <w:t>esto podría "hacer sufrir tanto a los vivos como  a  los  muertos"[191].  De</w:t>
        <w:br/>
        <w:t>acuerdo con su cultura, los lazos de  solidaridad  entre  los  vivos  y  los</w:t>
        <w:br/>
        <w:t>muertos son tan fuertes que, en similares situaciones, ambos  grupos  sufren</w:t>
        <w:br/>
        <w:t>juntos. Los deberes de los vivos hacia sus  muertos  deben,  por  ello,  ser</w:t>
        <w:br/>
        <w:t>fielmente realizados.</w:t>
        <w:br/>
        <w:br/>
        <w:br/>
        <w:t xml:space="preserve">       VIII.       El Deber hacia los Muertos en los Orígenes y en la</w:t>
        <w:br/>
        <w:t xml:space="preserve">                            Evolución de la Ley.</w:t>
        <w:br/>
        <w:br/>
        <w:t xml:space="preserve">                 1. Derecho Internacional.</w:t>
        <w:br/>
        <w:br/>
        <w:br/>
        <w:t>60.   No puede pasar inadvertido el  hecho  que  el  reconocimiento  de  los</w:t>
        <w:br/>
        <w:t>vivos hacia sus muertos estuvo, de hecho, presente en  el  origen  mismo,  y</w:t>
        <w:br/>
        <w:t>durante la evolución,  del derecho de gentes. Por ello,  me  referiré  a  un</w:t>
        <w:br/>
        <w:t>ejemplo: H. Grocio en su tratado De Jure Belli ac Pacis  (de  1625),  dedicó</w:t>
        <w:br/>
        <w:t>el capítulo XIX del libro II al derecho de sepultura. En aquél capítulo,  H.</w:t>
        <w:br/>
        <w:t>Grocio sostuvo que el derecho de sepultura de los muertos  tiene  su  origen</w:t>
        <w:br/>
        <w:t>en el derecho de gentes voluntario y todos los seres humanos  se  reducen  a</w:t>
        <w:br/>
        <w:t>una igualdad precisamente al volver al polvo de la tierra[192].</w:t>
        <w:br/>
        <w:br/>
        <w:t>61.   Asimismo recuerda que no existía uniformidad  en  los  ritos  fúnebres</w:t>
        <w:br/>
        <w:t>originales (por  ejemplo,  a  los  antiguos  egipcios  se  los  embalsabama,</w:t>
        <w:br/>
        <w:t>mientras que la mayoría de los cuerpos griegos se incineraban antes  de  ser</w:t>
        <w:br/>
        <w:t>depositados  en  las  tumbas)  independientemente  de  los  tipos  de  ritos</w:t>
        <w:br/>
        <w:t>fúnebres; sin embargo,  el  derecho  de  sepultura  se  justificaba  con  la</w:t>
        <w:br/>
        <w:t>dignidad del ser  humano[193].  H.  Grocio  sostenía  que  todos  los  seres</w:t>
        <w:br/>
        <w:t>humanos, incluso los "enemigos públicos” tenían derecho a sepultura, ya  que</w:t>
        <w:br/>
        <w:t>se consideraba como un precepto de la “virtud y humanidad"[194].</w:t>
        <w:br/>
        <w:br/>
        <w:t>62.   Desde la perspectiva histórica, la influencia de  la  religión  en  la</w:t>
        <w:br/>
        <w:t>evolución del derecho internacional o de gentes no pasó  desapercibida.   La</w:t>
        <w:br/>
        <w:t>contribución de los teólogos españoles, Francisco  de  Vitoria  (Relecciones</w:t>
        <w:br/>
        <w:t>Teológicas  (1538-1539) y Francisco Suárez (De Legibus ac  Deo  Legislatore,</w:t>
        <w:br/>
        <w:t>1612)[195], y su influencia en el trabajo  mismo  de  H.  Grocio  [196],  se</w:t>
        <w:br/>
        <w:t>volvió mundialmente reconocida. El trabajo de estos padres fundadores de  la</w:t>
        <w:br/>
        <w:t>disciplina planteó una visión  esencialmente  universalista,  como  tuve  la</w:t>
        <w:br/>
        <w:t>oportunidad de enfatizar en mi Voto Concurrente  en  la  Opinión  Consultiva</w:t>
        <w:br/>
        <w:t>n°18  sobre Condición Jurídica y Derechos de  los  Migrantes  Indocumentados</w:t>
        <w:br/>
        <w:t>(2003, párr. 4-12) de la Corte Interamericana.  4-12).</w:t>
        <w:br/>
        <w:br/>
        <w:t>63.    Actualmente,  el  Derecho  Internacional  Humanitario  prevé  por  el</w:t>
        <w:br/>
        <w:t>derecho de los restos de los muertos, sea que estén enterrados o hayan  sido</w:t>
        <w:br/>
        <w:t>incinerados. El artículo 130 de la IV Convención de Ginebra (relativo  a  la</w:t>
        <w:br/>
        <w:t>Protección de la Población Civil) dispone sobre el debido cuidado y  respeto</w:t>
        <w:br/>
        <w:t>de los restos mortales. El artículo 34 del Protocolo I de 1977  adicional  a</w:t>
        <w:br/>
        <w:t>las cuatros  Convenciones  de  Ginebra  de  1949  explica  con  detalles  la</w:t>
        <w:br/>
        <w:t>materia; en el comentario del Comité Internacional de la Cruz  Roja  en  ese</w:t>
        <w:br/>
        <w:t>artículo se señala que el respeto que se debe hacia las personas  fallecidas</w:t>
        <w:br/>
        <w:t xml:space="preserve"> “implica  que las sepulturas de todas esas personas  deben  ser  respetadas</w:t>
        <w:br/>
        <w:t>en la  medida  de  lo  posible  conforme  a  las  creencias  religiosas  del</w:t>
        <w:br/>
        <w:t>fallecido, siempre que éstas sean conocidas “ y advierte que</w:t>
        <w:br/>
        <w:br/>
        <w:t xml:space="preserve">           "Aún razones de necesidad pública violentas no pueden, en ningún</w:t>
        <w:br/>
        <w:t xml:space="preserve">      caso, justificar la falta de respeto por los restos  de  las  personas</w:t>
        <w:br/>
        <w:t xml:space="preserve">      fallecidas"[197].</w:t>
        <w:br/>
        <w:br/>
        <w:br/>
        <w:t xml:space="preserve">           2. Jurisdicción Interna.</w:t>
        <w:br/>
        <w:br/>
        <w:br/>
        <w:t>64.   El deber de los vivos hacia los muertos se manifiesta no  sólo  en  el</w:t>
        <w:br/>
        <w:t>derecho internacional sino también en la jurisdicción interna.  A  pesar  de</w:t>
        <w:br/>
        <w:t>cuan insuficiente parezca el tratamiento  de  la  cuestión,  ya  el  derecho</w:t>
        <w:br/>
        <w:t>romano antiguo tutelaba, por ejemplo, penalmente, el debido respeto por  los</w:t>
        <w:br/>
        <w:t>muertos. En el derecho comparado actual, se observa que los códigos  penales</w:t>
        <w:br/>
        <w:t>de varios países tipifican y sancionan los delitos contra el respeto  a  los</w:t>
        <w:br/>
        <w:t>muertos  (por  ejemplo,  la  profanación  del  cadáver).      Al  menos  una</w:t>
        <w:br/>
        <w:t>tendencia de la doctrina  legal  sobre  la  materia  visualiza  como  sujeto</w:t>
        <w:br/>
        <w:t>pasivo  del  derecho  de  respetar  a  lo  muertos,  a  la  comunidad  misma</w:t>
        <w:br/>
        <w:t>(empezando  con  los  seres  queridos)  a  la  cual  pertenecía  la  persona</w:t>
        <w:br/>
        <w:t>fallecida. Tal como indiqué en mi Voto Razonado en el caso Bámaca  Velásquez</w:t>
        <w:br/>
        <w:t>vs. Guatemala (fondo, 2000),</w:t>
        <w:br/>
        <w:br/>
        <w:t xml:space="preserve">           “Aunque la subjetividad jurídica de un individuo venga  a  cesar</w:t>
        <w:br/>
        <w:t xml:space="preserve">      con su muerte (dejando, pues, al fallecer, de ser un sujeto de Derecho</w:t>
        <w:br/>
        <w:t xml:space="preserve">      o titular de derechos y de deberes), sus restos mortales - conteniendo</w:t>
        <w:br/>
        <w:t xml:space="preserve">      una parcela corporal de la humanidad, - continúan siendo jurídicamente</w:t>
        <w:br/>
        <w:t xml:space="preserve">      protegidos.  El respeto  a  los  restos  mortales  preserva  tanto  la</w:t>
        <w:br/>
        <w:t xml:space="preserve">      memoria del muerto como los sentimientos de los vivos (en  particular,</w:t>
        <w:br/>
        <w:t xml:space="preserve">      sus familiares o personas más cercanas) a  él  ligados  por  lazos  de</w:t>
        <w:br/>
        <w:t xml:space="preserve">      afecto, -  siendo  éste  el  valor  jurídicamente  protegido[198].  Al</w:t>
        <w:br/>
        <w:t xml:space="preserve">      tutelar el  respeto  a  los  muertos,  también  el  derecho  penal  da</w:t>
        <w:br/>
        <w:t xml:space="preserve">      expresión concreta a un sentimiento universal de la conciencia humana.</w:t>
        <w:br/>
        <w:t xml:space="preserve">      El respeto a los muertos  se  debe,  así,  -  en  los  planos  de  los</w:t>
        <w:br/>
        <w:t xml:space="preserve">      ordenamientos jurídicos tanto interno como  internacional,  -  en  las</w:t>
        <w:br/>
        <w:t xml:space="preserve">      personas    en las personas de los vivos” (párr.12).</w:t>
        <w:br/>
        <w:br/>
        <w:t>65.   El cese de la subjetividad legal con la muerte  de  uno  no  significa</w:t>
        <w:br/>
        <w:t>que la ley es indiferente a las relaciones entre los vivos  y  los  muertos.</w:t>
        <w:br/>
        <w:t>Cuando uno muerte no sigue necesitando derechos,  sin  embargo  hay  deberes</w:t>
        <w:br/>
        <w:t>hacia los muertos que aún permanecen. Niceto Alcalá-Zamora.- para  quien  el</w:t>
        <w:br/>
        <w:t>“patrimonio moral” de un  pueblo  se  formaba  por  la  acumulación  de  las</w:t>
        <w:br/>
        <w:t>tradiciones,  ideales,  creencias  y  culturas,-  una  vez  indicó,  en  una</w:t>
        <w:br/>
        <w:t>impresionante monografía, que</w:t>
        <w:br/>
        <w:br/>
        <w:t xml:space="preserve">           "la conciencia justa (...) irá comprendiendo  y  realizando  una</w:t>
        <w:br/>
        <w:t xml:space="preserve">      relación de derecho a  través  del  tiempo,  entre  los        que  se</w:t>
        <w:br/>
        <w:t xml:space="preserve">      suceden sin convivir; que también en esto ha de practicarse el neminem</w:t>
        <w:br/>
        <w:t xml:space="preserve">      laedere, y para ello, previamente, el suum cuique tribuere"[199].</w:t>
        <w:br/>
        <w:br/>
        <w:t>66.   Antes de su  inserción  en  el  derecho,  la  preocupación  de  rendir</w:t>
        <w:br/>
        <w:t>respeto y honor a los muertos ya estaba presente en las culturas  antiguas,-</w:t>
        <w:br/>
        <w:t>aunque la cuestión ha sido rechazada, hasta trivializada, en el mundo “post-</w:t>
        <w:br/>
        <w:t xml:space="preserve"> moderno”.  Desde  el  reconocimiento  originario  en  las  más  importantes</w:t>
        <w:br/>
        <w:t>culturas y religiones, el deber de los vivos  hacia  los  muertos  encontró,</w:t>
        <w:br/>
        <w:t>pronto, su lugar en el campo del Derecho, tanto  en  el  derecho  de  gentes</w:t>
        <w:br/>
        <w:t>como en la jurisdicción interna y esto es  verdadero aún en la actualidad.</w:t>
        <w:br/>
        <w:br/>
        <w:br/>
        <w:t xml:space="preserve">     IX.   Del Derecho a un Proyecto de Vida al Derecho a un Proyecto de</w:t>
        <w:br/>
        <w:t xml:space="preserve">                                 Post- Vida.</w:t>
        <w:br/>
        <w:br/>
        <w:br/>
        <w:t>67.   En los últimos  siete  años,  la  Corte  Interamericana  ha  afirmado,</w:t>
        <w:br/>
        <w:t>basándose  en  jurisprudencia,  el  derecho   a   un   proyecto   de   vida,</w:t>
        <w:br/>
        <w:t>especialmente en los casos Loayza  Tamayo  (Reparaciones,  1998),  Villagrán</w:t>
        <w:br/>
        <w:t>Morales y Otros (“Niños de la Calle”, Fondo, 1999 y  Reparaciones,  2001)  y</w:t>
        <w:br/>
        <w:t>Cantoral  Benavides  (Reparaciones,  2001).  La  contribución  de  la  Corte</w:t>
        <w:br/>
        <w:t>Interamericana en este punto,- que encuentra paralelo en  la  jurisprudencia</w:t>
        <w:br/>
        <w:t>de ciertos tribunales nacionales que se reflejan en el  derecho  comparado,-</w:t>
        <w:br/>
        <w:t>ha atraído la atención de la doctrina legal  internacional  contemporánea  y</w:t>
        <w:br/>
        <w:t>ha habido repercusión y recepción positiva  con  ella.  Asimismo,  en  otros</w:t>
        <w:br/>
        <w:t>casos sometidos ante esta Corte, el derecho a un proyecto de  vida  ha  sido</w:t>
        <w:br/>
        <w:t>promovido por los justiciables ante este Tribunal, a  nivel  individual  (en</w:t>
        <w:br/>
        <w:t>los casos Myrna mack Chang, 2003; Hermanos Gómez  Paquiyauri,  2004;  Carpio</w:t>
        <w:br/>
        <w:t>Nicolle y Otros, 2004 y De la Cruz Flores, 2004),  a  nivel  familiar  (caso</w:t>
        <w:br/>
        <w:t>Molina Theissen, 2004) y a nivel comunitario (en el  caso  Masacre  Plan  de</w:t>
        <w:br/>
        <w:t>Sánchez, Reparaciones, 2004).</w:t>
        <w:br/>
        <w:br/>
        <w:t>68.   El presente caso de la Comunidad Moiwana, a mi  modo  de  ver,  abarca</w:t>
        <w:br/>
        <w:t>aún más que el derecho emergente a un proyecto de  vida.  Unos  años  atrás,</w:t>
        <w:br/>
        <w:t>esta Corte sentó  jurisprudencia  al  afirmar  la  existencia  del  daño  al</w:t>
        <w:br/>
        <w:t>proyecto de vida. La interpretación general del caso  tuvo  en  cuenta,  sin</w:t>
        <w:br/>
        <w:t>embargo, a los vivos.  En el presente caso, no obstante,  puedo  visualizar,</w:t>
        <w:br/>
        <w:t>en la pena de los N’djukas de la aldea de Moiwana, la pretensión al  derecho</w:t>
        <w:br/>
        <w:t>a un proyecto de post-vida, que tenga en cuenta los vivos en sus  relaciones</w:t>
        <w:br/>
        <w:t>con los muertos, en conjunto. El  Derecho  Internacional  en  general  y  el</w:t>
        <w:br/>
        <w:t>Derecho Internacional de Derechos Humanos en particular no puede  permanecer</w:t>
        <w:br/>
        <w:t>indiferente ante las manifestaciones espirituales del género  humano,  tales</w:t>
        <w:br/>
        <w:t>como las expresadas en las actuaciones  iniciadas  ante  esta  Corte  en  el</w:t>
        <w:br/>
        <w:t>presente caso Comunidad Moiwana.</w:t>
        <w:br/>
        <w:br/>
        <w:t>69.   No existe  razón  sumamente  poderosa  para  permanecer  en  el  mundo</w:t>
        <w:br/>
        <w:t>exclusivamente de los vivos. En el cas d’espèce, me da la impresión que  los</w:t>
        <w:br/>
        <w:t>N’djukas tienen derecho a apreciar su  proyecto  de post-vida, el  encuentro</w:t>
        <w:br/>
        <w:t>de cada uno de ellos con sus antepasados, la relación  armoniosa  entre  los</w:t>
        <w:br/>
        <w:t>vivos  y  los  muertos.  Su  visión  de  vida  y  post-vida  abriga  valores</w:t>
        <w:br/>
        <w:t>fundamentales, largamente olvidados y perdidos por los hijos e hijas de  las</w:t>
        <w:br/>
        <w:t>“revoluciones” industriales y comunicativas (u otras involuciones, desde  la</w:t>
        <w:br/>
        <w:t>perspectiva espiritual).</w:t>
        <w:br/>
        <w:br/>
        <w:t>70.   Mis años de experiencia en esta Corte me han permitido  dirimir  sobre</w:t>
        <w:br/>
        <w:t>casos que dieron lugar a cuestiones que van, de hecho, más  allá  del  mundo</w:t>
        <w:br/>
        <w:t>de los vivos (como en el caso de Bámaca Velásquez, 2000-2002  y  la  Masacre</w:t>
        <w:br/>
        <w:t>Plan de Sánchez, 2004, entre otros).  Estos casos abarcaron temas  de  denso</w:t>
        <w:br/>
        <w:t>contenido cultural y las soluciones que esta Corte propició  me  han  dejado</w:t>
        <w:br/>
        <w:t>la  impresión  de  que  aún  existe  camino  por  recorrer.  Desde  aquellas</w:t>
        <w:br/>
        <w:t>decisiones, me he visto reflejado  en  esta  cuestión  y  el  presente  caso</w:t>
        <w:br/>
        <w:t>Comunidad Moiwana  constituye  una  de  las  ocasiones  más  adecuadas  para</w:t>
        <w:br/>
        <w:t>proponer una categoría totalmente  nueva  de  daños,  que  aún  no  ha  sido</w:t>
        <w:br/>
        <w:t>incluida en las categorías existentes.</w:t>
        <w:br/>
        <w:br/>
        <w:br/>
        <w:t xml:space="preserve">    X.    Más allá del Daño Moral: la Configuración del Daño Espiritual.</w:t>
        <w:br/>
        <w:br/>
        <w:br/>
        <w:t>71.   Me atrevería a conceptualizarlo como  un  daño  espiritual,  como  una</w:t>
        <w:br/>
        <w:t>forma agravada del daño moral que tiene una implicancia directa en la  parte</w:t>
        <w:br/>
        <w:t>más íntima del género humano, a saber, su ser interior, sus creencias en  el</w:t>
        <w:br/>
        <w:t>destino  de  la  humanidad  y  sus  relaciones  con  los  muertos.  El  daño</w:t>
        <w:br/>
        <w:t>espiritual no es susceptible, por supuesto, de indemnización  material  sino</w:t>
        <w:br/>
        <w:t>que existen otras formas de compensación.  Aquí  es  donde  se  presenta  la</w:t>
        <w:br/>
        <w:t>idea, por primera vez en la historia, a mi leal entender.</w:t>
        <w:br/>
        <w:br/>
        <w:t>72.   Esta  nueva  categoría  de  daño,-  como  lo  percibo,-  comprende  el</w:t>
        <w:br/>
        <w:t>principio de la humanidad en una dimensión temporal, e incluye a  los  vivos</w:t>
        <w:br/>
        <w:t>en sus relaciones con los muertos y a los aún no  nacidos,  de  las  futuras</w:t>
        <w:br/>
        <w:t>generaciones. Este es mi razonamiento. El principio de humanitas  tiene,  de</w:t>
        <w:br/>
        <w:t>hecho, una proyección histórica de larga data y se debe,  principalmente,  a</w:t>
        <w:br/>
        <w:t>las culturas antiguas (en especial, a la de Grecia) ya que se  ha  asociado,</w:t>
        <w:br/>
        <w:t>en  el  tiempo,  con  la  formación  moral  y  espiritual   de   los   seres</w:t>
        <w:br/>
        <w:t>humanos[200].</w:t>
        <w:br/>
        <w:br/>
        <w:t>73.   Este nuevo tipo de daño que aquí propongo puede distinguirse del  daño</w:t>
        <w:br/>
        <w:t>moral, como es comúnmente entendido. Explicaré un  poco  este  concepto.  La</w:t>
        <w:br/>
        <w:t>ciencia del derecho ha desarrollado el  daño  moral  conforme  a  la  fuerte</w:t>
        <w:br/>
        <w:t>influencia proveniente de la teoría de la responsabilidad civil  que,  a  su</w:t>
        <w:br/>
        <w:t>vez, se interpretó a la  luz,  sobre  todo,  del  principio  fundamental  de</w:t>
        <w:br/>
        <w:t>neminem laedere o alterum non laedere. El concepto básico se  transfirió  de</w:t>
        <w:br/>
        <w:t>la jurisdicción interna al derecho  de  gentes,  abarcando  la  idea  de  la</w:t>
        <w:br/>
        <w:t>reacción  del  orden  legal   internacional   ante   actos   (u   omisiones)</w:t>
        <w:br/>
        <w:t>perjudiciales para el género humano (individual o colectivo) y ante  valores</w:t>
        <w:br/>
        <w:t>sociales compartidos.</w:t>
        <w:br/>
        <w:br/>
        <w:t>74.   La calificación del daño moral que de allí resulta (explicado  por  la</w:t>
        <w:br/>
        <w:t>noción id  quod  interest  del  derecho  romano)ha,  en  la  práctica  legal</w:t>
        <w:br/>
        <w:t>(nacional  e  internacional)  tomado   la   forma,   en   general,   de   la</w:t>
        <w:br/>
        <w:t>“cuantificación” de los daños. Más aún, la “cuantificación” en especie  está</w:t>
        <w:br/>
        <w:t>considerada como  una  forma  de  reparación,  en  beneficio  de  los  vivos</w:t>
        <w:br/>
        <w:t>(víctimas directas e  indirectas).  Cuando  se  habla  del  daño  espiritual</w:t>
        <w:br/>
        <w:t>propuesto, sin embargo, no puedo separar a los vivos de los muertos.</w:t>
        <w:br/>
        <w:br/>
        <w:t>75.   Desde la perspectiva histórica, toda la discusión doctrinal  sobre  la</w:t>
        <w:br/>
        <w:t>indemnización del daño moral ha sido marcada por la oposición estéril  entre</w:t>
        <w:br/>
        <w:t>aquellos que han admitido la posibilidad de indemnizar el  daño  moral  (por</w:t>
        <w:br/>
        <w:t>ejemplo, Calamandrei, Carnelutti, Ripert, Mazeaud et Mazeaud, Aubry  et  Rau</w:t>
        <w:br/>
        <w:t>y otros) y aquellos que la han  rechazado  (por  ejemplo,  Savigny,  Massin,</w:t>
        <w:br/>
        <w:t>Pedrazzi, Esmein y otros); el punto que todos ellos no pudieron ver, en  sus</w:t>
        <w:br/>
        <w:t>eternas luchas sobre pretium doloris,  es  que  la  indemnización  moral  no</w:t>
        <w:br/>
        <w:t>limitó  ni  limita  por  si  misma  al  resarcimiento   pecuniario,   a   la</w:t>
        <w:br/>
        <w:t>indemnización. Su política en general estuvo condicionada por la  teoría  de</w:t>
        <w:br/>
        <w:t>la responsabilidad civil.</w:t>
        <w:br/>
        <w:br/>
        <w:t>76.   De allí que surge el  énfasis  excesivo  puesto  en  la  indemnización</w:t>
        <w:br/>
        <w:t>material, alimentando la discusión doctrinal de tan larga duración. Esto  ha</w:t>
        <w:br/>
        <w:t>llevado, en los sistemas legales de jurisdicción interna,  a  reduccionismos</w:t>
        <w:br/>
        <w:t>que  han  superado  el  camino  de  las   deformadas   “industrias   de   la</w:t>
        <w:br/>
        <w:t>indemnización”, vacías de verdadero valor humano.  La  llegada  del  Derecho</w:t>
        <w:br/>
        <w:t>Internacional de Derechos Humanos y, especialmente, la jurisprudencia de  la</w:t>
        <w:br/>
        <w:t>Corte Interamericana,  ampliaron, de manera considerable,  el  horizonte  de</w:t>
        <w:br/>
        <w:t>la indemnización e introdujeron  esa  diferencia  doctrinal  a  gran  escala</w:t>
        <w:br/>
        <w:t>inmaterial, sino irrelevante, en nuestros tiempos.  No encuentro sentido  en</w:t>
        <w:br/>
        <w:t>intentar resucitar las diferencias doctrinales en cuanto el pretium  doloris</w:t>
        <w:br/>
        <w:t>en relación con la  configuración  del  propuesto   daño  espiritual.   Este</w:t>
        <w:br/>
        <w:t>último no es susceptible de indemnización pecuniaria, precisa otro  tipo  de</w:t>
        <w:br/>
        <w:t>indemnización.</w:t>
        <w:br/>
        <w:br/>
        <w:t>77.   La  evidencia  testimonial  presentada  ante  esta  Corte  en  el  cas</w:t>
        <w:br/>
        <w:t>d’espèce indica que, según la cosmovisión de los N’djuka, en  circunstancias</w:t>
        <w:br/>
        <w:t>como las del presente caso, los vivos y los  muertos  sufren  juntos  y  eso</w:t>
        <w:br/>
        <w:t>tiene una proyección intergeneracional.  A diferencia del daño moral,  desde</w:t>
        <w:br/>
        <w:t>mi punto de vista, el daño espiritual no es susceptible de  “cuantificar”  y</w:t>
        <w:br/>
        <w:t>sólo puede ser resarcido, de manera segura, por  medio  de  obligaciones  de</w:t>
        <w:br/>
        <w:t>hacer en la forma de satisfacción (por ejemplo, honrando a  los  muertos  en</w:t>
        <w:br/>
        <w:t>las personas de los vivos).</w:t>
        <w:br/>
        <w:br/>
        <w:t>78.   Debería recordarse que, en el presente caso de la  Comunidad  Moiwana,</w:t>
        <w:br/>
        <w:t>a raíz de la masacre ocurrida en 1986, la vida de la  comunidad  en  general</w:t>
        <w:br/>
        <w:t>en la aldea de Moiwana fue perturbada; la vida familiar,  también,  ha  sido</w:t>
        <w:br/>
        <w:t>perturbada  y  los  desplazamientos  que  se  hicieron  duraron   hasta   la</w:t>
        <w:br/>
        <w:t>actualidad (casi dos décadas más tarde). El destino de los  restos  mortales</w:t>
        <w:br/>
        <w:t>de las víctimas directas, la falta de cumplimiento de los ritos  fúnebres  y</w:t>
        <w:br/>
        <w:t>de las  ceremonias  y  la  falta  de  una  adecuada  sepultura,  desorganizó</w:t>
        <w:br/>
        <w:t>enormemente las antiguas relaciones armoniosas que tenían  los  N’djuka  con</w:t>
        <w:br/>
        <w:t>sus muertos.  El daño de las tumbas que se le causó fue, a mi ver,  no  sólo</w:t>
        <w:br/>
        <w:t>un problema psicológico, sino que también: un verdadero daño espiritual  que</w:t>
        <w:br/>
        <w:t>afectó, gravemente, desde su comisión, no sólo a los vivos sino  que  a  los</w:t>
        <w:br/>
        <w:t>vivos con sus muertos.</w:t>
        <w:br/>
        <w:br/>
        <w:t>79.   Asimismo, la impunidad  resultante,  en  la  forma  de  una  violencia</w:t>
        <w:br/>
        <w:t>generalizada y alimentada (incrementada por el sentimiento  de  indiferencia</w:t>
        <w:br/>
        <w:t>del poder público hacia el destino de las  víctimas)  que  ha  durado  hasta</w:t>
        <w:br/>
        <w:t>nuestros días, ha generado, en los miembros de la Comunidad de  Moiwana,  un</w:t>
        <w:br/>
        <w:t>estado de vulnerabilidad. Generalmente, esto está acompañado por la  pérdida</w:t>
        <w:br/>
        <w:t>de la fe en la justicia humana, la pérdida de fe en el Derecho,  la  pérdida</w:t>
        <w:br/>
        <w:t>de fe en la razón y la conciencia que gobierna en el mundo.</w:t>
        <w:br/>
        <w:br/>
        <w:t>80.   Del mismo modo, en la audiencia  pública  llevada  a  cabo  el  09  de</w:t>
        <w:br/>
        <w:t>septiembre del  2004  ante  esta  Corte,  como  se  indica  en  la  presente</w:t>
        <w:br/>
        <w:t>Sentencia, los antiguos residentes de la aldea de Moiwana  manifestaron  que</w:t>
        <w:br/>
        <w:t>fueron perseguidos por sus ancestros por no  haber  brindado  una  sepultura</w:t>
        <w:br/>
        <w:t>adecuada y esto, por ello, tuvo consecuencias negativas  en  los  familiares</w:t>
        <w:br/>
        <w:t>directos.  Resaltaron que, según la cultura N'djuka,  tenían  la  obligación</w:t>
        <w:br/>
        <w:t>de buscar justicia y dada la negación de justicia que experimentaron  en  el</w:t>
        <w:br/>
        <w:t>presente caso, es como si “estuviéramos muriendo por segunda  vez"[201].  La</w:t>
        <w:br/>
        <w:t>masacre de 1986, organizada por  el  poder  militar  estatal,  “destruyó  la</w:t>
        <w:br/>
        <w:t>tradición cultural (...) de las  comunidades  Maroon  en  Moiwana"[202].  La</w:t>
        <w:br/>
        <w:t>prueba del perito presentada ante esta Corte  se  refiere,  expresamente,  a</w:t>
        <w:br/>
        <w:t>“enfermedades de origen espiritual"[203].</w:t>
        <w:br/>
        <w:br/>
        <w:t>81.   Todas las religiones son devotas del  sufrimiento  humano  e  intentan</w:t>
        <w:br/>
        <w:t>brindarle  al  creyente  el  apoyo  trascendental   necesario;   todas   las</w:t>
        <w:br/>
        <w:t>religiones se concentran en las religiones entre  la  vida  y  la  muerte  y</w:t>
        <w:br/>
        <w:t>ofrecen distintas interpretaciones y explicaciones del destino humano  y  de</w:t>
        <w:br/>
        <w:t>la vida  después  de  la  muerte[204].  La  interferencia  excesiva  en  las</w:t>
        <w:br/>
        <w:t>creencias humanas- cualquiera sea la religión- ocasionan algún tipo de  daño</w:t>
        <w:br/>
        <w:t>a los creyentes y el Derecho Internacional  de  Derechos  Humanos  no  puede</w:t>
        <w:br/>
        <w:t>permanecer indiferente a ello. Se debe considerar oportunamente, como  otras</w:t>
        <w:br/>
        <w:t>lesiones, a los fines del resarcimiento. El Daño  Espiritual,  como  el  que</w:t>
        <w:br/>
        <w:t>sufren los miembros  de  la  Comunidad  de  Moiwana,  es  un  daño  grave  y</w:t>
        <w:br/>
        <w:t>corresponde resarcirlo, del modo (inmaterial) como ya he indicado.</w:t>
        <w:br/>
        <w:br/>
        <w:br/>
        <w:t xml:space="preserve">         XI.   Observaciones Finales: Un Alegato contra la Amnistía.</w:t>
        <w:br/>
        <w:br/>
        <w:br/>
        <w:t>82.   En una de sus últimas publicaciones, Memoria e  Identidad  (2005),  el</w:t>
        <w:br/>
        <w:t>Papa Juan Pablo II afirmó que cada persona tiene “un patrimonio  espiritual”</w:t>
        <w:br/>
        <w:t>que preservar y cultivar la memoria  nos  ayudar  a  preservar,  justamente,</w:t>
        <w:br/>
        <w:t>nuestra propia identidad[205]; se le debe a la memoria que cada  persona,  o</w:t>
        <w:br/>
        <w:t>colectividad humana, preserve dicha identidad y - agregó  –  la  defensa  de</w:t>
        <w:br/>
        <w:t>dicha identidad  es  una  cuestión  de  supervivencia[206].  Juan  Pablo  II</w:t>
        <w:br/>
        <w:t>recuerda, en especial, la trágica experiencia histórica de su propio  pueblo</w:t>
        <w:br/>
        <w:t>y tierra natal, - los polacos,- que a pesar de haber sido atacados  por  sus</w:t>
        <w:br/>
        <w:t>vecinos, divididos  y  ocupados  por  extranjeros,  han  sobrevivido  porque</w:t>
        <w:br/>
        <w:t>conservaron su identidad, cultivaron su memoria y se basaron, en tiempos  de</w:t>
        <w:br/>
        <w:t>extrema adversidad, en su propia cultura[207]  (incluso  el  lenguaje  y  la</w:t>
        <w:br/>
        <w:t>religión).</w:t>
        <w:br/>
        <w:br/>
        <w:t>83.   La memoria es la  facultad  que  fragua  la  identidad  de  los  seres</w:t>
        <w:br/>
        <w:t>humanos, a nivel personal y colectivo [208]. El cultivo  de  la  memoria  de</w:t>
        <w:br/>
        <w:t>los acontecimientos ocurridos en tiempo de  represión,-  graves  violaciones</w:t>
        <w:br/>
        <w:t>de derechos humanos, en especial,- en los últimos años,  ha  sido  impulsado</w:t>
        <w:br/>
        <w:t>por el trabajo de  sucesivas  Comisiones  de  la  Verdad  en  los  distintos</w:t>
        <w:br/>
        <w:t>continentes [209]. Esto sugiere  el  despertar  de  la  conciencia  jurídica</w:t>
        <w:br/>
        <w:t>universal en cuanto a la necesidad de combatir la imposición de amnistías  e</w:t>
        <w:br/>
        <w:t>impunidad.</w:t>
        <w:br/>
        <w:br/>
        <w:br/>
        <w:t>84.   Bajo el sugestivo título Testimonio contra el  Olvido,  el  Comité  de</w:t>
        <w:br/>
        <w:t>Iglesias para  Ayudas  de  Emergencia,  por  ejemplo,  publicó  en  1999  en</w:t>
        <w:br/>
        <w:t>Paraguay un libro documental (que abarca el período de 1954 a  1989)  a  fin</w:t>
        <w:br/>
        <w:t>de revelar las injusticias cometidas en el nombre del “estado  omnipotente”,</w:t>
        <w:br/>
        <w:t>que arrojó numerosas víctimas impotentes y con el objetivo de  contribuir  a</w:t>
        <w:br/>
        <w:t>preservar la memoria sobre el sufrimiento de las víctimas que  hizo  posible</w:t>
        <w:br/>
        <w:t>recuperar más tarde su libertad. En el  libro  se  describe  lo  que  sucede</w:t>
        <w:br/>
        <w:t>cuando la policía,  en  vez  de  proteger,  reprime  y  humilla  a  aquéllas</w:t>
        <w:br/>
        <w:t>personas que piensan diferente de la "línea oficial del estado"[210].</w:t>
        <w:br/>
        <w:br/>
        <w:br/>
        <w:t>85.    Se  están  multiplicando  algunos  ejemplos   similares.   La   Corte</w:t>
        <w:br/>
        <w:t>Interamericana ha contribuido para liberar al espíritu humano del  olvido  e</w:t>
        <w:br/>
        <w:t>impunidad impuesta, en especial al fulminar las leyes de  auto-amnistías  en</w:t>
        <w:br/>
        <w:t>la histórica y aclamada Sentencia del caso Barrios Alto  (del  14  de  marzo</w:t>
        <w:br/>
        <w:t>de 2001) relativa a Perú y al desechar la prescripción en la  sentencia  del</w:t>
        <w:br/>
        <w:t>caso Bulacio vs. Argentina (del 18 de julio de 2003).</w:t>
        <w:br/>
        <w:br/>
        <w:br/>
        <w:t>86.   No debería pasar inadvertido que en el presente caso de  la  Comunidad</w:t>
        <w:br/>
        <w:t>Moiwana vs. Suriname, la organización  de  derechos  humanos  “Moiwana  ‘86”</w:t>
        <w:br/>
        <w:t>procuró, en vano, prevenir  la  promulgación  de  una  ley  de  amnistía  en</w:t>
        <w:br/>
        <w:t>Suriname. Tal como lo advirtió la Corte  Interamericana,  en  cuanto  a  los</w:t>
        <w:br/>
        <w:t>hechos probados en la presente Sentencia, el Presidente de  Surinam,  el  19</w:t>
        <w:br/>
        <w:t>de agosto de 1992, promulgó  oficialmente  la  “Ley  de  Amnistía,  la  cual</w:t>
        <w:br/>
        <w:t>otorga amnistía a quienes cometieron ciertos  crímenes  durante  el  período</w:t>
        <w:br/>
        <w:t>comprendido entre el 1° de enero de 1985 y el 20 de agosto de 1992,  con  la</w:t>
        <w:br/>
        <w:t>excepción de los crímenes de lesa humanidad; los crímenes de lesa  humanidad</w:t>
        <w:br/>
        <w:t>están definidos en la ley como "aquellos crímenes que,  de  conformidad  con</w:t>
        <w:br/>
        <w:t>el derecho internacional, se encuentran clasificados como tales"[211].</w:t>
        <w:br/>
        <w:br/>
        <w:br/>
        <w:t>87.   En el  libro  La  mémoire,  l'histoire,  l'oubli  (2000),  P.  Ricoeur</w:t>
        <w:br/>
        <w:t>puntualmente advierte que “el olvido no es sólo en enemigo de la  memoria  y</w:t>
        <w:br/>
        <w:t>de la historia” sino que también “es el emblema de la vulnerabilidad  de  la</w:t>
        <w:br/>
        <w:t>condición histórica en su conjunto"[212]. Luego, critica  la  evasiva  legal</w:t>
        <w:br/>
        <w:t>precisamente de la prescripción y la amnistía:</w:t>
        <w:br/>
        <w:br/>
        <w:t xml:space="preserve">           "(...)  La  prescription  est  une  institution  étonnante,  qui</w:t>
        <w:br/>
        <w:t xml:space="preserve">      s'autorise  à  grand-peine  de  l'effet  présumé  du  temps  sur   des</w:t>
        <w:br/>
        <w:t xml:space="preserve">      obligations supposées persister dans le  temps.  À  la  différence  de</w:t>
        <w:br/>
        <w:t xml:space="preserve">      l'amnistie qui (...) tend à effacer les traces psychiques ou sociales,</w:t>
        <w:br/>
        <w:t xml:space="preserve">      comme si rien ne  s'était  passé,  la  prescription  consiste  en  une</w:t>
        <w:br/>
        <w:t xml:space="preserve">      interdiction  de  considérer  les  conséquences  pénales  de  l'action</w:t>
        <w:br/>
        <w:t xml:space="preserve">      commise  (...).  C'est  le  refus,  après  un  laps  d'années   défini</w:t>
        <w:br/>
        <w:t xml:space="preserve">      arbitrairement, de reparcourir le temps en arrière jusqu'à  l'acte  et</w:t>
        <w:br/>
        <w:t xml:space="preserve">      ses traces illégales ou irrégulières. Les traces ne sont pas effacées:</w:t>
        <w:br/>
        <w:t xml:space="preserve">      c'est le chemin qui est interdit (...). Comment le temps pourrait - il</w:t>
        <w:br/>
        <w:t xml:space="preserve">      à lui seul (...) opérer la prescription sans un consentement tacite  à</w:t>
        <w:br/>
        <w:t xml:space="preserve">      l'inaction   de   la   société?   Sa   justification   est    purement</w:t>
        <w:br/>
        <w:t xml:space="preserve">      utilitaire"[213].</w:t>
        <w:br/>
        <w:br/>
        <w:t>88.   P. Ricoeur luego se refiere a la  reacción  del  Derecho  antes  tales</w:t>
        <w:br/>
        <w:t>intentos  de  imponer  el  olvido,  en  especial  en  los  casos  de  graves</w:t>
        <w:br/>
        <w:t>violaciones a los derechos humanos:</w:t>
        <w:br/>
        <w:br/>
        <w:t xml:space="preserve">           "L'imprescriptibilité signifie que le principe  de  prescription</w:t>
        <w:br/>
        <w:t xml:space="preserve">      n'a pas lieu d'être invoqué. Elle suspend un principe qui consiste lui-</w:t>
        <w:br/>
        <w:t xml:space="preserve">      même à faire obstacle à l'exercice de l'action publique. En supprimant</w:t>
        <w:br/>
        <w:t xml:space="preserve">      les délais de poursuite, le principe d'imprescriptibilité  autorise  à</w:t>
        <w:br/>
        <w:t xml:space="preserve">      poursuivre indéfiniment les auteurs de  ces  crimes  immenses.  En  ce</w:t>
        <w:br/>
        <w:t xml:space="preserve">      sens, il restitue  au  droit  sa  force  de  persister  en  dépit  des</w:t>
        <w:br/>
        <w:t xml:space="preserve">      obstacles opposés au déploiement des  effets  du  droit.  (...)  C'est</w:t>
        <w:br/>
        <w:t xml:space="preserve">      fondamentalement  la  gravité  extrême  des  crimes  qui  justifie  la</w:t>
        <w:br/>
        <w:t xml:space="preserve">      poursuite  des  criminels  sans  limite  dans  le  temps.   (...)   La</w:t>
        <w:br/>
        <w:t xml:space="preserve">      présomption est que la réprobation des crimes  considérés  ne  connaît</w:t>
        <w:br/>
        <w:t xml:space="preserve">      pas de limite dans le temps. À cet argument s'ajoute la  considération</w:t>
        <w:br/>
        <w:t xml:space="preserve">      de la perversité de plans concertés (...)"[214].</w:t>
        <w:br/>
        <w:br/>
        <w:t>89.     No   se   puede   imponer   el   olvido   en   nadie.   Los   medios</w:t>
        <w:br/>
        <w:t>institucionalizados o legales de imposición del olvido- como la  amnistía  y</w:t>
        <w:br/>
        <w:t>la prescripción,- por más  utilitarios  que  parezcan  ser,  se  manifiestan</w:t>
        <w:br/>
        <w:t>como, en cambio, medios de obstrucción de la  justicia  [215]  (summum  jus,</w:t>
        <w:br/>
        <w:t>summa injuria). A búsqueda y la investigación de violaciones pasadas  a  los</w:t>
        <w:br/>
        <w:t>derechos humanos convierte  al  pasado  en  un  presente  eterno,  para  así</w:t>
        <w:br/>
        <w:t>permitir que los sobrevivientes de las violaciones se ganen el  futuro[216].</w:t>
        <w:br/>
        <w:t>Se ha alegado con acierto que desenmascarar las atrocidades ocurridas en  el</w:t>
        <w:br/>
        <w:t>pasado y en el presente se  corresponda  con  una  verdadera  "ética  de  la</w:t>
        <w:br/>
        <w:t>memoria"[217].</w:t>
        <w:br/>
        <w:br/>
        <w:br/>
        <w:t>90.    Realmente  espero  que  las  reflexiones  personales  que  traté   de</w:t>
        <w:br/>
        <w:t>expresar, en el presente Voto Razonado, puedan  ayudar  a  revelar  la  gran</w:t>
        <w:br/>
        <w:t>trascendencia de las cuestiones alegadas en  el  presente  caso,  desde  una</w:t>
        <w:br/>
        <w:t>perspectiva jurídica. Asimismo, espero que la Sentencia de la  Corte  en  el</w:t>
        <w:br/>
        <w:t>caso Comunidad Moiwana pueda contribuir a devolverles, a los miembros de  la</w:t>
        <w:br/>
        <w:t>comunidad N’dujka Maroon de la aldea Moiwana, el sentimiento de  justicia  y</w:t>
        <w:br/>
        <w:t>paz  mental,  dado  que  en  la  presente  sentencia   queda   judicialmente</w:t>
        <w:br/>
        <w:t>reconocido  el daño espiritual que la comunidad ha soportado  casi  por  dos</w:t>
        <w:br/>
        <w:t>décadas junto a sus familiares fallecidos.</w:t>
        <w:br/>
        <w:br/>
        <w:br/>
        <w:t>91.   Se violó  y  se  siguió  violando,  continuamente,  desde  la  masacre</w:t>
        <w:br/>
        <w:t>organizada por el estado en la aldea Moiwana el 29 de noviembre de 1986,  el</w:t>
        <w:br/>
        <w:t>derecho de los N’djuka  a  un  proyecto  de  vida   y  de  post-vida.   Esta</w:t>
        <w:br/>
        <w:t>comunidad ha sufrido daños materiales e inmateriales como así  también  daño</w:t>
        <w:br/>
        <w:t>espiritual. Algunas de las medidas de reparaciones ordenadas  por  la  Corte</w:t>
        <w:br/>
        <w:t>en la presente Sentencia  se  oponen  al  olvido,  para  que  este  tipo  de</w:t>
        <w:br/>
        <w:t>atrocidad nunca más vuelva a suceder. Tal es el caso del  deber  del  Estado</w:t>
        <w:br/>
        <w:t>de investigar los hechos denunciados y de identificar, juzgar y sancionar  a</w:t>
        <w:br/>
        <w:t>los responsables; el deber del Estado de recuperar los  restos  mortales  de</w:t>
        <w:br/>
        <w:t>los miembros de la comunidad Moiwana  que  fallecieron  durante  los  hechos</w:t>
        <w:br/>
        <w:t>ocurridos el 29 de noviembre de 1986 así como el deber de entregarlos a  los</w:t>
        <w:br/>
        <w:t>miembros sobrevivientes de la comunidad Moiwana ; el  deber  del  Estado  de</w:t>
        <w:br/>
        <w:t>garantizar la seguridad de los miembros de la  comunidad  Moiwana  para  que</w:t>
        <w:br/>
        <w:t>decidan regresar a la aldea Moiwana; el deber del Estado de  implementar  un</w:t>
        <w:br/>
        <w:t>fondo de desarrollo comunitario; el acto de disculpa pública y el deber  del</w:t>
        <w:br/>
        <w:t>Estado de construir un monumento por la memoria y el honor de  las  víctimas</w:t>
        <w:br/>
        <w:t>de la masacre de 1986[218].</w:t>
        <w:br/>
        <w:br/>
        <w:br/>
        <w:t>92.   En resumen, la amplia gama de medidas de reparación ordenadas  por  la</w:t>
        <w:br/>
        <w:t>Corte en la presente Sentencia del caso Comunidad Moiwana se  asimila  a  la</w:t>
        <w:br/>
        <w:t>reconocida jurisprudencia de la Corte  Interamericana  en  la  materia  que,</w:t>
        <w:br/>
        <w:t>como bien se sabe [219], se ha concentrado en la posición de las víctimas  y</w:t>
        <w:br/>
        <w:t>ha  concebido  una  gran  variedad  de   posibles   medidas   adecuadas   de</w:t>
        <w:br/>
        <w:t>reparaciones.  En el cas d’espèce,  la  memoria  colectiva  de  los  N’djuka</w:t>
        <w:br/>
        <w:t>Maroon queda, por el presente documento, debidamente preservada,  contra  el</w:t>
        <w:br/>
        <w:t>olvido, en honor a sus muertos, protegiendo su derecho de vida  lato  sensu,</w:t>
        <w:br/>
        <w:t>incluyendo el derecho a una identidad cultural, que  se  manifiesta  en  sus</w:t>
        <w:br/>
        <w:t>reconocidos lazos de solidaridad con los muertos.</w:t>
        <w:br/>
        <w:br/>
        <w:br/>
        <w:t>93.   Es nuestro deber, de los que  aún  vivimos,  resistir  y  combatir  el</w:t>
        <w:br/>
        <w:t>olvido, un lugar tan común en estos tiempos efímeros  y  post-modernos.  Los</w:t>
        <w:br/>
        <w:t>muertos precisan nuestra lealtad, dependen  totalmente  de  ella  [220].  El</w:t>
        <w:br/>
        <w:t>deber de los vivos  hacia  los  muertos,  por  lo  tanto,  no  se  limita  a</w:t>
        <w:br/>
        <w:t>garantizar el respeto por los  restos  mortales  y  otorgarles  un  entierro</w:t>
        <w:br/>
        <w:t>adecuado; ese deber está también  acompañado  por  el  recuerdo  permanente.</w:t>
        <w:br/>
        <w:t>Precisan nuestra memoria hoy y mañana,  en  la  misma  medida  que  nosotros</w:t>
        <w:br/>
        <w:t>precisamos de sus consejos y cuidados ayer. El tiempo, por ello, en  vez  de</w:t>
        <w:br/>
        <w:t>mantenernos alejados, por el contrario, nos mantiene a todos  nosotros-  los</w:t>
        <w:br/>
        <w:t>vivos y los muertos- juntos. Esto,  a  mi  juicio,  atribuye  una  dimensión</w:t>
        <w:br/>
        <w:t>totalmente nueva a los lazos de solidaridad entre los vivos y  sus  muertos.</w:t>
        <w:br/>
        <w:t>El recuerdo es una manifestación de gratitud y la gratitud es, tal  vez,  la</w:t>
        <w:br/>
        <w:t>manifestación más noble de rendir justicia verdadera.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Saavedra-Alessandri</w:t>
        <w:br/>
        <w:br/>
        <w:t xml:space="preserve"> Secretario</w:t>
        <w:br/>
        <w:br/>
        <w:br/>
        <w:br/>
        <w:br/>
        <w:br/>
        <w:t xml:space="preserve">                 VOTO CONCURRENTE DE LA JUEZA CECILIA MEDINA</w:t>
        <w:br/>
        <w:br/>
        <w:br/>
        <w:br/>
        <w:br/>
        <w:t>Estoy de acuerdo con la decisión de la Corte  de  que  se  han  violado  los</w:t>
        <w:br/>
        <w:t>artículos 5.1, 22 y 21 de la Convención Americana, todos ellos  en  relación</w:t>
        <w:br/>
        <w:t>con el artículo  1.1  de  la  misma,  y  los  artículos  8.1  y  25  de  esa</w:t>
        <w:br/>
        <w:t>Convención. Sin perjuicio de ello, redacto este voto porque  estimo  que  la</w:t>
        <w:br/>
        <w:t>Corte omitió declarar en la sentencia la violación del artículo 4 basada  en</w:t>
        <w:br/>
        <w:t>la  falta  de  cumplimiento  por  parte  del  Estado  de  su  obligación  de</w:t>
        <w:br/>
        <w:t>investigar la privación  de  las  vidas  como  consecuencia  de  la  masacre</w:t>
        <w:br/>
        <w:t>ocurrida en Moiwana en 1986 y  no  precisó  la  violación  del  artículo  5,</w:t>
        <w:br/>
        <w:t>también en cuanto al incumplimiento de la  obligación  de  investigar  estos</w:t>
        <w:br/>
        <w:t>mismos hechos, pero en relación con la integridad personal</w:t>
        <w:br/>
        <w:t>[221].  En mi opinión, la omisión respecto del artículo 4 dejó, además,  sin</w:t>
        <w:br/>
        <w:t>sustento la violación de los artículos 8 y 25 de la Convención.</w:t>
        <w:br/>
        <w:br/>
        <w:t>Quisiera establecer, en primer  término,  las  premisas  generales  de  esta</w:t>
        <w:br/>
        <w:t>posición y, posteriormente, referirme al caso en particular, objeto de  esta</w:t>
        <w:br/>
        <w:t>sentencia.</w:t>
        <w:br/>
        <w:br/>
        <w:br/>
        <w:t>Con respecto a las premisas generales:</w:t>
        <w:br/>
        <w:br/>
        <w:br/>
        <w:t>Las obligaciones para los Estados que  establece  la  Convención  Americana,</w:t>
        <w:br/>
        <w:t>son las de respetar y garantizar los derechos humanos consagrados  en  ella.</w:t>
        <w:br/>
        <w:t>La obligación de garantizar, relevante en este voto, “no  se  agota  con  la</w:t>
        <w:br/>
        <w:t>existencia de un orden normativo dirigido a hacer  posible  el  cumplimiento</w:t>
        <w:br/>
        <w:t>de  esta  obligación,  sino  que  comporta  la  necesidad  de  una  conducta</w:t>
        <w:br/>
        <w:t>gubernamental que asegure la existencia,  en  la  realidad,  de  una  eficaz</w:t>
        <w:br/>
        <w:t>garantía del libre y pleno ejercicio  de  los  derechos  humanos”[222].  Con</w:t>
        <w:br/>
        <w:t>estas palabras, la Corte establece la noción de la obligatoriedad  para  los</w:t>
        <w:br/>
        <w:t>Estados  Partes  de  ejecutar  acciones  destinadas  a  cumplir   con   esta</w:t>
        <w:br/>
        <w:t>disposición.</w:t>
        <w:br/>
        <w:t xml:space="preserve">      Como  la  obligación  de  garantizar  se  refiere   a   los   derechos</w:t>
        <w:br/>
        <w:t>específicos, ella se cumplirá de diversas maneras según sea el  derecho  que</w:t>
        <w:br/>
        <w:t>sea el objeto de la garantía.</w:t>
        <w:br/>
        <w:br/>
        <w:br/>
        <w:t>En mi opinión, y creo que en la jurisprudencia de la  Corte,  la  obligación</w:t>
        <w:br/>
        <w:t>de investigar, que la Corte ha  mencionado  de  manera  consistente  en  los</w:t>
        <w:br/>
        <w:t>casos de violaciones de los artículos 4 y 5 de la Convención, deriva  de  la</w:t>
        <w:br/>
        <w:t>obligación general que tienen los Estados partes  de  garantizar  estos  dos</w:t>
        <w:br/>
        <w:t>derechos, es decir, del artículo 1.1 de la  Convención  leído  conjuntamente</w:t>
        <w:br/>
        <w:t>con los artículos 4 o 5 de la misma. La fundamentación  clara  en  apoyo  de</w:t>
        <w:br/>
        <w:t>esta posición, que prevalece hasta ahora, se encuentra en el  inicio  de  la</w:t>
        <w:br/>
        <w:t>actividad jurisdiccional de la Corte[223].</w:t>
        <w:br/>
        <w:br/>
        <w:br/>
        <w:t>Por otra parte, se deriva de lo dicho anteriormente que esta  obligación  de</w:t>
        <w:br/>
        <w:t>investigar  sólo se puede exigir en función de  un  derecho  sustantivo  que</w:t>
        <w:br/>
        <w:t>debe ser amparado. La Corte  ha  sostenido  regularmente  la  imprescindible</w:t>
        <w:br/>
        <w:t>ligazón de la obligación de garantizar, y por ende de la de investigar,  con</w:t>
        <w:br/>
        <w:t>el derecho respectivo que debe ser garantizado.</w:t>
        <w:br/>
        <w:t xml:space="preserve">      Esta posición se observa ya en la primera sentencia de la Corte, donde</w:t>
        <w:br/>
        <w:t>afirma que el  artículo  1.1  “contiene  la  obligación  contraída  por  los</w:t>
        <w:br/>
        <w:t>Estados Partes en relación con cada uno de los derechos protegidos,  de  tal</w:t>
        <w:br/>
        <w:t>manera que toda pretensión de que se ha lesionado alguno de  esos  derechos,</w:t>
        <w:br/>
        <w:t>implica necesariamente la de que se ha infringido también  el  artículo  1.1</w:t>
        <w:br/>
        <w:t>de la Convención”[224]. De manera acorde  con  esta  posición,  en  el  caso</w:t>
        <w:br/>
        <w:t>Tibi, por ejemplo, la Corte sostuvo  que  en  razón  de  la  obligación  del</w:t>
        <w:br/>
        <w:t>artículo 1.1 de respetar y garantizar los derechos  de  la  Convención,  “el</w:t>
        <w:br/>
        <w:t>Estado  tiene  el  deber  de  iniciar  de  oficio   e   inmediatamente   una</w:t>
        <w:br/>
        <w:t>investigación efectiva que permita identificar, juzgar  y  sancionar  a  los</w:t>
        <w:br/>
        <w:t>responsables cuando existe denuncia o razón fundada para  creer  que  se  ha</w:t>
        <w:br/>
        <w:t>cometido un acto de tortura en violación del artículo  5  de  la  Convención</w:t>
        <w:br/>
        <w:t>Americana”[225]. En el caso Myrna Mack Chang, la Corte  manifestó  que  “…la</w:t>
        <w:br/>
        <w:t>salvaguarda del derecho a la vida requiere que se realice una  investigación</w:t>
        <w:br/>
        <w:t>oficial efectiva cuando hay personas que pierden la vida como resultado  del</w:t>
        <w:br/>
        <w:t>uso de la fuerza por agentes del Estado”[226].  Esta idea se  repite,  inter</w:t>
        <w:br/>
        <w:t>alia, en la sentencia del caso Hermanos Gómez  Paquiyauri[227],  en  la  del</w:t>
        <w:br/>
        <w:t>caso  Cantoral  Benavides[228],  en  la  del  caso   Caballero   Delgado   y</w:t>
        <w:br/>
        <w:t>Santana[229] y en la de Baena Ricardo y otros[230].</w:t>
        <w:br/>
        <w:t xml:space="preserve">      Aun en los casos en  que  la  Corte  ha  examinado  la  violación  del</w:t>
        <w:br/>
        <w:t>artículo 1 en  un  capítulo  independiente,  no  ha  dejado  de  ligar  esta</w:t>
        <w:br/>
        <w:t>violación del artículo 1.1 con el derecho violado. En el caso Juan  Humberto</w:t>
        <w:br/>
        <w:t>Sánchez, por ejemplo, la Corte resuelve que “Las violaciones del  derecho  a</w:t>
        <w:br/>
        <w:t>la libertad y seguridad  personal,  a  la  vida,  a  la  integridad  física,</w:t>
        <w:br/>
        <w:t>psíquica y  moral…,  que  han  sido  establecidas  en  esta  sentencia,  son</w:t>
        <w:br/>
        <w:t>imputables al Estado… En consecuencia, el   Estado  es  responsable  por  la</w:t>
        <w:br/>
        <w:t>inobservancia del artículo  1.1  de  la  Convención,  en  relación  con  las</w:t>
        <w:br/>
        <w:t>violaciones declaradas a los artículos 4,5, 7, 8 y 25 de la misma”[231].  La</w:t>
        <w:br/>
        <w:t>sentencia en el caso Bámaca Velásquez, con una organización semejante,  dice</w:t>
        <w:br/>
        <w:t>exactamente lo mismo[232].</w:t>
        <w:br/>
        <w:br/>
        <w:br/>
        <w:t>Una situación  similar  se  presenta  con  respecto  al  artículo  2  de  la</w:t>
        <w:br/>
        <w:t>Convención, que también contiene una obligación general que  subyace  a  los</w:t>
        <w:br/>
        <w:t>derechos consagrados. La Corte ha tenido a ese respecto la  misma  posición,</w:t>
        <w:br/>
        <w:t>incluso cuando ha tratado  la  violación  del  artículo  2  en  un  capítulo</w:t>
        <w:br/>
        <w:t>diferente. En el  caso  Suárez  Rosero,  por  ejemplo,  la  Corte  establece</w:t>
        <w:br/>
        <w:t>primero una violación del artículo 7.5 y, en el capítulo  en  que  trata  el</w:t>
        <w:br/>
        <w:t>artículo 2 concluye que:</w:t>
        <w:br/>
        <w:br/>
        <w:br/>
        <w:t xml:space="preserve">      “99.  En conclusión, la Corte señala que la excepción contenida en  el</w:t>
        <w:br/>
        <w:t xml:space="preserve">      artículo 114 bis citado infringe el artículo 2 de  la  Convención  por</w:t>
        <w:br/>
        <w:t xml:space="preserve">      cuanto el Ecuador no  ha  tomado  las  medidas  adecuadas  de  derecho</w:t>
        <w:br/>
        <w:t xml:space="preserve">      interno que permitan hacer  efectivo  el  derecho  contemplado  en  el</w:t>
        <w:br/>
        <w:t xml:space="preserve">      artículo 7.5 de la Convención”[233].</w:t>
        <w:br/>
        <w:br/>
        <w:t xml:space="preserve">      De esta manera, la Corte vincula el incumplimiento del artículo 2  con</w:t>
        <w:br/>
        <w:t>la violación de un derecho específico.</w:t>
        <w:br/>
        <w:br/>
        <w:br/>
        <w:t>No parece posible que esta vinculación entre la obligación del artículo  1.1</w:t>
        <w:br/>
        <w:t>y el derecho sustantivo que se ampara permita que se declare  una  violación</w:t>
        <w:br/>
        <w:t>autónoma de ese derecho.  Si  el  Estado  está  obligado  a  garantizar  los</w:t>
        <w:br/>
        <w:t>derechos establecidos en la Convención – como lo dice el artículo 1.1  -  el</w:t>
        <w:br/>
        <w:t>objeto de la garantía sólo puede ser uno  o  más  de  esos  derechos,  y  la</w:t>
        <w:br/>
        <w:t>obligación se entenderá no cumplida sólo respecto de  ese  derecho,  lo  que</w:t>
        <w:br/>
        <w:t>constituirá una violación de este último.</w:t>
        <w:br/>
        <w:t xml:space="preserve">      Estimo, entonces, que  el  fundamento  jurídico  que  la  Corte  puede</w:t>
        <w:br/>
        <w:t>invocar para demandar de un Estado el  cumplimiento  de  la  obligación  del</w:t>
        <w:br/>
        <w:t>artículo 1.1 es la existencia de una violación de un derecho que  debió  ser</w:t>
        <w:br/>
        <w:t>amparado, protegido o  garantizado.  Dicho  en  otros  términos,  no  parece</w:t>
        <w:br/>
        <w:t>posible encontrar otro fundamento  jurídico  para  obligar  a  un  Estado  a</w:t>
        <w:br/>
        <w:t>investigar hechos sino que el de que  la Corte  decida  que,  efectivamente,</w:t>
        <w:br/>
        <w:t>al no investigar, se ha violado  la  obligación  de  garantizar  un  derecho</w:t>
        <w:br/>
        <w:t>específico.</w:t>
        <w:br/>
        <w:t xml:space="preserve">      No me parece tampoco posible que la Corte tenga la facultad de  exigir</w:t>
        <w:br/>
        <w:t>al Estado  que  investigue  algún  hecho,  sin  darle  a  esa  exigencia  un</w:t>
        <w:br/>
        <w:t>fundamento  jurídico  que  emane  de  la  Convención   o   de   las   normas</w:t>
        <w:br/>
        <w:t>internacionales a las que la  Corte  pueda  recurrir  para  fundamentar  sus</w:t>
        <w:br/>
        <w:t>decisiones. De hecho, no parece existir en la  jurisprudencia  de  la  Corte</w:t>
        <w:br/>
        <w:t>mención  alguna  de  otro  fundamento  jurídico  que  no  sea  el   descrito</w:t>
        <w:br/>
        <w:t>anteriormente.</w:t>
        <w:br/>
        <w:br/>
        <w:br/>
        <w:t>Entrando  ahora  a  otro  aspecto  del  problema,   parece   haber   también</w:t>
        <w:br/>
        <w:t>jurisprudencia asentada de  la  Corte,  la  que  comparto,  que  un  derecho</w:t>
        <w:br/>
        <w:t>consagrado en la Convención puede ser violado tanto por la acción  como  por</w:t>
        <w:br/>
        <w:t>la omisión del Estado. Esto, que la Corte ya dijo en la sentencia  de  fondo</w:t>
        <w:br/>
        <w:t>de Velásquez Rodríguez, está particularmente precisado en la  sentencia  del</w:t>
        <w:br/>
        <w:t>caso Instituto de Reeducación del  Menor,  en  cuyo  párrafo  156  la  Corte</w:t>
        <w:br/>
        <w:t>sostiene que los Estados “tienen la obligación de garantizar la creación  de</w:t>
        <w:br/>
        <w:t>las condiciones que se  requieran  para  el  pleno  goce  y  ejercicio”  del</w:t>
        <w:br/>
        <w:t>derecho a la vida, para establecer más adelante  que,  al  no  haber  tomado</w:t>
        <w:br/>
        <w:t>Paraguay “medidas positivas  necesarias  y  suficientes  para  garantizarles</w:t>
        <w:br/>
        <w:t>condiciones de  vida  digna  a  todos  los  internos  y  tomar  las  medidas</w:t>
        <w:br/>
        <w:t>especiales que se requerían para los niños”,  el  Estado  había  violado  el</w:t>
        <w:br/>
        <w:t>artículo 4[234].</w:t>
        <w:br/>
        <w:br/>
        <w:br/>
        <w:t>Con respecto a este caso en particular.</w:t>
        <w:br/>
        <w:br/>
        <w:t>El primer punto que la Corte debió resolver en este caso  se  refirió  a  la</w:t>
        <w:br/>
        <w:t>competencia ratione temporis  para conocer de  él,  ya  que  la  masacre  de</w:t>
        <w:br/>
        <w:t>muchos miembros de la Comunidad Moiwana había ocurrido en  1986,  es  decir,</w:t>
        <w:br/>
        <w:t>antes de la fecha de vigencia de  la  Convención  Americana  en  Suriname  y</w:t>
        <w:br/>
        <w:t>antes también de la fecha del reconocimiento de la competencia de  la  Corte</w:t>
        <w:br/>
        <w:t>por parte de dicho Estado[235].  La  Corte,  respetando  esa  incompetencia,</w:t>
        <w:br/>
        <w:t>sostiene, al resolver la excepción preliminar ratione  temporis  interpuesta</w:t>
        <w:br/>
        <w:t>por el  Estado,  que  efectivamente  no  puede  examinar  la  violación  del</w:t>
        <w:br/>
        <w:t>artículo 4 en relación con la presunta privación arbitraria  de  la  vida  a</w:t>
        <w:br/>
        <w:t>miembros de la Comunidad Moiwana por agentes del  Estado,  ni  la  violación</w:t>
        <w:br/>
        <w:t>del artículo 5 que pudiera surgir de afectaciones a la  integridad  personal</w:t>
        <w:br/>
        <w:t>ocurridas el día de los sucesos de 1986, es  decir,  no  puede  pronunciarse</w:t>
        <w:br/>
        <w:t>sobre la presunta violación de la obligación de respetar  el  derecho  a  la</w:t>
        <w:br/>
        <w:t>vida y el derecho a la integridad personal que  habría  ocurrido  el  29  de</w:t>
        <w:br/>
        <w:t>noviembre de 1986 en Suriname[236].</w:t>
        <w:br/>
        <w:t xml:space="preserve">      Sin perjuicio de ello, la Corte entiende que los hechos producidos  en</w:t>
        <w:br/>
        <w:t>1986  generaron la  obligación  de  investigarlos,  y  que  esta  obligación</w:t>
        <w:br/>
        <w:t>estaba pendiente de ejecución al momento de adquirir  la  Corte  competencia</w:t>
        <w:br/>
        <w:t>para juzgar al Estado de Suriname y, por lo tanto, ratione  temporis,   caía</w:t>
        <w:br/>
        <w:t>bajo la jurisdicción de la Corte[237].</w:t>
        <w:br/>
        <w:br/>
        <w:br/>
        <w:t>La generación de la obligación de investigar se produjo, en mi  opinión,  al</w:t>
        <w:br/>
        <w:t>momento de la masacre. No hay que olvidar  que  Suriname  era  a  esa  fecha</w:t>
        <w:br/>
        <w:t>miembro de la Organización  de  Estados  Americanos  y,  en  tanto  miembro,</w:t>
        <w:br/>
        <w:t>estaba sujeto al respeto y garantía de los derechos humanos establecidos  en</w:t>
        <w:br/>
        <w:t>la Declaración Americana sobre Derechos y  Deberes  del  Hombre,  entre  los</w:t>
        <w:br/>
        <w:t>cuales se encuentran, en el artículo  I,  los  derechos  a  la  vida,  a  la</w:t>
        <w:br/>
        <w:t>libertad y a la seguridad de su persona. La masacre de la aldea  de  Moiwana</w:t>
        <w:br/>
        <w:t>no se produjo, pues, en ausencia de normas del sistema  que  Suriname  debía</w:t>
        <w:br/>
        <w:t>respetar.</w:t>
        <w:br/>
        <w:t xml:space="preserve">      Sin  embargo,  la  Corte  estaba  imposibilitada  de   supervisar   el</w:t>
        <w:br/>
        <w:t>cumplimiento de dicha obligación por carecer de competencia para ello.  Ella</w:t>
        <w:br/>
        <w:t>nació  al  momento  del  depósito  por  Suriname   del   documento   de   su</w:t>
        <w:br/>
        <w:t>reconocimiento conforme al artículo 62 de la Convención.  En  ese  instante,</w:t>
        <w:br/>
        <w:t>la  obligación  de  investigar  se  encontraba  pendiente,  ya  que  es  una</w:t>
        <w:br/>
        <w:t>obligación que no se agota en el momento en  que  suceden  los  hechos[238].</w:t>
        <w:br/>
        <w:t>Esto es, por lo demás, lo que decide  la  Corte  en  el  párrafo  40  de  la</w:t>
        <w:br/>
        <w:t>sentencia.</w:t>
        <w:br/>
        <w:br/>
        <w:br/>
        <w:t>Habiendo la Corte decidido que el Estado tenía la obligación  de  investigar</w:t>
        <w:br/>
        <w:t>los hechos de la masacre, debió haber expresado el  fundamento  jurídico  de</w:t>
        <w:br/>
        <w:t>dicha obligación, puesto que si no existe ese fundamento,  tampoco  existirá</w:t>
        <w:br/>
        <w:t>la obligación. La sentencia omite esta mención  en  el  párrafo  156  de  la</w:t>
        <w:br/>
        <w:t>misma.</w:t>
        <w:br/>
        <w:t xml:space="preserve">      Esto se hace imprescindible puesto que, si no existe la obligación  de</w:t>
        <w:br/>
        <w:t>investigar, tampoco puede la Corte sostener que ha habido una  violación  de</w:t>
        <w:br/>
        <w:t>los artículos  8.1 y 25 en perjuicio de los miembros de  la  Comunidad.  Los</w:t>
        <w:br/>
        <w:t>artículos 8.1 y 25 establecen, el primero, cómo se  debe  investigar  cuando</w:t>
        <w:br/>
        <w:t>existe la obligación de hacerlo, y el segundo, la necesidad  de  que  exista</w:t>
        <w:br/>
        <w:t>un  recurso  “que  la  ampare  contra  actos   que   violen   sus   derechos</w:t>
        <w:br/>
        <w:t>fundamentales…”.</w:t>
        <w:br/>
        <w:t xml:space="preserve">      La mención que la Corte hace al artículo 1.1 no resuelve  este  vacío.</w:t>
        <w:br/>
        <w:t>La obligación de garantizar, en ese caso, se refiere al   deber  de  cumplir</w:t>
        <w:br/>
        <w:t>con el contenido del artículo 8 y  con el del artículo  25,  pero  no  puede</w:t>
        <w:br/>
        <w:t>servir de fundamento para sostener que existía para el Estado la  obligación</w:t>
        <w:br/>
        <w:t>de investigar. El debido proceso y los  recursos  sólo  son  exigibles  para</w:t>
        <w:br/>
        <w:t>amparar otro u  otros  derechos  humanos;  estos  otros  derechos  provienen</w:t>
        <w:br/>
        <w:t>necesariamente de otra fuente, que en este caso se omite.</w:t>
        <w:br/>
        <w:br/>
        <w:br/>
        <w:t>Basándome en las consideraciones y razonamientos  de  la  primera  parte  de</w:t>
        <w:br/>
        <w:t>este voto, y de las consideraciones sobre el caso mismo que  anteceden  este</w:t>
        <w:br/>
        <w:t>párrafo, puedo concluir que, en esta sentencia, lo  que obliga al Estado  de</w:t>
        <w:br/>
        <w:t>Suriname a investigar los hechos de la masacre de  Moiwana  de  1986  es  la</w:t>
        <w:br/>
        <w:t>existencia de su obligación de garantizar  los derechos a la  vida  y  a  la</w:t>
        <w:br/>
        <w:t>integridad personal, y que el no garantizarlos configura  una  violación  de</w:t>
        <w:br/>
        <w:t>los artículos 4 y 5 que  los consagran, leídos en conjunto con  el  artículo</w:t>
        <w:br/>
        <w:t>1.1.</w:t>
        <w:br/>
        <w:br/>
        <w:br/>
        <w:br/>
        <w:br/>
        <w:t xml:space="preserve"> Por esta razón, estimo que la Corte debió haber  declarado  violados  estos</w:t>
        <w:br/>
        <w:t>artículos 4 y 5, en relación con la falta de cumplimiento de  la  obligación</w:t>
        <w:br/>
        <w:t>de investigar, porque ella era parte de  la  obligación  de  garantizar  las</w:t>
        <w:br/>
        <w:t>privaciones de vida y las afectaciones de la  integridad  personal  alegadas</w:t>
        <w:br/>
        <w:t>en el caso.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     Jueza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>El Juez García Ramírez se adhirió  al  presente  Voto  de  la  Jueza  Medina</w:t>
        <w:br/>
        <w:t>Quiroga.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*  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de enero de 2004.</w:t>
        <w:br/>
        <w:br/>
        <w:t>[1]   Cfr. Caso de las  Hermanas  Serrano  Cruz.  Excepciones  Preliminares.</w:t>
        <w:br/>
        <w:t>Sentencia de 23 de noviembre de 2004.  Serie  C  No.  118,  párr.  64;  Caso</w:t>
        <w:br/>
        <w:t>Alfonso Martín del Campo Dodd. Excepciones Preliminares. Sentencia de  3  de</w:t>
        <w:br/>
        <w:t>septiembre de 2004. Serie C No. 113, párr. 68; y  Caso  Cantos.  Excepciones</w:t>
        <w:br/>
        <w:t>Preliminares. Sentencia de 7 de septiembre de 2001. Serie C  No.  85,  párr.</w:t>
        <w:br/>
        <w:t>35.</w:t>
        <w:br/>
        <w:br/>
        <w:t>[2]   Cfr. Caso Hermanas Serrano Cruz. Excepciones Preliminares, supra  nota</w:t>
        <w:br/>
        <w:t>1, párr. 67; Caso Alfonso Martín del Campo  Dodd. Excepciones  Preliminares,</w:t>
        <w:br/>
        <w:t>supra nota 1, párr. 79; y Caso Blake.  Excepciones  Preliminares.  Sentencia</w:t>
        <w:br/>
        <w:t>de 2 de julio de 1996. Serie C No. 27, párrs. 39 y 40.</w:t>
        <w:br/>
        <w:br/>
        <w:t>[3]   Cfr. Caso de la Comunidad  Mayagna  (Sumo)  Awas  Tingni.  Excepciones</w:t>
        <w:br/>
        <w:t>Preliminares. Sentencia de 1 de febrero de 2000. Serie C No. 66,  párr.  53;</w:t>
        <w:br/>
        <w:t>Caso Loayza Tamayo. Excepciones Preliminares. Sentencia de 31  de  enero  de</w:t>
        <w:br/>
        <w:t>1996.  Serie  C  No.  25,  párr.  40;  y  Caso  Castillo  Páez.  Excepciones</w:t>
        <w:br/>
        <w:t>Preliminares. Sentencia de 30 de enero de 1996. Serie C No. 24, párr. 40.</w:t>
        <w:br/>
        <w:br/>
        <w:t>[4]   Cfr. Caso de la Comunidad  Mayagna  (Sumo)  Awas  Tingni.  Excepciones</w:t>
        <w:br/>
        <w:t>Preliminares, supra nota 4,  párr.  53;  Caso  Castillo  Petruzzi  y  otros.</w:t>
        <w:br/>
        <w:t>Excepciones Preliminares. Sentencia de 4 de septiembre de 1998. Serie C  No.</w:t>
        <w:br/>
        <w:t>41, párr. 56; y Caso Loayza Tamayo. Excepciones Preliminares, supra nota  3,</w:t>
        <w:br/>
        <w:t>párr. 40.</w:t>
        <w:br/>
        <w:br/>
        <w:t>[5]   Cfr. Caso de la Comunidad  Mayagna  (Sumo)  Awas  Tingni.  Excepciones</w:t>
        <w:br/>
        <w:t>Preliminares, supra nota 3, párr. 53;  Caso  Durand  y  Ugarte.  Excepciones</w:t>
        <w:br/>
        <w:t>Preliminares. Sentencia de 28 de mayo de 1999. Serie C No. 50, párr.  33;  y</w:t>
        <w:br/>
        <w:t>Caso  Cantoral  Benavides.  Excepciones  Preliminares.  Sentencia  de  3  de</w:t>
        <w:br/>
        <w:t>septiembre de 1998. Serie C No. 40, párr. 31.</w:t>
        <w:br/>
        <w:br/>
        <w:t>[6]   Cfr. Caso Cayara. Excepciones Preliminares. Sentencia de 3 de  febrero</w:t>
        <w:br/>
        <w:t>de 1993.  Serie  C  No.  14,  párr.  38;  y  Caso  Neira  Alegría  y  otros.</w:t>
        <w:br/>
        <w:t>Excepciones Preliminares. Sentencia de 11 de diciembre de 1991. Serie C  No.</w:t>
        <w:br/>
        <w:t>13, párr. 34.</w:t>
        <w:br/>
        <w:br/>
        <w:t>[7]   Cfr. Caso Neira Alegría y otros. Excepciones Preliminares, supra  nota</w:t>
        <w:br/>
        <w:t>6, párr. 29.</w:t>
        <w:br/>
        <w:br/>
        <w:t>[8]   Cfr. Artículo 29 de la Convención Americana sobre Derechos Humanos;  e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Humanos. Opinión Consultiva OC-10/89  del  14  de  julio  de  1989.</w:t>
        <w:br/>
        <w:t>Serie A No. 10, párr. 36.</w:t>
        <w:br/>
        <w:br/>
        <w:t>[9]   Cfr. Caso de las Hermanas Serrano Cruz. Sentencia de  1  de  marzo  de</w:t>
        <w:br/>
        <w:t>2005. Serie C No. 120, párr. 27.</w:t>
        <w:br/>
        <w:br/>
        <w:t>[10]  Cfr. Caso Caesar. Sentencia  11 de marzo  2005.  Serie   C  No.   123,</w:t>
        <w:br/>
        <w:t>párr. 41; Caso  de las Hermanas Serrano Cruz, supra  nota  9,  párr.  31;  y</w:t>
        <w:br/>
        <w:t>Caso Lori Berenson Mejía. Sentencia de 25 de noviembre  de  2004.   Serie  C</w:t>
        <w:br/>
        <w:t>No. 119, párr. 62.</w:t>
        <w:br/>
        <w:br/>
        <w:t>[11]  Cfr. Caso Caesar, supra nota 10,  párr.  42;  Caso   de  las  Hermanas</w:t>
        <w:br/>
        <w:t>Serrano Cruz, supra nota 9, párr. 33; y  Caso  Lori  Berenson  Mejía,  supra</w:t>
        <w:br/>
        <w:t>nota 10, párr. 64.</w:t>
        <w:br/>
        <w:br/>
        <w:t>[12]  Cfr. Caso Caesar, supra nota 10,  párr.  46;  Caso   de  las  Hermanas</w:t>
        <w:br/>
        <w:t>Serrano Cruz, supra nota 9, párr. 37; y  Caso  Lori  Berenson  Mejía,  supra</w:t>
        <w:br/>
        <w:t>nota 10, párr. 77.</w:t>
        <w:br/>
        <w:br/>
        <w:t>[13]  Cfr. Caso Caesar, supra nota 10,  párr.  47;  Caso   de  las  Hermanas</w:t>
        <w:br/>
        <w:t>Serrano Cruz, supra nota 9, párrs. 40 y 45;  y  Caso  Lori  Berenson  Mejía,</w:t>
        <w:br/>
        <w:t>supra nota 10, párr. 78.</w:t>
        <w:br/>
        <w:br/>
        <w:t>[14]  Cfr. declaración jurada escrita rendida por el  perito  Thomas  Polimé</w:t>
        <w:br/>
        <w:t>el  20  de  agosto  de  2004  (expediente  de  excepciones  preliminares   y</w:t>
        <w:br/>
        <w:t>eventuales, fondo, reparaciones y costas, tomo III,  folio 690); y  peritaje</w:t>
        <w:br/>
        <w:t>del señor Kenneth M. Bilby rendido ante la  Corte  Interamericana  el  9  de</w:t>
        <w:br/>
        <w:t>septiembre de 2004.</w:t>
        <w:br/>
        <w:br/>
        <w:t>[15]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folios 690 a 692).</w:t>
        <w:br/>
        <w:br/>
        <w:t>[16]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folios  692  y  693);  y</w:t>
        <w:br/>
        <w:t>peritaje del señor Kenneth M. Bilby rendido ante la Corte Interamericana  el</w:t>
        <w:br/>
        <w:t>9 de septiembre de 2004.</w:t>
        <w:br/>
        <w:br/>
        <w:t>[17]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 693).</w:t>
        <w:br/>
        <w:br/>
        <w:t>[18]  Cfr. hecho reconocido por  el  Estado  (expediente  sobre  excepciones</w:t>
        <w:br/>
        <w:t>preliminares y eventuales fondo, reparaciones  y  costas,  tomo  VI,  folios</w:t>
        <w:br/>
        <w:t>1428 a 1512).</w:t>
        <w:br/>
        <w:br/>
        <w:t>[19]  Cfr. hecho reconocido por  el  Estado  (expediente  sobre  excepciones</w:t>
        <w:br/>
        <w:t>preliminares y eventuales fondo, reparaciones  y  costas,  tomo  VI,  folios</w:t>
        <w:br/>
        <w:t>1428 a 1512).</w:t>
        <w:br/>
        <w:br/>
        <w:t>[20]  Cfr. peritaje del  señor  Kenneth  M.  Bilby  rendido  ante  la  Corte</w:t>
        <w:br/>
        <w:t>Interamericana el 9 de  septiembre  de  2004;  testimonio  del  señor  Andre</w:t>
        <w:br/>
        <w:t>Ajintoena rendido ante la Corte Interamericana el 9 de septiembre  de  2004;</w:t>
        <w:br/>
        <w:t>y declaración jurada escrita rendida por el perito Thomas Polimé  el  20  de</w:t>
        <w:br/>
        <w:t>agosto de 2004 (expediente de excepciones preliminares y eventuales,  fondo,</w:t>
        <w:br/>
        <w:t>reparaciones y costas, tomo III, folios 692 y 693).</w:t>
        <w:br/>
        <w:br/>
        <w:t>[21]  Cfr. peritaje del  señor  Kenneth  M.  Bilby  rendido  ante  la  Corte</w:t>
        <w:br/>
        <w:t>Interamericana el 9 de septiembre de 2004; testimonio de la  señora  Antonia</w:t>
        <w:br/>
        <w:t>Difienjo rendido ante la Corte Interamericana el 9 de septiembre de 2004;  y</w:t>
        <w:br/>
        <w:t>declaración jurada escrita rendida por el perito  Thomas  Polimé  el  20  de</w:t>
        <w:br/>
        <w:t>agosto de 2004 (expediente de excepciones preliminares y eventuales,  fondo,</w:t>
        <w:br/>
        <w:t>reparaciones y costas, tomo III, folios 697, 698 y 717).</w:t>
        <w:br/>
        <w:br/>
        <w:t>[22]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Erwin Willemdam rendido ante  la  Corte  Interamericana</w:t>
        <w:br/>
        <w:t>el 9 de septiembre de 2004; y declaración  jurada  escrita  rendida  por  el</w:t>
        <w:br/>
        <w:t>perito Thomas Polimé el 20 de agosto  de  2004  (expediente  de  excepciones</w:t>
        <w:br/>
        <w:t>preliminares y eventuales, fondo, reparaciones y  costas,  tomo  III,  folio</w:t>
        <w:br/>
        <w:t>697).</w:t>
        <w:br/>
        <w:br/>
        <w:t>[23]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Andre Ajintoena rendido ante  la  Corte  Interamericana</w:t>
        <w:br/>
        <w:t>el 9 de septiembre de 2004; y declaración  jurada  escrita  rendida  por  el</w:t>
        <w:br/>
        <w:t>perito Thomas Polimé el 20 de agosto  de  2004  (expediente  de  excepciones</w:t>
        <w:br/>
        <w:t>preliminares y eventuales, fondo, reparaciones y costas,  tomo  III,  folios</w:t>
        <w:br/>
        <w:t>720 y 721).</w:t>
        <w:br/>
        <w:br/>
        <w:t>[24]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Andre Ajintoena rendido ante  la  Corte  Interamericana</w:t>
        <w:br/>
        <w:t>el 9 de septiembre de 2004; testimonio del  señor  Erwin  Willemdam  rendido</w:t>
        <w:br/>
        <w:t>ante la Corte Interamericana el 9  de  septiembre  de  2004;  y  declaración</w:t>
        <w:br/>
        <w:t>jurada escrita rendida por el perito Thomas Polimé el 20 de agosto  de  2004</w:t>
        <w:br/>
        <w:t>(expediente de excepciones preliminares y eventuales, fondo, reparaciones  y</w:t>
        <w:br/>
        <w:t>costas, tomo III,  folios 699, 711, 719 a 721).</w:t>
        <w:br/>
        <w:br/>
        <w:t>[25]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folios 702 y 703).</w:t>
        <w:br/>
        <w:br/>
        <w:t>[26]  Cfr. Informe de Amnistía Internacional, Suriname: Violations of  Human</w:t>
        <w:br/>
        <w:t>Rights.  Septiembre de 1987 (expediente de anexos a  la  demanda,  tomo  II,</w:t>
        <w:br/>
        <w:t>anexo 16, folio 281); y O.N.U.,  Consejo  Económico  y  Social.  Ejecuciones</w:t>
        <w:br/>
        <w:t>Sumarias o Arbitrarias. E/CN.4/1988/22. Informe  del  Relator  Especial  Sr.</w:t>
        <w:br/>
        <w:t>Amos S. Wako, según resolución del ECOSOC 1987/60 de 19  de  enero  de  1988</w:t>
        <w:br/>
        <w:t>(expediente de anexos a la demanda, tomo II,  anexo 19, folio 358).</w:t>
        <w:br/>
        <w:br/>
        <w:t>[27]  Cfr. Comisión Interamericana de Derechos Humanos. Informe  Anual  1986</w:t>
        <w:br/>
        <w:t>– 1987 de fecha 22 de septiembre de 1987, Capítulo IV:  Derechos  Políticos,</w:t>
        <w:br/>
        <w:t>Suriname.  OEA/Ser.L/V/II.71  doc.9  rev.1.  (expediente  de  anexos  a   la</w:t>
        <w:br/>
        <w:t>demanda, tomo I,  anexo 9, folios 263 a 265).</w:t>
        <w:br/>
        <w:br/>
        <w:t>[28]  Cfr. O.N.U.,  Consejo  Económico  y  Social.  Ejecuciones  Sumarias  o</w:t>
        <w:br/>
        <w:t>Arbitrarias. E/CN.4/1988/22. Informe del Relator Especial Sr. Amos S.  Wako,</w:t>
        <w:br/>
        <w:t>según resolución del ECOSOC 1987/60 de 19 de enero de  1988  (expediente  de</w:t>
        <w:br/>
        <w:t>anexos a la demanda, tomo II,  anexo 19, folio 358).</w:t>
        <w:br/>
        <w:br/>
        <w:t>[29]  Hecho reconocido por el Estado  en  su  escrito  de  interposición  de</w:t>
        <w:br/>
        <w:t>excepciones preliminares y contestación  de  la  demanda  (expediente  sobre</w:t>
        <w:br/>
        <w:t>excepciones preliminares, fondo y reparaciones, tomo II,   folios  345-346).</w:t>
        <w:br/>
        <w:t>Cfr. Comisión Interamericana de Derechos  Humanos.   Informe  Anual  1989  –</w:t>
        <w:br/>
        <w:t>1990 de fecha 17 de mayo  de  1990,  Capítulo  IV:   Situación  de  derechos</w:t>
        <w:br/>
        <w:t>humanos  en  varios  Estados,  Suriname.   OEA/Ser.L/V/II.77   doc.7   rev.1</w:t>
        <w:br/>
        <w:t>(expediente de anexos a la  demanda,  tomo  I,   anexo  11,  folio  223);  y</w:t>
        <w:br/>
        <w:t>Comisión Interamericana de Derechos Humanos.  Informe Anual 1990 –  1991  de</w:t>
        <w:br/>
        <w:t>fecha 22 de febrero de 1991, Capítulo IV: Situación de derechos  humanos  en</w:t>
        <w:br/>
        <w:t>varios Estados, Suriname.  OEA/Ser.L/V/II.79  doc.12  rev.1  (expediente  de</w:t>
        <w:br/>
        <w:t>anexos a la demanda, tomo I,  anexo 12, folio 229).</w:t>
        <w:br/>
        <w:br/>
        <w:t>[30]  Hecho reconocido ante  la  Corte  Interamericana  por  el  agente  del</w:t>
        <w:br/>
        <w:t>Estado ante la  Corte  durante  la  audiencia  pública  celebrada  el  9  de</w:t>
        <w:br/>
        <w:t>septiembre de 2004.  Cfr. testimonio de la señora Antonia  Difienjo  rendido</w:t>
        <w:br/>
        <w:t>ante la Corte Interamericana el 9 de  septiembre  de  2004;  testimonio  del</w:t>
        <w:br/>
        <w:t>señor  Andre  Ajintoena  rendido  ante  la  Corte  Interamericana  el  9  de</w:t>
        <w:br/>
        <w:t>septiembre de 2004; testimonio del señor Erwin  Willemdam  rendido  ante  la</w:t>
        <w:br/>
        <w:t>Corte Interamericana el 9 de septiembre de 2004; declaración jurada  escrita</w:t>
        <w:br/>
        <w:t>rendida por el perito Thomas Polimé el 20 de agosto de 2004  (expediente  de</w:t>
        <w:br/>
        <w:t>excepciones preliminares y eventuales, fondo, reparaciones  y  costas,  tomo</w:t>
        <w:br/>
        <w:t>III, folios 705 a 706); y O.N.U., Consejo Económico  y  Social.  Ejecuciones</w:t>
        <w:br/>
        <w:t>Sumarias o Arbitrarias. E/CN.4/1988/22. Informe  del  Relator  Especial  Sr.</w:t>
        <w:br/>
        <w:t>Amos S. Wako, según resolución del ECOSOC 1987/60 de 19  de  enero  de  1988</w:t>
        <w:br/>
        <w:t>(expediente de anexos a la demanda, tomo II,  anexo 19, folio 358).</w:t>
        <w:br/>
        <w:br/>
        <w:t>[31]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Andre Ajintoena rendido ante  la  Corte  Interamericana</w:t>
        <w:br/>
        <w:t>el 9 de septiembre de 2004; y declaración  jurada  escrita  rendida  por  el</w:t>
        <w:br/>
        <w:t>perito Thomas Polimé el 20 de agosto  de  2004  (expediente  de  excepciones</w:t>
        <w:br/>
        <w:t>preliminares y eventuales, fondo, reparaciones y costas,  tomo  III,  folios</w:t>
        <w:br/>
        <w:t>711, 712 y 714).</w:t>
        <w:br/>
        <w:br/>
        <w:t>[32]  Cfr. testimonio de la señora Antonia Difienjo rendido  ante  la  Corte</w:t>
        <w:br/>
        <w:t>Interamericana el 9 de  septiembre  de  2004;  testimonio  del  señor  Andre</w:t>
        <w:br/>
        <w:t>Ajintoena rendido ante la Corte Interamericana el 9 de septiembre  de  2004;</w:t>
        <w:br/>
        <w:t>testimonio del señor Erwin Willemdam rendido ante  la  Corte  Interamericana</w:t>
        <w:br/>
        <w:t>el 9 de septiembre de 2004; y declaración  jurada  escrita  rendida  por  el</w:t>
        <w:br/>
        <w:t>perito Thomas Polimé el 20 de agosto  de  2004  (expediente  de  excepciones</w:t>
        <w:br/>
        <w:t>preliminares y eventuales, fondo, reparaciones y  costas,  tomo  III,  folio</w:t>
        <w:br/>
        <w:t>724).</w:t>
        <w:br/>
        <w:br/>
        <w:t>[33]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Andre Ajintoena rendido ante  la  Corte  Interamericana</w:t>
        <w:br/>
        <w:t>el 9 de septiembre de 2004; testimonio del  señor  Erwin  Willemdam  rendido</w:t>
        <w:br/>
        <w:t>ante la Corte Interamericana el 9  de  septiembre  de  2004;  y  declaración</w:t>
        <w:br/>
        <w:t>jurada escrita rendida por el perito Thomas Polimé el 20 de agosto  de  2004</w:t>
        <w:br/>
        <w:t>(expediente de excepciones preliminares y eventuales, fondo, reparaciones  y</w:t>
        <w:br/>
        <w:t>costas, tomo III, folio  717).</w:t>
        <w:br/>
        <w:br/>
        <w:t>[34]  Cfr. Comisión Interamericana de Derechos Humanos.  Informe Anual  1990</w:t>
        <w:br/>
        <w:t>– 1991 de fecha 22 de febrero de 1991, Capítulo IV:  Situación  de  derechos</w:t>
        <w:br/>
        <w:t>humanos  en  varios  Estados,  Suriname.  OEA/Ser.L/V/II.79   doc.12   rev.1</w:t>
        <w:br/>
        <w:t>(expediente de anexos a la demanda,  tomo  I,   anexo  12,  folios  229);  y</w:t>
        <w:br/>
        <w:t>Comisión Interamericana de Derechos Humanos.  Informe  Anual  1991  aprobado</w:t>
        <w:br/>
        <w:t>el 14 de febrero de 1992, Capítulo IV: Situación de los derechos humanos  en</w:t>
        <w:br/>
        <w:t>varios  Estados,  Suriname.  EA/Ser.L/V/II.81  doc.6  rev.1  (expediente  de</w:t>
        <w:br/>
        <w:t>anexos a la demanda, tomo I,  anexo 13, folio 236).</w:t>
        <w:br/>
        <w:br/>
        <w:t>[35]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 708).</w:t>
        <w:br/>
        <w:br/>
        <w:t>[36]  Cfr. declaración jurada escrita rendida por el  perito  Thomas  Polimé</w:t>
        <w:br/>
        <w:t>el  20  de  agosto  de  2004  (expediente  de  excepciones  preliminares   y</w:t>
        <w:br/>
        <w:t>eventuales,  fondo,  reparaciones  y  costas,  tomo  III,  folio   709);   y</w:t>
        <w:br/>
        <w:t>testimonio del señor Andre Ajintoena rendido ante  la  Corte  Interamericana</w:t>
        <w:br/>
        <w:t>el 9 de septiembre de 2004.</w:t>
        <w:br/>
        <w:br/>
        <w:t>[37]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 711).</w:t>
        <w:br/>
        <w:br/>
        <w:t>[38]   Cfr.  expediente  de  la  investigación  policial  del  caso  Moiwana</w:t>
        <w:br/>
        <w:t>dirigida por el inspector  Gooding  (expediente  de  anexos  al  escrito  de</w:t>
        <w:br/>
        <w:t>interposición de excepciones preliminares y contestación de la demanda  tomo</w:t>
        <w:br/>
        <w:t>I, anexo 20, folios 11-18).</w:t>
        <w:br/>
        <w:br/>
        <w:t>[39]   Cfr.  expediente  de  la  investigación  policial  del  caso  Moiwana</w:t>
        <w:br/>
        <w:t>dirigida por el inspector  Gooding  (expediente  de  anexos  al  escrito  de</w:t>
        <w:br/>
        <w:t>interposición de excepciones preliminares y contestación de la demanda  tomo</w:t>
        <w:br/>
        <w:t>I, anexo 20, folios 11-18).</w:t>
        <w:br/>
        <w:br/>
        <w:t>[40]  Cfr. testimonio  del  señor  Stanley  Rensch  rendida  ante  la  Corte</w:t>
        <w:br/>
        <w:t>Interamericana durante la audiencia pública celebrada el 9 de septiembre  de</w:t>
        <w:br/>
        <w:t>2004; artículo periodístico titulado “Sweedo leer een vrij  man”,  publicado</w:t>
        <w:br/>
        <w:t>en el Weekkrant Suriname de 6-12 de mayo de 1989 (expediente de anexos a  la</w:t>
        <w:br/>
        <w:t>demanda, tomo II,  anexo  27,  folios  458  a  459);  artículo  periodístico</w:t>
        <w:br/>
        <w:t>titulado “Arrestaties in verband met  bloedbad  Moiwana”,  publicado  en  el</w:t>
        <w:br/>
        <w:t>Weekkrant Suriname de 22-28 de abril de 1989  (expediente  de  anexos  a  la</w:t>
        <w:br/>
        <w:t>demanda, tomo II, anexo 27, folios  460  a  461);  y  artículo  periodístico</w:t>
        <w:br/>
        <w:t>titulado “President ontluisterd; holding regering uiterst  slap”,  publicado</w:t>
        <w:br/>
        <w:t>en el Weekkrant Suriname de 29 de abril de 1989 (expediente de anexos  a  la</w:t>
        <w:br/>
        <w:t>demanda, tomo II, anexo 27, folios 462 a 463).</w:t>
        <w:br/>
        <w:br/>
        <w:t>[41]  Cfr. testimonio  del  señor  Stanley  Rensch  rendida  ante  la  Corte</w:t>
        <w:br/>
        <w:t>Interamericana durante la audiencia pública celebrada el 9 de septiembre  de</w:t>
        <w:br/>
        <w:t>2004; artículo periodístico  titulado  “Rensch:  Onderzoek  massamoorden  in</w:t>
        <w:br/>
        <w:t>Oost-Suriname”, publicado  en  Algemeen  Dagblad  de  25  de  mayo  de  1993</w:t>
        <w:br/>
        <w:t>(expediente de anexos a la demanda, tomo II, anexo 27, folios 464 a 466);  y</w:t>
        <w:br/>
        <w:t>artículo periodístico titulado “Wat zich te Moi Wana voltrok”, publicado  en</w:t>
        <w:br/>
        <w:t>De Ware Tijd de 28 de mayo de 1993 (expediente de anexos a la demanda,  tomo</w:t>
        <w:br/>
        <w:t>II, anexo 27, folios 467 a 468).</w:t>
        <w:br/>
        <w:br/>
        <w:t>[42]  Hecho reconocido por el Estado  en  su  escrito  de  interposición  de</w:t>
        <w:br/>
        <w:t>excepciones preliminares y contestación  de  la  demanda  (expediente  sobre</w:t>
        <w:br/>
        <w:t>excepciones preliminares, fondo y reparaciones, tomo II,  folio 398).   Cfr.</w:t>
        <w:br/>
        <w:t>testimonio del señor Stanley Rensch rendido ante la Corte Interamericana  el</w:t>
        <w:br/>
        <w:t>9 de septiembre de 2004.</w:t>
        <w:br/>
        <w:br/>
        <w:t>[43]  Cfr. testimonio  del  señor  Stanley  Rensch  rendido  ante  la  Corte</w:t>
        <w:br/>
        <w:t>Interamericana el 9 de septiembre de  2004;  y  Comisión  Interamericana  de</w:t>
        <w:br/>
        <w:t>Derechos Humanos.  Informe Anual 1990 – 1991  de  fecha  22  de  febrero  de</w:t>
        <w:br/>
        <w:t>1991,  Capítulo  IV:  Situación  de  derechos  humanos  en  varios  Estados,</w:t>
        <w:br/>
        <w:t>Suriname.  OEA/Ser.L/V/II.79  doc.12  rev.1  (expediente  de  anexos  a   la</w:t>
        <w:br/>
        <w:t>demanda, tomo I,  anexo 12, folios 229).</w:t>
        <w:br/>
        <w:br/>
        <w:t>[44]  Hecho reconocido por el Estado  en  su  escrito  de  interposición  de</w:t>
        <w:br/>
        <w:t>excepciones preliminares y contestación  de  la  demanda  (expediente  sobre</w:t>
        <w:br/>
        <w:t>excepciones preliminares, fondo y reparaciones, tomo II,  folio 398).   Cfr.</w:t>
        <w:br/>
        <w:t>informe oficial de entrevistas con el señor Harry  Moesjoekoere  (expediente</w:t>
        <w:br/>
        <w:t>de  anexos  al  escrito  de  interposición  de  excepciones  preliminares  y</w:t>
        <w:br/>
        <w:t>contestación de la demanda, tomo III, anexo 26, folio 8).</w:t>
        <w:br/>
        <w:br/>
        <w:t>[45]  Cfr. documento titulado The Moiwana Graves, de 19  de  junio  de  1993</w:t>
        <w:br/>
        <w:t>(expediente de anexos a la demanda, tomo II, anexo 25, folios  448  a  452);</w:t>
        <w:br/>
        <w:t>comunicaciones dirigidas al Procurador General de Suriname por  Moiwana  ’86</w:t>
        <w:br/>
        <w:t>los días 24 de mayo, 28 de junio y 23  de  agosto  de  1993  (expediente  de</w:t>
        <w:br/>
        <w:t>anexos a la demanda, tomo II,  anexo 24, folios 442 a 447); 10  informes  de</w:t>
        <w:br/>
        <w:t>autopsias realizadas por el patólogo forense Dr. M.A.  Vrede  a  los  restos</w:t>
        <w:br/>
        <w:t>mortales encontrados en las excavaciones (expediente de  anexos  al  escrito</w:t>
        <w:br/>
        <w:t>de interposición de excepciones preliminares y contestación de  la  demanda,</w:t>
        <w:br/>
        <w:t>tomo III, anexo 29, folio 4);  declaración  testimonial  del  señor  Stanley</w:t>
        <w:br/>
        <w:t>Rensch rendida ante la Corte Interamericana  durante  la  audiencia  pública</w:t>
        <w:br/>
        <w:t>celebrada el 9 de septiembre de 2004; y declaración jurada  escrita  rendida</w:t>
        <w:br/>
        <w:t>por el perito  Thomas  Polimé  el  20  de  agosto  de  2004  (expediente  de</w:t>
        <w:br/>
        <w:t>excepciones preliminares y eventuales, fondo, reparaciones  y  costas,  tomo</w:t>
        <w:br/>
        <w:t>III, folios 718).</w:t>
        <w:br/>
        <w:br/>
        <w:t>[46]  Cfr. moción del Parlamento  de  Suriname  sobre  la  Investigación  de</w:t>
        <w:br/>
        <w:t>Abusos de Derechos Humanos de 19 de  diciembre  de  1995  (expediente  sobre</w:t>
        <w:br/>
        <w:t>excepciones preliminares, fondo y reparaciones, tomo II, folio 441.</w:t>
        <w:br/>
        <w:br/>
        <w:t>[47]  Cfr. declaración jurada escrita rendida por el  perito  Thomas  Polimé</w:t>
        <w:br/>
        <w:t>el  20  de  agosto  de  2004  (expediente  de  excepciones  preliminares   y</w:t>
        <w:br/>
        <w:t>eventuales, fondo, reparaciones y costas, tomo III, folio  713);  testimonio</w:t>
        <w:br/>
        <w:t>de la señora Antonia Difienjo rendido ante la Corte Interamericana el  9  de</w:t>
        <w:br/>
        <w:t>septiembre de 2004; testimonio del señor Andre  Ajintoena  rendido  ante  la</w:t>
        <w:br/>
        <w:t>Corte Interamericana el 9 de septiembre de  2004;  y  testimonio  del  señor</w:t>
        <w:br/>
        <w:t>Stanley Rensch rendido ante la Corte Interamericana el 9  de  septiembre  de</w:t>
        <w:br/>
        <w:t>2004.</w:t>
        <w:br/>
        <w:br/>
        <w:t>[48]  Cfr. comunicaciones dirigidas al Procurador General  de  Suriname  por</w:t>
        <w:br/>
        <w:t>Moiwana ’86 los días 24 de mayo, 28  de  junio  y  23  de  agosto  de  1993;</w:t>
        <w:br/>
        <w:t>(expediente de anexos a la demanda, tomo II,  anexo 24, folios 442  a  447);</w:t>
        <w:br/>
        <w:t>artículo periodístico titulado “Sweedo leer een vrij man”, publicado  en  el</w:t>
        <w:br/>
        <w:t>Weekkrant Suriname de 6-12 de mayo  de  1989  (expediente  de  anexos  a  la</w:t>
        <w:br/>
        <w:t>demanda, tomo II,  anexo  27,  folios  458  a  459);  artículo  periodístico</w:t>
        <w:br/>
        <w:t>titulado “Arrestaties in verband met  bloedbad  Moiwana”,  publicado  en  el</w:t>
        <w:br/>
        <w:t>Weekkrant Suriname de 22-28 de abril de 1989  (expediente  de  anexos  a  la</w:t>
        <w:br/>
        <w:t>demanda, tomo II,  anexo  27,  folios  460  a  461);  artículo  periodístico</w:t>
        <w:br/>
        <w:t>titulado “President ontluisterd; holding regering uiterst  slap”,  publicado</w:t>
        <w:br/>
        <w:t>en el Weekkrant Suriname de 29 de abril de 1989 (expediente de anexos  a  la</w:t>
        <w:br/>
        <w:t>demanda, tomo II,  anexo  27,  folios  462  a  463);  artículo  periodístico</w:t>
        <w:br/>
        <w:t>titulado “Rensch: Onderzoek massamoorden  in  Oost-Suriname”,  publicado  en</w:t>
        <w:br/>
        <w:t>Algemeen Dagblad de 25 de mayo de 1993 (expediente de anexos a  la  demanda,</w:t>
        <w:br/>
        <w:t>tomo II, anexo 27, folios 464 a 466); artículo  periodístico  titulado  “Wat</w:t>
        <w:br/>
        <w:t>zich te Moi Wana voltrok”, publicado en De Ware Tijd de 28 de mayo  de  1993</w:t>
        <w:br/>
        <w:t>(expediente de anexos a la demanda, tomo II, anexo 27, folios  467  a  468);</w:t>
        <w:br/>
        <w:t>testimonio  de  la  señora  Antonia   Difienjo   rendido   ante   la   Corte</w:t>
        <w:br/>
        <w:t>Interamericana el 9 de septiembre de 2004; y testimonio  del  señor  Stanley</w:t>
        <w:br/>
        <w:t>Rensch rendido ante la Corte Interamericana el 9 de septiembre de 2004.</w:t>
        <w:br/>
        <w:br/>
        <w:t>[49]  Cfr. comunicaciones  dirigidas  por  el  Presidente  de  la  Corte  de</w:t>
        <w:br/>
        <w:t>Justicia al Procurador General de fecha 21 de agosto de 1996 y  al  Director</w:t>
        <w:br/>
        <w:t>de Moiwana ’86 de fechas 2 de octubre de  1996  y  26  de  febrero  de  1997</w:t>
        <w:br/>
        <w:t>(expediente de anexos a la demanda, tomo II, anexo  26  y  expediente  sobre</w:t>
        <w:br/>
        <w:t>excepciones preliminares y eventuales fondo,  reparaciones  y  costas,  tomo</w:t>
        <w:br/>
        <w:t>II, folios 442-444); y testimonio del señor Stanley Rensch rendido  ante  la</w:t>
        <w:br/>
        <w:t>Corte Interamericana el 9 de septiembre de 2004.</w:t>
        <w:br/>
        <w:br/>
        <w:t>[50]  Cfr. declaración jurada escrita rendida por el  perito  Thomas  Polimé</w:t>
        <w:br/>
        <w:t>el  20  de  agosto  de  2004  (expediente  de  excepciones  preliminares   y</w:t>
        <w:br/>
        <w:t>eventuales,  fondo,  reparaciones  y  costas,  tomo  III,  folio   711);   y</w:t>
        <w:br/>
        <w:t>declaración testimonial del señor Andre  Ajintoena  rendida  ante  la  Corte</w:t>
        <w:br/>
        <w:t>Interamericana durante la audiencia pública celebrada el 9 de septiembre  de</w:t>
        <w:br/>
        <w:t>2004.</w:t>
        <w:br/>
        <w:br/>
        <w:t>[51]   Cfr. testimonio del  señor  Stanley  Rensch  rendido  ante  la  Corte</w:t>
        <w:br/>
        <w:t>Interamericana el 9 de septiembre de  2004;  y  Comisión  Interamericana  de</w:t>
        <w:br/>
        <w:t>Derechos Humanos.  Informe Anual 1989 – 1990 de fecha 17 de  mayo  de  1990,</w:t>
        <w:br/>
        <w:t>Capítulo IV:  Situación de derechos humanos  en  varios  Estados,  Suriname.</w:t>
        <w:br/>
        <w:t>OEA/Ser.L/V/II.77 doc.7 rev.1 (expediente de anexos a la  demanda,  tomo  I,</w:t>
        <w:br/>
        <w:t>anexo 11, folio 226).</w:t>
        <w:br/>
        <w:br/>
        <w:t>[52]  Hecho reconocido por el Estado  en  su  escrito  de  interposición  de</w:t>
        <w:br/>
        <w:t>excepciones preliminares y contestación  de  la  demanda  (expediente  sobre</w:t>
        <w:br/>
        <w:t>excepciones preliminares y eventuales fondo,  reparaciones  y  costas,  tomo</w:t>
        <w:br/>
        <w:t>II,  folios 369, 407).   Cfr.  testimonio  de  la  señora  Antonia  Difienjo</w:t>
        <w:br/>
        <w:t>rendido ante  la  Corte  Interamericana  el  9  de  septiembre  de  2004;  y</w:t>
        <w:br/>
        <w:t>testimonio del señor Stanley Rensch rendido ante la Corte Interamericana  el</w:t>
        <w:br/>
        <w:t>9 de septiembre de 2004.</w:t>
        <w:br/>
        <w:br/>
        <w:t>[53]  Cfr. “Ley de Amnistía de 1989”. Estatutos de la República de  Suriname</w:t>
        <w:br/>
        <w:t>No. 68, 19 de agosto de 1992 (expediente de anexos a la  demanda,  tomo  II,</w:t>
        <w:br/>
        <w:t>anexo 28, folios 476 a 483).</w:t>
        <w:br/>
        <w:br/>
        <w:t>[54]  Cfr. sentencia emitida por la Corte  del  Primer  Distrito  el  19  de</w:t>
        <w:br/>
        <w:t>agosto de 1992 (expediente de excepciones preliminares y eventuales,  fondo,</w:t>
        <w:br/>
        <w:t>reparaciones y costas, tomo V, 1226 a 1230).</w:t>
        <w:br/>
        <w:br/>
        <w:t>[55]  Cfr. Ley de 16 de noviembre de 2004, que contiene reformas  al  Código</w:t>
        <w:br/>
        <w:t>Penal  (expediente  sobre  excepciones  preliminares  y  eventuales   fondo,</w:t>
        <w:br/>
        <w:t>reparaciones y costas, tomo VI, folios 1301-1306).</w:t>
        <w:br/>
        <w:br/>
        <w:t>[56]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Andre Ajintoena rendido ante  la  Corte  Interamericana</w:t>
        <w:br/>
        <w:t>el 9 de septiembre de 2004; testimonio del  señor  Erwin  Willemdam  rendido</w:t>
        <w:br/>
        <w:t>ante la Corte Interamericana el 9 de septiembre de 2004; declaración  jurada</w:t>
        <w:br/>
        <w:t>escrita rendida por el  perito  Thomas  Polimé  el  20  de  agosto  de  2004</w:t>
        <w:br/>
        <w:t>(expediente de excepciones preliminares y eventuales, fondo, reparaciones  y</w:t>
        <w:br/>
        <w:t>costas, tomo III, 713 a 715).</w:t>
        <w:br/>
        <w:br/>
        <w:t>[57]  Cfr. peritaje del  señor  Kenneth  M.  Bilby  rendido  ante  la  Corte</w:t>
        <w:br/>
        <w:t>Interamericana el 9 de septiembre de 2004; testimonio de la  señora  Antonia</w:t>
        <w:br/>
        <w:t>Difienjo rendido ante la Corte Interamericana el 9 de  septiembre  de  2004;</w:t>
        <w:br/>
        <w:t>testimonio del señor Andre Ajintoena rendido ante  la  Corte  Interamericana</w:t>
        <w:br/>
        <w:t>el 9 de septiembre de 2004; y testimonio del señor Erwin  Willemdam  rendido</w:t>
        <w:br/>
        <w:t>ante la Corte Interamericana el 9 de septiembre de 2004.</w:t>
        <w:br/>
        <w:br/>
        <w:t>[58]   Cfr.  facturas  y  recibos  por  gastos  varios   (expediente   sobre</w:t>
        <w:br/>
        <w:t>excepciones preliminares y eventuales fondo,  reparaciones  y  costas,  tomo</w:t>
        <w:br/>
        <w:t>IV, folios 903, 924 a 994).</w:t>
        <w:br/>
        <w:br/>
        <w:t>[59]  Cfr. Caso De La Cruz Flores. Sentencia de 18  de  noviembre  de  2004.</w:t>
        <w:br/>
        <w:t>Serie C No. 115, párr. 122;  Caso  “Instituto  de  Reeducación  del  Menor”.</w:t>
        <w:br/>
        <w:t>Sentencia de 2 de septiembre de 2004. Serie C No. 112, párr. 125; y Caso  de</w:t>
        <w:br/>
        <w:t>los Hermanos Gómez Paquiyauri. Sentencia de 8 de julio de 2004. Serie C  No.</w:t>
        <w:br/>
        <w:t>110, párr. 179.</w:t>
        <w:br/>
        <w:br/>
        <w:t>[60]  Cfr.  Caso  De  La  Cruz  Flores,  supra  nota  59,  párr.  122;  Caso</w:t>
        <w:br/>
        <w:t>“Instituto de Reeducación del Menor”, supra nota 59, párr. 125;  y  Caso  de</w:t>
        <w:br/>
        <w:t>los Hermanos Gómez Paquiyauri, supra nota 59, párr. 179.</w:t>
        <w:br/>
        <w:br/>
        <w:t>[61]  Cfr. Caso “Instituto de Reeducación del Menor”, supra nota  59,  párr.</w:t>
        <w:br/>
        <w:t>126.</w:t>
        <w:br/>
        <w:br/>
        <w:t>[62]  Cfr. Caso  de las Hermanas Serrano Cruz, supra nota 9,  párrs.  113  a</w:t>
        <w:br/>
        <w:t>115.</w:t>
        <w:br/>
        <w:br/>
        <w:t>[63]  Cfr.  Caso  De  La  Cruz  Flores,  supra  nota  59,  párr.  122;  Caso</w:t>
        <w:br/>
        <w:t>“Instituto de Reeducación del Menor”, supra nota 59, párrs.  125  y  126;  y</w:t>
        <w:br/>
        <w:t>Caso de los Hermanos Gómez Paquiyauri, supra nota 59, párr. 179.</w:t>
        <w:br/>
        <w:br/>
        <w:t>[64]  Cfr. Caso “Instituto de Reeducación del Menor”, supra nota  59,  párr.</w:t>
        <w:br/>
        <w:t>126.</w:t>
        <w:br/>
        <w:br/>
        <w:t>[65]  Cfr. Caso Ricardo Canese. Sentencia de 31 de agosto de 2004.  Serie  C</w:t>
        <w:br/>
        <w:t>No. 111, párr. 115; O.N.U., Comité de Derechos Humanos,  Comentario  general</w:t>
        <w:br/>
        <w:t>no. 27 de 2 de noviembre de 1999.</w:t>
        <w:br/>
        <w:br/>
        <w:t>[66]  Cfr. Caso Ricardo Canese, supra nota 65, párr. 115; O.N.U., Comité  de</w:t>
        <w:br/>
        <w:t>Derechos Humanos, Comentario general no. 27  de  2  de  noviembre  de  1999,</w:t>
        <w:br/>
        <w:t>párrs. 1,4,5,19.</w:t>
        <w:br/>
        <w:br/>
        <w:t>[67]   O.N.U.,  Principios  Rectores  de   los   Desplazamientos   Internos,</w:t>
        <w:br/>
        <w:t>E/CN.4/1998/53/Add.2 de 11 de febrero de 1998.</w:t>
        <w:br/>
        <w:br/>
        <w:t>[68]   O.N.U.,  Comité  de  Derechos  Humanos,  Comunicación  No.  859/1999:</w:t>
        <w:br/>
        <w:t>Colombia. 15 de abril de 2002.</w:t>
        <w:br/>
        <w:br/>
        <w:t>[69]   O.N.U.,  Comité  de  Derechos  Humanos,  Comunicación  No.  859/1999:</w:t>
        <w:br/>
        <w:t>Colombia. 15 de abril de 2002, párr. 7.4.</w:t>
        <w:br/>
        <w:br/>
        <w:t>[70]  Cfr.  Caso  De  La  Cruz  Flores,  supra  nota  59,  párr.  122;  Caso</w:t>
        <w:br/>
        <w:t>“Instituto de Reeducación del Menor”, supra nota 59, párr. 125;  y  Caso  de</w:t>
        <w:br/>
        <w:t>los Hermanos Gómez Paquiyauri, supra nota 59, párr. 179.</w:t>
        <w:br/>
        <w:br/>
        <w:t>[71]  Cfr. Caso de la Comunidad Mayagna (Sumo) Awas Tingni. Sentencia de  31</w:t>
        <w:br/>
        <w:t>de agosto de 2001. Serie C No. 79, párr. 151.</w:t>
        <w:br/>
        <w:br/>
        <w:t>[72]  Cfr. Caso de la Comunidad Mayagna (Sumo) Awas Tingni, supra nota  171,</w:t>
        <w:br/>
        <w:t>párr. 149.</w:t>
        <w:br/>
        <w:br/>
        <w:t>[73]  Cfr. Caso de la Comunidad Mayagna (Sumo) Awas Tingni, supra nota  171,</w:t>
        <w:br/>
        <w:t>párr. 149.</w:t>
        <w:br/>
        <w:br/>
        <w:t>[74]  Cfr. Caso de la Comunidad Mayagna (Sumo) Awas Tingni, supra nota  171,</w:t>
        <w:br/>
        <w:t>párr. 149.</w:t>
        <w:br/>
        <w:br/>
        <w:t>[75]  Cfr. Caso  de las Hermanas Serrano Cruz, supra nota 9, párr  76;  Caso</w:t>
        <w:br/>
        <w:t>de los 19 Comerciantes. Sentencia de 5 de julio de 2004. Serie  C  No.  109,</w:t>
        <w:br/>
        <w:t>párr. 194; y Caso Las Palmeras. Sentencia de 6 de diciembre de  2001.  Serie</w:t>
        <w:br/>
        <w:t>C No. 90, párr. 60.</w:t>
        <w:br/>
        <w:br/>
        <w:t>[76]  Cfr. Caso  de las Hermanas Serrano Cruz, supra nota 9, párr  57;  Caso</w:t>
        <w:br/>
        <w:t>Lori  Berenson  Mejía,  supra  nota  10,  párr.  133;  y  Caso  de  los   19</w:t>
        <w:br/>
        <w:t>Comerciantes, supra nota 75, párr. 182.</w:t>
        <w:br/>
        <w:br/>
        <w:t>[77]  Cfr. Caso  de las Hermanas Serrano Cruz, supra nota 9, párr 58.</w:t>
        <w:br/>
        <w:br/>
        <w:t>[78]  Cfr. Caso Juan Humberto Sánchez. Sentencia de  7  de  junio  de  2003.</w:t>
        <w:br/>
        <w:t>Serie C No. 99, párr. 127 y 132.</w:t>
        <w:br/>
        <w:br/>
        <w:t>[79]  Cfr. Caso  de las Hermanas Serrano Cruz, supra nota 9, párr  61;  Caso</w:t>
        <w:br/>
        <w:t>Bulacio. Sentencia de 18 de septiembre de 2003. Serie C No. 100, párr.  112;</w:t>
        <w:br/>
        <w:t>y Caso Juan Humberto Sánchez, supra nota 78, párr. 144.</w:t>
        <w:br/>
        <w:br/>
        <w:t>[80]  Cfr. Caso  de las Hermanas Serrano Cruz, supra nota 9, párr  61;  Caso</w:t>
        <w:br/>
        <w:t>de los 19 Comerciantes, supra nota 75, párr.  184;  y  Caso  Bulacio,  supra</w:t>
        <w:br/>
        <w:t>nota 79, párr. 112.</w:t>
        <w:br/>
        <w:br/>
        <w:t>[81]  Cfr. Caso  de las Hermanas Serrano Cruz, supra nota 9, párr  63;  Caso</w:t>
        <w:br/>
        <w:t>de los 19 Comerciantes, supra nota 75,  párr.  186;  y  Caso  Las  Palmeras,</w:t>
        <w:br/>
        <w:t>supra nota 75, párr. 59.</w:t>
        <w:br/>
        <w:br/>
        <w:t>[82]  Cfr. Caso  de las Hermanas Serrano Cruz, supra nota 9, párr  62;  Caso</w:t>
        <w:br/>
        <w:t>Carpio Nicolle y otros. Sentencia de 22 de noviembre de 2004.  Serie  C  No.</w:t>
        <w:br/>
        <w:t>117, párr. 128; y Caso Masacre Plan  de  Sánchez.  Reparaciones  (art.  63.1</w:t>
        <w:br/>
        <w:t>Convención Americana sobre Derechos Humanos). Sentencia de 19  de  noviembre</w:t>
        <w:br/>
        <w:t>de 2004. Serie C No. 116, párr. 97.</w:t>
        <w:br/>
        <w:br/>
        <w:t>[83]  Cfr. Caso  de las Hermanas Serrano Cruz, supra nota 9, párr  64;  Caso</w:t>
        <w:br/>
        <w:t>de los 19 Comerciantes, supra nota 75,  párr.  187;  y  Caso  Las  Palmeras,</w:t>
        <w:br/>
        <w:t>supra nota 75, párr. 59.</w:t>
        <w:br/>
        <w:br/>
        <w:t>[84]  Cfr. Caso  de las Hermanas Serrano Cruz, supra nota 9, párr  65;  Caso</w:t>
        <w:br/>
        <w:t>Carpio Nicolle y otros, supra nota 82, párr. 129; y  Caso  Masacre  Plan  de</w:t>
        <w:br/>
        <w:t>Sánchez. Reparaciones, supra nota 82, párr. 98.</w:t>
        <w:br/>
        <w:br/>
        <w:t>[85]  Cfr. Caso Juan Humberto Sánchez, supra nota 78, párr.  127  y  132;  y</w:t>
        <w:br/>
        <w:t>O.N.U., Manual sobre la Prevención e Investigación Efectiva  de  Ejecuciones</w:t>
        <w:br/>
        <w:t>Extrajudiciales, Arbitrarias y Sumarias, Doc. E/ST/CSDHA/.12 (1991).</w:t>
        <w:br/>
        <w:br/>
        <w:t>[86]  Cfr. Caso Juan Humberto Sánchez, supra nota 78, párr.  127  y  132;  y</w:t>
        <w:br/>
        <w:t>O.N.U., Manual sobre la Prevención e Investigación Efectiva  de  Ejecuciones</w:t>
        <w:br/>
        <w:t>Extrajudiciales, Arbitrarias y Sumarias, Doc E/ST/CSDHA/.12 (1991).</w:t>
        <w:br/>
        <w:br/>
        <w:t>[87]  Cfr. Caso de las  Hermanas  Serrano  Cruz.  Excepciones  Preliminares,</w:t>
        <w:br/>
        <w:t>supra nota 1, párr  118;  y  Caso  Bámaca  Velásquez.  Sentencia  de  25  de</w:t>
        <w:br/>
        <w:t>noviembre de 2000. Serie C No. 70, parr. 207.</w:t>
        <w:br/>
        <w:br/>
        <w:t>[88]  Cfr. Caso Juan Humberto  Sánchez,  supra  nota  78,  párr.  134;  Caso</w:t>
        <w:br/>
        <w:t>Trujillo Oroza. Reparaciones (art. 63.1 Convención Americana sobre  Derechos</w:t>
        <w:br/>
        <w:t>Humanos). Sentencia de 27 de febrero de 2002. Serie C No. 92,  párrs.  99  a</w:t>
        <w:br/>
        <w:t>101 y 109; y Caso  Bámaca  Velásquez.  Reparaciones  (art.  63.1  Convención</w:t>
        <w:br/>
        <w:t>Americana sobre Derechos Humanos). Sentencia  de  22  de  febrero  de  2002.</w:t>
        <w:br/>
        <w:t>Serie C No. 91, párrs. 74 a 77.</w:t>
        <w:br/>
        <w:br/>
        <w:t>[89]  O.N.U., Comité de Derechos Humanos. Observaciones  Finales:  Suriname.</w:t>
        <w:br/>
        <w:t>CCPR/CO/80/SUR. 4 de mayo de 2004.</w:t>
        <w:br/>
        <w:br/>
        <w:t>[90]  Cfr. Caso Myrna Mack Chang. Sentencia de  25  de  noviembre  de  2003.</w:t>
        <w:br/>
        <w:t>Serie C No. 101, párr. 199</w:t>
        <w:br/>
        <w:br/>
        <w:t>[91]  Cfr. Caso  de las Hermanas Serrano Cruz, supra nota 9,  párr 69;  Caso</w:t>
        <w:br/>
        <w:t>Ricardo Canese, supra nota 65, párr. 142; y Caso  de  los  19  Comerciantes,</w:t>
        <w:br/>
        <w:t>supra nota 75, párr. 191.</w:t>
        <w:br/>
        <w:br/>
        <w:t>[92]  Cfr. Caso de los Hermanos Gómez Paquiyauri, supra nota 59, párr.  151;</w:t>
        <w:br/>
        <w:t>Caso Bulacio, supra nota 79, párrs. 117 y 142; y Caso “Cinco  Pensionistas”.</w:t>
        <w:br/>
        <w:t>Sentencia de 28 de febrero de 2003. Serie C No. 98, párr. 164.</w:t>
        <w:br/>
        <w:br/>
        <w:t>[93]  Cfr. Caso de los Hermanos Gómez Paquiyauri, supra nota 59, párr.  152;</w:t>
        <w:br/>
        <w:t>y Caso Bulacio, supra nota 79, párr. 118.</w:t>
        <w:br/>
        <w:br/>
        <w:t>[94]  Cfr. Caso  de las Hermanas Serrano Cruz,  supra  nota  9,  párr.  133;</w:t>
        <w:br/>
        <w:t>Caso Lori Berenson Mejía, supra nota 10, párr. 230; y Caso Carpio Nicolle  y</w:t>
        <w:br/>
        <w:t>otros, supra nota 82, párr. 85.</w:t>
        <w:br/>
        <w:br/>
        <w:t>[95]  Cfr. Caso  de las Hermanas Serrano Cruz,  supra  nota  9,  párr.  134;</w:t>
        <w:br/>
        <w:t>Caso Carpio Nicolle y otros, supra nota 82, párr. 86; y  Caso  Masacre  Plan</w:t>
        <w:br/>
        <w:t>de Sánchez. Reparaciones, supra nota 82, párr. 52.</w:t>
        <w:br/>
        <w:br/>
        <w:t>[96]  Cfr. Caso  de las Hermanas Serrano Cruz,  supra  nota  9,  párr.  135;</w:t>
        <w:br/>
        <w:t>Caso Carpio Nicolle y otros, supra nota 82, párr. 87; y  Caso  Masacre  Plan</w:t>
        <w:br/>
        <w:t>de Sánchez. Reparaciones, supra nota 82, párr. 53.</w:t>
        <w:br/>
        <w:br/>
        <w:t>[97]  Cfr. Caso  de las Hermanas Serrano Cruz,  supra  nota  9,  párr.  135;</w:t>
        <w:br/>
        <w:t>Caso Lori Berenson Mejía, supra nota 10, párr. 231; y Caso Carpio Nicolle  y</w:t>
        <w:br/>
        <w:t>otros, supra nota 82, párr. 87.</w:t>
        <w:br/>
        <w:br/>
        <w:t>[98]  Cfr. Caso  de las Hermanas Serrano Cruz,  supra  nota  9,  párr.  136;</w:t>
        <w:br/>
        <w:t>Caso Carpio Nicolle  y  otros,  supra  nota  82,  párr.  89;  y  Caso  Tibi.</w:t>
        <w:br/>
        <w:t>Sentencia de 7 de septiembre de 2004. Serie C No. 114, párr. 225.</w:t>
        <w:br/>
        <w:br/>
        <w:t>[99]  Cfr. Caso Masacre Plan de Sánchez. Reparaciones, supra nota 82,  párr.</w:t>
        <w:br/>
        <w:t>62; y Caso “Instituto de Reeducación del Menor”, supra nota 59, párr. 273.</w:t>
        <w:br/>
        <w:br/>
        <w:t>[100]       Cfr. Caso Masacre Plan de Sánchez. Reparaciones, supra nota  82,</w:t>
        <w:br/>
        <w:t>párr. 62.</w:t>
        <w:br/>
        <w:br/>
        <w:t>[101] Cfr. Caso Masacre Plan de Sánchez. Reparaciones, supra nota 82,  párr.</w:t>
        <w:br/>
        <w:t>63.</w:t>
        <w:br/>
        <w:br/>
        <w:t>[102]       Cfr. Caso Masacre Plan de Sánchez. Reparaciones, supra nota  82,</w:t>
        <w:br/>
        <w:t>párr. 67.</w:t>
        <w:br/>
        <w:br/>
        <w:t>[103]       Cfr. Caso Masacre Plan de Sánchez. Reparaciones, supra nota  82,</w:t>
        <w:br/>
        <w:t>párr. 74.</w:t>
        <w:br/>
        <w:br/>
        <w:t>[104] Cfr. Caso  de las Hermanas Serrano Cruz,  supra  nota  9,  párr.  156;</w:t>
        <w:br/>
        <w:t>Caso Masacre Plan de Sánchez. Reparaciones, supra nota 82, párr. 80; y  Caso</w:t>
        <w:br/>
        <w:t>De La Cruz Flores, supra nota 59, párr. 155.</w:t>
        <w:br/>
        <w:br/>
        <w:t>[105]       Cfr. Caso  de las Hermanas Serrano Cruz,  supra  nota  9,  párr.</w:t>
        <w:br/>
        <w:t>157; Caso Carpio Nicolle y otros, supra nota 82, párr. 117; y  Caso  Masacre</w:t>
        <w:br/>
        <w:t>Plan de Sánchez. Reparaciones, supra nota 82, párr. 81.</w:t>
        <w:br/>
        <w:br/>
        <w:t>[106]       Cfr. Caso Masacre Plan de Sánchez. Reparaciones, supra nota  82,</w:t>
        <w:br/>
        <w:t>párr. 84.</w:t>
        <w:br/>
        <w:br/>
        <w:t>[107]       Cfr. Caso Masacre Plan de Sánchez. Reparaciones, supra nota  82,</w:t>
        <w:br/>
        <w:t>párr. 86.</w:t>
        <w:br/>
        <w:br/>
        <w:t>[108] Cfr. Caso  de las Hermanas Serrano Cruz,  supra  nota  9,  párr.  165;</w:t>
        <w:br/>
        <w:t>Caso Masacre Plan de Sánchez. Reparaciones, supra nota 82, párr. 93; y  Caso</w:t>
        <w:br/>
        <w:t>De La Cruz Flores, supra nota 59, párr. 164.</w:t>
        <w:br/>
        <w:br/>
        <w:t>[109]       Cfr. Caso  de las Hermanas Serrano Cruz,  supra  nota  9,  párr.</w:t>
        <w:br/>
        <w:t>170; Caso de los Hermanos Gómez Paquiyauri, supra  nota  59,  párr.  148;  y</w:t>
        <w:br/>
        <w:t>Caso de los 19 Comerciantes, supra nota 75, párr. 175.</w:t>
        <w:br/>
        <w:br/>
        <w:t>[110]       Cfr. Caso Carpio Nicolle y otros,  supra  nota  82,  párr.  126;</w:t>
        <w:br/>
        <w:t>Caso Tibi,  supra  nota  98,  párr.  255;  y  Caso  de  los  Hermanos  Gómez</w:t>
        <w:br/>
        <w:t>Paquiyauri, supra nota 59, párr. 228.</w:t>
        <w:br/>
        <w:br/>
        <w:t>[111]       Cfr. Caso Carpio Nicolle y otros,  supra  nota  82,  párr.  128;</w:t>
        <w:br/>
        <w:t>Caso de los Hermanos Gómez Paquiyauri, supra nota 59, párr. 230; y  Caso  de</w:t>
        <w:br/>
        <w:t>los 19 Comerciantes, supra nota 75, párr. 261.</w:t>
        <w:br/>
        <w:br/>
        <w:t>[112]       Cfr. Caso  de las Hermanas Serrano Cruz,  supra  nota  9,  párr.</w:t>
        <w:br/>
        <w:t>172; Caso de los Hermanos Gómez Paquiyauri, supra nota 59; y Caso de los  19</w:t>
        <w:br/>
        <w:t>Comerciantes, supra nota 75, párr. 175.</w:t>
        <w:br/>
        <w:br/>
        <w:t>[113]. Párrafo 86 (1) y (2).</w:t>
        <w:br/>
        <w:br/>
        <w:t>[114]. Cf. Trabajo publicado por E. de Vattel, Le Droit des gens ou</w:t>
        <w:br/>
        <w:t>Principles de la loi naturelle appliquée a la conduite et aux affairs des</w:t>
        <w:br/>
        <w:t>nations et des sourverains (1758); cf.,por ejemplo, E. Jouannet, Emer de</w:t>
        <w:br/>
        <w:t>Vattel et L’émergence doctrinale du Droit international classique, Paris,</w:t>
        <w:br/>
        <w:t>Pédone, 1998, pág. 255, 311, 318-319, 344 y 347.</w:t>
        <w:br/>
        <w:br/>
        <w:t>[115]. Para una crítica de las teorías del consentimiento, que refleja la</w:t>
        <w:br/>
        <w:t>peligrosa concepción voluntaria-positivista del derecho internacional, cf.</w:t>
        <w:br/>
        <w:t>A.A. Cancado Trindade, “The Voluntarist Conception of International Law: A</w:t>
        <w:br/>
        <w:t>Re-Assessment", 59 Revue de droit international de sciences diplomatiques</w:t>
        <w:br/>
        <w:t>et politiques - Geneva (1981) pág. 201-240.</w:t>
        <w:br/>
        <w:br/>
        <w:t>[116]. A.A. Cançado Trindade,- "La Humanización del Derecho Internacional y</w:t>
        <w:br/>
        <w:t>los Límites de la      Razón de Estado", 40 Revista da Faculdade de Direito</w:t>
        <w:br/>
        <w:t>da Universidade Federal de Minas Gerais - Belo Horizonte/Brazil (2001) pág.</w:t>
        <w:br/>
        <w:t>11-23; A.A. Cançado Trindade, "A Personalidade e Capacidade Jurídicas do</w:t>
        <w:br/>
        <w:t>Indivíduo como Sujeito do Direito Internacional", en Jornadas de Direito</w:t>
        <w:br/>
        <w:t>Internacional (Ciudad de México, Dec. 2001), Washington D.C., OEA</w:t>
        <w:br/>
        <w:t>Subsecretaria de Asuntos Legales, 2002, pág. 311-347; y cf. A.A. Cançado</w:t>
        <w:br/>
        <w:t>Trindade, "Vers la consolidation de la capacité juridique internationale</w:t>
        <w:br/>
        <w:t>des pétitionnaires dans le système interaméricain des droits de la</w:t>
        <w:br/>
        <w:t>personne", 14 Revue québécoise de droit international (2001) n. 2, pág. 207-</w:t>
        <w:br/>
        <w:t>239.</w:t>
        <w:br/>
        <w:br/>
        <w:t>[117]. Francisco de Vitoria, Relecciones del Estado, de los Indios y del</w:t>
        <w:br/>
        <w:t>Derecho de la Guerra (introducción de A. Gómez Robledo),2° edición,</w:t>
        <w:br/>
        <w:t>México,Ed. Porrúa,1985, pág. XXX, XLIV-XLV, LXXVII y 61, y cf. pág. LXII-</w:t>
        <w:br/>
        <w:t>LXIII.</w:t>
        <w:br/>
        <w:br/>
        <w:t>[118]. Francisco de Vitoria, De Indis- Relectio Prior (1538-1539), en:</w:t>
        <w:br/>
        <w:t>Obras de Francisco de Vitoria - Relecciones Teológicas (ed. T. Urdanoz),</w:t>
        <w:br/>
        <w:t>Madrid, BAC, 1960, pág. 675.</w:t>
        <w:br/>
        <w:br/>
        <w:t>[119]. J.Brown Scott, The Spanish origin of International Law- Francisco de</w:t>
        <w:br/>
        <w:t>Vitoria and his Law of Nations [El Origen Español del Derecho Internacional-</w:t>
        <w:br/>
        <w:t xml:space="preserve"> Francisco de Vitoria y su Derecho de Gente], Oxford/Londres, Clarendon</w:t>
        <w:br/>
        <w:t>Press/H. Milford- Carnegie Endowment for International Peace, pág. 140 y</w:t>
        <w:br/>
        <w:t>170.</w:t>
        <w:br/>
        <w:br/>
        <w:t>[120]. Cf. H. Grocio, De Jure Belli ac Pacis (1625), La Haya, Nijhoff,</w:t>
        <w:br/>
        <w:t>1948, pág. 6, 10 y 84-5; y P.P. Remec, The Position of the Individual in</w:t>
        <w:br/>
        <w:t>International Law according to Grotius and Batel [La Posición del Individuo</w:t>
        <w:br/>
        <w:t>en el Derecho Internacional de acuerdo con Grocio y Vattel], La Haya,</w:t>
        <w:br/>
        <w:t>Nijhoff, 1960, pág. 203, 216-217 y 219-220.</w:t>
        <w:br/>
        <w:br/>
        <w:t>[121]. Párrafo 86 (6).</w:t>
        <w:br/>
        <w:br/>
        <w:t>[122]. Asimismo existen instrumentos internacionales, como el Convenio</w:t>
        <w:br/>
        <w:t>sobre Pueblos Indígenas y Tribales en países independientes(Convenio nº</w:t>
        <w:br/>
        <w:t>169, adoptado por la Conferencia General de la Organización Internacional</w:t>
        <w:br/>
        <w:t>del Trabajo) en vigencia desde el 5 de septiembre de 1991, que pone</w:t>
        <w:br/>
        <w:t>énfasis, en cuanto a los deberes, en las colectividades humanas como tales.</w:t>
        <w:br/>
        <w:br/>
        <w:t>[123]. La Corte ponderó, en el párrafo 141 de la Sentencia (de fondo), que</w:t>
        <w:br/>
        <w:t>para los miembros de las comunidades indígenas (como en el presente caso)</w:t>
        <w:br/>
        <w:t>“la relación con la tierra no es meramente una cuestión de posesión y</w:t>
        <w:br/>
        <w:t>producción sino, más bien, un elemento material y espiritual que deberían</w:t>
        <w:br/>
        <w:t>poder gozar en su totalidad, para preservar, de este modo,  su legado</w:t>
        <w:br/>
        <w:t>cultural y transmitirlo a futuras generaciones”.</w:t>
        <w:br/>
        <w:br/>
        <w:t>[124]. Cfr.A. Meijknecht, Towards International Personality: The Position</w:t>
        <w:br/>
        <w:t>of Minorities and Indigenous Peoples in International Law [Hacia la</w:t>
        <w:br/>
        <w:t>personalidad internacional: la posición de las minorías y los pueblos</w:t>
        <w:br/>
        <w:t>indígenas en el derecho internacional], Antwerpen/Groningen, Intersentia,</w:t>
        <w:br/>
        <w:t>2001, pág. 228 y 233.</w:t>
        <w:br/>
        <w:br/>
        <w:t>[125]. N. Rouland, S. Pierré-Caps and J. Poumarède, Direito das Minorias e</w:t>
        <w:br/>
        <w:t>dos Povos Autóctones, Brasília, Edit. UnB, 2004, pág. 228-229.</w:t>
        <w:br/>
        <w:br/>
        <w:t>[126]. Para estudios generales, cfr., por ejemplo, P. Thornberry,</w:t>
        <w:br/>
        <w:t>Indigenous Peoples and Human Rights [Comunidadaes Indígenas y Derechos</w:t>
        <w:br/>
        <w:t>Humanos], Manchester, University Press, 2002, pág. 1-429; S. James Anaya,</w:t>
        <w:br/>
        <w:t>Indigenous Peoples in Internacional Law [Comunidades Indígenas en el</w:t>
        <w:br/>
        <w:t>Derecho Internacional]; 2º edic., Oxford, University Press, 2004, Pág. 3-</w:t>
        <w:br/>
        <w:t>291; J. Castellino y N. Walsh (edit.), International Law and Indigenous</w:t>
        <w:br/>
        <w:t>Peoples [El Derecho Internacional y las Comunidades Indígenas], Leiden,</w:t>
        <w:br/>
        <w:t>Nijhoff, 2005, pág. 89-116 y 249-267.</w:t>
        <w:br/>
        <w:br/>
        <w:t>[127]. S. Weil, The Need for Roots [La necesidad de tener raíces],</w:t>
        <w:br/>
        <w:t>Londrés/N.Y., Routledge, 1952 (reimpresión 1995), pág.41.</w:t>
        <w:br/>
        <w:br/>
        <w:t>[128]. H. Arendt, La tradition cachée, Paris, Ch. Bourgois Éd., 1987 (ed.</w:t>
        <w:br/>
        <w:t>Original 1946), pág. 58-59 y 125-127.</w:t>
        <w:br/>
        <w:br/>
        <w:t>[129].  J.M. Domenach, Le retour du tragique, Paris, Edit. Seuil, 1967,</w:t>
        <w:br/>
        <w:t>pág. 285.</w:t>
        <w:br/>
        <w:br/>
        <w:t>[130]. A.A. Cançado Trindade, "Reflexiones sobre el Desarraigo como</w:t>
        <w:br/>
        <w:t>Problema de Derechos Humanos frente a la Conciencia Jurídica Universal", en</w:t>
        <w:br/>
        <w:t>La Nueva Dimensión de las Necesidades de Protección del Ser Humano en el</w:t>
        <w:br/>
        <w:t>Inicio del Siglo XXI (eds. A.A. Cançado Trindade and J. Ruiz de Santiago),</w:t>
        <w:br/>
        <w:t>3rd. ed., San José de Costa Rica, Corte Interamericana de Derechos Humanos</w:t>
        <w:br/>
        <w:t>/ACNUR, 2004, pág. 40-41 y cfr. 27-86.</w:t>
        <w:br/>
        <w:br/>
        <w:t>[131]. Principios 1(1), 4(1), 22, 24(1).</w:t>
        <w:br/>
        <w:br/>
        <w:t>[132]. Asimismo, sostiene la prohibición de “desplazamientos arbitrarios”</w:t>
        <w:br/>
        <w:t>(Principio 6).</w:t>
        <w:br/>
        <w:br/>
        <w:t>[133]. Principio 8 y siguientes.</w:t>
        <w:br/>
        <w:br/>
        <w:t>[134]. Principios 17, 18, 20 y 23, respectivamente.</w:t>
        <w:br/>
        <w:br/>
        <w:t>[135]. En vez de categorizaciones subjetivas de personas (de acuerdo con</w:t>
        <w:br/>
        <w:t>las razones que los llevaron a abandonar sus hogares), propias del pasado,</w:t>
        <w:br/>
        <w:t>actualmente se adoptó el criterio objetivo de las necesidades de protección</w:t>
        <w:br/>
        <w:t>y este criterio abarca una cantidad razonable de personas (incluye a las</w:t>
        <w:br/>
        <w:t>personas desplazadas internamente), vulnerables como los refugiados y aún</w:t>
        <w:br/>
        <w:t>más.</w:t>
        <w:br/>
        <w:br/>
        <w:t>[136]. Ibid., pág. 14-15.</w:t>
        <w:br/>
        <w:br/>
        <w:t>[137]. Ibid., pág. 431-432.</w:t>
        <w:br/>
        <w:br/>
        <w:t>[138]. Cfr. Texto reproducido en: ACNUR, Memoria del Vigésimo Aniversario</w:t>
        <w:br/>
        <w:t>de la Declaración de Cartagena sobre los Refugiados (1984-2004), Ciudad de</w:t>
        <w:br/>
        <w:t>México /San José de Costa Rica, ACNUR, 2005, pág. 385-398.</w:t>
        <w:br/>
        <w:br/>
        <w:t>[139]. Cfr. "Presentación por el Dr. A.A. Cançado Trindade del Comité de</w:t>
        <w:br/>
        <w:t>Consultores Jurídicos del ACNUR" (Ciudad de México , 15.11.2004), en ACNUR,</w:t>
        <w:br/>
        <w:t>Memoria del Vigésimo Aniversario de la Declaración de Cartagena..., op.</w:t>
        <w:br/>
        <w:t>cit. supra n. (27), pág. 368-369.</w:t>
        <w:br/>
        <w:br/>
        <w:t>[140]. Ibid., pág. 369.</w:t>
        <w:br/>
        <w:br/>
        <w:t>[141]. Cfr. A.A. Cançado Trindade, "Derecho Internacional de los Derechos</w:t>
        <w:br/>
        <w:t>Humanos, Derecho Internacional de los Refugiados y Derecho Internacional</w:t>
        <w:br/>
        <w:t>Humanitario: Aproximaciones y Convergencias", en 10 Años de la Declaración</w:t>
        <w:br/>
        <w:t>de Cartagena sobre Refugiados - Memoria del Coloquio Internacional (San</w:t>
        <w:br/>
        <w:t>José de Costa Rica, Dec. 1994), San José de Costa Rica, IIDH/ACNUR, 1995,</w:t>
        <w:br/>
        <w:t>pag. 77-168; A.A. Cançado Trindade, "Aproximaciones y Convergencias</w:t>
        <w:br/>
        <w:t>Revisitadas: Diez Años de Interacción entre el Derecho Internacional de los</w:t>
        <w:br/>
        <w:t>Derechos Humanos, el Derecho Internacional de los Refugiados, y el Derecho</w:t>
        <w:br/>
        <w:t>Internacional Humanitario (De Cartagena/1984 a San José/1994 y</w:t>
        <w:br/>
        <w:t>México/2004)", en Memoria del Vigésimo Aniversario de la Declaración de</w:t>
        <w:br/>
        <w:t>Cartagena sobre Refugiados (1984-2004), San José deCosta Rica, ACNUR, 2005,</w:t>
        <w:br/>
        <w:t>pág. 139-191.</w:t>
        <w:br/>
        <w:br/>
        <w:t>[142]. Ibid., pág. 369.</w:t>
        <w:br/>
        <w:br/>
        <w:t>[143]. Actualmente, la cantidad de migrantes supera, ampliamente, al número</w:t>
        <w:br/>
        <w:t>de refugiados (18 millones) y personas desplazadas (25 millones) en el</w:t>
        <w:br/>
        <w:t>mundo. Los cálculos actuales indican que un total de 120.000.000 de</w:t>
        <w:br/>
        <w:t>personas viven en situaciones de vulnerabilidad extrema. Aún así, la gran</w:t>
        <w:br/>
        <w:t>mayoría de los estados no hay ratificado la Convención de Naciones Unidas</w:t>
        <w:br/>
        <w:t>sobre los Derechos de los Trabajadores Migrantes y sus Familias de 1990.</w:t>
        <w:br/>
        <w:t>Esto indica que la mayoría de los estados (o aquellos que los gobiernan</w:t>
        <w:br/>
        <w:t>temporalmente) se preocupan hoy por asegurar flujos libres de capital de</w:t>
        <w:br/>
        <w:t>inversión (para la ganancia rápida), de bienes y servicios, pero no de</w:t>
        <w:br/>
        <w:t>seres humanos; de hecho, no parece que se preocupen en lo más mínimo por la</w:t>
        <w:br/>
        <w:t>gente y las condiciones de vida.  Esto demuestra el mundo deshumanizado en</w:t>
        <w:br/>
        <w:t>el que vivimos.</w:t>
        <w:br/>
        <w:br/>
        <w:t>[144]. Cita encontrada en: Tang Yi Jie y Xavier Le Pichon, La Mort,</w:t>
        <w:br/>
        <w:t>Sanghai/ Paris, Presses Artistiques et Littèraires de Shangai/DDB, 1999.</w:t>
        <w:br/>
        <w:t>pp. 32 y 76.</w:t>
        <w:br/>
        <w:t>50</w:t>
        <w:br/>
        <w:br/>
        <w:t>[145]. En ibid., pág. 149.</w:t>
        <w:br/>
        <w:br/>
        <w:t>[146]. Extraído de las grabaciones y transcripciones de la audiencia</w:t>
        <w:br/>
        <w:t>pública del 29.09.2004, de los archivos de la Corte Interamericana.</w:t>
        <w:br/>
        <w:br/>
        <w:t>[147]. Extraído de las grabaciones y transcripciones de la audiencia</w:t>
        <w:br/>
        <w:t>pública del 29.09.2004, de los archivos de la Corte Interamericana.</w:t>
        <w:br/>
        <w:br/>
        <w:t>[148]. Del 21 de abril de 1989.</w:t>
        <w:br/>
        <w:br/>
        <w:t>[149]. Párrafo 86 (27).</w:t>
        <w:br/>
        <w:br/>
        <w:t>[150]. E. Kübler-Ross, La Rueda de la Vida, 2nd. ed., Madrid, Ed. BSA,</w:t>
        <w:br/>
        <w:t>2000, pág. 385.</w:t>
        <w:br/>
        <w:br/>
        <w:t>[151]. F. Pessoa- Fausto- Tragedia Subjetiva (1ra edición integral),Rio de</w:t>
        <w:br/>
        <w:t>Janeiro, Ed. Nova Fronteira, 2003 (reimpresión), pp.  30, 154 y 184.</w:t>
        <w:br/>
        <w:br/>
        <w:t>[152]. J.L. de León Azcárate, La Muerte y Su Imaginario en la Historia de</w:t>
        <w:br/>
        <w:t>las Religiones, Bilbao, Universidad de Deusto, 2000, pág. 24-25, 37, 50-51</w:t>
        <w:br/>
        <w:t>y 75.</w:t>
        <w:br/>
        <w:br/>
        <w:t>[153]. Ibid., pág. 123 y 130.</w:t>
        <w:br/>
        <w:br/>
        <w:t>[154]. J.P. Carse, Muerte y Existencia - Una Historia Conceptual de la</w:t>
        <w:br/>
        <w:t>Mortalidad Humana, Mexico, Fondo de Cultura Económica, 1987, pág. 85 y 167.</w:t>
        <w:br/>
        <w:br/>
        <w:t>[155]. M. Eliade, El Mito del Eterno Retorno, Madrid/Buenos Aires, Alianza</w:t>
        <w:br/>
        <w:t>Ed./Emecé Ed., 2004, pág. 90-91.</w:t>
        <w:br/>
        <w:br/>
        <w:t>[156]. Ibid., pág. 156.</w:t>
        <w:br/>
        <w:br/>
        <w:t>[157]. Ph. Ariès, Morir en Occidente desde la Edad Media hasta Nuestros</w:t>
        <w:br/>
        <w:t>Días, Buenos Aires, A. Hidalgo Ed., 2000 (reed.), pág. 196-199 y cfr. pág.</w:t>
        <w:br/>
        <w:t>213 y 238.</w:t>
        <w:br/>
        <w:br/>
        <w:t>[158]. Ibid., pág. 251.</w:t>
        <w:br/>
        <w:br/>
        <w:t>[159]. Cfr. [Autores varios ] Diálogo entre Civilizaciones- La Mesa Redonda</w:t>
        <w:br/>
        <w:t>en la Víspera de la Cumbre del Milenio de Naciones Unidas; Paris, UNESCO,</w:t>
        <w:br/>
        <w:t>2001, pág. 84 (intervención de E. Morin).</w:t>
        <w:br/>
        <w:br/>
        <w:t>[160]. J.L. Borges, El Libro de Arena, Madrid, Alianza Edit., 1999</w:t>
        <w:br/>
        <w:t>[reprint], p. 99; and cf. also J.L. Borges, Historia de la Eternidad,</w:t>
        <w:br/>
        <w:t>Madrid, Alianza Edit., 2002 [reprint], pp. 40-44.</w:t>
        <w:br/>
        <w:br/>
        <w:t>[161]. M. Scheler, Muerte y Supervivencia, Madrid, Ed. Encuentro, 2001,</w:t>
        <w:br/>
        <w:t>pág. 11, 16-17, 27 y 47.</w:t>
        <w:br/>
        <w:br/>
        <w:t>[162]. Ibid., pág. 15.</w:t>
        <w:br/>
        <w:br/>
        <w:t>[163]. P.-L. Landsberg, Essai sur l'expérience de la mort, Paris,</w:t>
        <w:br/>
        <w:t>Seuil/Points-Sagesses, 1993 (re-ed.), pag. 36-37 y 40 y cfr. pag. 38-40.</w:t>
        <w:br/>
        <w:br/>
        <w:t>[164]. Cfr. El Libro Tibetano de los Muertos (Bardo-Thödol), (org. E.K.</w:t>
        <w:br/>
        <w:t>Dargyay), Madrid, EDAF, 1997 (reed.), pág. 20-23, 38, 79, 170-171, 179-180</w:t>
        <w:br/>
        <w:t>y 218-219.</w:t>
        <w:br/>
        <w:br/>
        <w:t>[165]. Cfr. El Libro Tibetano de los Muertos (Bardo-Thödol), (org. E.K.</w:t>
        <w:br/>
        <w:t>Dargyay), Madrid, EDAF, 2000 (reed.), pág. 35, 41, 51, 99-100, 118, 125,</w:t>
        <w:br/>
        <w:t>141, 145-147, 151, 156-157 y 163, y cfr. pág. 178-181.</w:t>
        <w:br/>
        <w:br/>
        <w:t>[166]. M. Scheler, Muerte y Supervivencia, op.cit.supra n.(27), pág. 58, 71-</w:t>
        <w:br/>
        <w:t>72, 74-75, 87-88 y 90.</w:t>
        <w:br/>
        <w:br/>
        <w:t>[167]. Ibid., pág. 62.</w:t>
        <w:br/>
        <w:br/>
        <w:t>[168]. M. Vovelle, Mourir autrefois, Paris, Gallimard/Julliard, 1990, pág.</w:t>
        <w:br/>
        <w:t>207 y 223.</w:t>
        <w:br/>
        <w:br/>
        <w:t>[169]. Cfr. A. Bentué, Muerte y Búsquedas de Inmortalidad, Santiago, Edic.</w:t>
        <w:br/>
        <w:t>Universidad Católica de Chile, 2002, pág. 33.</w:t>
        <w:br/>
        <w:br/>
        <w:t>[170]. M. de Hennezel, La mort intime, Paris, R. Laffont, 1995, pág. 105,</w:t>
        <w:br/>
        <w:t>16 y 40.</w:t>
        <w:br/>
        <w:br/>
        <w:t>[171]. Para un llamado por la "purification des mémoires", y un "dialogue</w:t>
        <w:br/>
        <w:t>interreligieux" que consiste en el "accueil des autres dans leurs</w:t>
        <w:br/>
        <w:t>différence", cfr. J. Dupuis, "Le dialogue interreligieux dans une société</w:t>
        <w:br/>
        <w:t>pluraliste", en [Autores varios] Movimientos de Personas e Ideas y</w:t>
        <w:br/>
        <w:t>Multiculturalidad (Forum Deusto), vol. I, Bilbao, Universidad de Deusto,</w:t>
        <w:br/>
        <w:t>2003, pág. 51-52.</w:t>
        <w:br/>
        <w:br/>
        <w:t>[172]. Cfr. Abdu'l-Bahá, Some Answered Questions  (traducido del persa por</w:t>
        <w:br/>
        <w:t>L.C. Barney), Wilmette Ill., Bahá'í Publ. Trust, 2003 [reimpr.], pág. 232.</w:t>
        <w:br/>
        <w:br/>
        <w:t>[173]. Cfr. S. Harker, Wayuu - Cultura del Desierto Colombiano, Bogotá,</w:t>
        <w:br/>
        <w:t>Villegas Ed., 1998, pág. 182-183 y cfr. pág. 184 - 186.</w:t>
        <w:br/>
        <w:br/>
        <w:t>[174]. P. Pérez-Sales, R. Bacic Herzfeld y T. Durán Pérez, Muerte y</w:t>
        <w:br/>
        <w:t>Desaparición Forzada en la Araucanía - Una Aproximación Étnica, Santiago de</w:t>
        <w:br/>
        <w:t>Chile, Ed. Universidad Católica de Temuco, 1998 (reed.), pág. 171.</w:t>
        <w:br/>
        <w:br/>
        <w:t>[175]. Ibid., pág. 182.</w:t>
        <w:br/>
        <w:br/>
        <w:t>[176]. J.L. de León Azcárate, La Muerte y Su Imaginario..., op. cit. supra</w:t>
        <w:br/>
        <w:t>n. (41), pág. 187, 198 y 219.</w:t>
        <w:br/>
        <w:br/>
        <w:t>[177]. A.Y. Gurevitch, "El Tiempo como Problema de Historia Cultural", en</w:t>
        <w:br/>
        <w:t>Las Culturas y el Tiempo, Salamanca/Paris, Ed. Sígueme/UNESCO, 1979, pág.</w:t>
        <w:br/>
        <w:t>264.</w:t>
        <w:br/>
        <w:br/>
        <w:t>[178]. Párrafos 14 y cfr. Párrafos 4-5 .</w:t>
        <w:br/>
        <w:br/>
        <w:t>[179]. Esto es lo que atrevo a resaltar, - recordando lo puntualizado por</w:t>
        <w:br/>
        <w:t>Simone Weil en su libro L'Enracinement (1949), - de mi voto razonado (párr.</w:t>
        <w:br/>
        <w:t>5) en el caso Haitianos y Dominicanos de origen Haitiano en la República</w:t>
        <w:br/>
        <w:t>Dominicana (Medidas Provisionales de la Corte Interamericana de Derechos</w:t>
        <w:br/>
        <w:t>Humanos, del 18 de agosto de 2000).</w:t>
        <w:br/>
        <w:br/>
        <w:t>[180]. Párrafos 15-16.</w:t>
        <w:br/>
        <w:br/>
        <w:t>[181]. B. Py, op. cit. supra n. (8), pág. 94 y 77 y cfr. pág. 7, 38, 47, 77</w:t>
        <w:br/>
        <w:t>y 123.</w:t>
        <w:br/>
        <w:br/>
        <w:t>[182]. Cfr. [Autores varios,] Les droits de l'homme - bien universel ou</w:t>
        <w:br/>
        <w:t>fruit de la culture occidentale? (Colloquy of Chantilly/France, March</w:t>
        <w:br/>
        <w:t>1997), Avignon, Institut R. Schuman pour l'Europe, 1999, pág. 49 y 24.</w:t>
        <w:br/>
        <w:br/>
        <w:t>[183]. Para evocar una imagen más adecuada a la rica cultura maya.</w:t>
        <w:br/>
        <w:br/>
        <w:t>[184]. Párrafo 19 y 28.</w:t>
        <w:br/>
        <w:br/>
        <w:t>[185]. Edgar Morin, O Paradigma Perdido: A Natureza Humana, 6º. ed.,</w:t>
        <w:br/>
        <w:t>Sintra/Mem Martins, Publ. Europa-América, 2000, pág. 93 y 135-137.</w:t>
        <w:br/>
        <w:br/>
        <w:t>[186]. Ibid., pág. 95, y cfr. pág. 165. El conocimiento humano  -  inclusive</w:t>
        <w:br/>
        <w:t>el  científico  -  no  ha  logrado  dar  una  respuesta  a   los   problemas</w:t>
        <w:br/>
        <w:t>transcendentales enfrentados por el ser humano (como el de su  destino);  es</w:t>
        <w:br/>
        <w:t>posible que estemos todavía en el "inicio del conocimiento"; ibid., p. 212</w:t>
        <w:br/>
        <w:t>[187] Para la visión según la cual la unión del género humano  puede</w:t>
        <w:br/>
        <w:t>encontrarse en los lazos entre los vivos y los muertos,  cfr. A.A. Cançado</w:t>
        <w:br/>
        <w:t>Trindade, Tratado de Direito Internacional dos Direitos Humanos, vol. III,</w:t>
        <w:br/>
        <w:t>Porto Alegre/Brazil, S.A. Fabris Ed., 2003, pág. 362-373.</w:t>
        <w:br/>
        <w:br/>
        <w:t>[188]. Párrafo 80(b) a (d).</w:t>
        <w:br/>
        <w:br/>
        <w:t>[189]. Párrafo 80 (e).</w:t>
        <w:br/>
        <w:br/>
        <w:t>[190]. Párrafo 80 (a).</w:t>
        <w:br/>
        <w:br/>
        <w:t>[191]. Párrafo 80 (d).</w:t>
        <w:br/>
        <w:br/>
        <w:t>[192]. H. Grocio, Del Derecho de la Guerra y de la Paz [1625], tomo III</w:t>
        <w:br/>
        <w:t>(libros II y III), Madrid, Edit. Reus, 1925, pág. 39, y cfr. pág. 55.</w:t>
        <w:br/>
        <w:br/>
        <w:t>[193]. Ibid., pág. 43 y 45.</w:t>
        <w:br/>
        <w:br/>
        <w:t>[194]. Ibid., pág. 47 y 49; y cfr. Hugonis Grotii, De Jure Belli ac Pacis</w:t>
        <w:br/>
        <w:t>[1625] (ed. B.M. Telders), La Haya, Nijhoff, 1948, pág. 88 (version</w:t>
        <w:br/>
        <w:t>abreviada).</w:t>
        <w:br/>
        <w:br/>
        <w:t>[195]. Association Internationale Vitoria-Suarez, Vitoria et Suarez -</w:t>
        <w:br/>
        <w:t>Contribution des Théologiens au Droit International Moderne, Paris, Pédone,</w:t>
        <w:br/>
        <w:t>1939, pág. 169-170.</w:t>
        <w:br/>
        <w:br/>
        <w:t>[196]. M.W. Janis (ed.), The Influence of Religion on the Development of</w:t>
        <w:br/>
        <w:t>International Law, Dordrecht, Nijhoff, 1991, pág. 61, y cfr. pág. 62-81.</w:t>
        <w:br/>
        <w:br/>
        <w:t>[197]. Y. Sandoz, C. Swinarski y B. Zimmermann (eds.), Comentario del 8 de</w:t>
        <w:br/>
        <w:t>junio de 1977 sobre los Protocolos Adicionales de las Convenciones de</w:t>
        <w:br/>
        <w:t>Ginebra del 12 de agosto de 1949,  Ginebra, ICRC/Nijhoff, 1987, pág. 369 y</w:t>
        <w:br/>
        <w:t>379.</w:t>
        <w:br/>
        <w:br/>
        <w:t>[198]. Bruno Py, La mort et le droit, Paris, PUF, 1997, pág. 31, 70-71, 79-</w:t>
        <w:br/>
        <w:t>80 y 123.</w:t>
        <w:br/>
        <w:br/>
        <w:t>[199]. N. Alcalá-Zamora y Torres, La Potestad Jurídica sobre el Más Allá de</w:t>
        <w:br/>
        <w:t>la Vida, Buenos Aires, EJEA, 1959, pag. 25-26 y cfr. pag. 22 y 136.</w:t>
        <w:br/>
        <w:br/>
        <w:t>[200]. G. Radbruch, Introducción a la Filosofía del Derecho, 3rd. ed.,</w:t>
        <w:br/>
        <w:t>Mexico/Buenos Aires, Fondo de Cultura Económica, 1965, pág. 153-154.</w:t>
        <w:br/>
        <w:br/>
        <w:t>[201]. Párrafo 80(b),  (c) y (d).</w:t>
        <w:br/>
        <w:br/>
        <w:t>[202]. Párrafo 80(a) y (d).</w:t>
        <w:br/>
        <w:br/>
        <w:t>[203]. Párrafos 80 (e) y 83 (9).</w:t>
        <w:br/>
        <w:br/>
        <w:t>[204]. Cfr., por ejemplo, [Autores varios,] Life after Death in World</w:t>
        <w:br/>
        <w:t>Religions, Maryknoll N.Y., Orbis, 1997, pág. 1-124.</w:t>
        <w:br/>
        <w:br/>
        <w:t>[205]. Juan Pablo II, Memoria e Identidad - Conversaciones al Filo de Dos</w:t>
        <w:br/>
        <w:t>Milenios, Buenos Aires, Ed. Planeta, 2005, pág. 95, 109, 131 y 183.</w:t>
        <w:br/>
        <w:br/>
        <w:t>[206]. Ibid., pág. 176-177.</w:t>
        <w:br/>
        <w:br/>
        <w:t>[207]. Ibid., pág. 109 y cfr. pág. 28, 169-170 y 176-177.</w:t>
        <w:br/>
        <w:br/>
        <w:t>[208]. Ibid., pág. 177.</w:t>
        <w:br/>
        <w:br/>
        <w:t>[209]. Para un estudio,  cfr. A.A. Cançado Trindade, Tratado de Direito</w:t>
        <w:br/>
        <w:t>Internacional dos Direitos Humanos, vol. II, Porto Alegre/Brazil, S.A.</w:t>
        <w:br/>
        <w:t>Fabris Ed., 1999, pág. 400-403 y fuentes allí referidas.</w:t>
        <w:br/>
        <w:br/>
        <w:t>[210]. Cfr. Testimonio contra el Olvido - Reseña de la Infamia y el Terror</w:t>
        <w:br/>
        <w:t>(Paraguay 1954-1989), Asunción, Comité de Iglesias para Ayudas de</w:t>
        <w:br/>
        <w:t>Emergencia, 1999, pág. 7-37, esp. pág. 15.</w:t>
        <w:br/>
        <w:br/>
        <w:t>[211]. Párrafo 86 (39) y (40).</w:t>
        <w:br/>
        <w:br/>
        <w:t>[212]. P. Ricoeur, La mémoire, l'histoire, l'oubli, Paris, Ed. Seuil, 2000,</w:t>
        <w:br/>
        <w:t>pág. 374-375.</w:t>
        <w:br/>
        <w:br/>
        <w:t>[213]. Ibid., p. 610.</w:t>
        <w:br/>
        <w:br/>
        <w:t>[214]. Ibid., pág. 611-612.</w:t>
        <w:br/>
        <w:br/>
        <w:t>[215]. P. Ricoeur, "Esquisse d'un parcours de l'oubli", en Devoir de</w:t>
        <w:br/>
        <w:t>mémoire, droit à l'oubli? (ed. Th. Ferenczi), Bruxelles, Éditions Complexe,</w:t>
        <w:br/>
        <w:t>2002, pág. 26-27 y 30-31.</w:t>
        <w:br/>
        <w:br/>
        <w:t>[216]. A. Wieviorka, "Entre transparence et oubli", en Devoir de</w:t>
        <w:br/>
        <w:t>mémoire..., op. cit. supra n. (104), pág. 182-183.</w:t>
        <w:br/>
        <w:br/>
        <w:t>[217]. N. Weill, "Y a-t-il un bon usage de la mémoire?", en Devoir de</w:t>
        <w:br/>
        <w:t>mémoire..., op. cit. supra n. (104), pág. 227.</w:t>
        <w:br/>
        <w:t>[218]. Puntos del decisorio nº. 1-8.</w:t>
        <w:br/>
        <w:br/>
        <w:t>[219]. Cfr., por ejemplo, I. Bottigliero, Redress for Victims of Crimes</w:t>
        <w:br/>
        <w:t>under International Law [Reparación de Víctimas de Delitos conforme al</w:t>
        <w:br/>
        <w:t>Derecho Internacional] Leiden, Nijhoff, 2004, pág. 111 y 144 y cfr. pág.</w:t>
        <w:br/>
        <w:t>176-177 y 183.</w:t>
        <w:br/>
        <w:br/>
        <w:t>[220]. N. Wachtel, "Mémoire marrane", en  Devoir  de  mémoire...,  op.  cit.</w:t>
        <w:br/>
        <w:t>supra n. (104), pág. 128.</w:t>
        <w:br/>
        <w:t>[221] En el caso del artículo 5, además de la falta de investigación de  las</w:t>
        <w:br/>
        <w:t>violaciones a la integridad producidas en el  hecho  mismo  de  la  masacre,</w:t>
        <w:br/>
        <w:t>había otras alegaciones de violaciones referidas a hechos  sobrevivientes  a</w:t>
        <w:br/>
        <w:t>la masacre, respecto de las cuales la Corte sí se pronunció (ver  párrs.  90</w:t>
        <w:br/>
        <w:t>a 103)</w:t>
        <w:br/>
        <w:br/>
        <w:t>[222]       Ibídem, párr. 167.</w:t>
        <w:br/>
        <w:br/>
        <w:t>[223]       Cfr. Caso Velásquez Rodríguez.  Sentencia  de  29  de  julio  de</w:t>
        <w:br/>
        <w:t>1988. Serie C No. 4, párrs. 166  a 177.</w:t>
        <w:br/>
        <w:br/>
        <w:t>[224]       Cfr. Caso Velásquez Rodríguez, supra nota 3, párr. 162.</w:t>
        <w:br/>
        <w:br/>
        <w:t>[225]       Cfr. Caso Tibi. Sentencia de 7 de septiembre de  2004.  Serie  C</w:t>
        <w:br/>
        <w:t>No. 114, párr. 159.</w:t>
        <w:br/>
        <w:br/>
        <w:t>[226]       Cfr. Caso Myrna Mack Chang. Sentencia  de  25  de  noviembre  de</w:t>
        <w:br/>
        <w:t>2003. Serie C No. 101, párr. 131.</w:t>
        <w:br/>
        <w:br/>
        <w:t>[227]       Cfr. Caso de los Hermanos Gómez Paquiyauri. Sentencia  de  8  de</w:t>
        <w:br/>
        <w:t>julio de 2004. Serie C No. 110, párr. 131.</w:t>
        <w:br/>
        <w:br/>
        <w:t>[228]       Cfr. Caso Cantoral Benavides.  Sentencia  de  18  de  agosto  de</w:t>
        <w:br/>
        <w:t>2000. Serie C No. 69, punto resolutivo 10.</w:t>
        <w:br/>
        <w:br/>
        <w:t>[229]       Cfr. Caso Caballero Delgado. Sentencia  de  8  de  diciembre  de</w:t>
        <w:br/>
        <w:t>1995. Serie C No. 22, párr. 56.</w:t>
        <w:br/>
        <w:br/>
        <w:t>[230]       Cfr. Caso Baena Ricardo y Otros. Sentencia de 2  de  febrero  de</w:t>
        <w:br/>
        <w:t>2001. Serie C No. 72, punto resolutivo 5.</w:t>
        <w:br/>
        <w:br/>
        <w:t>[231]       Cfr. Caso Juan Humberto Sánchez. Sentencia  de  7  de  junio  de</w:t>
        <w:br/>
        <w:t>2003. Serie C No. 99, párr. 145.</w:t>
        <w:br/>
        <w:br/>
        <w:t>[232]       Cfr. Caso Bámaca Velásquez. Sentencia  de  25  de  noviembre  de</w:t>
        <w:br/>
        <w:t>2000. Serie C No. 70, párr. 213. Ver también puntos resolutivos 6 y 8.</w:t>
        <w:br/>
        <w:br/>
        <w:t>[233]       Cfr. Caso Suárez Rosero. Sentencia de 12 de noviembre  de  1997.</w:t>
        <w:br/>
        <w:t>Serie C No. 35,  párr. 99.</w:t>
        <w:br/>
        <w:br/>
        <w:t>[234]       Cfr. Caso “Instituto de Reeducación del Menor”. Sentencia  de  2</w:t>
        <w:br/>
        <w:t>de septiembre de 2004. Serie C No. 112, párr. 176.  Ver,  además,  el  punto</w:t>
        <w:br/>
        <w:t>resolutivo 4 de la sentencia.</w:t>
        <w:br/>
        <w:br/>
        <w:t>[235]       La Corte se había enfrentado a un problema parecido en  el  caso</w:t>
        <w:br/>
        <w:t>de las Hermanas Serrano Cruz, pero allí existía un obstáculo que le  impedía</w:t>
        <w:br/>
        <w:t>declarar subsistente la obligación de  investigar  porque  el  Estado  había</w:t>
        <w:br/>
        <w:t>reconocido la competencia de la Corte con  la  reserva  expresa  de  que  la</w:t>
        <w:br/>
        <w:t>Corte podía examinar sola y exclusivamente  los  hechos  o  actos  jurídicos</w:t>
        <w:br/>
        <w:t>posteriores a la fecha de depósito de la declaración  de  aceptación  de  la</w:t>
        <w:br/>
        <w:t>competencia o los hechos o  actos  jurídicos  cuyo  principio  de  ejecución</w:t>
        <w:br/>
        <w:t>fueran posteriores a esa misma fecha  (Ver  Caso  de  las  Hermanas  Serrano</w:t>
        <w:br/>
        <w:t>Cruz. Sentencia de 23 de noviembre de 2004. Serie C No.  118,  párrs.  57  a</w:t>
        <w:br/>
        <w:t>96).</w:t>
        <w:br/>
        <w:br/>
        <w:t>[236] Ver párrs 37 a 43.</w:t>
        <w:br/>
        <w:br/>
        <w:t>[237] Ver párr. 40.</w:t>
        <w:br/>
        <w:br/>
        <w:t>[238] En este mismo sentido, la Corte señaló, en el caso Tibi, que  “[d]esde</w:t>
        <w:br/>
        <w:t>que entró en vigor en  el  Ecuador  la  referida  Convención  Interamericana</w:t>
        <w:br/>
        <w:t>contra la Tortura (9 de  diciembre  de  1999),  es  exigible  al  Estado  el</w:t>
        <w:br/>
        <w:t>cumplimiento de las obligaciones contenidas en  dicho  tratado.  (Cfr.  Caso</w:t>
        <w:br/>
        <w:t>Tibi, supra nota 5, párr. 159)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