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    Caso Yatama Vs. Nicaragua</w:t>
        <w:br/>
        <w:br/>
        <w:br/>
        <w:t xml:space="preserve">                      Sentencia de 23 de Junio de 2005</w:t>
        <w:br/>
        <w:t xml:space="preserve">          (Excepciones Preliminares, Fondo, Reparaciones y Costas)</w:t>
        <w:br/>
        <w:br/>
        <w:br/>
        <w:t>En el caso YATAMA,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Juez; y</w:t>
        <w:br/>
        <w:t xml:space="preserve">      Alejandro Montiel Argüello,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37, 56, 57 y 58  del  Reglamento  de</w:t>
        <w:br/>
        <w:t>la Corte (en adelante “el Reglamento”)[1], dicta la presente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17 de junio de  2003,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 Corte  una  demanda  contra  el  Estado  de  Nicaragua  (en</w:t>
        <w:br/>
        <w:t>adelante “el Estado” o “Nicaragua”), la cual se originó en la  denuncia  No.</w:t>
        <w:br/>
        <w:t>12.388, recibida en la Secretaría de la Comisión el 26 de abril de 2001.</w:t>
        <w:br/>
        <w:br/>
        <w:t>2.    La Comisión presentó la demanda con el fin de que la  Corte  decidiera</w:t>
        <w:br/>
        <w:t>si el Estado violó los artículos  8  (Garantías  Judiciales),  23  (Derechos</w:t>
        <w:br/>
        <w:t>Políticos) y 25 (Protección Judicial)  de  la  Convención  Americana,  todos</w:t>
        <w:br/>
        <w:t>ellos en  relación  con  los  artículos  1.1  (Obligación  de  Respetar  los</w:t>
        <w:br/>
        <w:t>Derechos) y 2 (Deber de Adoptar Disposiciones de Derecho Interno)  de  dicho</w:t>
        <w:br/>
        <w:t>tratado,  en  perjuicio  de  los  candidatos  a  alcaldes,  vicealcaldes   y</w:t>
        <w:br/>
        <w:t>concejales presentados por  el  partido  político  regional  indígena  Yapti</w:t>
        <w:br/>
        <w:t>Tasba Masraka Nanih Asla Takanka (en adelante “YATAMA”).  Según  lo  alegado</w:t>
        <w:br/>
        <w:t>por la Comisión, dichas personas  fueron  excluidas  de  participar  en  las</w:t>
        <w:br/>
        <w:t>elecciones municipales realizadas el 5 de noviembre de 2000 en las  Regiones</w:t>
        <w:br/>
        <w:t>Autónomas del Atlántico Norte y del Atlántico Sur (en adelante “la  RAAN”  y</w:t>
        <w:br/>
        <w:t>“la RAAS”), como consecuencia de la resolución emitida el 15  de  agosto  de</w:t>
        <w:br/>
        <w:t>2000 por el Consejo Supremo Electoral.  En la  demanda  se  indicó  que  las</w:t>
        <w:br/>
        <w:t>presuntas víctimas presentaron diversos recursos contra dicha resolución  y,</w:t>
        <w:br/>
        <w:t>finalmente, el 25 de octubre  de  2000  la  Corte  Suprema  de  Justicia  de</w:t>
        <w:br/>
        <w:t>Nicaragua declaró improcedente un recurso de amparo interpuesto  por  éstos.</w:t>
        <w:br/>
        <w:t>La Comisión señaló que el Estado no previó un recurso que hubiese  permitido</w:t>
        <w:br/>
        <w:t>amparar el derecho de dichos candidatos de participar y ser elegidos en  las</w:t>
        <w:br/>
        <w:t>elecciones municipales de 5  de  noviembre  de  2000,  como  tampoco  adoptó</w:t>
        <w:br/>
        <w:t>medidas legislativas o de otro carácter que  fuesen  necesarias  para  hacer</w:t>
        <w:br/>
        <w:t>efectivos  tales  derechos,  especialmente  no  previó  “normas  en  la  ley</w:t>
        <w:br/>
        <w:t>electoral,  en  orden  a  facilitar  la  participación   política   de   las</w:t>
        <w:br/>
        <w:t>organizaciones indígenas en los procesos electorales de la  Región  Autónoma</w:t>
        <w:br/>
        <w:t>de la Costa Atlántica de Nicaragua, de acuerdo al  derecho  consuetudinario,</w:t>
        <w:br/>
        <w:t>los valores, usos y costumbres de los pueblos indígenas que la habitan”.</w:t>
        <w:br/>
        <w:br/>
        <w:t>3.    Asimismo, la Comisión solicitó a la Corte que, de conformidad  con  el</w:t>
        <w:br/>
        <w:t>artículo 63.1 de la Convención, ordenara al Estado que  adopte  determinadas</w:t>
        <w:br/>
        <w:t>medidas de reparación indicadas en la  demanda.   Por  último,  solicitó  al</w:t>
        <w:br/>
        <w:t>Tribunal que ordenara al Estado el pago de las costas y gastos generados  en</w:t>
        <w:br/>
        <w:t>la tramitación del caso en la jurisdicción interna y ante  los  órganos  del</w:t>
        <w:br/>
        <w:t>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 para conocer el presente caso, en los  términos</w:t>
        <w:br/>
        <w:t>de los artículos 62 y 63.1 de la Convención, en razón de  que  Nicaragua  es</w:t>
        <w:br/>
        <w:t>Estado Parte en la Convención Americana desde el 25 de septiembre de 1979  y</w:t>
        <w:br/>
        <w:t>reconoció la competencia contenciosa de la Corte el 12 de febrero de 1991.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5.    El 26 de abril de 2001 la organización YATAMA, el Centro  Nicaragüense</w:t>
        <w:br/>
        <w:t>de Derechos Humanos (en adelante “CENIDH”) y el Centro por la Justicia y  el</w:t>
        <w:br/>
        <w:t>Derecho Internacional (en adelante “CEJIL”) presentaron  una  denuncia  ante</w:t>
        <w:br/>
        <w:t>la Comisión.</w:t>
        <w:br/>
        <w:br/>
        <w:t>6.    El 3 de diciembre de 2001 la Comisión aprobó  el  Informe  Nº  125/01,</w:t>
        <w:br/>
        <w:t>mediante el cual declaró admisible el caso.  Ese mismo día, la  Comisión  se</w:t>
        <w:br/>
        <w:t>puso a disposición de las partes con el  objeto  de  alcanzar  una  solución</w:t>
        <w:br/>
        <w:t>amistosa.</w:t>
        <w:br/>
        <w:br/>
        <w:t>7.    El 4 de marzo de 2003 la Comisión, de conformidad con el  artículo  50</w:t>
        <w:br/>
        <w:t>de la Convención, aprobó el Informe Nº 24/03, mediante el cual recomendó  al</w:t>
        <w:br/>
        <w:t>Estado:</w:t>
        <w:br/>
        <w:br/>
        <w:t xml:space="preserve">    1.     Adoptar en su derecho interno, de conformidad con el artículo  2</w:t>
        <w:br/>
        <w:t xml:space="preserve">    de la Convención Americana, las medidas legislativas, administrativas y</w:t>
        <w:br/>
        <w:t xml:space="preserve">    de cualquier otro carácter que sean necesarias para  crear  un  recurso</w:t>
        <w:br/>
        <w:t xml:space="preserve">    efectivo y sencillo de impugnación  de  las  resoluciones  del  Consejo</w:t>
        <w:br/>
        <w:t xml:space="preserve">    Supremo Electoral, sin limitaciones respecto a la materia recurrida.</w:t>
        <w:br/>
        <w:br/>
        <w:br/>
        <w:t xml:space="preserve">    2.     Adoptar en el derecho interno, de conformidad con el artículo  2</w:t>
        <w:br/>
        <w:t xml:space="preserve">    de la Convención Americana, las medidas legislativas, administrativas y</w:t>
        <w:br/>
        <w:t xml:space="preserve">    de  cualquier  otro  carácter  que  sean  necesarias  para  promover  y</w:t>
        <w:br/>
        <w:t xml:space="preserve">    facilitar la participación electoral de los  pueblos  indígenas  y  sus</w:t>
        <w:br/>
        <w:t xml:space="preserve">    organizaciones    representativas,    consultándolos,    tomando     en</w:t>
        <w:br/>
        <w:t xml:space="preserve">    consideración y respetando el  derecho  consuetudinario,  los  valores,</w:t>
        <w:br/>
        <w:t xml:space="preserve">    usos y costumbres de los pueblos indígenas que habitan en las  Regiones</w:t>
        <w:br/>
        <w:t xml:space="preserve">    Autónomas de la Costa Atlántica de Nicaragua.</w:t>
        <w:br/>
        <w:br/>
        <w:br/>
        <w:t xml:space="preserve">    3.     Indemnizar a las víctimas.</w:t>
        <w:br/>
        <w:br/>
        <w:br/>
        <w:t xml:space="preserve">    4.     Adoptar las medidas necesarias para evitar que en el  futuro  se</w:t>
        <w:br/>
        <w:t xml:space="preserve">    produzcan hechos similares, conforme al deber de prevención y  garantía</w:t>
        <w:br/>
        <w:t xml:space="preserve">    de los derechos fundamentales reconocidos en la Convención Americana.</w:t>
        <w:br/>
        <w:br/>
        <w:t>8.    El 19 de marzo de 2003 la Comisión transmitió el referido  informe  al</w:t>
        <w:br/>
        <w:t>Estado y le otorgó un plazo de dos meses, contado a partir de  la  fecha  de</w:t>
        <w:br/>
        <w:t>su transmisión, para que informara sobre las medidas adoptadas  con  el  fin</w:t>
        <w:br/>
        <w:t>de cumplir las recomendaciones formuladas.</w:t>
        <w:br/>
        <w:br/>
        <w:t>9.    El 19 de marzo de 2003 la Comisión comunicó  a  los  peticionarios  la</w:t>
        <w:br/>
        <w:t>aprobación del informe de conformidad con el artículo 50  de  la  Convención</w:t>
        <w:br/>
        <w:t>Americana de Derechos Humanos y les solicitó  que  presentaran,  dentro  del</w:t>
        <w:br/>
        <w:t>plazo de dos meses, su posición sobre el sometimiento del caso a la Corte.</w:t>
        <w:br/>
        <w:br/>
        <w:t>10.   El 2 de mayo de 2003 YATAMA, CENIDH y CEJIL presentaron un escrito  en</w:t>
        <w:br/>
        <w:t>el que solicitaron a la Comisión que, en el supuesto de  que  el  Estado  no</w:t>
        <w:br/>
        <w:t>cumpliera con las recomendaciones formuladas en  su  informe,  sometiera  el</w:t>
        <w:br/>
        <w:t>caso a la Corte.</w:t>
        <w:br/>
        <w:br/>
        <w:t>11.   El 11 de junio de 2003 el Estado remitió a la Comisión su respuesta  a</w:t>
        <w:br/>
        <w:t>las recomendaciones del informe de fondo Nº 24/03.</w:t>
        <w:br/>
        <w:br/>
        <w:t>12.   El 12 de junio de 2003, después de analizar la respuesta  del  Estado,</w:t>
        <w:br/>
        <w:t>la Comisión decidió someter el caso a la 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13.   El 17 de junio de 2003 la Comisión Interamericana presentó la  demanda</w:t>
        <w:br/>
        <w:t>ante la Corte (supra párr.  1),  a  la  cual  adjuntó  prueba  documental  y</w:t>
        <w:br/>
        <w:t>ofreció prueba testimonial y pericial.  La Comisión designó  como  delegados</w:t>
        <w:br/>
        <w:t>a la señora Susana Villarán y al señor Santiago A. Canton, y  como  asesores</w:t>
        <w:br/>
        <w:t>legales a la señora Isabel Madariaga y al señor Ariel Dulitzky.</w:t>
        <w:br/>
        <w:br/>
        <w:t>14.   El 21 de agosto de 2003 la Secretaría de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los anexos a los representantes de las presuntas víctimas (en adelante  “los</w:t>
        <w:br/>
        <w:t>representantes”) y al Estado.  A este último también le  informó  sobre  los</w:t>
        <w:br/>
        <w:t>plazos para contestarla y designar su representación  en  el  proceso.   Ese</w:t>
        <w:br/>
        <w:t>mismo día la Secretaría, siguiendo instrucciones del Presidente, informó  al</w:t>
        <w:br/>
        <w:t>Estado de su derecho a designar  un  juez  ad  hoc  que  participara  en  la</w:t>
        <w:br/>
        <w:t>consideración del caso.</w:t>
        <w:br/>
        <w:br/>
        <w:t>15.   El 2 de septiembre de 2003 el Estado  designó  como  Agente  al  señor</w:t>
        <w:br/>
        <w:t>José Antonio  Tijerino  Medrano,  como  asesor  al  señor  Carlos  Hernández</w:t>
        <w:br/>
        <w:t>Palacios y como asistente a la señora María Cecilia Contreras  Benavides[2],</w:t>
        <w:br/>
        <w:t>e informó que había designado como Juez ad hoc al  señor  Alejandro  Montiel</w:t>
        <w:br/>
        <w:t>Argüello.</w:t>
        <w:br/>
        <w:br/>
        <w:t>16.   El 14 de  noviembre  de  2003  los  representantes  de  las  presuntas</w:t>
        <w:br/>
        <w:t>víctimas  remitieron  su  escrito  de  solicitudes  y  argumentos,  al  cual</w:t>
        <w:br/>
        <w:t>acompañaron prueba documental y ofrecieron prueba testimonial y pericial.</w:t>
        <w:br/>
        <w:br/>
        <w:t>17.   El 14 de noviembre  de  2003  el  Wisconsin  Coordinating  Council  on</w:t>
        <w:br/>
        <w:t>Nicaragua, con sede en Wisconsin (Estados Unidos), presentó a  la  Corte  un</w:t>
        <w:br/>
        <w:t>escrito en calidad de amicus curiae.</w:t>
        <w:br/>
        <w:br/>
        <w:t>18.    El  17  de  diciembre  de  2003  el  Estado   presentó   escrito   de</w:t>
        <w:br/>
        <w:t>interposición de excepciones preliminares,  contestación  de  la  demanda  y</w:t>
        <w:br/>
        <w:t>observaciones al escrito  de  solicitudes  y  argumentos,  al  cual  adjuntó</w:t>
        <w:br/>
        <w:t>prueba documental y ofreció prueba pericial.</w:t>
        <w:br/>
        <w:br/>
        <w:t>19.   El 3 de febrero de 2004 los representantes  presentaron  sus  alegatos</w:t>
        <w:br/>
        <w:t>escritos sobre las excepciones preliminares interpuestas por el Estado.</w:t>
        <w:br/>
        <w:br/>
        <w:t>20.   El 11 de febrero de 2004 la Comisión  remitió  sus  alegatos  escritos</w:t>
        <w:br/>
        <w:t>sobre las excepciones preliminares interpuestas por el Estado.</w:t>
        <w:br/>
        <w:br/>
        <w:t>21.   El 27 de febrero de 2004 el Estado  remitió  un  escrito,  en  el  que</w:t>
        <w:br/>
        <w:t>expuso consideraciones respecto de las observaciones que los  representantes</w:t>
        <w:br/>
        <w:t>y la Comisión formularon  sobre  las  excepciones  preliminares,  y  adjuntó</w:t>
        <w:br/>
        <w:t>diversos documentos.</w:t>
        <w:br/>
        <w:br/>
        <w:t>22.   El 12 de mayo de 2004  la  Secretaría  informó  al  Estado,  siguiendo</w:t>
        <w:br/>
        <w:t>instrucciones del Presidente, que se había resuelto no aceptar  el  anterior</w:t>
        <w:br/>
        <w:t>escrito por  tratarse  de  un  acto  procesal  escrito  no  previsto  en  el</w:t>
        <w:br/>
        <w:t>Reglamento de la Corte y que, al emitir  la  sentencia  correspondiente,  la</w:t>
        <w:br/>
        <w:t>Corte resolvería sobre la procedencia de incorporar como  prueba  documental</w:t>
        <w:br/>
        <w:t>superveniente los tres documentos presentados por el Estado como  anexos  al</w:t>
        <w:br/>
        <w:t>escrito de 27 de  febrero  de  2004.   Asimismo,  la  Secretaría,  siguiendo</w:t>
        <w:br/>
        <w:t>instrucciones del Presidente, solicitó al  Estado  que  remitiera  la  lista</w:t>
        <w:br/>
        <w:t>final  oficial  de  candidatos  a  alcaldes,   vicealcaldes   y   concejales</w:t>
        <w:br/>
        <w:t>presentados por el partido político YATAMA en la RAAN y por la  Alianza  del</w:t>
        <w:br/>
        <w:t>Partido de Pueblos  Costeños  y  YATAMA  en  la  RAAS  para  las  elecciones</w:t>
        <w:br/>
        <w:t>municipales de noviembre de 2000.</w:t>
        <w:br/>
        <w:br/>
        <w:t>23.   El 4 de agosto de 2004 el  Estado  presentó  un  oficio  del  Director</w:t>
        <w:br/>
        <w:t>General  de  Organización  y  Logística  Electoral   del   Consejo   Supremo</w:t>
        <w:br/>
        <w:t>Electoral, mediante  el  cual  se  informa  que  “la  Organización  Política</w:t>
        <w:br/>
        <w:t>YATAMA, no llegó siquiera al  acto  de  presentación  de  candidatos  ni  el</w:t>
        <w:br/>
        <w:t>Consejo  Supremo  Electoral  ha  realizado  calificación  alguna  sobre   el</w:t>
        <w:br/>
        <w:t>cumplimiento de los  requisitos  de  la  Ley  Electoral,  por  cuanto  dicha</w:t>
        <w:br/>
        <w:t>Organización de previo,  no  cumplió  el  requisito  del  3%  de  firmas  de</w:t>
        <w:br/>
        <w:t>respaldo, ni los 6  meses  de  formación  previo  a  la  Elección,  todo  de</w:t>
        <w:br/>
        <w:t>conformidad con la Ley”. El agente del Estado expresó que de esa  “forma  se</w:t>
        <w:br/>
        <w:t>da[ba] cumplimiento a lo ordenado por la Corte  Interamericana  de  Derechos</w:t>
        <w:br/>
        <w:t>Humanos en comunicación del 12 de mayo del año en curso” (supra párr. 22).</w:t>
        <w:br/>
        <w:br/>
        <w:t>24.   El 9 de diciembre de 2004 la Secretaría, siguiendo  instrucciones  del</w:t>
        <w:br/>
        <w:t>pleno de la Corte, solicitó al Estado su cooperación para  el  envío  de  la</w:t>
        <w:br/>
        <w:t>referida   lista   final   de   candidatos   (supra   párrs.   22   y   23),</w:t>
        <w:br/>
        <w:t>independientemente de que el partido YATAMA no hubiera  participado  en  las</w:t>
        <w:br/>
        <w:t>referidas elecciones porque se estimara que no cumplía  con  los  requisitos</w:t>
        <w:br/>
        <w:t>legales y de que los candidatos propuestos no hubieran sido inscritos.</w:t>
        <w:br/>
        <w:br/>
        <w:t>25.   El 14 y 17 de enero de 2005  la  Secretaría,  siguiendo  instrucciones</w:t>
        <w:br/>
        <w:t>del Presidente, solicitó a los representantes y al Estado,  respectivamente,</w:t>
        <w:br/>
        <w:t>que  remitieran,  a  más  tardar  el  24  de  enero  del  mismo   año,   las</w:t>
        <w:br/>
        <w:t>observaciones que estimaran pertinentes sobre la solicitud realizada por  la</w:t>
        <w:br/>
        <w:t>Comisión en la demanda de que la Corte incorporara la  prueba  pericial  del</w:t>
        <w:br/>
        <w:t>caso de la Comunidad Mayagna (Sumo) Awas Tingni,  “ordenando  se  tenga  por</w:t>
        <w:br/>
        <w:t>reproducida las referencias a la historia, situación y organización  de  los</w:t>
        <w:br/>
        <w:t>pueblos indígenas de la Costa Atlántica de Nicaragua”.</w:t>
        <w:br/>
        <w:br/>
        <w:t>26.   El 21 de enero de 2005 el Estado  presentó  un  escrito,  mediante  el</w:t>
        <w:br/>
        <w:t>cual expresó su oposición a que se accediera a la solicitud de  la  Comisión</w:t>
        <w:br/>
        <w:t>respecto de la incorporación de la prueba pericial del caso de la  Comunidad</w:t>
        <w:br/>
        <w:t>Mayagna (Sumo) Awas Tingni (supra párr. 25).  El 25 de  enero  de  2005  los</w:t>
        <w:br/>
        <w:t>representantes  remitieron  a  la  Corte  un  escrito   mediante   el   cual</w:t>
        <w:br/>
        <w:t>manifestaron su apoyo a la referida solicitud de la  Comisión  (supra  párr.</w:t>
        <w:br/>
        <w:t>25).</w:t>
        <w:br/>
        <w:br/>
        <w:t>27.   El 25 de enero de 2005 el Estado presentó un escrito, al cual  adjuntó</w:t>
        <w:br/>
        <w:t>una lista del  Consejo  Supremo  Electoral  relacionada  con  los  alcaldes,</w:t>
        <w:br/>
        <w:t>vicealcaldes y concejales electos en los  comicios  electorales  municipales</w:t>
        <w:br/>
        <w:t>de  7  de  noviembre   de   2004,   como   prueba   documental   “originada,</w:t>
        <w:br/>
        <w:t>recientemente, en relación  con  el  proceso  electoral  de  municipalidades</w:t>
        <w:br/>
        <w:t>efectuado en Nicaragua”.</w:t>
        <w:br/>
        <w:br/>
        <w:t>28.   El 28 de enero de 2005 el Presidente dictó  una  Resolución,  mediante</w:t>
        <w:br/>
        <w:t>la cual requirió que los señores Centuriano Knight Andrews, Nancy  Elizabeth</w:t>
        <w:br/>
        <w:t>Henríquez James y Eklan  James  Molina,  propuestos  como  testigos  por  la</w:t>
        <w:br/>
        <w:t>Comisión y por los representantes, así como las señoras Hazel Law  Blanco  y</w:t>
        <w:br/>
        <w:t>Cristina Póveda Montiel, propuestas como testigos  por  los  representantes,</w:t>
        <w:br/>
        <w:t>prestaran sus testimonios a través de declaraciones rendidas ante  fedatario</w:t>
        <w:br/>
        <w:t>público (affidávits).  También requirió que la  señora  María  Luisa  Acosta</w:t>
        <w:br/>
        <w:t>Castellón, propuesta como perito por la Comisión, el señor Manuel  Alcántara</w:t>
        <w:br/>
        <w:t>Sáez, propuesto como perito por los representantes, y los  señores  Mauricio</w:t>
        <w:br/>
        <w:t>Carrión Matamoros y Lydia de Jesús Chamorro Zamora, propuestos como  peritos</w:t>
        <w:br/>
        <w:t>por el Estado, prestaran sus dictámenes a través de  declaraciones  rendidas</w:t>
        <w:br/>
        <w:t>ante fedatario público  (affidávits).   Asimismo,  en  dicha  Resolución  el</w:t>
        <w:br/>
        <w:t>Presidente convocó a las partes a una audiencia pública  que  se  celebraría</w:t>
        <w:br/>
        <w:t>en la sede de la Corte Interamericana, a partir del  9  de  marzo  de  2005,</w:t>
        <w:br/>
        <w:t>para  escuchar  sus  alegatos   finales   orales   sobre   las   excepciones</w:t>
        <w:br/>
        <w:t>preliminares y eventuales fondo, reparaciones y costas, y las  declaraciones</w:t>
        <w:br/>
        <w:t>testimoniales de Jorge Teytom Fedrick,  Brooklyn  Rivera  Bryan,  propuestos</w:t>
        <w:br/>
        <w:t>por la Comisión Interamericana y hechos suyos por  los  representantes,  las</w:t>
        <w:br/>
        <w:t>declaraciones testimoniales de John Alex Delio Bans y  Anicia  Matamoros  de</w:t>
        <w:br/>
        <w:t>Marly propuestos por los representantes, así como los dictámenes  del  señor</w:t>
        <w:br/>
        <w:t>Robert Andrés Courtney Cerda, propuesto como perito por la Comisión,  de  la</w:t>
        <w:br/>
        <w:t>señora  María  Dolores  Alvarez  Arzate,  propuesta  como  perito  por   los</w:t>
        <w:br/>
        <w:t>representantes y de los señores Carlos  Antonio  Hurtado  Cabrera  y  Marvin</w:t>
        <w:br/>
        <w:t>Saúl Castellón Torrez, propuestos como peritos por el  Estado.   Además,  en</w:t>
        <w:br/>
        <w:t>esta Resolución el Presidente informó a las partes que  contaban  con  plazo</w:t>
        <w:br/>
        <w:t>hasta el 11 de abril de 2005 para presentar sus  alegatos  finales  escritos</w:t>
        <w:br/>
        <w:t>en  relación  con  las  excepciones   preliminares   y   eventuales   fondo,</w:t>
        <w:br/>
        <w:t>reparaciones y costas.</w:t>
        <w:br/>
        <w:br/>
        <w:t>29.   El 8 de febrero de 2005 el Estado remitió  las  declaraciones  juradas</w:t>
        <w:br/>
        <w:t>escritas rendidas  ante  fedatario  público  (affidávits)  por  dos  peritos</w:t>
        <w:br/>
        <w:t>(supra párr. 28).</w:t>
        <w:br/>
        <w:br/>
        <w:t>30.   El 15 de  febrero  de  2005  la  Comisión  Interamericana  remitió  la</w:t>
        <w:br/>
        <w:t>declaración jurada rendida por una testigo, así como la  declaración  jurada</w:t>
        <w:br/>
        <w:t>escrita rendida ante fedatario público (affidávit)  por  una  perito  (supra</w:t>
        <w:br/>
        <w:t>párr.  28).   En  la  misma  fecha  los   representantes   presentaron   las</w:t>
        <w:br/>
        <w:t>declaraciones juradas escritas rendidas ante fedatario público  (affidávits)</w:t>
        <w:br/>
        <w:t>por tres testigos, y  la  declaración  jurada  rendida  por  un  testigo,  y</w:t>
        <w:br/>
        <w:t>expresaron que “desist[ían] del peritaje del Sr.  Manuel  Alcántara”  (supra</w:t>
        <w:br/>
        <w:t>párr. 28).</w:t>
        <w:br/>
        <w:br/>
        <w:t>31.   El 23 de febrero de 2005 la Comisión  remitió  la  declaración  jurada</w:t>
        <w:br/>
        <w:t>rendida por el  perito  Robert  Andrés  Courtney  Cerda,  quien  había  sido</w:t>
        <w:br/>
        <w:t>convocado por el Presidente  a  rendir  su  dictamen  en  audiencia  pública</w:t>
        <w:br/>
        <w:t>(supra párr. 28), y solicitó fuese aceptada por la imposibilidad del  perito</w:t>
        <w:br/>
        <w:t>de asistir a la audiencia.</w:t>
        <w:br/>
        <w:br/>
        <w:t>32.   El 25 de febrero de 2005 los representantes  presentaron  un  escrito,</w:t>
        <w:br/>
        <w:t>mediante el cual informaron a la Corte que no  tenían  observaciones  a  las</w:t>
        <w:br/>
        <w:t>declaraciones juradas escritas rendidas ante fedatario público  (affidávits)</w:t>
        <w:br/>
        <w:t>remitidas por la Comisión y el Estado, ni a la  declaración  jurada  escrita</w:t>
        <w:br/>
        <w:t>remitida por la Comisión (supra párrs. 29, 30 y 31).</w:t>
        <w:br/>
        <w:br/>
        <w:t>33.   El 25 de febrero y el 1  de  marzo  de  2005  el  Estado  remitió  sus</w:t>
        <w:br/>
        <w:t>observaciones a  las  declaraciones  juradas  escritas  presentadas  por  la</w:t>
        <w:br/>
        <w:t>Comisión y los representantes (supra párrs.  30  y  31).   Asimismo,  en  el</w:t>
        <w:br/>
        <w:t>escrito de 1 de  marzo  de  2005,  en  respuesta  a  lo  solicitado  por  el</w:t>
        <w:br/>
        <w:t>Presidente y el pleno de la Corte (supra párrs. 22 y 24), el Estado  adjuntó</w:t>
        <w:br/>
        <w:t>el  “informe  del  Consejo  Supremo  Electoral  al  Ministro  de  Relaciones</w:t>
        <w:br/>
        <w:t>Exteriores  […]  del  25  de  febrero  [de]  2005”.   Como  parte  de   esta</w:t>
        <w:br/>
        <w:t>documentación el Estado aportó un documento suscrito por el  Presidente  del</w:t>
        <w:br/>
        <w:t>Consejo Electoral Regional de la RAAN, en el cual hace constar que el 15  de</w:t>
        <w:br/>
        <w:t>julio de  2000  el  representante  legal  de  YATAMA  presentó  la  hoja  de</w:t>
        <w:br/>
        <w:t>inscripciones  de  los  candidatos  que  participarían  en  las   elecciones</w:t>
        <w:br/>
        <w:t>municipales en dicha región.</w:t>
        <w:br/>
        <w:br/>
        <w:t>34.   El 8 de marzo de 2005 la Universidad para la Paz  de  Naciones  Unidas</w:t>
        <w:br/>
        <w:t>presentó un escrito en calidad de amicus curiae.</w:t>
        <w:br/>
        <w:br/>
        <w:t>35.   El 9 de marzo  de  2005  los  representantes  remitieron  un  escrito,</w:t>
        <w:br/>
        <w:t>mediante el cual presentaron “copia de la Resolución  Final  emitida  en  el</w:t>
        <w:br/>
        <w:t>expediente  No.  217/00,  el  pasado  3  de  marzo  del  año  2001,  por  la</w:t>
        <w:br/>
        <w:t>Procuraduría para la Defensa de los Derechos Humanos de  Nicaragua”.  En  la</w:t>
        <w:br/>
        <w:t>misma fecha los representantes remitieron a la Corte un escrito  en  el  que</w:t>
        <w:br/>
        <w:t>aclararon que la resolución fue  emitida  el  3  de  marzo  de  2005  y  que</w:t>
        <w:br/>
        <w:t>aportaban dicho documento como “prueba nueva en el proceso”.</w:t>
        <w:br/>
        <w:br/>
        <w:t>36.   El 9 de marzo de 2005 la Comisión  remitió  un  escrito,  en  el  cual</w:t>
        <w:br/>
        <w:t>remitió sus  observaciones  a  las  objeciones  presentadas  por  el  Estado</w:t>
        <w:br/>
        <w:t>respecto de “las declaraciones escritas  rendidas  por  los  testigos  Nancy</w:t>
        <w:br/>
        <w:t>Elizabeth Henríquez James, Centuriano Knight Andrews,  Eklan  James  Molina,</w:t>
        <w:br/>
        <w:t>Hazel Law Blanco y Cristina Póveda Montiel, así como  por  la  perito  María</w:t>
        <w:br/>
        <w:t>Luisa Acosta Castellón” (supra  párr.  33).  El  12  de  marzo  de  2005  la</w:t>
        <w:br/>
        <w:t>Secretaría de la Corte, siguiendo instrucciones del  Presidente,  informó  a</w:t>
        <w:br/>
        <w:t>la Comisión que el escrito de 9 de marzo de 2005 no fue  aceptado  debido  a</w:t>
        <w:br/>
        <w:t>que se trata de un acto procesal escrito no previsto en el Reglamento de  la</w:t>
        <w:br/>
        <w:t>Corte.</w:t>
        <w:br/>
        <w:br/>
        <w:t>37.   Los días 9 y 10 de  marzo  de  2005  la  Corte  celebró  la  audiencia</w:t>
        <w:br/>
        <w:t>pública sobre excepciones preliminares y eventuales  fondo,  reparaciones  y</w:t>
        <w:br/>
        <w:t>costas, en  la  cual  recibió  las  declaraciones  de  los  testigos  y  los</w:t>
        <w:br/>
        <w:t>dictámenes de los peritos  propuestos  por  las  partes  (supra  párr.  28).</w:t>
        <w:br/>
        <w:t>Asimismo, la  Corte  escuchó  los  alegatos  finales  de  la  Comisión,  los</w:t>
        <w:br/>
        <w:t>representantes y el  Estado.   En  la  audiencia  el  testigo  Jorge  Teytom</w:t>
        <w:br/>
        <w:t>Fedrick aportó diversos documentos.</w:t>
        <w:br/>
        <w:br/>
        <w:t>Comparecieron ante la Corte:</w:t>
        <w:br/>
        <w:br/>
        <w:t>Por la Comisión Interamericana:</w:t>
        <w:br/>
        <w:br/>
        <w:t xml:space="preserve">      Isabel Madariaga, asesora;</w:t>
        <w:br/>
        <w:t xml:space="preserve">      Juan Pablo Albán, asesor;</w:t>
        <w:br/>
        <w:t xml:space="preserve">      Víctor H. Madrigal Borloz, asesor, y</w:t>
        <w:br/>
        <w:t xml:space="preserve">      Lilly Ching, asesora.</w:t>
        <w:br/>
        <w:br/>
        <w:t>Por los representantes de las presuntas víctimas:</w:t>
        <w:br/>
        <w:br/>
        <w:t xml:space="preserve">      Viviana Krsticevic, directora ejecutiva de CEJIL;</w:t>
        <w:br/>
        <w:t xml:space="preserve">      Soraya Long, directora CEJIL Mesoamérica;</w:t>
        <w:br/>
        <w:t xml:space="preserve">      Gisela De León, abogada de CEJIL;</w:t>
        <w:br/>
        <w:t xml:space="preserve">      Will Bloomfield, asistente de CEJIL, y</w:t>
        <w:br/>
        <w:t xml:space="preserve">      Norwin Solano, abogado de CENIDH.</w:t>
        <w:br/>
        <w:br/>
        <w:t>Por el Estado de Nicaragua:</w:t>
        <w:br/>
        <w:br/>
        <w:t xml:space="preserve">      José Antonio Tijerino Medrano, Agente;</w:t>
        <w:br/>
        <w:t xml:space="preserve">      María Cecilia Contreras Benavides, Agente alterna, y</w:t>
        <w:br/>
        <w:t xml:space="preserve">      Carlos José Hernández López, asesor.</w:t>
        <w:br/>
        <w:br/>
        <w:t>Testigos propuestos por la Comisión y por los representantes:</w:t>
        <w:br/>
        <w:br/>
        <w:t xml:space="preserve">      Brooklyn Rivera Bryan, y</w:t>
        <w:br/>
        <w:t xml:space="preserve">      Jorge Teytom Fedrick.</w:t>
        <w:br/>
        <w:br/>
        <w:t>Testigos propuestos por los representantes:</w:t>
        <w:br/>
        <w:br/>
        <w:t xml:space="preserve">      John Alex Delio Bans, y</w:t>
        <w:br/>
        <w:t xml:space="preserve">      Anicia Matamoros de Marly.</w:t>
        <w:br/>
        <w:br/>
        <w:t>Perito propuesta por los representantes:</w:t>
        <w:br/>
        <w:br/>
        <w:t xml:space="preserve">      María Dolores Álvarez Arzate.</w:t>
        <w:br/>
        <w:br/>
        <w:t>Peritos propuestos por el Estado:</w:t>
        <w:br/>
        <w:br/>
        <w:t xml:space="preserve">      Carlos Antonio Hurtado Cabrera, y</w:t>
        <w:br/>
        <w:t xml:space="preserve">      Marvin Saúl Castellón Torres.</w:t>
        <w:br/>
        <w:br/>
        <w:br/>
        <w:t>38.   El 24 de marzo de 2005 el Programa de Derechos y  Políticas  Indígenas</w:t>
        <w:br/>
        <w:t>de la Universidad de Arizona  presentó  un  escrito  en  calidad  de  amicus</w:t>
        <w:br/>
        <w:t>curiae.</w:t>
        <w:br/>
        <w:br/>
        <w:t>39.   El 31 de marzo de 2005 la Secretaría recordó al Estado  que  la  Corte</w:t>
        <w:br/>
        <w:t>le solicitó en la audiencia pública que, a más tardar  el  11  de  abril  de</w:t>
        <w:br/>
        <w:t>2005, presentara una copia de la decisión del Comité Regional,  mediante  la</w:t>
        <w:br/>
        <w:t>cual, según el Estado indicó en la audiencia, se notificó a la  organización</w:t>
        <w:br/>
        <w:t>YATAMA que no cumplía con  los  requisitos  para  que  se  inscribieran  sus</w:t>
        <w:br/>
        <w:t>candidatos  a  alcaldes,  vicealcaldes  y  concejales  para  las  elecciones</w:t>
        <w:br/>
        <w:t>municipales de noviembre de 2000.  Asimismo, recordó a  las  partes  que  en</w:t>
        <w:br/>
        <w:t>dicha audiencia la Corte requirió que aportaran,  a  más  tardar  el  11  de</w:t>
        <w:br/>
        <w:t>abril de 2005,  la  información  necesaria  para  que  el  Tribunal  pudiera</w:t>
        <w:br/>
        <w:t>determinar quiénes eran las presuntas víctimas en el caso, pues la lista  de</w:t>
        <w:br/>
        <w:t>la Comisión difería de la  de  los  representantes.   Al  respecto,  también</w:t>
        <w:br/>
        <w:t>recordó al Estado que no había remitido la lista de candidatos de la RAAS  y</w:t>
        <w:br/>
        <w:t>tampoco había señalado si existía alguna razón para no poder hacerlo.</w:t>
        <w:br/>
        <w:br/>
        <w:t>40.   El 8 de abril de 2005, en respuesta a lo solicitado por el  Presidente</w:t>
        <w:br/>
        <w:t>y la Corte (supra párrs. 22,  24  y  39),  el  Estado  presentó  un  escrito</w:t>
        <w:br/>
        <w:t>mediante el cual aportó diversos documentos.  Con respecto a la copia de  la</w:t>
        <w:br/>
        <w:t>decisión que habría emitido el Comité Regional (supra  párr.  39),  en  este</w:t>
        <w:br/>
        <w:t>escrito el Estado señaló que “no  hubo  resolución  del  Consejo  Regional”.</w:t>
        <w:br/>
        <w:t xml:space="preserve"> Entre los documentos presentados, el Estado incluyó una constancia  emitida</w:t>
        <w:br/>
        <w:t>el 5 de abril de 2005  por  el  Director  General  de  Atención  a  Partidos</w:t>
        <w:br/>
        <w:t>Políticos del Consejo Supremo Electoral, en la que hizo constar  que  “según</w:t>
        <w:br/>
        <w:t>los registros de inscripción de candidatos que llevó esta Dirección  General</w:t>
        <w:br/>
        <w:t>para las elecciones de Alcaldes, Vicealcaldes y  miembros  de  los  Concejos</w:t>
        <w:br/>
        <w:t>Municipales para las elecciones de  noviembre  de  2000,  el  partido  Yapti</w:t>
        <w:br/>
        <w:t>Tasba Masraka Nanih Asla Takanka (YATAMA) no  presentó  candidatos  ante  el</w:t>
        <w:br/>
        <w:t>Consejo Supremo Electoral en la Región Autónoma Atlántico Sur (RAAS)”.</w:t>
        <w:br/>
        <w:br/>
        <w:t>41.   El 8 de  abril  de  2005  el  Estado  presentó  los  alegatos  finales</w:t>
        <w:br/>
        <w:t>escritos  sobre   las   excepciones   preliminares   y   eventuales   fondo,</w:t>
        <w:br/>
        <w:t>reparaciones y costas (supra párr. 28), y aportó copia  de  tres  documentos</w:t>
        <w:br/>
        <w:t>que había adjuntado a su primer escrito de 8 de abril de 2005  (supra  párr.</w:t>
        <w:br/>
        <w:t>40), así como dos nuevos documentos.</w:t>
        <w:br/>
        <w:br/>
        <w:t>42.   El 8 de abril de 2005 la Procuraduría para la Defensa de los  Derechos</w:t>
        <w:br/>
        <w:t>Humanos de Nicaragua presentó un escrito en calidad de amicus curiae.</w:t>
        <w:br/>
        <w:br/>
        <w:t>43.   El 11 de abril de 2005  los  representantes  remitieron  sus  alegatos</w:t>
        <w:br/>
        <w:t>finales escritos sobre las  excepciones  preliminares  y  eventuales  fondo,</w:t>
        <w:br/>
        <w:t>reparaciones y costas (supra párr. 28), a los cuales adjuntaron anexos.</w:t>
        <w:br/>
        <w:br/>
        <w:t>44.   El 12 de abril de  2005  la  Comisión  remitió  sus  alegatos  finales</w:t>
        <w:br/>
        <w:t>escritos  sobre   las   excepciones   preliminares   y   eventuales   fondo,</w:t>
        <w:br/>
        <w:t>reparaciones y costas (supra párr. 28).</w:t>
        <w:br/>
        <w:br/>
        <w:t>45.   El 15 de abril de 2005  la  Secretaría,  siguiendo  instrucciones  del</w:t>
        <w:br/>
        <w:t>Presidente,  solicitó  al  Estado  que  remitiera,  a  la  mayor   brevedad,</w:t>
        <w:br/>
        <w:t>cualquier lista o constancia con la que contara respecto de  los  candidatos</w:t>
        <w:br/>
        <w:t>presentados por YATAMA en la RAAS, independientemente de que se  tratara  de</w:t>
        <w:br/>
        <w:t>documentos que no hubiesen sido presentados  directamente  ante  el  Consejo</w:t>
        <w:br/>
        <w:t>Supremo  Electoral  sino  ante  una  autoridad  electoral  regional   o   de</w:t>
        <w:br/>
        <w:t>constancias que no hubiesen sido emitidas por dicho  Consejo  sino  por  una</w:t>
        <w:br/>
        <w:t>autoridad electoral regional (supra párrs. 22, 24 y 39).</w:t>
        <w:br/>
        <w:br/>
        <w:t>46.   El 21 de abril de 2005, en respuesta al oficio de 15 de abril de  2005</w:t>
        <w:br/>
        <w:t>de la Secretaría, el Estado remitió un escrito, en  el  que  señaló  que  la</w:t>
        <w:br/>
        <w:t>Secretaría “aparentemente confundió, en este  particular,  la  RAAN  con  la</w:t>
        <w:br/>
        <w:t>RAAS” y, por ende, aportó una nueva constancia emitida el  20  de  abril  de</w:t>
        <w:br/>
        <w:t>2005 por el Director General de Atención a Partidos  Políticos  del  Consejo</w:t>
        <w:br/>
        <w:t>Supremo Electoral, mediante la cual se indicó que “para  las  elecciones  de</w:t>
        <w:br/>
        <w:t>Alcaldes, Vicealcaldes  y  miembros  de  los  Concejos  Municipales  […]  de</w:t>
        <w:br/>
        <w:t>noviembre de 2000,  el  partido  Yapti  Tasba  Masraka  Nanih  Asla  Takanka</w:t>
        <w:br/>
        <w:t>(YATAMA) no presentó candidatos ante el Consejo Supremo Electoral,  ni  ante</w:t>
        <w:br/>
        <w:t>el Consejo Electoral en la Región Autónoma Atlántico Sur (RAAS)”.</w:t>
        <w:br/>
        <w:br/>
        <w:t>47.   El 27 de abril de 2005  la  Secretaría,  siguiendo  instrucciones  del</w:t>
        <w:br/>
        <w:t>Presidente, reiteró al Estado (supra párrs. 22, 24, 39 y 45) que  presentara</w:t>
        <w:br/>
        <w:t>una copia oficial de la lista de candidatos que la alianza  entre  YATAMA  y</w:t>
        <w:br/>
        <w:t>el Partido de los Pueblos Costeños había presentado ante el Consejo  Supremo</w:t>
        <w:br/>
        <w:t>Electoral,  la  Dirección  General  para   las   elecciones   de   alcaldes,</w:t>
        <w:br/>
        <w:t>vicealcaldes y concejales  municipales,  el  Consejo  Electoral  Regional  o</w:t>
        <w:br/>
        <w:t>cualquier otra autoridad electoral nacional o regional, pues en el  capítulo</w:t>
        <w:br/>
        <w:t>titulado “considerando” de la resolución  emitida  por  el  Consejo  Supremo</w:t>
        <w:br/>
        <w:t>Electoral el 15 de agosto de 2000 consta que “con fecha quince de julio  [de</w:t>
        <w:br/>
        <w:t>2000] la Alianza PPC/YATAMA presentó candidatos a Alcaldes,  Vicealcaldes  y</w:t>
        <w:br/>
        <w:t>Concejales” en la RAAS.</w:t>
        <w:br/>
        <w:br/>
        <w:t>48.   El 29 de abril de 2005  la  Secretaría,  siguiendo  instrucciones  del</w:t>
        <w:br/>
        <w:t>Presidente, solicitó a la Comisión y a los  representantes  que  presentaran</w:t>
        <w:br/>
        <w:t>aclaraciones  y  explicaciones  respecto  de  las  diferencias  surgidas  en</w:t>
        <w:br/>
        <w:t>relación con las  listas  de  candidatos  de  YATAMA  aportadas  durante  el</w:t>
        <w:br/>
        <w:t>proceso ante la Corte y les indicó que, en caso de excluir a algunas de  las</w:t>
        <w:br/>
        <w:t>personas que se encuentran en algunas  de  las  listas  que  constan  en  el</w:t>
        <w:br/>
        <w:t>expediente del caso, describieran las razones por las  cuales  se  realizaba</w:t>
        <w:br/>
        <w:t>dicha exclusión.</w:t>
        <w:br/>
        <w:br/>
        <w:t>49.   El 5 de mayo de 2005, en respuesta a lo solicitado por  el  Presidente</w:t>
        <w:br/>
        <w:t>y la Corte (supra párrs. 22, 24,  39,  45  y  47),  el  Estado  presentó  un</w:t>
        <w:br/>
        <w:t>escrito mediante el cual aportó “una constancia librada el día  [3  de  mayo</w:t>
        <w:br/>
        <w:t>de 2005], por el Director de  Atención  a  Partidos  Políticos  del  Consejo</w:t>
        <w:br/>
        <w:t>Supremo Electoral, que contiene la lista de fichas de  candidatos  [que]  la</w:t>
        <w:br/>
        <w:t>‘Alianza  PPC/YATAMA’  present[ó]  para   participar   en   las   elecciones</w:t>
        <w:br/>
        <w:t>municipales de noviembre del año 2000, en la Región Autónoma  del  Atlántico</w:t>
        <w:br/>
        <w:t>Sur, ante el Consejo Electoral Regional”.</w:t>
        <w:br/>
        <w:br/>
        <w:t>50.   El 9 de mayo  de  2005  la  Secretaría,  siguiendo  instrucciones  del</w:t>
        <w:br/>
        <w:t>Presidente, solicitó a la  Comisión  y  a  los  representantes  que  en  las</w:t>
        <w:br/>
        <w:t>aclaraciones y explicaciones  que  presentaran  en  respuesta  a  las  dudas</w:t>
        <w:br/>
        <w:t>planteadas mediante notas de 29 de  abril  de  2005  (supra  párr.  48),  en</w:t>
        <w:br/>
        <w:t>relación con la determinación de  las  presuntas  víctimas  en  el  presente</w:t>
        <w:br/>
        <w:t>caso, también hicieran referencia a la constancia de nombres de  “candidatos</w:t>
        <w:br/>
        <w:t>a Alcaldes y Concejales” remitida por el Estado el 5 de mayo de 2005  (supra</w:t>
        <w:br/>
        <w:t>párr. 49) e incluyeran una explicación sobre las  diferencias  que  pudieran</w:t>
        <w:br/>
        <w:t>surgir de la comparación de las distintas listas de  presuntas  víctimas  en</w:t>
        <w:br/>
        <w:t>la RAAS que constan en el expediente ante la Corte.</w:t>
        <w:br/>
        <w:br/>
        <w:t>51.   El 13 de mayo de 2005 los representantes, en respuesta a las notas  de</w:t>
        <w:br/>
        <w:t>la Secretaría de 29 de abril y 9 de mayo de 2005 (supra  párrs.  48  y  50),</w:t>
        <w:br/>
        <w:t>remitieron  un  escrito  con  el  fin  de  presentar  las   aclaraciones   y</w:t>
        <w:br/>
        <w:t>explicaciones  respecto  de  las  dudas  sobre  las  diferentes  listas   de</w:t>
        <w:br/>
        <w:t>candidatos presentadas durante el proceso ante la Corte. El 16  de  mayo  de</w:t>
        <w:br/>
        <w:t>2005 la Comisión, en respuesta a dichas notas de la Secretaría, presentó  un</w:t>
        <w:br/>
        <w:t>escrito en el cual indicó que “la manifestación incluida en  el  escrito  de</w:t>
        <w:br/>
        <w:t>alegatos finales respecto del hecho [de] que ‘las  presuntas  víctimas  eran</w:t>
        <w:br/>
        <w:t>candidatos a alcaldes, vicealcaldes y  concejales’  presentados  por  YATAMA</w:t>
        <w:br/>
        <w:t>para las elecciones municipales del 5 de noviembre de 2000, en la  [RAAN]  y</w:t>
        <w:br/>
        <w:t>la [RAAS], obedeció a una posición de principio”, pues “la  Comisión  estimó</w:t>
        <w:br/>
        <w:t>que la parte lesionada, a través de su representación, estaba en  una  mejor</w:t>
        <w:br/>
        <w:t>posición de presentar las importantes aclaraciones  de  detalle  que  fueron</w:t>
        <w:br/>
        <w:t>requeridas […] durante la audiencia pública celebrada en el caso”.</w:t>
        <w:br/>
        <w:br/>
        <w:t>52.   El 18 de mayo de 2005 el Estado remitió dos escritos,  en  los  cuales</w:t>
        <w:br/>
        <w:t>se refirió al escrito presentado por los  representantes  de  las  presuntas</w:t>
        <w:br/>
        <w:t>víctimas el 13 de mayo de 2005 (supra párr. 51).</w:t>
        <w:br/>
        <w:br/>
        <w:t>53.   El 19 de mayo de 2005 el  Estado  presentó  un  escrito,  en  el  cual</w:t>
        <w:br/>
        <w:t>remitió  sus  “observaciones  a  las  comunicaciones  […  de  la]   Comisión</w:t>
        <w:br/>
        <w:t>Interamericana de Derechos Humanos y [d]e CEJIL [presentadas] el  pasado  16</w:t>
        <w:br/>
        <w:t>y 13 de mayo de [2005]” (supra párr. 51), así como también  señaló  que  “en</w:t>
        <w:br/>
        <w:t>ninguna etapa del  juicio  aport[ó]  pruebas  para  mejor  resolver  lo  que</w:t>
        <w:br/>
        <w:t>dese[a] que se consigne en el expediente respectivo”.</w:t>
        <w:br/>
        <w:br/>
        <w:t>54.   El 14 de junio de 2005  el  Presidente  dirigió  una  comunicación  al</w:t>
        <w:br/>
        <w:t>Estado en relación con los tres escritos presentados el 18 y el 19  de  mayo</w:t>
        <w:br/>
        <w:t>de 2005 (supra párrs. 52 y 53).</w:t>
        <w:br/>
        <w:br/>
        <w:br/>
        <w:br/>
        <w:t xml:space="preserve">                                      V</w:t>
        <w:br/>
        <w:br/>
        <w:br/>
        <w:t xml:space="preserve">                          Excepciones Preliminares</w:t>
        <w:br/>
        <w:br/>
        <w:br/>
        <w:t>55.   En el escrito  de  contestación  de  la  demanda  y  observaciones  al</w:t>
        <w:br/>
        <w:t>escrito de solicitudes y argumentos (supra párr. 18),  el  Estado  interpuso</w:t>
        <w:br/>
        <w:t>las siguientes excepciones preliminares:</w:t>
        <w:br/>
        <w:br/>
        <w:t xml:space="preserve">      “Primera:   Falta  de  jurisdicción  de  la  Corte  Interamericana  de</w:t>
        <w:br/>
        <w:t xml:space="preserve">              Derechos Humanos”;</w:t>
        <w:br/>
        <w:t xml:space="preserve">      “Segunda:   Falta de los Requisitos de admisibilidad previstos  en  el</w:t>
        <w:br/>
        <w:t xml:space="preserve">              artículo  46  de  la  Convención  Americana  sobre   Derechos</w:t>
        <w:br/>
        <w:t xml:space="preserve">              Humanos”;</w:t>
        <w:br/>
        <w:t xml:space="preserve">      “Tercera:   Ilegitimidad en la Representación”;</w:t>
        <w:br/>
        <w:t xml:space="preserve">      “Cuarta:    Falta de acción”; y</w:t>
        <w:br/>
        <w:t xml:space="preserve">      “Quinta:    Oscuridad de la Demanda y de su Ampliación”.</w:t>
        <w:br/>
        <w:br/>
        <w:t>56.   La Corte procederá a analizar de  manera  conjunta  la  primera  y  la</w:t>
        <w:br/>
        <w:t>cuarta excepciones preliminares planteadas por el Estado,  y  posteriormente</w:t>
        <w:br/>
        <w:t>analizará en forma separada las demás excepciones preliminares, en el  orden</w:t>
        <w:br/>
        <w:t>en que fueron interpuestas.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Primera y Cuarta Excepciones Preliminares</w:t>
        <w:br/>
        <w:t xml:space="preserve">   “Falta de jurisdicción de la Corte Interamericana de Derechos Humanos”</w:t>
        <w:br/>
        <w:t xml:space="preserve">                             y “Falta de acción”</w:t>
        <w:br/>
        <w:br/>
        <w:br/>
        <w:t>Alegatos del Estado</w:t>
        <w:br/>
        <w:br/>
        <w:br/>
        <w:t>57.   Con respecto a la primera excepción:</w:t>
        <w:br/>
        <w:br/>
        <w:t xml:space="preserve">      a)     debido a  que  en  Nicaragua  existen  normas  que  regulan  la</w:t>
        <w:br/>
        <w:t xml:space="preserve">      presentación de candidatos a los cargos de  alcaldes,  vicealcaldes  y</w:t>
        <w:br/>
        <w:t xml:space="preserve">      concejales, así como la elección de los mismos, “no corresponde que la</w:t>
        <w:br/>
        <w:t xml:space="preserve">      Comisión Interamericana de Derechos Humanos afirme que el  Estado  […]</w:t>
        <w:br/>
        <w:t xml:space="preserve">      ha incumplido el deber de adoptar disposiciones de Derecho Interno que</w:t>
        <w:br/>
        <w:t xml:space="preserve">      faciliten el ejercicio de los Derechos reconocidos en el  Artículo  1,</w:t>
        <w:br/>
        <w:t xml:space="preserve">      Numeral 1 de la Convención y, como consecuencia, la  Corte  carece  de</w:t>
        <w:br/>
        <w:t xml:space="preserve">      Jurisdicción para conocer de una  transgresión  que  no  existe;  como</w:t>
        <w:br/>
        <w:t xml:space="preserve">      necesaria conclusión de lo anterior  tampoco  puede  la  Comisión  […]</w:t>
        <w:br/>
        <w:t xml:space="preserve">      afirmar que el Estado Nicaragüense […]  ha  incumplido  la  Obligación</w:t>
        <w:br/>
        <w:t xml:space="preserve">      General de Respetar los Derechos a que se refiere  el  Art[ícul]o.  1,</w:t>
        <w:br/>
        <w:t xml:space="preserve">      Número 1 de  la  Convención.  [P]or  ello,  […]  la  Corte  carece  de</w:t>
        <w:br/>
        <w:t xml:space="preserve">      Jurisdicción para conocer de una transgresión inexistente”;</w:t>
        <w:br/>
        <w:br/>
        <w:br/>
        <w:t xml:space="preserve">      b)     “no existe la violación del Artículo 8 de la Convención, que la</w:t>
        <w:br/>
        <w:t xml:space="preserve">      Comisión Interamericana de Derechos  Humanos  atribuye  al  Estado  de</w:t>
        <w:br/>
        <w:t xml:space="preserve">      Nicaragua y por ende, la Corte carece de Jurisdicción para conocer  de</w:t>
        <w:br/>
        <w:t xml:space="preserve">      una violación inexistente”;</w:t>
        <w:br/>
        <w:br/>
        <w:br/>
        <w:t xml:space="preserve">      c)    en cuanto a  la  alegada  violación  al  artículo  8.2.h  de  la</w:t>
        <w:br/>
        <w:t xml:space="preserve">      Convención, “en este caso estamos en presencia de un fallo dictado por</w:t>
        <w:br/>
        <w:t xml:space="preserve">      el Consejo Supremo Electoral de la República de Nicaragua[,] que es el</w:t>
        <w:br/>
        <w:t xml:space="preserve">      más alto Tribunal del Poder Electoral de Nicaragua”.  “[L]as  personas</w:t>
        <w:br/>
        <w:t xml:space="preserve">      a cuyo nombre demanda la Comisión […] hicieron  uso  de  los  Recursos</w:t>
        <w:br/>
        <w:t xml:space="preserve">      establecidos en  la  Ley  Electoral,  […]  el  que  esos  Recursos  no</w:t>
        <w:br/>
        <w:t xml:space="preserve">      prosperasen, de ninguna manera significa que el  Estado  de  Nicaragua</w:t>
        <w:br/>
        <w:t xml:space="preserve">      haya faltado al Deber de  adoptar  disposiciones  de  Derecho  Interno</w:t>
        <w:br/>
        <w:t xml:space="preserve">      necesarias  para  hacer  efectivos  los  derechos  consagrados  en  la</w:t>
        <w:br/>
        <w:t xml:space="preserve">      Convención”;</w:t>
        <w:br/>
        <w:br/>
        <w:br/>
        <w:t xml:space="preserve">      d)    “[p]or lo que hace a la pretendida violación del Art[ícul]o.  23</w:t>
        <w:br/>
        <w:t xml:space="preserve">      de la Convención, [… l]a Ley Electoral […] reglamenta el ejercicio  de</w:t>
        <w:br/>
        <w:t xml:space="preserve">      los derechos y oportunidades a que alude el inciso 1  del  Art[ícul]o.</w:t>
        <w:br/>
        <w:t xml:space="preserve">      23 de la Convención, atendiendo a  los  parámetros  contenidos  en  el</w:t>
        <w:br/>
        <w:t xml:space="preserve">      inciso 2 de la misma  regla”.  “[E]l  que  las  personas  por  quienes</w:t>
        <w:br/>
        <w:t xml:space="preserve">      demanda la Comisión y los organismos citados en su ampliación no hayan</w:t>
        <w:br/>
        <w:t xml:space="preserve">      cumplido las regulaciones de la Ley Electoral y, como consecuencia, no</w:t>
        <w:br/>
        <w:t xml:space="preserve">      hayan participado en el  proceso  de  elección  de  Alcaldes,  Vice  –</w:t>
        <w:br/>
        <w:t xml:space="preserve">      Alcaldes y Concejales, de ninguna manera  significa  violación  a  sus</w:t>
        <w:br/>
        <w:t xml:space="preserve">      Derechos Políticos”; y</w:t>
        <w:br/>
        <w:br/>
        <w:br/>
        <w:t xml:space="preserve">      e)    “[e]n cuanto a la pretendida violación del  Artículo  25  de  la</w:t>
        <w:br/>
        <w:t xml:space="preserve">      Convención, […] la Constitución Política de la República de Nicaragua,</w:t>
        <w:br/>
        <w:t xml:space="preserve">      la Ley de Amparo y la  Ley  Electoral  establecen  los  Recursos  para</w:t>
        <w:br/>
        <w:t xml:space="preserve">      reclamar contra actos que  se  estimen  violatorios  de  los  Derechos</w:t>
        <w:br/>
        <w:t xml:space="preserve">      Fundamentales [….  P]or  consiguiente[,]  la  Comisión  […]  no  tiene</w:t>
        <w:br/>
        <w:t xml:space="preserve">      fundamento para afirmar que el  Estado  de  Nicaragua  ha  violado  el</w:t>
        <w:br/>
        <w:t xml:space="preserve">      Art[ícul]o. 25 de la Convención Americana sobre Derechos Humanos”.  Si</w:t>
        <w:br/>
        <w:t xml:space="preserve">      los recursos son estimados improcedentes, el Estado no puede actuar en</w:t>
        <w:br/>
        <w:t xml:space="preserve">      contra de esta decisión.</w:t>
        <w:br/>
        <w:br/>
        <w:t>58.   Con respecto a la cuarta excepción:</w:t>
        <w:br/>
        <w:br/>
        <w:t xml:space="preserve">      a)    “[esta]  excepción  […]  se  fundamenta  en  que  el  Estado  de</w:t>
        <w:br/>
        <w:t xml:space="preserve">      Nicaragua no ha violado los derechos establecidos en los artículos  8,</w:t>
        <w:br/>
        <w:t xml:space="preserve">      25, 2 y 1 y 23, 24 y 2  de  la  Convención”.  “[E]l  partido  político</w:t>
        <w:br/>
        <w:t xml:space="preserve">      YATAMA us[ó] todos los recursos de derecho  interno  que  regulan  los</w:t>
        <w:br/>
        <w:t xml:space="preserve">      procesos electorales”;</w:t>
        <w:br/>
        <w:br/>
        <w:t xml:space="preserve">      b)    la Comisión Interamericana reconoce la existencia  de  numerosas</w:t>
        <w:br/>
        <w:t xml:space="preserve">      disposiciones constitucionales y legales a favor de las comunidades de</w:t>
        <w:br/>
        <w:t xml:space="preserve">      la Costa  Atlántica  para  vivir  y  desarrollarse  bajo  su  forma  y</w:t>
        <w:br/>
        <w:t xml:space="preserve">      organización social.  El Estado  “mantiene  el  concepto  de  igualdad</w:t>
        <w:br/>
        <w:t xml:space="preserve">      absoluta ante la ley de todos los ciudadanos nicaragüenses”; y</w:t>
        <w:br/>
        <w:br/>
        <w:t xml:space="preserve">      c)     “se han aplicado rigurosamente la Constitución Política y leyes</w:t>
        <w:br/>
        <w:t xml:space="preserve">      vigentes”. La Constitución Política en  su  artículo  173.14  in  fine</w:t>
        <w:br/>
        <w:t xml:space="preserve">      atribuye  facultades  judiciales  al  Consejo  Supremo  Electoral,  al</w:t>
        <w:br/>
        <w:t xml:space="preserve">      establecer  que  contra  sus  resoluciones  no  habrá  recurso  alguno</w:t>
        <w:br/>
        <w:t xml:space="preserve">      ordinario ni extraordinario.  Debido a  que  “se  han  aplicado  leyes</w:t>
        <w:br/>
        <w:t xml:space="preserve">      vigentes[, …] la Comisión no tiene acción  en  contra  del  Estado  de</w:t>
        <w:br/>
        <w:t xml:space="preserve">      Nicaragua y [el Estado]  pid[e]  respetuosamente  a  la  Excelentísima</w:t>
        <w:br/>
        <w:t xml:space="preserve">      Corte que así se declare”. “En el  derecho  comparado  se  aprecia  un</w:t>
        <w:br/>
        <w:t xml:space="preserve">      sistema de facultades jurisdiccionales análogas a las  atribuidas  por</w:t>
        <w:br/>
        <w:t xml:space="preserve">      [la] Carta Magna al Consejo Supremo Electoral”.</w:t>
        <w:br/>
        <w:br/>
        <w:t>Alegatos de la Comisión</w:t>
        <w:br/>
        <w:br/>
        <w:t>59.   La Comisión Interamericana solicitó  a  la  Corte  que  “desestime  de</w:t>
        <w:br/>
        <w:t>plano” la primera excepción preliminar e indicó que:</w:t>
        <w:br/>
        <w:br/>
        <w:t xml:space="preserve">      a)    es improcedente la presentación de  argumentos  del  Estado  que</w:t>
        <w:br/>
        <w:t xml:space="preserve">      controvierten la existencia de las violaciones alegadas, con el objeto</w:t>
        <w:br/>
        <w:t xml:space="preserve">      de evitar que la Corte se pronuncie sobre el fondo del caso;  y</w:t>
        <w:br/>
        <w:br/>
        <w:t xml:space="preserve">      b)    los hechos materia de este caso ocurrieron con  posterioridad  a</w:t>
        <w:br/>
        <w:t xml:space="preserve">      la  fecha  de  reconocimiento  de  la  competencia  de  la  Corte  por</w:t>
        <w:br/>
        <w:t xml:space="preserve">      Nicaragua.</w:t>
        <w:br/>
        <w:br/>
        <w:t>60.   La Comisión solicitó a la Corte  que  rechace  “de  plano”  la  cuarta</w:t>
        <w:br/>
        <w:t>excepción preliminar, e indicó que es “manifiestamente improcedente” que  el</w:t>
        <w:br/>
        <w:t>Estado  presente  exclusivamente  “argumentos  de  fondo   […]   sobre   las</w:t>
        <w:br/>
        <w:t>violaciones alegadas[,] con el objeto de evitar que la  Corte  se  pronuncie</w:t>
        <w:br/>
        <w:t>sobre el fondo del caso”.</w:t>
        <w:br/>
        <w:br/>
        <w:t>Alegatos de los representantes de las presuntas víctimas</w:t>
        <w:br/>
        <w:br/>
        <w:t>61.    Los  representantes  solicitaron  al  Tribunal  que   “postergue   el</w:t>
        <w:br/>
        <w:t>conocimiento de la [primera] objeción  estatal  a  la  etapa  de  fondo  del</w:t>
        <w:br/>
        <w:t>asunto y posteriormente la rechace[,] por cuanto han existido violaciones  a</w:t>
        <w:br/>
        <w:t>la Convención Americana”, y alegaron que:</w:t>
        <w:br/>
        <w:br/>
        <w:t xml:space="preserve">      a)    la primera excepción no es una verdadera  excepción  preliminar,</w:t>
        <w:br/>
        <w:t xml:space="preserve">      “sino simples objeciones del Estado  que  se  refieren  al  fondo  del</w:t>
        <w:br/>
        <w:t xml:space="preserve">      asunto”;</w:t>
        <w:br/>
        <w:br/>
        <w:t xml:space="preserve">      b)     el  debate  sobre  si  el  Estado  ha   incurrido   o   no   en</w:t>
        <w:br/>
        <w:t xml:space="preserve">      responsabilidad internacional por infringir la  Convención  Americana,</w:t>
        <w:br/>
        <w:t xml:space="preserve">      “sólo podría constituir una excepción preliminar en la  medida  en  la</w:t>
        <w:br/>
        <w:t xml:space="preserve">      que la demanda no exponga hechos que caractericen una violación  a  la</w:t>
        <w:br/>
        <w:t xml:space="preserve">      Convención”, lo cual no ocurre en este caso; y</w:t>
        <w:br/>
        <w:br/>
        <w:br/>
        <w:t xml:space="preserve">      c)    conforme a  la  ratificación  de  la  Convención  realizada  por</w:t>
        <w:br/>
        <w:t xml:space="preserve">      Nicaragua y al reconocimiento de  la  competencia  contenciosa  de  la</w:t>
        <w:br/>
        <w:t xml:space="preserve">      Corte, ésta es competente para conocer de cualquier caso relativo a la</w:t>
        <w:br/>
        <w:t xml:space="preserve">      interpretación y aplicación de la Convención.</w:t>
        <w:br/>
        <w:br/>
        <w:t>62.   Los representantes solicitaron a la  Corte  que  la  cuarta  excepción</w:t>
        <w:br/>
        <w:t>preliminar “sea conocida al tratarse  el  fondo  de  la  presente  causa”  y</w:t>
        <w:br/>
        <w:t>señalaron que:</w:t>
        <w:br/>
        <w:br/>
        <w:t xml:space="preserve">             a)    la  cuarta  excepción  no  es  una  verdadera   excepción</w:t>
        <w:br/>
        <w:t xml:space="preserve">      preliminar,  “sino  simples  objeciones”   que   “ineludiblemente   se</w:t>
        <w:br/>
        <w:t xml:space="preserve">      refiere[n] al fondo del asunto”; y</w:t>
        <w:br/>
        <w:br/>
        <w:t xml:space="preserve">            b)   solicitan a la Corte que “declare  que  la  Comisión  tiene</w:t>
        <w:br/>
        <w:t xml:space="preserve">      plenas facultades para someter el presente caso al conocimiento de  la</w:t>
        <w:br/>
        <w:t xml:space="preserve">      Corte, de acuerdo al artículo 61.1 de la  Convención  Americana  y  al</w:t>
        <w:br/>
        <w:t xml:space="preserve">      artículo 32 del Reglamento de la Corte, puesto  que  se  agotaron  los</w:t>
        <w:br/>
        <w:t xml:space="preserve">      procedimientos consagrados en los artículos 44 a 51 de la Convención”.</w:t>
        <w:br/>
        <w:br/>
        <w:br/>
        <w:br/>
        <w:br/>
        <w:t>Consideraciones de la Corte</w:t>
        <w:br/>
        <w:br/>
        <w:t>63.   La Corte  considera  que  los  argumentos  planteados  por  el  Estado</w:t>
        <w:br/>
        <w:t>respecto de la primera y cuarta  excepciones  preliminares  se  refieren  al</w:t>
        <w:br/>
        <w:t>fondo del caso, es  decir,  a  la  existencia  o  no  de  violaciones  a  la</w:t>
        <w:br/>
        <w:t>Convención Americana.</w:t>
        <w:br/>
        <w:br/>
        <w:t>64.   La demanda que la Comisión interpuso ante la Corte  expone  una  serie</w:t>
        <w:br/>
        <w:t>de hechos que describen posibles  violaciones  a  normas  de  la  Convención</w:t>
        <w:br/>
        <w:t>Americana.  Tanto la Comisión  como  los  representantes  de  las  presuntas</w:t>
        <w:br/>
        <w:t>víctimas han presentado alegatos que  se  refieren  a  violaciones  a  dicho</w:t>
        <w:br/>
        <w:t>tratado supuestamente cometidas por Nicaragua.  Los hechos expuestos por  la</w:t>
        <w:br/>
        <w:t>Comisión  habrían  ocurrido  con  posterioridad  al  reconocimiento  de   la</w:t>
        <w:br/>
        <w:t>competencia de la Corte por parte de Nicaragua.</w:t>
        <w:br/>
        <w:br/>
        <w:t>65.   Corresponde a la Corte determinar lo que sucedió en  este  caso,  para</w:t>
        <w:br/>
        <w:t>lo  cual  realizará  el  examen  de  las   pruebas   reunidas   y   de   las</w:t>
        <w:br/>
        <w:t>manifestaciones de las partes.  Con base en los hechos  que  determine  como</w:t>
        <w:br/>
        <w:t>probados,  la  Corte  se  pronunciará  sobre  la  existencia  o  no  de  las</w:t>
        <w:br/>
        <w:t>violaciones alegadas.</w:t>
        <w:br/>
        <w:br/>
        <w:t>66.   Al  resolver  sobre  el  fondo  de  este  caso,  la  Corte  tomará  en</w:t>
        <w:br/>
        <w:t>consideración los alegatos planteados por el Estado respecto de  la  primera</w:t>
        <w:br/>
        <w:t>y  cuarta  excepciones  preliminares,  pues  se  trata  de  argumentos   que</w:t>
        <w:br/>
        <w:t>controvierten la existencia de las violaciones alegadas.</w:t>
        <w:br/>
        <w:br/>
        <w:t>67.   Con base en las anteriores  consideraciones,  la  Corte  desestima  la</w:t>
        <w:br/>
        <w:t>primera y la cuarta excepciones preliminares por no tratarse propiamente  de</w:t>
        <w:br/>
        <w:t>excepciones.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Segunda Excepción Preliminar</w:t>
        <w:br/>
        <w:t xml:space="preserve"> “Falta de los Requisitos de admisibilidad previstos en el artículo 46 de la</w:t>
        <w:br/>
        <w:t xml:space="preserve">                Convención Americana sobre Derechos Humanos”</w:t>
        <w:br/>
        <w:br/>
        <w:t>68.   Alegatos del Estado:</w:t>
        <w:br/>
        <w:br/>
        <w:t xml:space="preserve">      a)    “[e]n el presente caso no existen las situaciones de que  tratan</w:t>
        <w:br/>
        <w:t xml:space="preserve">      las letras a), b) y c) del numeral  2  del  […]  artículo  [46  de  la</w:t>
        <w:br/>
        <w:t xml:space="preserve">      Convención Americana]. Por tanto, no ha debido admitirse la denuncia y</w:t>
        <w:br/>
        <w:t xml:space="preserve">      su ampliación”.  La Corte no tiene competencia para conocer este caso,</w:t>
        <w:br/>
        <w:t xml:space="preserve">      de conformidad con el párrafo 2 del artículo 61 de dicho tratado;</w:t>
        <w:br/>
        <w:br/>
        <w:t xml:space="preserve">      b)    se encontraba “vigen[te …]  el  debido  proceso  legal  para  la</w:t>
        <w:br/>
        <w:t xml:space="preserve">      protección del Derecho o Derechos que se alega han sido violados[,] ya</w:t>
        <w:br/>
        <w:t xml:space="preserve">      que los quejosos agotaron la vía interna de acuerdo a la  Constitución</w:t>
        <w:br/>
        <w:t xml:space="preserve">      Política y a la Ley Electoral”. El Estado también  se  refirió  a  las</w:t>
        <w:br/>
        <w:t xml:space="preserve">      competencias que otorga la Ley Electoral a  los  Consejos  Electorales</w:t>
        <w:br/>
        <w:t xml:space="preserve">      Departamentales (CED), Regionales (CER) y Municipales (CEM). Las leyes</w:t>
        <w:br/>
        <w:t xml:space="preserve">      internas que regulen el ejercicio  de  los  derechos  políticos  deben</w:t>
        <w:br/>
        <w:t xml:space="preserve">      ajustarse a los parámetros de la Convención Americana “hasta donde  lo</w:t>
        <w:br/>
        <w:t xml:space="preserve">      permita la Constitución Política del Estado”;</w:t>
        <w:br/>
        <w:br/>
        <w:t xml:space="preserve">      c)     “la  propia  Comisión  admite  que  se  agotaron  los  recursos</w:t>
        <w:br/>
        <w:t>vigentes”;</w:t>
        <w:br/>
        <w:br/>
        <w:br/>
        <w:t xml:space="preserve">      d)     “las facultades que los artículos 46 y 47 de la Convención  […]</w:t>
        <w:br/>
        <w:t xml:space="preserve">      otorgan a la Comisión Interamericana […], permiten a  ésta  determinar</w:t>
        <w:br/>
        <w:t xml:space="preserve">      si una petición de una presunta  víctima  es  o  no  admisible”.   Sin</w:t>
        <w:br/>
        <w:t xml:space="preserve">      embargo, esa decisión sólo vincula  a  la  presunta  víctima  y  a  la</w:t>
        <w:br/>
        <w:t xml:space="preserve">      Comisión, pero no vincula  a  la  Excelentísima  Corte  ni  al  Estado</w:t>
        <w:br/>
        <w:t xml:space="preserve">      demandado”; y</w:t>
        <w:br/>
        <w:br/>
        <w:t xml:space="preserve">     e)    “el Derecho del Estado para oponer a  la  Demanda  la  falta  de</w:t>
        <w:br/>
        <w:t xml:space="preserve">     requisito de Admisibilidad lo ejerció en la oportunidad  debida,  ante</w:t>
        <w:br/>
        <w:t xml:space="preserve">     la   Excelentísima   Corte   Interamericana,   mediante    Excepciones</w:t>
        <w:br/>
        <w:t xml:space="preserve">     Preliminares”.</w:t>
        <w:br/>
        <w:br/>
        <w:t>69.   Alegatos de la Comisión</w:t>
        <w:br/>
        <w:br/>
        <w:t>La Comisión Interamericana solicitó a la  Corte  que  “desestime  de  plano”</w:t>
        <w:br/>
        <w:t>esta excepción preliminar por ser “improcedente  y  extemporánea”,  y  alegó</w:t>
        <w:br/>
        <w:t>que:</w:t>
        <w:br/>
        <w:br/>
        <w:br/>
        <w:t xml:space="preserve">      a)    el  Estado  manifiesta  expresamente  que  los  recursos  de  la</w:t>
        <w:br/>
        <w:t xml:space="preserve">      jurisdicción  interna  han  sido  agotados.   “[N]o  existe   entonces</w:t>
        <w:br/>
        <w:t xml:space="preserve">      controversia al respecto”;</w:t>
        <w:br/>
        <w:br/>
        <w:br/>
        <w:t xml:space="preserve">      b)    la excepción de falta de agotamiento de  los  recursos  internos</w:t>
        <w:br/>
        <w:t xml:space="preserve">      “debe rechazarse porque desconoce una decisión expresa de la  Comisión</w:t>
        <w:br/>
        <w:t xml:space="preserve">      […] en el Informe 125/01 de 3 de  diciembre  de  2001”,  que  resolvió</w:t>
        <w:br/>
        <w:t xml:space="preserve">      declarar  admisible  la  denuncia.  La  revisión  de   cuestiones   de</w:t>
        <w:br/>
        <w:t xml:space="preserve">      admisibilidad por la  Corte  “parecería  atentar  contra  la  igualdad</w:t>
        <w:br/>
        <w:t xml:space="preserve">      procesal y crear una disparidad entre las partes; y</w:t>
        <w:br/>
        <w:br/>
        <w:br/>
        <w:t xml:space="preserve">      c)    en dicho informe sobre admisibilidad consta  que  el  Estado  no</w:t>
        <w:br/>
        <w:t xml:space="preserve">      ejerció, dentro de la oportunidad procesal contemplada en el  artículo</w:t>
        <w:br/>
        <w:t xml:space="preserve">      48  de la Convención y en el artículo 30 del Reglamento, el derecho  a</w:t>
        <w:br/>
        <w:t xml:space="preserve">      remitir  información,  realizar   observaciones   y   controvertir   o</w:t>
        <w:br/>
        <w:t xml:space="preserve">      cuestionar  los  requisitos  de  admisibilidad  de  la  denuncia.   De</w:t>
        <w:br/>
        <w:t xml:space="preserve">      conformidad  con  la  jurisprudencia  de  la  Corte   y   las   normas</w:t>
        <w:br/>
        <w:t xml:space="preserve">      convencionales,  la   oportunidad   para   presentar   objeciones   al</w:t>
        <w:br/>
        <w:t xml:space="preserve">      agotamiento de recursos internos es ante la Comisión.</w:t>
        <w:br/>
        <w:br/>
        <w:br/>
        <w:t>70.   Alegatos de los representantes de las presuntas víctimas</w:t>
        <w:br/>
        <w:br/>
        <w:t>Los representantes solicitaron al Tribunal que  “deseche  los  alegatos  del</w:t>
        <w:br/>
        <w:t>Estado por ser notoriamente improcedentes” e indicaron que:</w:t>
        <w:br/>
        <w:br/>
        <w:t xml:space="preserve">      a)    el Estado aceptó que “los quejosos agotaron la  vía  interna  de</w:t>
        <w:br/>
        <w:t xml:space="preserve">      acuerdo a la Constitución Política y a la Ley Electoral”;</w:t>
        <w:br/>
        <w:br/>
        <w:t xml:space="preserve">      b)    “[e]s obvio que el Estado ha hecho  una  errónea  interpretación</w:t>
        <w:br/>
        <w:t xml:space="preserve">      del artículo 46  de  la  Convención  Americana”.   Los  requisitos  de</w:t>
        <w:br/>
        <w:t xml:space="preserve">      admisibilidad de una petición se encuentran en el artículo 46.1 de  la</w:t>
        <w:br/>
        <w:t xml:space="preserve">      Convención y las excepciones a éstos se encuentran en el inciso  2  de</w:t>
        <w:br/>
        <w:t xml:space="preserve">      dicho artículo. “Si, como en el presente caso, los  recursos  internos</w:t>
        <w:br/>
        <w:t xml:space="preserve">      han sido agotados y se ha presentado la petición dentro del  plazo  de</w:t>
        <w:br/>
        <w:t xml:space="preserve">      los seis meses, el numeral 2 del Art. 46 no tiene aplicación”; y</w:t>
        <w:br/>
        <w:br/>
        <w:br/>
        <w:t xml:space="preserve">      c)    el Estado no presentó observaciones a la  petición  inicial,  ni</w:t>
        <w:br/>
        <w:t xml:space="preserve">      presentó argumentos válidos que justifiquen la necesidad de reabrir la</w:t>
        <w:br/>
        <w:t xml:space="preserve">      discusión sobre admisibilidad.</w:t>
        <w:br/>
        <w:br/>
        <w:br/>
        <w:t>Consideraciones de la Corte</w:t>
        <w:br/>
        <w:br/>
        <w:t>71.   En la segunda excepción preliminar Nicaragua  no  alega  la  falta  de</w:t>
        <w:br/>
        <w:t>agotamiento de  recursos,  sino  presenta  argumentos  sobre  cuestiones  de</w:t>
        <w:br/>
        <w:t>fondo.  Al referirse a la existencia “de Legislación interna  […  sobre]  el</w:t>
        <w:br/>
        <w:t>debido Proceso Legal para la protección del derecho o derechos que se  alega</w:t>
        <w:br/>
        <w:t>han sido violados”, y señalar que en este caso “no existen  las  situaciones</w:t>
        <w:br/>
        <w:t>de que tratan las letras a), b) y c) del numeral 2 del […] artículo  [46  de</w:t>
        <w:br/>
        <w:t>la Convención Americana]”, en  realidad  alude  al  fondo  de  las  alegadas</w:t>
        <w:br/>
        <w:t>violaciones a los artículos 8 y 25 de la Convención Americana.</w:t>
        <w:br/>
        <w:br/>
        <w:t>72.   Al  resolver  sobre  el  fondo  de  este  caso,  la  Corte  tomará  en</w:t>
        <w:br/>
        <w:t>consideración los  alegatos  planteados  por  el  Estado  respecto  de  esta</w:t>
        <w:br/>
        <w:t>segunda excepción preliminar, pues se trata de argumentos que  controvierten</w:t>
        <w:br/>
        <w:t>la existencia de las violaciones alegadas.</w:t>
        <w:br/>
        <w:br/>
        <w:t>73.   Con base en las anteriores  consideraciones,  la  Corte  desestima  la</w:t>
        <w:br/>
        <w:t>segunda excepción preliminar.</w:t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Tercera Excepción Preliminar</w:t>
        <w:br/>
        <w:t xml:space="preserve">                     “Ilegitimidad en la Representación”</w:t>
        <w:br/>
        <w:br/>
        <w:t>74.   Alegatos del Estado:</w:t>
        <w:br/>
        <w:br/>
        <w:br/>
        <w:t xml:space="preserve">      a)    no se ha cumplido lo dispuesto en el artículo 23.1  y  23.2  del</w:t>
        <w:br/>
        <w:t xml:space="preserve">      Reglamento de la  Corte,  sobre  la  participación  de  las  presuntas</w:t>
        <w:br/>
        <w:t xml:space="preserve">      víctimas.  En la comunicación de 13 de agosto de 2003 dirigida por  el</w:t>
        <w:br/>
        <w:t xml:space="preserve">      señor Brooklyn  Rivera al Secretario de la Corte, “aquél confiesa  que</w:t>
        <w:br/>
        <w:t xml:space="preserve">      no ha acompañado los poderes de los candidatos  a  favor  de  CEJIL  y</w:t>
        <w:br/>
        <w:t xml:space="preserve">      CENIDH[,]”;</w:t>
        <w:br/>
        <w:br/>
        <w:t xml:space="preserve">      b)    “en la página siete de la Ampliación de  Demanda  los  firmantes</w:t>
        <w:br/>
        <w:t xml:space="preserve">      miembros del CEJIL y del  CENIDH,  confiesan  la  ilegitimidad  en  su</w:t>
        <w:br/>
        <w:t xml:space="preserve">      Representación” al solicitar a la Corte “que  requiera  al  Estado  la</w:t>
        <w:br/>
        <w:t xml:space="preserve">      presentación de las listas oficiales y se [les] permita que,  una  vez</w:t>
        <w:br/>
        <w:t xml:space="preserve">      que conozca[n] la lista oficial y final de los candidatos y candidatas</w:t>
        <w:br/>
        <w:t xml:space="preserve">      presentados por YATAMA en la RAAN y en la  RAAS  para  las  elecciones</w:t>
        <w:br/>
        <w:t xml:space="preserve">      municipales de 2000, presente[n] los poderes de representación de cada</w:t>
        <w:br/>
        <w:t xml:space="preserve">      una de las víctimas”;</w:t>
        <w:br/>
        <w:br/>
        <w:t xml:space="preserve">      c)    los poderes otorgados a CENIDH  y  a  CEJIL  por  las  presuntas</w:t>
        <w:br/>
        <w:t xml:space="preserve">      víctimas tienen “visibles infracciones  a  la  ley  del  Notariado  de</w:t>
        <w:br/>
        <w:t xml:space="preserve">      Nicaragua en vigor (arto. 23, inco 3) […]”;</w:t>
        <w:br/>
        <w:br/>
        <w:br/>
        <w:t xml:space="preserve">      d)    “[u]na cosa es que se hayan presentado sesenta y cuatro  poderes</w:t>
        <w:br/>
        <w:t xml:space="preserve">      de representación, defectuosos o correctos, que  es  potestad  [de  la</w:t>
        <w:br/>
        <w:t xml:space="preserve">      Corte] el aceptar  o  no  como  válidos,  y  otra  cosa  es  no  haber</w:t>
        <w:br/>
        <w:t xml:space="preserve">      presentado poderes de representación, que constituye falta absoluta de</w:t>
        <w:br/>
        <w:t xml:space="preserve">      representación, que es lo que el Estado de Nicaragua reclama  mediante</w:t>
        <w:br/>
        <w:t xml:space="preserve">      [esta] excepción”;</w:t>
        <w:br/>
        <w:br/>
        <w:br/>
        <w:t xml:space="preserve">      e)      los  representantes  de  las  supuestas   víctimas   “no   han</w:t>
        <w:br/>
        <w:t xml:space="preserve">      especificado, ni mucho menos justificado las supuestas  circunstancias</w:t>
        <w:br/>
        <w:t xml:space="preserve">      explicando por virtud de las cuales no pudieron obtener los poderes de</w:t>
        <w:br/>
        <w:t xml:space="preserve">      representación”; y</w:t>
        <w:br/>
        <w:br/>
        <w:t xml:space="preserve">      f)    “respecto de que el Estado de Nicaragua no ha  dado  facilidades</w:t>
        <w:br/>
        <w:t xml:space="preserve">      para conocer con exactitud a las supuestas víctimas para  obtener  sus</w:t>
        <w:br/>
        <w:t xml:space="preserve">      listados oficiales, en Nicaragua existen procedimientos  legales  para</w:t>
        <w:br/>
        <w:t xml:space="preserve">      obtener la exhibición de documentos  o  de  cosas  muebles,  según  lo</w:t>
        <w:br/>
        <w:t xml:space="preserve">      establecido en el artículo 921 del Código de Procedimiento Civil”.</w:t>
        <w:br/>
        <w:br/>
        <w:t>75.   Alegatos de la Comisión</w:t>
        <w:br/>
        <w:br/>
        <w:t>La Comisión Interamericana solicitó a la  Corte  que  “desestime  de  plano”</w:t>
        <w:br/>
        <w:t>esta excepción preliminar por ser “improcedente  y  extemporánea”,  y  alegó</w:t>
        <w:br/>
        <w:t>que:</w:t>
        <w:br/>
        <w:br/>
        <w:t xml:space="preserve">      a)    la Corte Interamericana ha establecido que el procedimiento ante</w:t>
        <w:br/>
        <w:t xml:space="preserve">      un tribunal internacional de derechos humanos no  está  sujeto  a  las</w:t>
        <w:br/>
        <w:t xml:space="preserve">      mismas formalidades de la legislación interna; y</w:t>
        <w:br/>
        <w:br/>
        <w:t xml:space="preserve">      b)    el alegato del Estado de que los poderes otorgados a CEJIL  y  a</w:t>
        <w:br/>
        <w:t xml:space="preserve">      CENIDH infringen la Ley de Notariado de Nicaragua,  “no  tiene  cabida</w:t>
        <w:br/>
        <w:t xml:space="preserve">      ante una corte internacional de derechos humanos, en virtud de que  el</w:t>
        <w:br/>
        <w:t xml:space="preserve">      Estado nicaragüense conoce quién representa a las [presuntas] víctimas</w:t>
        <w:br/>
        <w:t xml:space="preserve">      del caso y los  formalismos  en  cuanto  a  la  firma  de  poderes  no</w:t>
        <w:br/>
        <w:t xml:space="preserve">      afecta[n] su derecho de defensa  de manera alguna”.</w:t>
        <w:br/>
        <w:br/>
        <w:t>76.   Alegatos de los representantes de las presuntas víctimas</w:t>
        <w:br/>
        <w:br/>
        <w:t>Los  representantes  solicitaron  al  Tribunal  que  “deseche  la   presente</w:t>
        <w:br/>
        <w:t>excepción preliminar” e indicaron que:</w:t>
        <w:br/>
        <w:br/>
        <w:t xml:space="preserve">      a)    los poderes presentados por los representantes no deben  cumplir</w:t>
        <w:br/>
        <w:t xml:space="preserve">      los requisitos previstos en la legislación interna. Su validez  radica</w:t>
        <w:br/>
        <w:t xml:space="preserve">      en que deben identificar de manera unívoca al otorgante, reflejar  una</w:t>
        <w:br/>
        <w:t xml:space="preserve">      manifestación de voluntad libre de vicios, individualizar con claridad</w:t>
        <w:br/>
        <w:t xml:space="preserve">      al apoderado y señalar con precisión el objeto de  la  representación.</w:t>
        <w:br/>
        <w:t xml:space="preserve">      En  los  poderes  otorgados  en  este  caso   consta   claramente   la</w:t>
        <w:br/>
        <w:t xml:space="preserve">      identificación de los otorgantes y se individualiza con claridad a los</w:t>
        <w:br/>
        <w:t xml:space="preserve">      apoderados;</w:t>
        <w:br/>
        <w:br/>
        <w:t xml:space="preserve">     b)    “lo expuesto en la audiencia pública por el Agente  del  Ilustre</w:t>
        <w:br/>
        <w:t xml:space="preserve">     Estado de Nicaragua […] indica sin lugar a dudas que  su  representado</w:t>
        <w:br/>
        <w:t xml:space="preserve">     ha retirado los argumentos correspondientes a la falta de formalidades</w:t>
        <w:br/>
        <w:t xml:space="preserve">     de los poderes presentados”;</w:t>
        <w:br/>
        <w:br/>
        <w:br/>
        <w:t xml:space="preserve">      c)      los   poderes   de   representación   no   deben   presentarse</w:t>
        <w:br/>
        <w:t xml:space="preserve">      necesariamente en un solo momento. Los representantes pueden presentar</w:t>
        <w:br/>
        <w:t xml:space="preserve">      los poderes “en cualquier momento posterior a la  notificación  de  la</w:t>
        <w:br/>
        <w:t xml:space="preserve">      demanda de  la  Comisión.   […]  Mientras  esto  sucede,  la  Comisión</w:t>
        <w:br/>
        <w:t xml:space="preserve">      Interamericana, de conformidad con el Art. 33.3 del Reglamento  de  la</w:t>
        <w:br/>
        <w:t xml:space="preserve">      Corte, ‘será la representante procesal’ de todas aquellas  [presuntas]</w:t>
        <w:br/>
        <w:t xml:space="preserve">      víctimas que no señalen representante”;</w:t>
        <w:br/>
        <w:br/>
        <w:t xml:space="preserve">      d)    el artículo 44 de la Convención “otorga amplia flexibilidad para</w:t>
        <w:br/>
        <w:t xml:space="preserve">      presentar peticiones ante la Comisión”;</w:t>
        <w:br/>
        <w:br/>
        <w:t xml:space="preserve">       e)    existen  circunstancias  especiales  que  justifican  que  los</w:t>
        <w:br/>
        <w:t xml:space="preserve">     representantes   no   hayan   presentado   todos   los   poderes    de</w:t>
        <w:br/>
        <w:t xml:space="preserve">     representación;</w:t>
        <w:br/>
        <w:br/>
        <w:t xml:space="preserve">     f)     hubo dificultades para identificar a  los  candidatos  elegidos</w:t>
        <w:br/>
        <w:t xml:space="preserve">     por las comunidades indígenas de  la  Costa  Atlántica,  debido  a  su</w:t>
        <w:br/>
        <w:t xml:space="preserve">     cultura oral, que explica la ausencia de registros escritos,  y  a  la</w:t>
        <w:br/>
        <w:t xml:space="preserve">     “actitud obstructiva del Estado nicaragüense”. En su contestación a la</w:t>
        <w:br/>
        <w:t xml:space="preserve">     demanda, el Estado no presentó las listas oficiales de candidatos  “y,</w:t>
        <w:br/>
        <w:t xml:space="preserve">     por  ende,  los  representantes  de  las   [presuntas]   víctimas   no</w:t>
        <w:br/>
        <w:t xml:space="preserve">     p[u]d[ieron] individualizarlas y obtener de  cada  una  de  ellas  los</w:t>
        <w:br/>
        <w:t xml:space="preserve">     respectivos poderes”;</w:t>
        <w:br/>
        <w:br/>
        <w:t xml:space="preserve">     g)    se han presentado dificultades para obtener los poderes  de  los</w:t>
        <w:br/>
        <w:t xml:space="preserve">     candidatos presentados por YATAMA, debido igualmente a la preeminencia</w:t>
        <w:br/>
        <w:t xml:space="preserve">     de la cultura oral, a los problemas de  acceso  y  transporte  en  las</w:t>
        <w:br/>
        <w:t xml:space="preserve">     Regiones Autónomas del Atlántico y su alto costo para las  poblaciones</w:t>
        <w:br/>
        <w:t xml:space="preserve">     indígenas, al elevado número de presuntas víctimas y a  la  diferencia</w:t>
        <w:br/>
        <w:t xml:space="preserve">     cultural y ubicación de las mismas; y</w:t>
        <w:br/>
        <w:br/>
        <w:br/>
        <w:t xml:space="preserve">      h)    al referirse a “los representantes debidamente acreditados”, los</w:t>
        <w:br/>
        <w:t xml:space="preserve">      artículos 23, 33, 35 y 36 del Reglamento de la Corte tienen por objeto</w:t>
        <w:br/>
        <w:t xml:space="preserve">      garantizar que las presuntas víctimas o sus familiares, “una  vez  que</w:t>
        <w:br/>
        <w:t xml:space="preserve">      tienen  pleno  derecho  a  presentar  sus  argumentos,  solicitudes  y</w:t>
        <w:br/>
        <w:t xml:space="preserve">      pruebas, no queden en estado de indefensión en el  procedimiento  ante</w:t>
        <w:br/>
        <w:t xml:space="preserve">      la Corte”.</w:t>
        <w:br/>
        <w:br/>
        <w:br/>
        <w:t>Consideraciones de la Corte</w:t>
        <w:br/>
        <w:br/>
        <w:t>77.   Los alegatos del Estado respecto de la excepción de  “Ilegitimidad  en</w:t>
        <w:br/>
        <w:t>la Representación” se centran en dos  asuntos  principales:  a)  que  no  se</w:t>
        <w:br/>
        <w:t>presentaron poderes de representación de todas las presuntas víctimas; y  b)</w:t>
        <w:br/>
        <w:t>que los poderes otorgados a CENIDH y a CEJIL por algunas presuntas  víctimas</w:t>
        <w:br/>
        <w:t>tienen “visibles infracciones  a  la  ley  del  Notariado  de  Nicaragua  en</w:t>
        <w:br/>
        <w:t>vigor”.</w:t>
        <w:br/>
        <w:br/>
        <w:t>a)    Falta de presentación  de  poderes  de  representación  de  todas  las</w:t>
        <w:br/>
        <w:t>presuntas víctimas</w:t>
        <w:br/>
        <w:br/>
        <w:t>78.   El artículo 44 de la Convención establece que</w:t>
        <w:br/>
        <w:br/>
        <w:t xml:space="preserve">     [c]ualquier persona o grupo de personas, o  entidad  no  gubernamental</w:t>
        <w:br/>
        <w:t xml:space="preserve">     legalmente  reconocida  en  uno  o  más   Estados   miembros   de   la</w:t>
        <w:br/>
        <w:t xml:space="preserve">     Organización, puede presentar a la Comisión peticiones  que  contengan</w:t>
        <w:br/>
        <w:t xml:space="preserve">     denuncias o quejas de violación  de  esta  Convención  por  un  Estado</w:t>
        <w:br/>
        <w:t xml:space="preserve">     Parte.</w:t>
        <w:br/>
        <w:br/>
        <w:t>79.   El artículo 33 (Escrito  de  demanda)  del  Reglamento  de  la  Corte,</w:t>
        <w:br/>
        <w:t>vigente cuando la  Comisión  presentó  la  demanda  de  este  caso  ante  la</w:t>
        <w:br/>
        <w:t>Corte[3], estipulaba que:</w:t>
        <w:br/>
        <w:br/>
        <w:t xml:space="preserve">      El escrito de la demanda expresará:</w:t>
        <w:br/>
        <w:br/>
        <w:t xml:space="preserve">             1.     las  pretensiones  (incluídas  las   referidas   a   las</w:t>
        <w:br/>
        <w:t xml:space="preserve">                 reparaciones  y  costas);  las  partes  en  el   caso;   la</w:t>
        <w:br/>
        <w:t xml:space="preserve">                 exposición de los hechos; las resoluciones de apertura  del</w:t>
        <w:br/>
        <w:t xml:space="preserve">                 procedimiento y de admisibilidad  de  la  denuncia  por  la</w:t>
        <w:br/>
        <w:t xml:space="preserve">                 Comisión; las  pruebas  ofrecidas  con  indicación  de  los</w:t>
        <w:br/>
        <w:t xml:space="preserve">                 hechos sobre los cuales versarán; la  individualización  de</w:t>
        <w:br/>
        <w:t xml:space="preserve">                 los testigos y peritos y el objeto  de  sus  declaraciones;</w:t>
        <w:br/>
        <w:t xml:space="preserve">                 los fundamentos de derecho y las conclusiones  pertinentes.</w:t>
        <w:br/>
        <w:t xml:space="preserve">                 Además,  la  Comisión  deberá  consignar  el  nombre  y  la</w:t>
        <w:br/>
        <w:t xml:space="preserve">                 dirección del denunciante original, así como el nombre y la</w:t>
        <w:br/>
        <w:t xml:space="preserve">                 dirección de las presuntas víctimas, sus familiares  o  sus</w:t>
        <w:br/>
        <w:t xml:space="preserve">                 representantes  debidamente  acreditados  en  caso  de  ser</w:t>
        <w:br/>
        <w:t xml:space="preserve">                 posible.</w:t>
        <w:br/>
        <w:br/>
        <w:br/>
        <w:t xml:space="preserve">              2. los nombres de los Agentes o de los Delegados.</w:t>
        <w:br/>
        <w:br/>
        <w:t xml:space="preserve">           Junto con la demanda se acompañará el informe a que  se  refiere</w:t>
        <w:br/>
        <w:t xml:space="preserve">           el artículo 50 de la Convención si es  la  Comisión  la  que  la</w:t>
        <w:br/>
        <w:t xml:space="preserve">           introduce.</w:t>
        <w:br/>
        <w:br/>
        <w:br/>
        <w:t>80.   El artículo 35 del Reglamento (Notificación  de  la  demanda)  dispone</w:t>
        <w:br/>
        <w:t>que el Secretario comunicará la demanda a:</w:t>
        <w:br/>
        <w:br/>
        <w:t xml:space="preserve">           a.    el Presidente y los jueces de la Corte;</w:t>
        <w:br/>
        <w:br/>
        <w:br/>
        <w:t xml:space="preserve">           b.    el Estado demandado;</w:t>
        <w:br/>
        <w:br/>
        <w:br/>
        <w:t xml:space="preserve">           c.    la Comisión, si no es ella la demandante;</w:t>
        <w:br/>
        <w:br/>
        <w:br/>
        <w:t xml:space="preserve">           d.    el denunciante original, si se conoce;</w:t>
        <w:br/>
        <w:br/>
        <w:br/>
        <w:t xml:space="preserve">           e.    la presunta víctima, sus familiares o  sus  representantes</w:t>
        <w:br/>
        <w:t xml:space="preserve">           debidamente acreditados si fuere el caso.</w:t>
        <w:br/>
        <w:br/>
        <w:br/>
        <w:t>81.    El  artículo  23  (Participación  de  las  presuntas  víctimas)   del</w:t>
        <w:br/>
        <w:t>Reglamento de la Corte, acerca del cual el Estado sostiene  que  “no  se  ha</w:t>
        <w:br/>
        <w:t>cumplido” en este caso (supra párr. 74.a), establece que:</w:t>
        <w:br/>
        <w:br/>
        <w:t xml:space="preserve">      1.    Después de admitida la  demanda,  las  presuntas  víctimas,  sus</w:t>
        <w:br/>
        <w:t xml:space="preserve">           familiares o sus representantes debidamente  acreditados  podrán</w:t>
        <w:br/>
        <w:t xml:space="preserve">           presentar  sus  solicitudes,  argumentos  y  pruebas  en   forma</w:t>
        <w:br/>
        <w:t xml:space="preserve">           autónoma durante todo el proceso.</w:t>
        <w:br/>
        <w:br/>
        <w:t xml:space="preserve">      2.    De  existir  pluralidad  de  presuntas  víctimas,  familiares  o</w:t>
        <w:br/>
        <w:t xml:space="preserve">           representantes  debidamente  acreditados,  deberán  designar  un</w:t>
        <w:br/>
        <w:t xml:space="preserve">           interviniente  común  que  será  el  único  autorizado  para  la</w:t>
        <w:br/>
        <w:t xml:space="preserve">           presentación de solicitudes, argumentos y pruebas  en  el  curso</w:t>
        <w:br/>
        <w:t xml:space="preserve">           del proceso, incluidas las audiencias públicas.</w:t>
        <w:br/>
        <w:br/>
        <w:t xml:space="preserve">       3.     En  caso  de  eventual  desacuerdo,  la  Corte  resolverá   lo</w:t>
        <w:br/>
        <w:t xml:space="preserve">      conducente.</w:t>
        <w:br/>
        <w:br/>
        <w:br/>
        <w:t>82.   El acceso del individuo al Sistema  Interamericano  de  Protección  de</w:t>
        <w:br/>
        <w:t>los Derechos Humanos no puede ser restringido con base en  la  exigencia  de</w:t>
        <w:br/>
        <w:t>contar con representante legal.  La denuncia puede ser  presentada  por  una</w:t>
        <w:br/>
        <w:t>persona distinta a la presunta víctima.   La  Corte  ha  señalado  que  “las</w:t>
        <w:br/>
        <w:t>formalidades características de ciertas ramas del derecho interno  no  rigen</w:t>
        <w:br/>
        <w:t>en el derecho internacional  de  los  derechos  humanos,  cuyo  principal  y</w:t>
        <w:br/>
        <w:t>determinante  cuidado  es  la  debida  y   completa   protección   de   esos</w:t>
        <w:br/>
        <w:t>derechos”[4].</w:t>
        <w:br/>
        <w:br/>
        <w:t>83.   El artículo 33 del Reglamento vigente cuando se  presentó  la  demanda</w:t>
        <w:br/>
        <w:t>indicaba que “en caso de ser posible” la Comisión debía consignar el  nombre</w:t>
        <w:br/>
        <w:t>y  la  dirección  de  las  presuntas  víctimas,   sus   familiares   o   sus</w:t>
        <w:br/>
        <w:t>representantes debidamente acreditados.   Se  entiende  que  la  omisión  de</w:t>
        <w:br/>
        <w:t>estos datos no implicaba el rechazo  de  la  demanda.  El  artículo  35  del</w:t>
        <w:br/>
        <w:t>Reglamento establecía y establece que  la  demanda  será  notificada,  inter</w:t>
        <w:br/>
        <w:t>alia,  a  “la  presunta  víctima,  sus  familiares  o   sus   representantes</w:t>
        <w:br/>
        <w:t>debidamente  acreditados  si  fuere  el  caso”.   Se  contempla,  pues,   la</w:t>
        <w:br/>
        <w:t>posibilidad de que las presuntas  víctimas  o  sus  familiares  no  hubieren</w:t>
        <w:br/>
        <w:t>designado representantes.</w:t>
        <w:br/>
        <w:br/>
        <w:t>84.   El alcance de lo dispuesto en los citados artículos de  la  Convención</w:t>
        <w:br/>
        <w:t>Americana y del Reglamento debe ser interpretado por la  Corte  conforme  al</w:t>
        <w:br/>
        <w:t>objeto y fin de  dicho  tratado,  que  es  la  protección  de  los  derechos</w:t>
        <w:br/>
        <w:t>humanos[5], y de acuerdo al principio del efecto útil de las normas[6].</w:t>
        <w:br/>
        <w:br/>
        <w:t>85.   El citado artículo 23 del Reglamento, que regula la  participación  de</w:t>
        <w:br/>
        <w:t>las presuntas víctimas en el proceso ante la Corte, a partir de la  admisión</w:t>
        <w:br/>
        <w:t>de la  demanda,  contiene  una  de  las  modificaciones  reglamentarias  más</w:t>
        <w:br/>
        <w:t>importantes que introdujo el Reglamento  aprobado  el  24  de  noviembre  de</w:t>
        <w:br/>
        <w:t>2000, que entró en vigor el 1 de junio de 2001.  Esta norma reconoce  a  las</w:t>
        <w:br/>
        <w:t>presuntas víctimas y sus  familiares  el  derecho  de  participar  en  forma</w:t>
        <w:br/>
        <w:t>autónoma en todas las etapas del proceso.  Los anteriores reglamentos de  la</w:t>
        <w:br/>
        <w:t>Corte no les otorgaban una legitimación tan  amplia.   La  Corte  no  podría</w:t>
        <w:br/>
        <w:t>interpretar el  referido  artículo  23  del  Reglamento  en  el  sentido  de</w:t>
        <w:br/>
        <w:t>restringir los derechos de las presuntas víctimas y sus familiares  y  cesar</w:t>
        <w:br/>
        <w:t>en el conocimiento del caso cuando aquéllos no cuenten con un  representante</w:t>
        <w:br/>
        <w:t>debidamente acreditado.</w:t>
        <w:br/>
        <w:br/>
        <w:t>86.   Si no se admitiera una demanda porque se carece de representación,  se</w:t>
        <w:br/>
        <w:t>incurriría en una restricción indebida que privaría a  la  presunta  víctima</w:t>
        <w:br/>
        <w:t>de la posibilidad de acceder a la justicia.</w:t>
        <w:br/>
        <w:br/>
        <w:t>87.   La modificación que aprobó la Corte el 25  de  noviembre  de  2003  al</w:t>
        <w:br/>
        <w:t>artículo 33 de su Reglamento (supra párr. 79),  que  señala  los  datos  que</w:t>
        <w:br/>
        <w:t>deberá contener la demanda, permite reafirmar la anterior  conclusión.   Ese</w:t>
        <w:br/>
        <w:t>precepto indica en su inciso  3  que  la  demanda  expresará  “el  nombre  y</w:t>
        <w:br/>
        <w:t>dirección de los representantes de las presuntas víctimas y sus  familiares”</w:t>
        <w:br/>
        <w:t>y que:</w:t>
        <w:br/>
        <w:br/>
        <w:br/>
        <w:t xml:space="preserve">      […] En caso de que esta información no sea señalada en la demanda,  la</w:t>
        <w:br/>
        <w:t xml:space="preserve">      Comisión será la representante procesal de aquéllas como  garante  del</w:t>
        <w:br/>
        <w:t xml:space="preserve">      interés público bajo la Convención Americana,  de  modo  a  evitar  la</w:t>
        <w:br/>
        <w:t xml:space="preserve">      indefensión de las mismas.</w:t>
        <w:br/>
        <w:br/>
        <w:t>88.   El Tribunal tiene presente que lo dispuesto en el  referido  inciso  3</w:t>
        <w:br/>
        <w:t>del artículo 33 del Reglamento, respecto de la representación  procesal  que</w:t>
        <w:br/>
        <w:t>podría ejercer la Comisión, no estaba vigente al momento de la  presentación</w:t>
        <w:br/>
        <w:t>de la demanda en este caso,  pero  constituyó  una  práctica  constante  del</w:t>
        <w:br/>
        <w:t>Tribunal durante casi diez  años.   Esta  práctica  permite  establecer  que</w:t>
        <w:br/>
        <w:t>cuando la demanda no señale los datos de los representantes, la Corte  podrá</w:t>
        <w:br/>
        <w:t>conocer del caso.</w:t>
        <w:br/>
        <w:br/>
        <w:t>89.   En el caso que nos ocupa, la Corte observa que la Comisión aportó  los</w:t>
        <w:br/>
        <w:t>testimonios notariales de los poderes de representación de  34  de  las  109</w:t>
        <w:br/>
        <w:t>personas señaladas como presuntas víctimas en la demanda, en los  cuales  se</w:t>
        <w:br/>
        <w:t>manifiesta la clara  voluntad  de  ser  representados  por  funcionarios  de</w:t>
        <w:br/>
        <w:t>CENIDH y de CEJIL en el trámite del caso ante la Corte. Asimismo, señaló  la</w:t>
        <w:br/>
        <w:t>dirección y otros datos  de  dichos  representantes,  y  aportó  poderes  de</w:t>
        <w:br/>
        <w:t>representación de  25  personas  que  no  se  encontraban  en  la  lista  de</w:t>
        <w:br/>
        <w:t>presuntas  víctimas.   Ante  esta  situación,   la   Secretaría,   siguiendo</w:t>
        <w:br/>
        <w:t>instrucciones del Presidente, solicitó a la Comisión que  aclarara  “si  las</w:t>
        <w:br/>
        <w:t>75 presuntas víctimas  que  no  ha[bía]n  otorgado  poder  también  ser[ían]</w:t>
        <w:br/>
        <w:t>representadas por CENIDH y CEJIL, caso  en  el  cual  deb[ían]  remitir  los</w:t>
        <w:br/>
        <w:t>poderes a la brevedad”.  Asimismo, se indicó que “[e]n el caso de  que  esto</w:t>
        <w:br/>
        <w:t>no sea así, la Comisión deberá velar por los intereses  de  estas  personas,</w:t>
        <w:br/>
        <w:t>para asegurarse de que sean representadas efectivamente  en  las  diferentes</w:t>
        <w:br/>
        <w:t>etapas procesales ante la Corte”.</w:t>
        <w:br/>
        <w:br/>
        <w:t>90.   La Comisión presentó una nota el 12 de  agosto  de  2003,  en  la  que</w:t>
        <w:br/>
        <w:t>comunicó a la Corte  que  “ha[bía]  sido  informada  por  los  peticionarios</w:t>
        <w:br/>
        <w:t>originales que por diversas dificultades  no  ha[bían]  logrado  obtener  la</w:t>
        <w:br/>
        <w:t>totalidad de los  poderes  de  las  [presuntas]  víctimas  señaladas  en  la</w:t>
        <w:br/>
        <w:t>demanda de la C[omisión]; sin  embargo,  [CEJIL  y  CENIDH]  asumir[ía]n  la</w:t>
        <w:br/>
        <w:t>representación de todas las [presuntas] víctimas en el presente caso”.</w:t>
        <w:br/>
        <w:br/>
        <w:t>91.   El 22 de agosto de 2003 los referidos representantes  presentaron  una</w:t>
        <w:br/>
        <w:t>comunicación del señor  Brooklin  Rivera,  representante  legal  de  YATAMA,</w:t>
        <w:br/>
        <w:t>dirigida a la  Corte,  en  la  cual  éste  indica  que   “[l]a  organización</w:t>
        <w:br/>
        <w:t>indígena […] YATAMA […] señala […] que […]  CEJIL  y  […]  CENIDH,  son  los</w:t>
        <w:br/>
        <w:t>representantes legales de todos  los  candidatos  de  YATAMA,  tanto  de  la</w:t>
        <w:br/>
        <w:t>Región Autónoma  del  Atlántico  Norte,  como  de  la  Región  Autónoma  del</w:t>
        <w:br/>
        <w:t>Atlántico Sur, que fueron excluidos de las elecciones municipales el  cuatro</w:t>
        <w:br/>
        <w:t>de noviembre de 2000”, y explica que “[l]os  poderes  de  cada  uno  de  los</w:t>
        <w:br/>
        <w:t>candidatos a favor de CEJIL y CENIDH están siendo aún recogidos en cada  una</w:t>
        <w:br/>
        <w:t>de las localidades  de  residencia  de  los  candidatos”  y  que  “[p]or  la</w:t>
        <w:br/>
        <w:t>distancia y el número de candidatos esta labor ha sido difícil, por  lo  que</w:t>
        <w:br/>
        <w:t>presentar[ían] a la H. Corte los respectivos poderes conforme  los  [fueran]</w:t>
        <w:br/>
        <w:t>recogiendo”.  En su escrito de solicitudes y argumentos de 14  de  noviembre</w:t>
        <w:br/>
        <w:t>de 2003, CENIDH y CEJIL  indicaron  que  en  diversas  oportunidades  habían</w:t>
        <w:br/>
        <w:t>solicitado al Estado que les facilitara las listas oficiales  de  candidatos</w:t>
        <w:br/>
        <w:t>presentados por YATAMA para las elecciones municipales  de  2000,  pero  que</w:t>
        <w:br/>
        <w:t>aquél únicamente les entregó la misma lista de candidatos  de  la  RAAN  que</w:t>
        <w:br/>
        <w:t>fue   presentada  en  el  trámite  del  caso  ante  la  Comisión.   En  esta</w:t>
        <w:br/>
        <w:t>oportunidad  los  representantes  no  proporcionaron  ningún  otro  poder  o</w:t>
        <w:br/>
        <w:t>mandato.  Posteriormente, el  17  de  febrero  de  2005  los  representantes</w:t>
        <w:br/>
        <w:t>remitieron el testimonio notarial del poder otorgado el  14  de  febrero  de</w:t>
        <w:br/>
        <w:t>2005 por siete presuntas víctimas.  Finalmente, al  presentar  sus  alegatos</w:t>
        <w:br/>
        <w:t>finales escritos, los representantes aportaron  los  testimonios  notariales</w:t>
        <w:br/>
        <w:t>de los poderes otorgados por 79 presuntas víctimas.</w:t>
        <w:br/>
        <w:br/>
        <w:t>92.   De esta forma, durante el transcurso del proceso ante la Corte  fueron</w:t>
        <w:br/>
        <w:t>aportados los poderes de la mayoría de las presuntas víctimas.  El  Tribunal</w:t>
        <w:br/>
        <w:t>considera que lo óptimo hubiera sido contar con los poderes desde el  inicio</w:t>
        <w:br/>
        <w:t>del proceso ante la Corte; sin embargo, estima que las razones alegadas  por</w:t>
        <w:br/>
        <w:t>los representantes (supra párr. 76) demuestran la  existencia  de  problemas</w:t>
        <w:br/>
        <w:t>que lo impidieron, los cuales fueron indicados a la Corte y  a  la  Comisión</w:t>
        <w:br/>
        <w:t>por los representantes desde la primera oportunidad en que intervinieron  de</w:t>
        <w:br/>
        <w:t>forma  autónoma  en  este  proceso.   Esas  dificultades  guardan   estrecha</w:t>
        <w:br/>
        <w:t>relación   con   la   pluralidad   de   presuntas   víctimas,   su   cultura</w:t>
        <w:br/>
        <w:t>predominantemente oral, los problemas de acceso y transporte para  llegar  a</w:t>
        <w:br/>
        <w:t>las distintas comunidades en la Costa Atlántica y la falta de  documentación</w:t>
        <w:br/>
        <w:t>oficial en la cual constaran los nombres de todas las  personas  presentadas</w:t>
        <w:br/>
        <w:t>como candidatos (infra párrs. 135 y 136).</w:t>
        <w:br/>
        <w:br/>
        <w:t>93.   En vista de algunos alegatos del Estado (supra  párr.  74),  la  Corte</w:t>
        <w:br/>
        <w:t>considera conveniente aclarar que aunque  CENIDH  y  CEJIL,  la  Comisión  o</w:t>
        <w:br/>
        <w:t>alguno de los representantes de YATAMA hubiere expresado  en  algún  escrito</w:t>
        <w:br/>
        <w:t>que las primeras dos organizaciones representaban a  “todas”  las  presuntas</w:t>
        <w:br/>
        <w:t>víctimas, cuando el Tribunal se ha referido  a  dichas  organizaciones  como</w:t>
        <w:br/>
        <w:t>“los representantes de las presuntas víctimas” lo ha hecho en  el  entendido</w:t>
        <w:br/>
        <w:t>de que lo serían  de  aquellas  presuntas  víctimas  que  efectivamente  les</w:t>
        <w:br/>
        <w:t>otorgaron poder de representación y que,  mientras  esto  no  ocurriera,  la</w:t>
        <w:br/>
        <w:t>Comisión sería la encargada de velar por los intereses de  quienes  carecían</w:t>
        <w:br/>
        <w:t>de representación.  Asimismo, el Tribunal  reconoce  que,  durante  todo  el</w:t>
        <w:br/>
        <w:t>proceso ante la Corte, CENIDH y CEJIL presentaron solicitudes, argumentos  y</w:t>
        <w:br/>
        <w:t>pruebas a favor de  todas  las  presuntas  víctimas,  aunque  no  todas  los</w:t>
        <w:br/>
        <w:t>hubiesen nombrado como representantes.</w:t>
        <w:br/>
        <w:br/>
        <w:br/>
        <w:t>b)    “[V]isibles infracciones a  la  ley  del  Notariado  de  Nicaragua  en</w:t>
        <w:br/>
        <w:t>vigor” de los poderes otorgados a CENIDH  y  a  CEJIL  por  algunas  de  las</w:t>
        <w:br/>
        <w:t>presuntas víctimas</w:t>
        <w:br/>
        <w:br/>
        <w:t>94.   La Corte ha establecido  que  no  es  indispensable  que  los  poderes</w:t>
        <w:br/>
        <w:t>otorgados por las presuntas víctimas para ser representadas  en  el  proceso</w:t>
        <w:br/>
        <w:t>ante la Corte cumplan las mismas formalidades que regula el derecho  interno</w:t>
        <w:br/>
        <w:t>del Estado demandado[7].  Asimismo, ha señalado que:</w:t>
        <w:br/>
        <w:br/>
        <w:t xml:space="preserve">      La práctica constante de esta Corte  con  respecto  a  las  reglas  de</w:t>
        <w:br/>
        <w:t xml:space="preserve">      representación  se  ha  guiado   por   [dichos   parámetros]   y,   en</w:t>
        <w:br/>
        <w:t xml:space="preserve">      consecuencia, ha sido flexible y se ha aplicado sin distinción […].</w:t>
        <w:br/>
        <w:br/>
        <w:t xml:space="preserve">      […]  Esta  amplitud  de   criterio   al   aceptar   los   instrumentos</w:t>
        <w:br/>
        <w:t xml:space="preserve">      constitutivos de la representación tiene, sin embargo, ciertos límites</w:t>
        <w:br/>
        <w:t xml:space="preserve">      que están dados  por  el  objeto  útil  de  la  representación  misma.</w:t>
        <w:br/>
        <w:t xml:space="preserve">      Primero, dichos instrumentos deben identificar de  manera  unívoca  al</w:t>
        <w:br/>
        <w:t xml:space="preserve">      poderdante y reflejar una manifestación de voluntad libre  de  vicios.</w:t>
        <w:br/>
        <w:t xml:space="preserve">      Deben además individualizar con claridad al apoderado y,  por  último,</w:t>
        <w:br/>
        <w:t xml:space="preserve">      deben señalar con  precisión  el  objeto  de  la  representación.   En</w:t>
        <w:br/>
        <w:t xml:space="preserve">      opinión de esta Corte, los instrumentos que cumplan con los requisitos</w:t>
        <w:br/>
        <w:t xml:space="preserve">      mencionados  son  válidos  y  adquieren  plena  efectividad   al   ser</w:t>
        <w:br/>
        <w:t xml:space="preserve">      presentados ante el Tribunal[8].</w:t>
        <w:br/>
        <w:br/>
        <w:t>95.   En los poderes otorgados por la mayoría de las  presuntas  víctimas  a</w:t>
        <w:br/>
        <w:t>CENIDH y CEJIL se hace constar claramente las calidades de  los  otorgantes,</w:t>
        <w:br/>
        <w:t>los datos de los apoderados, el objeto  del  poder  y  la  voluntad  de  los</w:t>
        <w:br/>
        <w:t>primeros de ser representados por  funcionarios  de  dichas  organizaciones.</w:t>
        <w:br/>
        <w:t>Por ello, la Corte encuentra que los poderes de representación  son  válidos</w:t>
        <w:br/>
        <w:t>y efectivos en el proceso ante este  Tribunal.   Asimismo,  el  que  algunas</w:t>
        <w:br/>
        <w:t>presuntas víctimas no hubieren otorgado poder no conlleva a que la Corte  se</w:t>
        <w:br/>
        <w:t>abstenga de conocer el caso, pues ello implicaría una  restricción  indebida</w:t>
        <w:br/>
        <w:t>(supra párrs. 82 a 92).</w:t>
        <w:br/>
        <w:br/>
        <w:t>96.   En consecuencia, la Corte desestima la tercera excepción preliminar.</w:t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Quinta Excepción Preliminar</w:t>
        <w:br/>
        <w:t xml:space="preserve">                “Oscuridad de la Demanda y de su Ampliación”</w:t>
        <w:br/>
        <w:br/>
        <w:br/>
        <w:t>97.   Alegatos del Estado:</w:t>
        <w:br/>
        <w:br/>
        <w:t xml:space="preserve">      a)     “si las  personas  por  quienes  demandan  la  Comisión  y  los</w:t>
        <w:br/>
        <w:t xml:space="preserve">      organismos  citados  en  su  ampliación,   no   cumplieron   con   las</w:t>
        <w:br/>
        <w:t xml:space="preserve">      regulaciones  de  la  ley  electoral  y,  como  consecuencia,  no  […]</w:t>
        <w:br/>
        <w:t xml:space="preserve">      participa[ron] en el proceso de elección de Alcaldes, Vice–Alcaldes  y</w:t>
        <w:br/>
        <w:t xml:space="preserve">      Concejales, de ninguna  manera  significa  violación  a  sus  derechos</w:t>
        <w:br/>
        <w:t xml:space="preserve">      políticos”;</w:t>
        <w:br/>
        <w:br/>
        <w:t xml:space="preserve">      b)    es competencia de los organismos electorales  determinar  si  el</w:t>
        <w:br/>
        <w:t xml:space="preserve">      partido YATAMA cumplió  o  no  los  requisitos  exigidos  por  la  Ley</w:t>
        <w:br/>
        <w:t xml:space="preserve">      Electoral nicaragüense para participar en las  elecciones  municipales</w:t>
        <w:br/>
        <w:t xml:space="preserve">      de 5 de noviembre del 2000. El Consejo Supremo  Electoral  es  el  más</w:t>
        <w:br/>
        <w:t xml:space="preserve">      alto organismo de Nicaragua  en  materia  electoral  y  constituye  la</w:t>
        <w:br/>
        <w:t xml:space="preserve">      última instancia sobre dicha materia. “[L]a Ley en  materia  electoral</w:t>
        <w:br/>
        <w:t xml:space="preserve">      le da al Consejo una función jurisdiccional […] y  por  ello  resolvió</w:t>
        <w:br/>
        <w:t xml:space="preserve">      como un organismo judicial de última  instancia,  de  acuerdo  con  la</w:t>
        <w:br/>
        <w:t xml:space="preserve">      Constitución Política vigente”;</w:t>
        <w:br/>
        <w:br/>
        <w:t xml:space="preserve">      c)    la demanda es oscura porque no se sabe qué es lo que se pide  en</w:t>
        <w:br/>
        <w:t xml:space="preserve">      concreto.  En el petitorio,  la  Comisión  solicita  a  la  Corte  que</w:t>
        <w:br/>
        <w:t xml:space="preserve">      declare que  Nicaragua  debe  reformar  la  legislación  interna  para</w:t>
        <w:br/>
        <w:t xml:space="preserve">      facilitar la participación política de las organizaciones indígenas en</w:t>
        <w:br/>
        <w:t xml:space="preserve">      los distintos procesos electorales de la Región Autónoma de  la  Costa</w:t>
        <w:br/>
        <w:t xml:space="preserve">      Atlántica de Nicaragua, de acuerdo  al  derecho  consuetudinario,  los</w:t>
        <w:br/>
        <w:t xml:space="preserve">      valores, usos y costumbres de los pueblos indígenas  que  la  habitan.</w:t>
        <w:br/>
        <w:t xml:space="preserve">      “Esa petición no aparece fundamentada”; y</w:t>
        <w:br/>
        <w:br/>
        <w:br/>
        <w:t xml:space="preserve">      d)    lo planteado por la Comisión y los representantes “apunta a  una</w:t>
        <w:br/>
        <w:t xml:space="preserve">      revisión abstracta de la compatibilidad del  Derecho  Interno  con  la</w:t>
        <w:br/>
        <w:t xml:space="preserve">      Convención Americana”.</w:t>
        <w:br/>
        <w:br/>
        <w:t>98.   Alegatos de la Comisión</w:t>
        <w:br/>
        <w:br/>
        <w:t>La Comisión Interamericana solicitó a la Corte que rechace “de  plano”  esta</w:t>
        <w:br/>
        <w:t>excepción, con base en que:</w:t>
        <w:br/>
        <w:br/>
        <w:t xml:space="preserve">      a)    de los argumentos esgrimidos por el  Estado  “no  se  desprenden</w:t>
        <w:br/>
        <w:t xml:space="preserve">      siquiera fundamentos de derecho que puedan sustentar tal reclamación”;</w:t>
        <w:br/>
        <w:t xml:space="preserve">      y</w:t>
        <w:br/>
        <w:br/>
        <w:br/>
        <w:t xml:space="preserve">      b)    el artículo 37.2 del Reglamento  de  la  Corte  dispone  que  al</w:t>
        <w:br/>
        <w:t xml:space="preserve">      oponer excepciones preliminares, el Estado deberá exponer “los  hechos</w:t>
        <w:br/>
        <w:t xml:space="preserve">      referentes a las mismas, los fundamentos de derecho, las  conclusiones</w:t>
        <w:br/>
        <w:t xml:space="preserve">      y los documentos que las apoyen,  así  como  el  ofrecimiento  de  los</w:t>
        <w:br/>
        <w:t xml:space="preserve">      medios de prueba que el promovente pretende hacer valer”.</w:t>
        <w:br/>
        <w:br/>
        <w:t>99.   Alegatos de los representantes de las presuntas víctimas</w:t>
        <w:br/>
        <w:br/>
        <w:t>Los representantes indicaron que esta excepción no reviste  el  carácter  de</w:t>
        <w:br/>
        <w:t>preliminar, solicitaron al Tribunal que la “deseche” e indicaron que:</w:t>
        <w:br/>
        <w:br/>
        <w:t xml:space="preserve">      a)    la Comisión y los representantes buscan “la determinación de  la</w:t>
        <w:br/>
        <w:t xml:space="preserve">      Corte Interamericana respecto [de]  las  violaciones  a  los  derechos</w:t>
        <w:br/>
        <w:t xml:space="preserve">      humanos de los candidatos y candidatas presentados por YATAMA para las</w:t>
        <w:br/>
        <w:t xml:space="preserve">      elecciones municipales de 2000 y, en caso que la Corte así lo haga, la</w:t>
        <w:br/>
        <w:t xml:space="preserve">      adecuación de las leyes internas a la Convención Americana”.  Esto  se</w:t>
        <w:br/>
        <w:t xml:space="preserve">      desprende claramente  del  texto  de  la  demanda  y  del  escrito  de</w:t>
        <w:br/>
        <w:t xml:space="preserve">      solicitudes y argumentos de los representantes;</w:t>
        <w:br/>
        <w:br/>
        <w:br/>
        <w:t xml:space="preserve">      b)    no se reclama la violación de  los  derechos  de  las  presuntas</w:t>
        <w:br/>
        <w:t xml:space="preserve">      víctimas por la sola existencia de la Ley Electoral, “sino  que  h[an]</w:t>
        <w:br/>
        <w:t xml:space="preserve">      señalado actos concretos que violaron derechos de personas debidamente</w:t>
        <w:br/>
        <w:t xml:space="preserve">      identificadas, así como la existencia y ausencia  de  normas  que  las</w:t>
        <w:br/>
        <w:t xml:space="preserve">      afectan directamente, al no proteger sus derechos”; y</w:t>
        <w:br/>
        <w:br/>
        <w:br/>
        <w:t xml:space="preserve">      c)    la Corte ha ordenado a varios Estados que adecuen su legislación</w:t>
        <w:br/>
        <w:t xml:space="preserve">      interna a la Convención. “La responsabilidad internacional recae sobre</w:t>
        <w:br/>
        <w:t xml:space="preserve">      todo el Estado y no solamente en uno de sus Poderes”.</w:t>
        <w:br/>
        <w:br/>
        <w:br/>
        <w:t>Consideraciones de la Corte</w:t>
        <w:br/>
        <w:br/>
        <w:t>100.  En la demanda y en el  escrito  de  solicitudes  y  argumentos  no  se</w:t>
        <w:br/>
        <w:t>plantea una solicitud  de  “revisión  abstracta  de  la  compatibilidad  del</w:t>
        <w:br/>
        <w:t>Derecho Interno con la Convención Americana”.  La  Comisión  señaló  que  el</w:t>
        <w:br/>
        <w:t>Estado debería ser declarado responsable por determinados actos y  omisiones</w:t>
        <w:br/>
        <w:t>en relación con la supuesta exclusión de los  candidatos  de  YATAMA  en  la</w:t>
        <w:br/>
        <w:t>RAAN y en la RAAS de participar en las elecciones  municipales  de  2000,  y</w:t>
        <w:br/>
        <w:t>sostuvo que la Ley Electoral que fue aplicada no garantizaba  el  derecho  a</w:t>
        <w:br/>
        <w:t>la participación política de las organizaciones indígenas  en  las  Regiones</w:t>
        <w:br/>
        <w:t>Autónomas de la Costa Atlántica de Nicaragua,  de  acuerdo  a  los  valores,</w:t>
        <w:br/>
        <w:t>usos  y  costumbres  de   sus   miembros.    La   determinación   de   dicha</w:t>
        <w:br/>
        <w:t>responsabilidad corresponde al fondo de la controversia.</w:t>
        <w:br/>
        <w:br/>
        <w:t>101.  El aspecto sustancial de la controversia en este caso  no  es  que  la</w:t>
        <w:br/>
        <w:t>Corte determine si YATAMA  cumplió  o  no  la  normativa  electoral  interna</w:t>
        <w:br/>
        <w:t>(supra  párr.  97.b),  sino  si  Nicaragua  ha  violado   las   obligaciones</w:t>
        <w:br/>
        <w:t>internacionales  que  contrajo  al  constituirse  en  Estado  Parte  en   la</w:t>
        <w:br/>
        <w:t>Convención Americana[9].  El Derecho Internacional de los  Derechos  Humanos</w:t>
        <w:br/>
        <w:t>tiene por objeto proporcionar al  individuo  medios  de  protección  de  los</w:t>
        <w:br/>
        <w:t>derechos humanos reconocidos internacionalmente frente al Estado[10].</w:t>
        <w:br/>
        <w:br/>
        <w:t>102.  Corresponde a la Corte determinar si el Estado  cumplió  el  deber  de</w:t>
        <w:br/>
        <w:t>adecuar su normativa interna  a  la  Convención  para  hacer  efectivos  los</w:t>
        <w:br/>
        <w:t>derechos  consagrados  en  ésta.   Para  ello,   el   Tribunal   tomará   en</w:t>
        <w:br/>
        <w:t>consideración los alegatos planteados por el Estado respecto de esta  quinta</w:t>
        <w:br/>
        <w:t>excepción  preliminar,  pues  se  trata  de  argumentos  que  se  dirigen  a</w:t>
        <w:br/>
        <w:t>controvertir la existencia de las violaciones alegadas.</w:t>
        <w:br/>
        <w:br/>
        <w:t>103.  En virtud de las anteriores consideraciones,  la  Corte  desestima  la</w:t>
        <w:br/>
        <w:t>quinta excepción preliminar por no tratarse propiamente de una excepción.</w:t>
        <w:br/>
        <w:br/>
        <w:t xml:space="preserve">                                      *</w:t>
        <w:br/>
        <w:t xml:space="preserve">                                   *     *</w:t>
        <w:br/>
        <w:br/>
        <w:t>104.  Una vez desestimadas las cinco excepciones  preliminares  interpuestas</w:t>
        <w:br/>
        <w:t>por el Estado, la Corte procede a analizar el fondo del caso.</w:t>
        <w:br/>
        <w:br/>
        <w:br/>
        <w:t xml:space="preserve">                                     VI</w:t>
        <w:br/>
        <w:t xml:space="preserve">                                   Prueba</w:t>
        <w:br/>
        <w:br/>
        <w:t>105.  Antes de examinar las pruebas ofrecidas, la Corte formulará,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106.  En materia  probatoria  rige  el  principio  del  contradictorio,  que</w:t>
        <w:br/>
        <w:t>respeta el derecho de defensa de las partes. El artículo 44  del  Reglamento</w:t>
        <w:br/>
        <w:t>contempla este principio, en lo que atañe  a  la  oportunidad  en  que  debe</w:t>
        <w:br/>
        <w:t>ofrecerse la prueba para que haya igualdad entre las partes[11].</w:t>
        <w:br/>
        <w:br/>
        <w:t>107.  Según la práctica del Tribunal, al inicio de cada  etapa  procesal  en</w:t>
        <w:br/>
        <w:t>la primera oportunidad que se les concede para pronunciarse por escrito  las</w:t>
        <w:br/>
        <w:t>partes deben señalar qué pruebas ofrecerán.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expresamente[12].</w:t>
        <w:br/>
        <w:br/>
        <w:t>108.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adoptado una rígida determinación del quantum de la  prueba  necesaria  para</w:t>
        <w:br/>
        <w:t>fundar  un  fallo.   Este   criterio   es   válido   para   los   tribunales</w:t>
        <w:br/>
        <w:t>internacionales de derechos humanos, que disponen de amplias  facultades  en</w:t>
        <w:br/>
        <w:t>la valoración de la prueba rendida ante ellos sobre los hechos  pertinentes,</w:t>
        <w:br/>
        <w:t>de acuerdo con las reglas de la lógica y con base en la experiencia[13].</w:t>
        <w:br/>
        <w:br/>
        <w:t>109.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 solicitada  por  el  Tribunal  y  su</w:t>
        <w:br/>
        <w:t>Presidente, así como la prueba pericial y testimonial rendida ante la  Corte</w:t>
        <w:br/>
        <w:t>durante la audiencia pública, todo lo cual  conforma  el  acervo  probatorio</w:t>
        <w:br/>
        <w:t>del presente caso. Para ello el Tribunal se atendrá a los principios  de  la</w:t>
        <w:br/>
        <w:t>sana crítica, dentro del marco legal correspondiente.</w:t>
        <w:br/>
        <w:br/>
        <w:br/>
        <w:br/>
        <w:t xml:space="preserve">                           A)    Prueba documental</w:t>
        <w:br/>
        <w:br/>
        <w:br/>
        <w:t>110.  La Comisión, los representantes y el Estado  remitieron  declaraciones</w:t>
        <w:br/>
        <w:t>testimoniales  y  dictámenes  periciales  rendidos  ante  fedatario  público</w:t>
        <w:br/>
        <w:t>(affidávits), y la Comisión aportó dos declaraciones  juradas  escritas,  en</w:t>
        <w:br/>
        <w:t>respuesta a lo dispuesto por el Presidente en su Resolución de 28  de  enero</w:t>
        <w:br/>
        <w:t>de 2005 (supra párr. 28). Dichas declaraciones y  dictámenes  se  resumen  a</w:t>
        <w:br/>
        <w:t>continuación.</w:t>
        <w:br/>
        <w:br/>
        <w:br/>
        <w:br/>
        <w:br/>
        <w:br/>
        <w:t xml:space="preserve">                                 Testimonios</w:t>
        <w:br/>
        <w:br/>
        <w:br/>
        <w:t>a)    Propuestos por la Comisión Interamericana y por los representantes</w:t>
        <w:br/>
        <w:br/>
        <w:t xml:space="preserve">     1.    Centuriano Knight Andrews, representante legal de YATAMA  en  la</w:t>
        <w:br/>
        <w:t xml:space="preserve">     RAAN</w:t>
        <w:br/>
        <w:br/>
        <w:t xml:space="preserve">      YATAMA surgió en la década de 1970 con el nombre de ALPROMISU. En 1978</w:t>
        <w:br/>
        <w:t xml:space="preserve">      extendió su cobertura a todos los  municipios  de  la  RAAN.  En  1979</w:t>
        <w:br/>
        <w:t xml:space="preserve">      adoptó el nombre de MISURASATA, y en 1987 pasó a  denominarse  YATAMA,</w:t>
        <w:br/>
        <w:t xml:space="preserve">      que significa “Organización de los hijos de la madre tierra”.</w:t>
        <w:br/>
        <w:br/>
        <w:br/>
        <w:t xml:space="preserve">      Las comunidades indígenas consideran que la organización YATAMA es  su</w:t>
        <w:br/>
        <w:t xml:space="preserve">      protectora y acuden a sus representantes antes que  a  cualquier  otra</w:t>
        <w:br/>
        <w:t xml:space="preserve">      autoridad. Desde  1990  inició  su  participación  en  las  elecciones</w:t>
        <w:br/>
        <w:t xml:space="preserve">      regionales como asociación de suscripción popular, lo cual  “implicaba</w:t>
        <w:br/>
        <w:t xml:space="preserve">      que cualquier organización  podía  participar  en  las  elecciones  si</w:t>
        <w:br/>
        <w:t xml:space="preserve">      recogía cierto número de firmas y no  se  exigía  la  presentación  de</w:t>
        <w:br/>
        <w:t xml:space="preserve">      candidatos en todas las circunscripciones territoriales”. La figura de</w:t>
        <w:br/>
        <w:t xml:space="preserve">      la suscripción popular fue eliminada por la  Ley  Electoral  de  2000,</w:t>
        <w:br/>
        <w:t xml:space="preserve">      obligando a la organización a convertirse en partido político el 4  de</w:t>
        <w:br/>
        <w:t xml:space="preserve">      mayo de 2000. Este cambio ha sido una imposición  del  Gobierno  y  ha</w:t>
        <w:br/>
        <w:t xml:space="preserve">      impedido “proseguir con las  acciones  que  hacían  como  organización</w:t>
        <w:br/>
        <w:t xml:space="preserve">      indígena[;] por ejemplo, tienen dificultad[es] para  conseguir  fondos</w:t>
        <w:br/>
        <w:t xml:space="preserve">      de cooperación internacional, que no le son entregados por ser partido</w:t>
        <w:br/>
        <w:t xml:space="preserve">      político”.</w:t>
        <w:br/>
        <w:br/>
        <w:br/>
        <w:t xml:space="preserve">      Para participar en las elecciones municipales de 2000, los  candidatos</w:t>
        <w:br/>
        <w:t xml:space="preserve">      de YATAMA fueron elegidos de acuerdo a las formas  “organizativas”  de</w:t>
        <w:br/>
        <w:t xml:space="preserve">      las comunidades indígenas en asambleas territoriales municipales.   En</w:t>
        <w:br/>
        <w:t xml:space="preserve">      principio, sólo se puede ser candidato de YATAMA una  vez.  Muchos  de</w:t>
        <w:br/>
        <w:t xml:space="preserve">      los candidatos que no participaron en las  elecciones  municipales  de</w:t>
        <w:br/>
        <w:t xml:space="preserve">      2000 no pudieron hacerlo en las de 2004 por dicha circunstancia.</w:t>
        <w:br/>
        <w:br/>
        <w:br/>
        <w:t xml:space="preserve">      “En octubre del año 2000” el  Consejo  Supremo  Electoral  notificó  a</w:t>
        <w:br/>
        <w:t xml:space="preserve">      YATAMA que no podría participar en las elecciones municipales de 2000,</w:t>
        <w:br/>
        <w:t xml:space="preserve">      señalando que “no consiguieron la personería jurídica  dentro  de  los</w:t>
        <w:br/>
        <w:t xml:space="preserve">      seis meses anteriores” y que no habían presentado candidatos en el 80%</w:t>
        <w:br/>
        <w:t xml:space="preserve">      de los municipios, lo cual no era cierto por cuanto YATAMA  obtuvo  su</w:t>
        <w:br/>
        <w:t xml:space="preserve">      personería el 4 de mayo de 2000 y propuso candidatos en “cinco de  las</w:t>
        <w:br/>
        <w:t xml:space="preserve">      seis municipalidades” de la RAAN.  La RAAS  y  la  RAAN  son  regiones</w:t>
        <w:br/>
        <w:t xml:space="preserve">      “distintas e independientes” y por ello el que se hubiese  impedido  a</w:t>
        <w:br/>
        <w:t xml:space="preserve">      YATAMA participar en la RAAS no debió afectar su derecho a  participar</w:t>
        <w:br/>
        <w:t xml:space="preserve">      en la RAAN. Debido a esta exclusión  YATAMA  presentó  un  recurso  de</w:t>
        <w:br/>
        <w:t xml:space="preserve">      amparo ante el Tribunal de Apelaciones de la circunscripción Atlántico</w:t>
        <w:br/>
        <w:t xml:space="preserve">      Norte, cuyos magistrados resolvieron a favor de YATAMA.  Sin  embargo,</w:t>
        <w:br/>
        <w:t xml:space="preserve">      la Corte Suprema de Justicia confirmó la decisión del Consejo  Supremo</w:t>
        <w:br/>
        <w:t xml:space="preserve">      Electoral.</w:t>
        <w:br/>
        <w:br/>
        <w:br/>
        <w:t xml:space="preserve">      La exclusión de YATAMA de las elecciones afectó a los candidatos  y  a</w:t>
        <w:br/>
        <w:t xml:space="preserve">      sus familias, que invirtieron dinero, tiempo y  “dejaron  de  trabajar</w:t>
        <w:br/>
        <w:t xml:space="preserve">      para dedicarse a la […] campaña política”.  Asimismo, afectó a YATAMA,</w:t>
        <w:br/>
        <w:t xml:space="preserve">      que “financió la realización de las asambleas,  y  a  las  comunidades</w:t>
        <w:br/>
        <w:t xml:space="preserve">      indígenas, que no contaron  con  los  representantes  “que  ya  habían</w:t>
        <w:br/>
        <w:t xml:space="preserve">      elegido”. En las elecciones hubo abstencionismo: sólo se votó  en  los</w:t>
        <w:br/>
        <w:t xml:space="preserve">      grandes centros urbanos y en “zonas  de  presencia  mestiza”.   El  no</w:t>
        <w:br/>
        <w:t xml:space="preserve">      tener representantes indígenas hizo que “la mayoría de las inversiones</w:t>
        <w:br/>
        <w:t xml:space="preserve">      y proyectos fueran trasladadas a lugares donde  residen  simpatizantes</w:t>
        <w:br/>
        <w:t xml:space="preserve">      de quienes fueron electos”.  Las comunidades no tienen “representación</w:t>
        <w:br/>
        <w:t xml:space="preserve">      en el poder legislativo”, aun cuando los indígenas constituyen el  80%</w:t>
        <w:br/>
        <w:t xml:space="preserve">      de la población de la RAAN, el 20% de la RAAS y el 15% de la población</w:t>
        <w:br/>
        <w:t xml:space="preserve">      nacional. Sólo cinco diputados representan a la RAAN y a la RAAS,  los</w:t>
        <w:br/>
        <w:t xml:space="preserve">      cuales pertenecen a los partidos tradicionales y  ninguno  tiene  “una</w:t>
        <w:br/>
        <w:t xml:space="preserve">      visión indígena”. Los siete miembros  del  Consejo  Supremo  Electoral</w:t>
        <w:br/>
        <w:t xml:space="preserve">      pertenecen a los partidos políticos tradicionales y ninguno  de  ellos</w:t>
        <w:br/>
        <w:t xml:space="preserve">      es indígena.  La Ley Electoral debe ser reformada,  estableciendo  una</w:t>
        <w:br/>
        <w:t xml:space="preserve">      “cuota política  fija  para  los  pueblos  indígenas  en  la  Asamblea</w:t>
        <w:br/>
        <w:t xml:space="preserve">      Legislativa y en los demás órganos del Estado”.</w:t>
        <w:br/>
        <w:br/>
        <w:t xml:space="preserve">      2.    Nancy Elizabeth Henríquez  James,  miembro  del  Directorio  del</w:t>
        <w:br/>
        <w:t xml:space="preserve">      partido YATAMA</w:t>
        <w:br/>
        <w:br/>
        <w:t xml:space="preserve">      El Consejo Supremo Electoral, mediante resolución de 15 de  agosto  de</w:t>
        <w:br/>
        <w:t xml:space="preserve">      2000, excluyó a YATAMA  de  las  elecciones  municipales  de  2000  no</w:t>
        <w:br/>
        <w:t xml:space="preserve">      obstante que YATAMA había cumplido los requisitos establecidos  en  la</w:t>
        <w:br/>
        <w:t xml:space="preserve">      Ley Electoral y sus candidatos  habían  sido  presentados  dentro  del</w:t>
        <w:br/>
        <w:t xml:space="preserve">      tiempo estipulado.  Debido a la exclusión de  YATAMA  las  comunidades</w:t>
        <w:br/>
        <w:t xml:space="preserve">      indígenas “salieron a manifestarse en las calles de  Puerto  Cabezas”.</w:t>
        <w:br/>
        <w:t xml:space="preserve">      El Gobierno respondió a estas manifestaciones con el envío de  fuerzas</w:t>
        <w:br/>
        <w:t xml:space="preserve">      especiales de la Policía Nacional.</w:t>
        <w:br/>
        <w:br/>
        <w:t xml:space="preserve">      3.    Eklan James Molina,  propuesto  como  candidato  a  alcalde  por</w:t>
        <w:br/>
        <w:t xml:space="preserve">      YATAMA en el Municipio de Prinzapolka de la RAAS para  las  elecciones</w:t>
        <w:br/>
        <w:t xml:space="preserve">      municipales de 2000</w:t>
        <w:br/>
        <w:br/>
        <w:br/>
        <w:t xml:space="preserve">      El testigo fue electo candidato por YATAMA entre febrero  y  marzo  de</w:t>
        <w:br/>
        <w:t xml:space="preserve">      2000. Los candidatos debían contar con el respaldo  de  la  comunidad,</w:t>
        <w:br/>
        <w:t xml:space="preserve">      representado por mil firmas con número de cédula y con el “visto bueno</w:t>
        <w:br/>
        <w:t xml:space="preserve">      de los líderes de YATAMA”. El procedimiento de elección  fue  abierto.</w:t>
        <w:br/>
        <w:t xml:space="preserve">      Después de ser electo candidato visitó las comunidades con el  fin  de</w:t>
        <w:br/>
        <w:t xml:space="preserve">      “presentar el plan de gobierno”.   Las  comunidades  le  brindaron  su</w:t>
        <w:br/>
        <w:t xml:space="preserve">      apoyo.  En la campaña de 2000 invirtió  quinientos  mil  córdobas  por</w:t>
        <w:br/>
        <w:t xml:space="preserve">      gastos de transporte acuático, terrestre y aéreo, alquiler de  locales</w:t>
        <w:br/>
        <w:t xml:space="preserve">      y el pago de “una planilla a los activistas”.</w:t>
        <w:br/>
        <w:br/>
        <w:br/>
        <w:t xml:space="preserve">      Los candidatos a alcaldes de los diferentes municipios se reunieron en</w:t>
        <w:br/>
        <w:t xml:space="preserve">      un taller  realizado  en  la  “Clínica  Bilwi  Auditoría”,  en  Puerto</w:t>
        <w:br/>
        <w:t xml:space="preserve">      Cabezas, y en esa ocasión el Consejo Supremo Electoral  manifestó  que</w:t>
        <w:br/>
        <w:t xml:space="preserve">      YATAMA no participaría en las elecciones porque  no  había  presentado</w:t>
        <w:br/>
        <w:t xml:space="preserve">      “en tiempo la personería jurídica” y se había aliado con el Partido de</w:t>
        <w:br/>
        <w:t xml:space="preserve">      los Pueblos Costeños en una región, mientras que en otra se presentaba</w:t>
        <w:br/>
        <w:t xml:space="preserve">      con sus propias listas.  Al conocer la decisión  del  Consejo  Supremo</w:t>
        <w:br/>
        <w:t xml:space="preserve">      Electoral YATAMA interpuso un recurso de amparo  ante  la  “delegación</w:t>
        <w:br/>
        <w:t xml:space="preserve">      regional del Tribunal de Apelaciones de  Puerto  Cabezas”,  obteniendo</w:t>
        <w:br/>
        <w:t xml:space="preserve">      fallo favorable. La exclusión de YATAMA  afectó  al  declarante,  pues</w:t>
        <w:br/>
        <w:t xml:space="preserve">      renunció a su trabajo y esto generó problemas en su familia por cuanto</w:t>
        <w:br/>
        <w:t xml:space="preserve">      “era responsable de los gastos del hogar”.</w:t>
        <w:br/>
        <w:br/>
        <w:br/>
        <w:t xml:space="preserve">      Las comunidades demostraron su apoyo a YATAMA con “protestas  cívicas”</w:t>
        <w:br/>
        <w:t xml:space="preserve">      ante el Consejo Supremo Electoral. El Gobierno de Nicaragua  respondió</w:t>
        <w:br/>
        <w:t xml:space="preserve">      con unidades del Ejército y de la policía.  Como  consecuencia  de  la</w:t>
        <w:br/>
        <w:t xml:space="preserve">      exclusión de YATAMA de las elecciones se produjo un abstencionismo del</w:t>
        <w:br/>
        <w:t xml:space="preserve">      85% y “no se abrieron las juntas de votos a nivel municipal”.</w:t>
        <w:br/>
        <w:br/>
        <w:br/>
        <w:t xml:space="preserve">      Se debe reformar la Ley Electoral y promover  “elecciones  autónomas”,</w:t>
        <w:br/>
        <w:t xml:space="preserve">      que el pueblo indígena realice conforme a sus costumbres.</w:t>
        <w:br/>
        <w:br/>
        <w:t xml:space="preserve">      4.    Hazel Law Blanco, abogada</w:t>
        <w:br/>
        <w:br/>
        <w:br/>
        <w:t xml:space="preserve">      YATAMA  participó  en  dos  ocasiones  en  las  elecciones  regionales</w:t>
        <w:br/>
        <w:t xml:space="preserve">      autónomas de la Costa Atlántica, bajo la figura de  la  asociación  de</w:t>
        <w:br/>
        <w:t xml:space="preserve">      suscripción popular.  En el 2000 la Asamblea Nacional reformó  la  Ley</w:t>
        <w:br/>
        <w:t xml:space="preserve">      Electoral y YATAMA tuvo que transformarse en partido político indígena</w:t>
        <w:br/>
        <w:t xml:space="preserve">      regional para participar  en  las  elecciones.   Debió  presentar  “su</w:t>
        <w:br/>
        <w:t xml:space="preserve">      constitución y estatutos” contenidos en escritura pública y  conformar</w:t>
        <w:br/>
        <w:t xml:space="preserve">      “Directivas Regionales-Territoriales  y  Directivas  Municipales”,  lo</w:t>
        <w:br/>
        <w:t xml:space="preserve">      cual implicó “gastos de viaje a  la  capital,  a  Bluefields  y  demás</w:t>
        <w:br/>
        <w:t xml:space="preserve">      cabeceras municipales”.  Esta transformación a  partido  político  fue</w:t>
        <w:br/>
        <w:t xml:space="preserve">      una imposición del Estado  y  tuvo  el  efecto  de  provocar  “mayores</w:t>
        <w:br/>
        <w:t xml:space="preserve">      exigencias de recursos económicos, por las  formalidades  que  la  Ley</w:t>
        <w:br/>
        <w:t xml:space="preserve">      exige a los  partidos  políticos,  tales  como  presentar  nóminas  de</w:t>
        <w:br/>
        <w:t xml:space="preserve">      candidatos hasta en 80%”.</w:t>
        <w:br/>
        <w:br/>
        <w:br/>
        <w:t xml:space="preserve">      La elección de los candidatos de YATAMA en el 2000 se realizó mediante</w:t>
        <w:br/>
        <w:t xml:space="preserve">      “asambleas municipales de los líderes territoriales”.</w:t>
        <w:br/>
        <w:br/>
        <w:br/>
        <w:t xml:space="preserve">      El Consejo Supremo Electoral adujo dos razones para excluir  a  YATAMA</w:t>
        <w:br/>
        <w:t xml:space="preserve">      de las elecciones municipales de 2000: que no inscribió sus candidatos</w:t>
        <w:br/>
        <w:t xml:space="preserve">      oportunamente; y que la alianza con el Partido de los Pueblos Costeños</w:t>
        <w:br/>
        <w:t xml:space="preserve">      era ilegal porque este último no presentó todas las firmas necesarias.</w:t>
        <w:br/>
        <w:t xml:space="preserve">      Sin embargo, este argumento no  fue  invocado  cuando  se  realizó  la</w:t>
        <w:br/>
        <w:t xml:space="preserve">      inscripción de los candidatos, sino cuando “anunciaron la exclusión”.</w:t>
        <w:br/>
        <w:br/>
        <w:br/>
        <w:t xml:space="preserve">      La ausencia de YATAMA en las elecciones de 2000  significó  un  factor</w:t>
        <w:br/>
        <w:t xml:space="preserve">      más de dominación y la expresión de un “poder arbitrario  y  racista”.</w:t>
        <w:br/>
        <w:t xml:space="preserve">      El pueblo indígena  se  indignó  y  reaccionó  con  protestas  en  los</w:t>
        <w:br/>
        <w:t xml:space="preserve">      diferentes municipios, a las cuales se sumaron “amigos  mestizos”.  La</w:t>
        <w:br/>
        <w:t xml:space="preserve">      abstención política en la RAAN ascendió al 80%.</w:t>
        <w:br/>
        <w:br/>
        <w:br/>
        <w:t xml:space="preserve">      YATAMA interpuso un recurso de amparo ante la Sala Civil del  Tribunal</w:t>
        <w:br/>
        <w:t xml:space="preserve">      de Apelaciones de la RAAN,  alegando  la  violación  de  sus  derechos</w:t>
        <w:br/>
        <w:t xml:space="preserve">      políticos. La referida Sala remitió el recurso a la Corte  Suprema  de</w:t>
        <w:br/>
        <w:t xml:space="preserve">      Justicia, la cual declaró “sin lugar el recurso de amparo”,  indicando</w:t>
        <w:br/>
        <w:t xml:space="preserve">      que según la Ley  Electoral  no  procede  ningún  recurso  contra  las</w:t>
        <w:br/>
        <w:t xml:space="preserve">      decisiones del Consejo  Supremo  Electoral.  YATAMA  también  presentó</w:t>
        <w:br/>
        <w:t xml:space="preserve">      recurso de revisión ante el Consejo Supremo Electoral, que  no  adoptó</w:t>
        <w:br/>
        <w:t xml:space="preserve">      decisión al respecto.</w:t>
        <w:br/>
        <w:br/>
        <w:t xml:space="preserve">   5. Cristina Poveda Montiel, propuesta  como  candidata  a  alcaldesa  por</w:t>
        <w:br/>
        <w:t xml:space="preserve">      YATAMA en el municipio de  Rosita  de  la  RAAS  para  las  elecciones</w:t>
        <w:br/>
        <w:t xml:space="preserve">      municipales de 2000</w:t>
        <w:br/>
        <w:br/>
        <w:br/>
        <w:br/>
        <w:br/>
        <w:t xml:space="preserve">      Ante la imposibilidad de participar en las elecciones  municipales  de</w:t>
        <w:br/>
        <w:t xml:space="preserve">      2000, la testigo  se  vio  afectada  emotiva  y  económicamente,  pues</w:t>
        <w:br/>
        <w:t xml:space="preserve">      invirtió dinero para hacer la campaña y obtuvo préstamos que ascienden</w:t>
        <w:br/>
        <w:t xml:space="preserve">      a ciento cincuenta mil córdobas. También  se  causó  perjuicios  a  su</w:t>
        <w:br/>
        <w:t xml:space="preserve">      familia.  El pueblo indígena se sintió discriminado  y  “salió  a  las</w:t>
        <w:br/>
        <w:t xml:space="preserve">      calles en manifestaciones”.</w:t>
        <w:br/>
        <w:br/>
        <w:br/>
        <w:br/>
        <w:br/>
        <w:br/>
        <w:br/>
        <w:t xml:space="preserve">      El  Estado  debería  asumir  las  obligaciones  que  adquirieron   los</w:t>
        <w:br/>
        <w:t xml:space="preserve">      candidatos, pues si  estos  hubiesen  participado  en  las  elecciones</w:t>
        <w:br/>
        <w:t xml:space="preserve">      municipales de 2000 “además  de  alcaldías,  tendría[n]  candidatos  a</w:t>
        <w:br/>
        <w:t xml:space="preserve">      con[c]ejales y el consecuente reembolso de  gastos”.  El  Estado  debe</w:t>
        <w:br/>
        <w:t xml:space="preserve">      respetar la dignidad de los pueblos indígenas, que tienen  “derecho  a</w:t>
        <w:br/>
        <w:t xml:space="preserve">      elegir” sus gobiernos, de acuerdo a sus costumbres y tradiciones.</w:t>
        <w:br/>
        <w:br/>
        <w:br/>
        <w:br/>
        <w:br/>
        <w:t xml:space="preserve">                                  Peritajes</w:t>
        <w:br/>
        <w:br/>
        <w:br/>
        <w:t>a)    Propuestos por la Comisión Interamericana y por los representantes</w:t>
        <w:br/>
        <w:br/>
        <w:t xml:space="preserve">     1.    María Luisa Acosta Castellón,  abogada  de  algunas  comunidades</w:t>
        <w:br/>
        <w:t xml:space="preserve">     indígenas de la Costa Atlántica</w:t>
        <w:br/>
        <w:br/>
        <w:t xml:space="preserve">      YATAMA no es sólo un partido político regional, sino  la  organización</w:t>
        <w:br/>
        <w:t xml:space="preserve">      etnopolítica de mayor trayectoria en la Costa Atlántica de  Nicaragua,</w:t>
        <w:br/>
        <w:t xml:space="preserve">      pues  está  conformada  por  las  comunidades  indígenas  y   étnicas,</w:t>
        <w:br/>
        <w:t xml:space="preserve">      especialmente por “miembros del pueblo indígena  miskitu”.  YATAMA  se</w:t>
        <w:br/>
        <w:t xml:space="preserve">      formó con el fin de “promover el autogobierno comunal, por medio de la</w:t>
        <w:br/>
        <w:t xml:space="preserve">      democracia comunitaria, y  en  particular,  para  la  defensa  de  sus</w:t>
        <w:br/>
        <w:t xml:space="preserve">      tierras comunales tradicionales”. Esta forma de democracia comunitaria</w:t>
        <w:br/>
        <w:t xml:space="preserve">      la ejerce YATAMA aplicando  los  usos  y  costumbres  de  los  pueblos</w:t>
        <w:br/>
        <w:t xml:space="preserve">      indígenas.</w:t>
        <w:br/>
        <w:br/>
        <w:br/>
        <w:t xml:space="preserve">      El conjunto de prácticas culturales indígenas que generan estos usos y</w:t>
        <w:br/>
        <w:t xml:space="preserve">      costumbres es lo que se ha denominado derecho consuetudinario, el cual</w:t>
        <w:br/>
        <w:t xml:space="preserve">      es obligatorio para los miembros  de  las  comunidades,  se  transmite</w:t>
        <w:br/>
        <w:t xml:space="preserve">      oralmente y se preserva a través de la memoria histórica y  colectiva.</w:t>
        <w:br/>
        <w:t xml:space="preserve">      Los artículos 5, 89 y 180 de la Constitución de Nicaragua reconocen la</w:t>
        <w:br/>
        <w:t xml:space="preserve">      validez del derecho consuetudinario de  estos  pueblos  indígenas.  El</w:t>
        <w:br/>
        <w:t xml:space="preserve">      concepto  de  pueblo  indígena  “trae  consigo  el  reconocimiento  de</w:t>
        <w:br/>
        <w:t xml:space="preserve">      derechos colectivos[,] tales como el derecho a su cultura,  lengua,  a</w:t>
        <w:br/>
        <w:t xml:space="preserve">      elegir a sus autoridades y a administrar sus asuntos locales, conforme</w:t>
        <w:br/>
        <w:t xml:space="preserve">      a sus costumbres y tradiciones”. El reconocimiento  de  la  diversidad</w:t>
        <w:br/>
        <w:t xml:space="preserve">      étnica tiene como propósito eliminar la discriminación de que han sido</w:t>
        <w:br/>
        <w:t xml:space="preserve">      objeto estos pueblos. Dicho reconocimiento también busca garantizar el</w:t>
        <w:br/>
        <w:t xml:space="preserve">      ejercicio de sus derechos políticos, de conformidad con sus costumbres</w:t>
        <w:br/>
        <w:t xml:space="preserve">      y tradiciones. Los pueblos indígenas tienen un derecho  constitucional</w:t>
        <w:br/>
        <w:t xml:space="preserve">      a su autogobierno, el cual también está consagrado en el  artículo  15</w:t>
        <w:br/>
        <w:t xml:space="preserve">      del Estatuto de Autonomía.</w:t>
        <w:br/>
        <w:br/>
        <w:br/>
        <w:t xml:space="preserve">      La elección de los miembros del Consejo de Ancianos, del Síndico,  del</w:t>
        <w:br/>
        <w:t xml:space="preserve">      Wihta o de cualquier otra  autoridad  comunal  o  territorial  en  las</w:t>
        <w:br/>
        <w:t xml:space="preserve">      comunidades indígenas de la Costa  Atlántica,  “no  obedece  a  alguna</w:t>
        <w:br/>
        <w:t xml:space="preserve">      norma del derecho escrito, legislado o codificado, sino  a  su  propio</w:t>
        <w:br/>
        <w:t xml:space="preserve">      derecho consuetudinario”.</w:t>
        <w:br/>
        <w:br/>
        <w:br/>
        <w:t xml:space="preserve">      Mientras YATAMA  planteó  desde  su  conformación  la  autonomía  como</w:t>
        <w:br/>
        <w:t xml:space="preserve">      “autogobierno territorial indígena”, el Gobierno sandinista aprobó  el</w:t>
        <w:br/>
        <w:t xml:space="preserve">      estatuto de autonomía. “[D]entro del régimen de autonomía  multiétnica</w:t>
        <w:br/>
        <w:t xml:space="preserve">      los  pueblos  indígenas  continúan  siendo  minoría”  y  los  partidos</w:t>
        <w:br/>
        <w:t xml:space="preserve">      políticos nacionales  mantienen  hegemonía  en  los  Consejos  de  las</w:t>
        <w:br/>
        <w:t xml:space="preserve">      regiones autónomas de la Costa Atlántica.</w:t>
        <w:br/>
        <w:br/>
        <w:t xml:space="preserve">      La participación política de YATAMA es trascendental como una forma de</w:t>
        <w:br/>
        <w:t xml:space="preserve">      contribuir a la protección de la supervivencia cultural y económica de</w:t>
        <w:br/>
        <w:t xml:space="preserve">      los pueblos indígenas.  La  exclusión  de  YATAMA  de  las  elecciones</w:t>
        <w:br/>
        <w:t xml:space="preserve">      municipales de 2000 “generó desesperanza para los pueblos indígenas  y</w:t>
        <w:br/>
        <w:t xml:space="preserve">      étnicos  de  la  Costa  Caribe  y   Jinotega”,   pues   los   partidos</w:t>
        <w:br/>
        <w:t xml:space="preserve">      tradicionales no logran identificarse con los  pueblos  indígenas  que</w:t>
        <w:br/>
        <w:t xml:space="preserve">      forman parte de  YATAMA.  Los  pueblos  indígenas  y  las  comunidades</w:t>
        <w:br/>
        <w:t xml:space="preserve">      étnicas tienen una historia  común  con  YATAMA.  Mientras  los  otros</w:t>
        <w:br/>
        <w:t xml:space="preserve">      partidos políticos hacen sus campañas en los centros  urbanos,  YATAMA</w:t>
        <w:br/>
        <w:t xml:space="preserve">      realiza sus actividades en el seno de los pueblos indígenas.</w:t>
        <w:br/>
        <w:br/>
        <w:t xml:space="preserve">       2.     Robert  Andrés  Courtney  Cerda,  Director  Ejecutivo  de   la</w:t>
        <w:br/>
        <w:t xml:space="preserve">      organización no gubernamental “Ética y Transparencia”</w:t>
        <w:br/>
        <w:br/>
        <w:t xml:space="preserve">      El partido político YATAMA, con el fin de participar en las elecciones</w:t>
        <w:br/>
        <w:t xml:space="preserve">      municipales de la RAAS, inició un proceso de alianza  con  el  Partido</w:t>
        <w:br/>
        <w:t xml:space="preserve">      Indígena Multiétnico y con el Partido de los Pueblos Costeños.  Aunque</w:t>
        <w:br/>
        <w:t xml:space="preserve">      se determinó que este último partido no cumplió  con  la  presentación</w:t>
        <w:br/>
        <w:t xml:space="preserve">      del 3% de firmas de  ciudadanos  inscritos  en  el  padrón  electoral,</w:t>
        <w:br/>
        <w:t xml:space="preserve">      YATAMA consideró inscritos a sus candidatos. Sin embargo,  el  Consejo</w:t>
        <w:br/>
        <w:t xml:space="preserve">      Supremo Electoral declaró que el partido YATAMA no presentó candidatos</w:t>
        <w:br/>
        <w:t xml:space="preserve">      suficientes, lo cual coincidió  “con  el  vencimiento  de  los  plazos</w:t>
        <w:br/>
        <w:t xml:space="preserve">      establecidos en el Calendario Electoral”, quedando YATAMA fuera de las</w:t>
        <w:br/>
        <w:t xml:space="preserve">      elecciones.</w:t>
        <w:br/>
        <w:br/>
        <w:br/>
        <w:t xml:space="preserve">      YATAMA consideró que como  su  caso  no  estaba  previsto  en  la  Ley</w:t>
        <w:br/>
        <w:t xml:space="preserve">      Electoral, el Consejo Supremo Electoral debió flexibilizar el  proceso</w:t>
        <w:br/>
        <w:t xml:space="preserve">      de presentación de candidatos  en  vez  de  excluirlos.  Presentó  una</w:t>
        <w:br/>
        <w:t xml:space="preserve">      solicitud al Consejo Supremo Electoral para que revisara su caso,  “lo</w:t>
        <w:br/>
        <w:t xml:space="preserve">      que no se logró hasta que se venció el tiempo  para  presentar  a  los</w:t>
        <w:br/>
        <w:t xml:space="preserve">      candidatos en el 80% de las municipalidades de  la  Costa  Atlántica”.</w:t>
        <w:br/>
        <w:t xml:space="preserve">      El caso de YATAMA ameritaba  un  tratamiento  especial,  pues  la  Ley</w:t>
        <w:br/>
        <w:t xml:space="preserve">      Electoral no prevé que en una alianza en la cual uno de  los  partidos</w:t>
        <w:br/>
        <w:t xml:space="preserve">      ha sido descalificado, el otro no pueda  participar  con  sus  propios</w:t>
        <w:br/>
        <w:t xml:space="preserve">      candidatos.</w:t>
        <w:br/>
        <w:br/>
        <w:br/>
        <w:t xml:space="preserve">      YATAMA interpuso un recurso de amparo administrativo, que fue admitido</w:t>
        <w:br/>
        <w:t xml:space="preserve">      por el Tribunal de Apelaciones de la RAAN, el cual ordenó  al  Consejo</w:t>
        <w:br/>
        <w:t xml:space="preserve">      Supremo Electoral restituir las cosas al estado que tenían antes de la</w:t>
        <w:br/>
        <w:t xml:space="preserve">      resolución emitida por dicho Consejo el 15 de agosto de  2000,  en  la</w:t>
        <w:br/>
        <w:t xml:space="preserve">      que excluyó a YATAMA de las elecciones de noviembre  de  ese  año.  El</w:t>
        <w:br/>
        <w:t xml:space="preserve">      Consejo Supremo Electoral indicó al Tribunal de Apelaciones de la RAAN</w:t>
        <w:br/>
        <w:t xml:space="preserve">      que la competencia en materia  electoral  era  exclusiva  del  Consejo</w:t>
        <w:br/>
        <w:t xml:space="preserve">      Supremo Electoral.  La  Corte  Suprema  de  Justicia  decidió  que  el</w:t>
        <w:br/>
        <w:t xml:space="preserve">      recurso de amparo no podía ser admitido.</w:t>
        <w:br/>
        <w:br/>
        <w:br/>
        <w:t xml:space="preserve">      YATAMA insistió ante el Consejo Supremo  Electoral  en  que  se  diera</w:t>
        <w:br/>
        <w:t xml:space="preserve">      respuesta positiva acerca de su participación. El Consejo  mantuvo  su</w:t>
        <w:br/>
        <w:t xml:space="preserve">      decisión de no autorizar la participación de YATAMA.</w:t>
        <w:br/>
        <w:br/>
        <w:br/>
        <w:t xml:space="preserve">      Las  elecciones  municipales  en  la  RAAN  se   realizaron   con   un</w:t>
        <w:br/>
        <w:t xml:space="preserve">      abstencionismo del 80%, lo cual significa que las  autoridades  fueron</w:t>
        <w:br/>
        <w:t xml:space="preserve">      legalmente elegidas, pero carecen de legitimidad porque no representan</w:t>
        <w:br/>
        <w:t xml:space="preserve">      a la población, especialmente a los pueblos indígenas.</w:t>
        <w:br/>
        <w:br/>
        <w:t>b)    Propuestos por el Estado</w:t>
        <w:br/>
        <w:br/>
        <w:t xml:space="preserve">      3.    Mauricio Carrión Matamoros, abogado</w:t>
        <w:br/>
        <w:br/>
        <w:t xml:space="preserve">      Se refirió  a  la  supremacía  de  la  Constitución  sobre  las  leyes</w:t>
        <w:br/>
        <w:t xml:space="preserve">      electorales. El  principio  de  jerarquía  impide  que  una  norma  de</w:t>
        <w:br/>
        <w:t xml:space="preserve">      inferior categoría contradiga a la  Constitución  y  el  principio  de</w:t>
        <w:br/>
        <w:t xml:space="preserve">      competencia  dispone  que  entre  dos  normas   de   igual   jerarquía</w:t>
        <w:br/>
        <w:t xml:space="preserve">      prevalecerá la que regule la “materia de que se trate”.</w:t>
        <w:br/>
        <w:br/>
        <w:br/>
        <w:t xml:space="preserve">      La Ley Electoral es una ley constitucional, pues la Carta Política  de</w:t>
        <w:br/>
        <w:t xml:space="preserve">      Nicaragua dispone que debe ser adoptada con el voto  del  60%  de  los</w:t>
        <w:br/>
        <w:t xml:space="preserve">      diputados de la Asamblea.</w:t>
        <w:br/>
        <w:br/>
        <w:br/>
        <w:t xml:space="preserve">      De las disposiciones consagradas en los artículos 140, 141, 191 y  195</w:t>
        <w:br/>
        <w:t xml:space="preserve">      de la Constitución Política se infiere que la Asamblea Nacional es  el</w:t>
        <w:br/>
        <w:t xml:space="preserve">      “único poder que tiene la competencia para aprobar reformas a  la  Ley</w:t>
        <w:br/>
        <w:t xml:space="preserve">      Electoral”.</w:t>
        <w:br/>
        <w:br/>
        <w:br/>
        <w:t xml:space="preserve">      4.    Lydia de Jesús Chamorro Zamora, abogada</w:t>
        <w:br/>
        <w:br/>
        <w:br/>
        <w:t xml:space="preserve">      Se refirió a la supremacía de la Constitución Política de Nicaragua  y</w:t>
        <w:br/>
        <w:t xml:space="preserve">      a sus mecanismos de defensa, establecidos en los artículos 182 a 195.</w:t>
        <w:br/>
        <w:br/>
        <w:br/>
        <w:t xml:space="preserve">      El  ordenamiento  nicaragüense   consagra   dos   clases   de   leyes:</w:t>
        <w:br/>
        <w:t xml:space="preserve">      constitucionales y ordinarias. Las  constitucionales  regulan  asuntos</w:t>
        <w:br/>
        <w:t xml:space="preserve">      electorales, amparo y estados  de  emergencia,  y  las  ordinarias  se</w:t>
        <w:br/>
        <w:t xml:space="preserve">      ocupan de otras materias. La Constitución exige  mayorías  calificadas</w:t>
        <w:br/>
        <w:t xml:space="preserve">      para aprobar las leyes constitucionales, en tanto que  las  ordinarias</w:t>
        <w:br/>
        <w:t xml:space="preserve">      sólo requieren mayoría simple. La misma mayoría calificada  se  aplica</w:t>
        <w:br/>
        <w:t xml:space="preserve">      en el caso de reformas a la Constitución.</w:t>
        <w:br/>
        <w:br/>
        <w:br/>
        <w:t xml:space="preserve">      En Nicaragua  la  Ley  Electoral  tiene  carácter  constitucional.  Es</w:t>
        <w:br/>
        <w:t xml:space="preserve">      inferior a la Constitución, pero superior a las leyes  ordinarias.  La</w:t>
        <w:br/>
        <w:t xml:space="preserve">      Constitución establece que la aplicación de la Ley  Electoral  “es  de</w:t>
        <w:br/>
        <w:t xml:space="preserve">      competencia exclusiva del Consejo Supremo Electoral”. Ni  siquiera  es</w:t>
        <w:br/>
        <w:t xml:space="preserve">      posible acudir al amparo ante la Sala de lo Constitucional de la Corte</w:t>
        <w:br/>
        <w:t xml:space="preserve">      Suprema de Justicia. La reforma de la  Ley  Electoral  depende  de  la</w:t>
        <w:br/>
        <w:t xml:space="preserve">      voluntad de la Asamblea Legislativa. Actualmente la mayoría calificada</w:t>
        <w:br/>
        <w:t xml:space="preserve">      sólo  se obtendría “por acuerdo de ambos partidos mayoritarios”.</w:t>
        <w:br/>
        <w:br/>
        <w:br/>
        <w:br/>
        <w:br/>
        <w:br/>
        <w:t xml:space="preserve">                     B)    Prueba testimonial y pericial</w:t>
        <w:br/>
        <w:br/>
        <w:br/>
        <w:t>111.  El 9 y el 10 de marzo de 2005 la Corte recibió  en  audiencia  pública</w:t>
        <w:br/>
        <w:t>las declaraciones de los testigos propuestos por la Comisión  Interamericana</w:t>
        <w:br/>
        <w:t>de Derechos Humanos y por los representantes de las presuntas víctimas y  de</w:t>
        <w:br/>
        <w:t>los  peritos  propuestos  por  el  Estado  y  por  los  representantes.    A</w:t>
        <w:br/>
        <w:t>continuación,  el  Tribunal  resume  las  partes   principales   de   dichos</w:t>
        <w:br/>
        <w:t>testimonios y peritajes.</w:t>
        <w:br/>
        <w:br/>
        <w:br/>
        <w:t xml:space="preserve">                                 Testimonios</w:t>
        <w:br/>
        <w:br/>
        <w:br/>
        <w:t>a)    Propuestos por la Comisión Interamericana y por los representantes</w:t>
        <w:br/>
        <w:br/>
        <w:t xml:space="preserve">      1.    Brooklyn Rivera Bryan, principal dirigente  de  la  organización</w:t>
        <w:br/>
        <w:t xml:space="preserve">      YATAMA</w:t>
        <w:br/>
        <w:br/>
        <w:t xml:space="preserve">      El testigo es miskito. En la Costa Atlántica de Nicaragua  la  mayoría</w:t>
        <w:br/>
        <w:t xml:space="preserve">      de la población es indígena. YATAMA surgió en la década de  1970  como</w:t>
        <w:br/>
        <w:t xml:space="preserve">      la forma organizativa básica de los  pueblos  indígenas  de  la  Costa</w:t>
        <w:br/>
        <w:t xml:space="preserve">      Atlántica, y desde esa época ha estado a la cabeza  de  sus  luchas  y</w:t>
        <w:br/>
        <w:t xml:space="preserve">      actividades. La estructura de YATAMA está ligada  a  las  tradiciones,</w:t>
        <w:br/>
        <w:t xml:space="preserve">      usos y costumbres de dichas comunidades.  Es  parte  de  su  identidad</w:t>
        <w:br/>
        <w:t xml:space="preserve">      cultural. La organización funciona sobre la base de una  participación</w:t>
        <w:br/>
        <w:t xml:space="preserve">      activa de los miembros de los pueblos indígenas, de  acuerdo  con  sus</w:t>
        <w:br/>
        <w:t xml:space="preserve">      usos y costumbres. Los líderes y representantes son elegidos  por  las</w:t>
        <w:br/>
        <w:t xml:space="preserve">      comunidades. Los candidatos son propuestos por las comunidades,  luego</w:t>
        <w:br/>
        <w:t xml:space="preserve">      las comunidades de un territorio se reúnen y eligen a los  candidatos,</w:t>
        <w:br/>
        <w:t xml:space="preserve">      y por último se pasa a un tercer nivel que corresponde a las asambleas</w:t>
        <w:br/>
        <w:t xml:space="preserve">      regionales, en las cuales se ratifica a los  candidatos  electos.  Los</w:t>
        <w:br/>
        <w:t xml:space="preserve">      partidos políticos tradicionales desarrollan sus campañas  electorales</w:t>
        <w:br/>
        <w:t xml:space="preserve">      de una forma que no responde a dichos usos  y  prácticas.   Cuando  se</w:t>
        <w:br/>
        <w:t xml:space="preserve">      trata de elecciones  municipales  o  regionales,  YATAMA  permite  que</w:t>
        <w:br/>
        <w:t xml:space="preserve">      participen como  candidatos  “todos  los  otros  pueblos  que  no  son</w:t>
        <w:br/>
        <w:t xml:space="preserve">      indígenas, como los mestizos”.</w:t>
        <w:br/>
        <w:br/>
        <w:br/>
        <w:t xml:space="preserve">      YATAMA  decidió  incursionar  en  la  vida  política  para  lograr  la</w:t>
        <w:br/>
        <w:t xml:space="preserve">      reivindicación de los derechos  de  los  pueblos  indígenas.   Se  vio</w:t>
        <w:br/>
        <w:t xml:space="preserve">      obligada  a  transformarse  en  partido  político  para  cumplir   los</w:t>
        <w:br/>
        <w:t xml:space="preserve">      requerimientos de la Ley Electoral de 2000, que eliminó la  figura  de</w:t>
        <w:br/>
        <w:t xml:space="preserve">      la asociación de suscripción popular. El partido político es una forma</w:t>
        <w:br/>
        <w:t xml:space="preserve">      de organización ajena a las tradiciones de las comunidades  indígenas.</w:t>
        <w:br/>
        <w:t xml:space="preserve">      Esto llevó a la organización a pasar  de  una  tradición  oral  a  una</w:t>
        <w:br/>
        <w:t xml:space="preserve">      escrita.  Para  cumplir  los  requisitos  de  la  Ley  Electoral,  los</w:t>
        <w:br/>
        <w:t xml:space="preserve">      candidatos de  YATAMA  han  tenido  que  participar  políticamente  en</w:t>
        <w:br/>
        <w:t xml:space="preserve">      territorios donde no existen comunidades indígenas.   En  estas  áreas</w:t>
        <w:br/>
        <w:t xml:space="preserve">      hay municipios en  los  que  YATAMA  tiene  influencia,  pero  también</w:t>
        <w:br/>
        <w:t xml:space="preserve">      algunos que no revisten interés para la organización.</w:t>
        <w:br/>
        <w:br/>
        <w:br/>
        <w:t xml:space="preserve">      En las elecciones de 2000 YATAMA cumplió los requisitos dispuestos  en</w:t>
        <w:br/>
        <w:t xml:space="preserve">      la Ley Electoral, tanto en la RAAN como en la  RAAS.  En  esta  última</w:t>
        <w:br/>
        <w:t xml:space="preserve">      YATAMA formó alianza con el Partido  de  los  Pueblos  Costeños  y  el</w:t>
        <w:br/>
        <w:t xml:space="preserve">      Partido Indígena Multiétnico. Este último se retiró de la alianza.  Al</w:t>
        <w:br/>
        <w:t xml:space="preserve">      enterarse de que el Partido de los  Pueblos  Costeños  no  reunía  los</w:t>
        <w:br/>
        <w:t xml:space="preserve">      requisitos legales, YATAMA solicitó que se permitiera su participación</w:t>
        <w:br/>
        <w:t xml:space="preserve">      en el proceso electoral con su “propia identidad”. El Consejo  Supremo</w:t>
        <w:br/>
        <w:t xml:space="preserve">      Electoral no aceptó esta  solicitud  y  YATAMA  fue  excluido  de  las</w:t>
        <w:br/>
        <w:t xml:space="preserve">      elecciones, a pesar de reunir los requisitos que la ley exige.  A raíz</w:t>
        <w:br/>
        <w:t xml:space="preserve">      de esta situación los candidatos de la RAAN también fueron  excluidos,</w:t>
        <w:br/>
        <w:t xml:space="preserve">      aun cuando la lista de candidatos en la que estaban incluidos ya había</w:t>
        <w:br/>
        <w:t xml:space="preserve">      sido publicada. Estas exclusiones obedecen  a  que  los  dos  partidos</w:t>
        <w:br/>
        <w:t xml:space="preserve">      políticos  “grandes”  hicieron  un   pacto   para   no   permitir   la</w:t>
        <w:br/>
        <w:t xml:space="preserve">      participación de otros partidos y así concentrar el resultado  de  las</w:t>
        <w:br/>
        <w:t xml:space="preserve">      elecciones, lo cual fue posible porque ellos “dominan las  estructuras</w:t>
        <w:br/>
        <w:t xml:space="preserve">      electorales en Nicaragua”. Cuando  se  produjo  tal  situación  YATAMA</w:t>
        <w:br/>
        <w:t xml:space="preserve">      intentó comunicarse,  en  reiteradas  oportunidades,  con  el  Consejo</w:t>
        <w:br/>
        <w:t xml:space="preserve">      Supremo Electoral, pero no obtuvo respuesta. Al ser publicada la lista</w:t>
        <w:br/>
        <w:t xml:space="preserve">      definitiva y no aparecer en ella los candidatos de YATAMA de  las  dos</w:t>
        <w:br/>
        <w:t xml:space="preserve">      regiones, se presentó un recurso de revisión ante el  Consejo  Supremo</w:t>
        <w:br/>
        <w:t xml:space="preserve">      Electoral, el cual no fue resuelto. Luego se interpuso un  recurso  de</w:t>
        <w:br/>
        <w:t xml:space="preserve">      amparo ante la Corte Suprema de Justicia, que fue  resuelto  en  forma</w:t>
        <w:br/>
        <w:t xml:space="preserve">      desfavorable.</w:t>
        <w:br/>
        <w:br/>
        <w:br/>
        <w:t xml:space="preserve">      La exclusión de YATAMA representa para las comunidades indígenas de la</w:t>
        <w:br/>
        <w:t xml:space="preserve">      Costa Atlántica un atraso de cuatro años. Aunque  pudieron  participar</w:t>
        <w:br/>
        <w:t xml:space="preserve">      en las elecciones de 2004, debido a sus reiterados  reclamos,  durante</w:t>
        <w:br/>
        <w:t xml:space="preserve">      esos cuatro años no contaron con una organización que representara sus</w:t>
        <w:br/>
        <w:t xml:space="preserve">      intereses.</w:t>
        <w:br/>
        <w:br/>
        <w:br/>
        <w:t xml:space="preserve">      2.      Jorge   Teytom   Fedrick,   a   cargo   de   las   “relaciones</w:t>
        <w:br/>
        <w:t xml:space="preserve">      internacionales” de YATAMA</w:t>
        <w:br/>
        <w:br/>
        <w:br/>
        <w:t xml:space="preserve">      Pertenece al pueblo indígena miskito.  En la Costa  Atlántica  existen</w:t>
        <w:br/>
        <w:t xml:space="preserve">      tradiciones culturales diferentes a las de  la  Costa  Pacífica  y  se</w:t>
        <w:br/>
        <w:t xml:space="preserve">      hablan seis idiomas distintos. Además, los sistemas  comunitarios,  la</w:t>
        <w:br/>
        <w:t xml:space="preserve">      relación con los recursos y la tierra y la cosmovisión de la vida  son</w:t>
        <w:br/>
        <w:t xml:space="preserve">      distintas. Los pueblos indígenas tienen una tradición comunitaria y la</w:t>
        <w:br/>
        <w:t xml:space="preserve">      toma de decisiones se produce en función de la estructura comunitaria.</w:t>
        <w:br/>
        <w:t xml:space="preserve">      Es una “sociedad colectiva” con una sólida “tradición moral”.</w:t>
        <w:br/>
        <w:br/>
        <w:t xml:space="preserve">      YATAMA es el producto de la  secuencia  histórica  de  un  proceso  de</w:t>
        <w:br/>
        <w:t xml:space="preserve">      lucha. En la década de 1990 se presentaron  cambios  en  la  situación</w:t>
        <w:br/>
        <w:t xml:space="preserve">      política de Nicaragua  y  se  creó  la  figura  de  la  asociación  de</w:t>
        <w:br/>
        <w:t xml:space="preserve">      suscripción popular. Con esta figura YATAMA se propuso cubrir espacios</w:t>
        <w:br/>
        <w:t xml:space="preserve">      políticos a través de su participación política.  El  Estado,  en  una</w:t>
        <w:br/>
        <w:t xml:space="preserve">      “negociación partidista”, reformó la  Ley  Electoral  como  estrategia</w:t>
        <w:br/>
        <w:t xml:space="preserve">      para impedir la participación de YATAMA. Sin embargo, YATAMA  conformó</w:t>
        <w:br/>
        <w:t xml:space="preserve">      un equipo para incidir en la reforma a la Ley Electoral, en la cual se</w:t>
        <w:br/>
        <w:t xml:space="preserve">      dispuso que las organizaciones indígenas de la Costa Atlántica  podían</w:t>
        <w:br/>
        <w:t xml:space="preserve">      constituirse en partido político de carácter regional.  YATAMA es  más</w:t>
        <w:br/>
        <w:t xml:space="preserve">      que un partido.  Es parte de la vida, es la historia, es un proceso de</w:t>
        <w:br/>
        <w:t xml:space="preserve">      lucha, es la “organización de los hijos de la madre tierra”, pues “sin</w:t>
        <w:br/>
        <w:t xml:space="preserve">      tierra no existimos”.</w:t>
        <w:br/>
        <w:br/>
        <w:br/>
        <w:t xml:space="preserve">      La Ley Electoral consagra requisitos que contradicen las costumbres de</w:t>
        <w:br/>
        <w:t xml:space="preserve">      los pueblos indígenas. La primera  contradicción  es  el  carácter  de</w:t>
        <w:br/>
        <w:t xml:space="preserve">      partido político. En  el  sistema  comunitario  indígena  la  toma  de</w:t>
        <w:br/>
        <w:t xml:space="preserve">      decisiones se produce por consenso. El sistema partidario es diferente</w:t>
        <w:br/>
        <w:t xml:space="preserve">      porque genera una lucha de “competidores”,  de  intereses  personales.</w:t>
        <w:br/>
        <w:t xml:space="preserve">      Para  que  una  persona  sea  elegida  candidato  en  las  comunidades</w:t>
        <w:br/>
        <w:t xml:space="preserve">      indígenas debe ser distinguida.</w:t>
        <w:br/>
        <w:br/>
        <w:br/>
        <w:t xml:space="preserve">      Debido a la exclusión de YATAMA de las elecciones de 2000  el  testigo</w:t>
        <w:br/>
        <w:t xml:space="preserve">      tuvo que realizar gestiones orientadas a incidir en el Consejo Supremo</w:t>
        <w:br/>
        <w:t xml:space="preserve">      Electoral para mantener la estabilidad y lograr  la  participación  de</w:t>
        <w:br/>
        <w:t xml:space="preserve">      YATAMA en las elecciones. Sus gestiones fueron infructuosas.</w:t>
        <w:br/>
        <w:br/>
        <w:br/>
        <w:t xml:space="preserve">      En cuanto a  la  reforma  de  la  Ley  Electoral  para  garantizar  la</w:t>
        <w:br/>
        <w:t xml:space="preserve">      participación de los pueblos indígenas en condiciones de igualdad,  la</w:t>
        <w:br/>
        <w:t xml:space="preserve">      expresión  igualdad  “es  relativa”,   pues   estos   pueblos   tienen</w:t>
        <w:br/>
        <w:t xml:space="preserve">      tradiciones culturales diferentes y las leyes deberían ajustarse a esa</w:t>
        <w:br/>
        <w:t xml:space="preserve">      situación. La demarcación de circunscripciones  no  se  ajusta  a  las</w:t>
        <w:br/>
        <w:t xml:space="preserve">      condiciones sociales  de  las  comunidades,  ya  que  los  territorios</w:t>
        <w:br/>
        <w:t xml:space="preserve">      indígenas no coinciden con lo dispuesto en la Ley Electoral.</w:t>
        <w:br/>
        <w:br/>
        <w:br/>
        <w:t>b)    Propuestos por los representantes de las presuntas víctimas</w:t>
        <w:br/>
        <w:br/>
        <w:br/>
        <w:t xml:space="preserve">      3.    John Alex Delio Bans, representante de YATAMA en la RAAS  en  el</w:t>
        <w:br/>
        <w:t xml:space="preserve">      2000</w:t>
        <w:br/>
        <w:br/>
        <w:t xml:space="preserve">      El testigo es miskito. El Estado ha  discriminado  a  las  comunidades</w:t>
        <w:br/>
        <w:t xml:space="preserve">      indígenas. Estas consideran que la distinción entre  RAAN  y  RAAS  es</w:t>
        <w:br/>
        <w:t xml:space="preserve">      producto  de  una  división  artificial  promovida  por  los  partidos</w:t>
        <w:br/>
        <w:t xml:space="preserve">      políticos nacionales, que no  corresponde  a  la  concepción  que  los</w:t>
        <w:br/>
        <w:t xml:space="preserve">      pueblos indígenas tienen de la Costa Atlántica, como una sola.  Dichos</w:t>
        <w:br/>
        <w:t xml:space="preserve">      pueblos consideran a YATAMA como parte de su tradición.  Los  miembros</w:t>
        <w:br/>
        <w:t xml:space="preserve">      de estas comunidades dicen que son YATAMA “de sangre, de corazón”. Los</w:t>
        <w:br/>
        <w:t xml:space="preserve">      candidatos de YATAMA son elegidos de acuerdo con la tradición  de  las</w:t>
        <w:br/>
        <w:t xml:space="preserve">      comunidades  indígenas.  Se  escoge  a  los  candidatos  en  asambleas</w:t>
        <w:br/>
        <w:t xml:space="preserve">      comunitarias.  En la actualidad, para la elección de  las  autoridades</w:t>
        <w:br/>
        <w:t xml:space="preserve">      comunales se debe consultar al Consejo Supremo Electoral, lo  cual  no</w:t>
        <w:br/>
        <w:t xml:space="preserve">      ocurría antes. El Estado debería  permitir  a  los  pueblos  indígenas</w:t>
        <w:br/>
        <w:t xml:space="preserve">      seleccionar sus candidatos y  elegir  a  sus  representantes  ante  el</w:t>
        <w:br/>
        <w:t xml:space="preserve">      Congreso.</w:t>
        <w:br/>
        <w:br/>
        <w:br/>
        <w:t xml:space="preserve">      Para participar en la RAAS en las elecciones municipales de  noviembre</w:t>
        <w:br/>
        <w:t xml:space="preserve">      de 2000, YATAMA decidió conformar la alianza con el  Partido  Indígena</w:t>
        <w:br/>
        <w:t xml:space="preserve">      Multiétnico y con el Partido  de  los  Pueblos  Costeños,  porque  son</w:t>
        <w:br/>
        <w:t xml:space="preserve">      partidos creados para la defensa de los  pueblos  multiétnicos,  y  al</w:t>
        <w:br/>
        <w:t xml:space="preserve">      tener ese propósito común podría lograr mejores resultados en la Costa</w:t>
        <w:br/>
        <w:t xml:space="preserve">      Atlántica.  No  obstante,  el  Partido  Indígena  Multiétnico  decidió</w:t>
        <w:br/>
        <w:t xml:space="preserve">      separarse, tal vez como producto de la  presión  del  Partido  Liberal</w:t>
        <w:br/>
        <w:t xml:space="preserve">      Constitucionalista.  Cuando  se  publicó  la   lista   preliminar   de</w:t>
        <w:br/>
        <w:t xml:space="preserve">      candidatos aparecían los candidatos de YATAMA para las  elecciones  de</w:t>
        <w:br/>
        <w:t xml:space="preserve">      la RAAN, pero no para las de la  RAAS.  Se  reclamó  ante  el  Consejo</w:t>
        <w:br/>
        <w:t xml:space="preserve">      Supremo  Electoral,  donde  les  indicaron  que  se  trataba  de   una</w:t>
        <w:br/>
        <w:t xml:space="preserve">      equivocación. Sin embargo, en la lista definitiva de candidatos no  se</w:t>
        <w:br/>
        <w:t xml:space="preserve">      incluyó a los candidatos de YATAMA de la RAAN ni de la RAAS,  lo  cual</w:t>
        <w:br/>
        <w:t xml:space="preserve">      no  tiene  justificación  alguna  porque  YATAMA  cumplió  todos   los</w:t>
        <w:br/>
        <w:t xml:space="preserve">      requisitos previstos en la Ley  Electoral.  En  el  2000  había  siete</w:t>
        <w:br/>
        <w:t xml:space="preserve">      municipios en  la  RAAS  y  se  requería  que  el  partido  presentara</w:t>
        <w:br/>
        <w:t xml:space="preserve">      candidatos en el 80% de los municipios. YATAMA propuso  candidatos  en</w:t>
        <w:br/>
        <w:t xml:space="preserve">      los siete municipios, es decir, superó el 80% exigido.</w:t>
        <w:br/>
        <w:br/>
        <w:br/>
        <w:t xml:space="preserve">      A raíz de la exclusión de YATAMA de  las  elecciones  de  2000  muchos</w:t>
        <w:br/>
        <w:t xml:space="preserve">      candidatos no han podido regresar a sus comunidades por las deudas que</w:t>
        <w:br/>
        <w:t xml:space="preserve">      tienen,  contraídas  con  motivo  del  proceso  electoral.   Hubo  que</w:t>
        <w:br/>
        <w:t xml:space="preserve">      informar a las comunidades la razón por la que YATAMA no  participaría</w:t>
        <w:br/>
        <w:t xml:space="preserve">      en las elecciones de 2000 y explicarles  cómo  se  iban  a  pagar  los</w:t>
        <w:br/>
        <w:t xml:space="preserve">      gastos generados.</w:t>
        <w:br/>
        <w:br/>
        <w:t xml:space="preserve">      4.     Anicia  Matamoros  de  Marly,  propuesta   como   candidata   a</w:t>
        <w:br/>
        <w:t xml:space="preserve">      vicealcaldesa por YATAMA en el Municipio Puerto  Cabezas  de  la  RAAN</w:t>
        <w:br/>
        <w:t xml:space="preserve">      para las elecciones municipales de 2000</w:t>
        <w:br/>
        <w:br/>
        <w:t xml:space="preserve">      La testigo pertenece al pueblo indígena miskito.  Los  candidatos  son</w:t>
        <w:br/>
        <w:t xml:space="preserve">      escogidos por las comunidades y  se  someten  a  una  asamblea.  Estas</w:t>
        <w:br/>
        <w:t xml:space="preserve">      comunidades ven a  YATAMA  como  una  organización  que  encierra  los</w:t>
        <w:br/>
        <w:t xml:space="preserve">      sentimientos de los indígenas, a través de la cual pueden  incidir  en</w:t>
        <w:br/>
        <w:t xml:space="preserve">      diferentes  espacios.   Sin  YATAMA  el  pueblo  no  tiene  voz.   Las</w:t>
        <w:br/>
        <w:t xml:space="preserve">      comunidades no aceptan que  YATAMA  sea  un  partido  político.   Esta</w:t>
        <w:br/>
        <w:t xml:space="preserve">      caracterización deriva de una imposición del Estado.</w:t>
        <w:br/>
        <w:br/>
        <w:br/>
        <w:t xml:space="preserve">      Al ser elegida como candidata tuvo  que  buscar  un  sustituto  en  el</w:t>
        <w:br/>
        <w:t xml:space="preserve">      trabajo.  Cuando se  supo  que  YATAMA  había  sido  excluida  de  las</w:t>
        <w:br/>
        <w:t xml:space="preserve">      elecciones, la comunidad responsabilizó a sus líderes, pero  luego  se</w:t>
        <w:br/>
        <w:t xml:space="preserve">      aclaró que no habían tenido nada que ver en  esta  situación.   Muchos</w:t>
        <w:br/>
        <w:t xml:space="preserve">      candidatos renunciaron a sus trabajos para dedicar su tiempo a visitar</w:t>
        <w:br/>
        <w:t xml:space="preserve">      las comunidades, y después de  la  exclusión  de  YATAMA  no  pudieron</w:t>
        <w:br/>
        <w:t xml:space="preserve">      reintegrarse  a  esos  empleos.   Al  saber  que  su  organización  no</w:t>
        <w:br/>
        <w:t xml:space="preserve">      participaría en las elecciones, la testigo se desmoralizó y pensó  que</w:t>
        <w:br/>
        <w:t xml:space="preserve">      a la exclusión social que ha sufrido su pueblo  se  sumaba  una  nueva</w:t>
        <w:br/>
        <w:t xml:space="preserve">      discriminación.   Además,  llegó  a  imaginar  que  el  motivo  de  la</w:t>
        <w:br/>
        <w:t xml:space="preserve">      exclusión era su nombre o su falta de capacidad. Hubo que  explicar  a</w:t>
        <w:br/>
        <w:t xml:space="preserve">      las comunidades los alcances de la situación y evitar que se  acudiera</w:t>
        <w:br/>
        <w:t xml:space="preserve">      a la violencia. Debido a que YATAMA no participó en las elecciones  el</w:t>
        <w:br/>
        <w:t xml:space="preserve">      pueblo se “sintió sin  representatividad”,  y  esta  circunstancia  se</w:t>
        <w:br/>
        <w:t xml:space="preserve">      reflejó en la abstención electoral: “casi la  mayoría  del  pueblo  no</w:t>
        <w:br/>
        <w:t xml:space="preserve">      votó”.  Al participar YATAMA en las elecciones de 2004 sintió alegría,</w:t>
        <w:br/>
        <w:t xml:space="preserve">      ya que se estaba recuperando el espacio de las  comunidades  indígenas</w:t>
        <w:br/>
        <w:t xml:space="preserve">      que se había perdido en el 2000.</w:t>
        <w:br/>
        <w:br/>
        <w:br/>
        <w:br/>
        <w:br/>
        <w:br/>
        <w:t xml:space="preserve">                                  Peritajes</w:t>
        <w:br/>
        <w:br/>
        <w:br/>
        <w:t>a)    Perito propuesta por los representantes de las presuntas víctimas</w:t>
        <w:br/>
        <w:br/>
        <w:t xml:space="preserve">        1. María Dolores Álvarez Arzate, antropóloga y etnóloga</w:t>
        <w:br/>
        <w:br/>
        <w:t xml:space="preserve">      La Costa Atlántica de Nicaragua ocupa el 50% del territorio nacional y</w:t>
        <w:br/>
        <w:t xml:space="preserve">      tiene una población aproximada de medio millón  de  personas,  de  las</w:t>
        <w:br/>
        <w:t xml:space="preserve">      cuales 170.000 mil son indígenas.</w:t>
        <w:br/>
        <w:br/>
        <w:br/>
        <w:t xml:space="preserve">      Las formas de organización  social  de  los  grupos  indígenas  tienen</w:t>
        <w:br/>
        <w:t xml:space="preserve">      algunas variaciones locales, pero en general  se  basan  en  asambleas</w:t>
        <w:br/>
        <w:t xml:space="preserve">      comunitarias.  Las  autoridades  internas  dentro   de   la   asamblea</w:t>
        <w:br/>
        <w:t xml:space="preserve">      comunitaria son el “wihta o juez y el síndico”. Además,  los  miembros</w:t>
        <w:br/>
        <w:t xml:space="preserve">      de los pueblos “con su presencia y  voto  también  participan  de  las</w:t>
        <w:br/>
        <w:t xml:space="preserve">      decisiones  comunitarias”.  A  estas  asambleas  se  han   incorporado</w:t>
        <w:br/>
        <w:t xml:space="preserve">      autoridades de  salud,  “algunos  curanderos”,  maestros,  el  pastor,</w:t>
        <w:br/>
        <w:t xml:space="preserve">      mujeres y ancianos. También existen otras  “instancias  superiores  de</w:t>
        <w:br/>
        <w:t xml:space="preserve">      organización” como los consejos territoriales y los  regionales  donde</w:t>
        <w:br/>
        <w:t xml:space="preserve">      se  toman  las  decisiones  más   importantes.   Algunas   formas   de</w:t>
        <w:br/>
        <w:t xml:space="preserve">      organización  social  y  política  de  las  comunidades  de  la  Costa</w:t>
        <w:br/>
        <w:t xml:space="preserve">      Atlántica se rigen por  costumbres,  y  la  palabra  cumple  un  papel</w:t>
        <w:br/>
        <w:t xml:space="preserve">      importante porque en ella se sustenta la autoridad  de  las  personas.</w:t>
        <w:br/>
        <w:t xml:space="preserve">      YATAMA “representa esos modos o formas de organización tradicional  de</w:t>
        <w:br/>
        <w:t xml:space="preserve">      formas ancestrales” y la diversidad indígena y “costeña”.</w:t>
        <w:br/>
        <w:br/>
        <w:br/>
        <w:t xml:space="preserve">      En las asambleas territoriales, realizadas  en  las  comunidades,  las</w:t>
        <w:br/>
        <w:t xml:space="preserve">      personas manifiestan si están de acuerdo en  que  determinada  persona</w:t>
        <w:br/>
        <w:t xml:space="preserve">      participe  como  candidato.  Las  personas  electas  en  la   asamblea</w:t>
        <w:br/>
        <w:t xml:space="preserve">      territorial reciben el “respaldo pleno de sus comunidades para  llevar</w:t>
        <w:br/>
        <w:t xml:space="preserve">      a  cabo  su  campaña   electoral   respectiva”.   Para   ser   electos</w:t>
        <w:br/>
        <w:t xml:space="preserve">      representantes  de  las  comunidades  las  personas  deben  gozar   de</w:t>
        <w:br/>
        <w:t xml:space="preserve">      prestigio y ser moralmente solventes. Las  comunidades  apoyan  a  sus</w:t>
        <w:br/>
        <w:t xml:space="preserve">      candidatos con medios de transporte  o  asumiendo  la  responsabilidad</w:t>
        <w:br/>
        <w:t xml:space="preserve">      social de la persona mientras ejerce como candidato  y  visita  a  las</w:t>
        <w:br/>
        <w:t xml:space="preserve">      comunidades en su campaña electoral.</w:t>
        <w:br/>
        <w:br/>
        <w:br/>
        <w:t xml:space="preserve">      Algunas circunstancias que dificultaron la participación  política  de</w:t>
        <w:br/>
        <w:t xml:space="preserve">      los ciudadanos  de  la  Costa  Atlántica  están  relacionadas  con  la</w:t>
        <w:br/>
        <w:t xml:space="preserve">      ausencia de oficinas que  estén  “cedulando  constantemente”.  También</w:t>
        <w:br/>
        <w:t xml:space="preserve">      existen problemas con el padrón electoral, pues los miembros de  estos</w:t>
        <w:br/>
        <w:t xml:space="preserve">      pueblos tienen modos de vida que los llevan  a  cambiar  su  ubicación</w:t>
        <w:br/>
        <w:t xml:space="preserve">      geográfica para extraer los recursos del bosque sin  agotarlos.   Otro</w:t>
        <w:br/>
        <w:t xml:space="preserve">      factor que dificultó la participación política es que  los  documentos</w:t>
        <w:br/>
        <w:t xml:space="preserve">      electorales no se emiten en lenguas indígenas, sino en castellano y en</w:t>
        <w:br/>
        <w:t xml:space="preserve">      muchos casos esto representa un problema por la ausencia de  educación</w:t>
        <w:br/>
        <w:t xml:space="preserve">      plena. Las reglas de la Ley Electoral “responden a una  visión  global</w:t>
        <w:br/>
        <w:t xml:space="preserve">      del país” y a la intención del Estado  de  que  toda  fuerza  política</w:t>
        <w:br/>
        <w:t xml:space="preserve">      cumpla dichas reglas, olvidando las particularidades culturales de los</w:t>
        <w:br/>
        <w:t xml:space="preserve">      pueblos de la Costa Caribe. A YATAMA se le indujo a adoptar formas  de</w:t>
        <w:br/>
        <w:t xml:space="preserve">      organización, como la de los partidos políticos, que no corresponden a</w:t>
        <w:br/>
        <w:t xml:space="preserve">      la “tradición oral que tienen estos pueblos”.</w:t>
        <w:br/>
        <w:br/>
        <w:br/>
        <w:t xml:space="preserve">      Al  conocerse  la  exclusión  de  los  candidatos  de  YATAMA  de  las</w:t>
        <w:br/>
        <w:t xml:space="preserve">      elecciones de 2000, las comunidades empezaron a  cuestionar  a  dichos</w:t>
        <w:br/>
        <w:t xml:space="preserve">      candidatos, preguntando qué habían hecho mal, cuáles habían  sido  sus</w:t>
        <w:br/>
        <w:t xml:space="preserve">      problemas. La reacción de muchos  candidatos  fue  considerar  que  no</w:t>
        <w:br/>
        <w:t xml:space="preserve">      habían  tenido  la  capacidad  suficiente  para  participar.   Algunos</w:t>
        <w:br/>
        <w:t xml:space="preserve">      candidatos tardaron dos años en regresar a sus comunidades,  pues  “no</w:t>
        <w:br/>
        <w:t xml:space="preserve">      sentían valor moral” por las deudas que habían asumido.</w:t>
        <w:br/>
        <w:br/>
        <w:br/>
        <w:t>b)    Peritos propuestos por el Estado</w:t>
        <w:br/>
        <w:br/>
        <w:t xml:space="preserve">     2.     Carlos Antonio Hurtado Cabrera, a cargo de la Secretaría de  la</w:t>
        <w:br/>
        <w:t xml:space="preserve">     Presidencia de la República para los Asuntos de la Costa Atlántica</w:t>
        <w:br/>
        <w:br/>
        <w:t xml:space="preserve">      La Secretaría de la Presidencia de la República para los Asuntos de la</w:t>
        <w:br/>
        <w:t xml:space="preserve">      Costa Atlántica fue creada a finales de julio de 2004, considerando la</w:t>
        <w:br/>
        <w:t xml:space="preserve">      importancia estratégica que tiene la  Costa  Atlántica  para  todo  el</w:t>
        <w:br/>
        <w:t xml:space="preserve">      país,  así  como  su  biodiversidad  y  multietnicidad.   Esta   Costa</w:t>
        <w:br/>
        <w:t xml:space="preserve">      representa el 50% del territorio nacional. Asimismo, se tuvo en cuenta</w:t>
        <w:br/>
        <w:t xml:space="preserve">      la necesidad de dar coherencia y hacer  efectiva  la  gestión  de  las</w:t>
        <w:br/>
        <w:t xml:space="preserve">      instituciones que intervienen en la Costa Atlántica.   El  presupuesto</w:t>
        <w:br/>
        <w:t xml:space="preserve">      de esta región asciende a cincuenta millones de dólares. El Presidente</w:t>
        <w:br/>
        <w:t xml:space="preserve">      de la República ha cambiado el modelo tradicional de relaciones con la</w:t>
        <w:br/>
        <w:t xml:space="preserve">      Costa Atlántica, tanto en el marco de la autonomía política de la  que</w:t>
        <w:br/>
        <w:t xml:space="preserve">      gozan las regiones de la Costa  Atlántica  como  con  las  comunidades</w:t>
        <w:br/>
        <w:t xml:space="preserve">      indígenas.  Este  nuevo  modelo  se  basa  en  la  necesidad  de   una</w:t>
        <w:br/>
        <w:t xml:space="preserve">      comunicación permanente de dos vías: del Gobierno  central  hacia  las</w:t>
        <w:br/>
        <w:t xml:space="preserve">      regiones y de éstas hacia aquél, mediante una comunicación  respetuosa</w:t>
        <w:br/>
        <w:t xml:space="preserve">      de las instituciones y de las características  particulares  de  estas</w:t>
        <w:br/>
        <w:t xml:space="preserve">      regiones autónomas.</w:t>
        <w:br/>
        <w:br/>
        <w:br/>
        <w:t xml:space="preserve">      Una de las atribuciones de la Secretaría para los Asuntos de la  Costa</w:t>
        <w:br/>
        <w:t xml:space="preserve">      Atlántica es relacionarse con las comunidades indígenas. Al  respecto,</w:t>
        <w:br/>
        <w:t xml:space="preserve">      el Presidente de Nicaragua firmó, en tiempos de su campaña  electoral,</w:t>
        <w:br/>
        <w:t xml:space="preserve">      un acuerdo  con  la  organización  política  YATAMA,  en  el  cual  se</w:t>
        <w:br/>
        <w:t xml:space="preserve">      establecían varios compromisos. YATAMA “es la  principal  organización</w:t>
        <w:br/>
        <w:t xml:space="preserve">      política indígena que existe en el país” y el  principal  interlocutor</w:t>
        <w:br/>
        <w:t xml:space="preserve">      de las comunidades indígenas con el Gobierno. El triunfo electoral  de</w:t>
        <w:br/>
        <w:t xml:space="preserve">      YATAMA en las elecciones municipales de  noviembre  de  2004  ha  sido</w:t>
        <w:br/>
        <w:t xml:space="preserve">      valorado por el Gobierno central.</w:t>
        <w:br/>
        <w:br/>
        <w:br/>
        <w:t xml:space="preserve">      La Ley  Electoral  anterior  respondía  más  a  las  “aspiraciones  de</w:t>
        <w:br/>
        <w:t xml:space="preserve">      democracia del pueblo de Nicaragua”, pues contemplaba la figura de  la</w:t>
        <w:br/>
        <w:t xml:space="preserve">      asociación de suscripción popular y consagraba menos  requisitos  para</w:t>
        <w:br/>
        <w:t xml:space="preserve">      la conformación de partidos políticos que  la  actual  Ley  Electoral.</w:t>
        <w:br/>
        <w:t xml:space="preserve">      Esto hace que sea una “necesidad imperiosa” que la Ley  Electoral  sea</w:t>
        <w:br/>
        <w:t xml:space="preserve">      reformada. Sin  embargo,  los  partidos  políticos  mayoritarios,  con</w:t>
        <w:br/>
        <w:t xml:space="preserve">      asiento en la Asamblea Nacional, “ni siquiera la tienen en la agenda y</w:t>
        <w:br/>
        <w:t xml:space="preserve">      parecen estar muy cómod[o]s con esta ley actual”.</w:t>
        <w:br/>
        <w:br/>
        <w:t xml:space="preserve">      3.     Marvin  Saúl  Castellón  Torres,  Procurador  Auxiliar  de   la</w:t>
        <w:br/>
        <w:t xml:space="preserve">      Propiedad</w:t>
        <w:br/>
        <w:br/>
        <w:br/>
        <w:t xml:space="preserve">      Se refirió a la supremacía de la Constitución Política  de  Nicaragua,</w:t>
        <w:br/>
        <w:t xml:space="preserve">      consagrada en el artículo 182 de la Constitución de Nicaragua.  En  la</w:t>
        <w:br/>
        <w:t xml:space="preserve">      jurisprudencia nicaragüense se  ha  establecido  que  el  recurso  por</w:t>
        <w:br/>
        <w:t xml:space="preserve">      inconstitucionalidad  pretende  garantizar  dicha  superioridad.    El</w:t>
        <w:br/>
        <w:t xml:space="preserve">      perito se refirió  al  principio  de  independencia  y  separación  de</w:t>
        <w:br/>
        <w:t xml:space="preserve">      poderes.</w:t>
        <w:br/>
        <w:br/>
        <w:br/>
        <w:t xml:space="preserve">      El artículo 173 de la Constitución Política dispone  que  contra  “las</w:t>
        <w:br/>
        <w:t xml:space="preserve">      resoluciones del Consejo Supremo Electoral  en  materia  electoral  no</w:t>
        <w:br/>
        <w:t xml:space="preserve">      habrá recurso alguno ordinario o extraordinario”. La Corte Suprema  de</w:t>
        <w:br/>
        <w:t xml:space="preserve">      Justicia de Nicaragua ha  establecido  que  en  materia  electoral  no</w:t>
        <w:br/>
        <w:t xml:space="preserve">      procede recurso alguno, pero cuando se trata de un acto administrativo</w:t>
        <w:br/>
        <w:t xml:space="preserve">      del Consejo Supremo  Electoral  se  puede  interponer  el  recurso  de</w:t>
        <w:br/>
        <w:t xml:space="preserve">      amparo. Cuando un ciudadano interpone un  recurso  de  revisión  y  el</w:t>
        <w:br/>
        <w:t xml:space="preserve">      Consejo Supremo  Electoral  no  se  pronuncia,  el  ciudadano  estaría</w:t>
        <w:br/>
        <w:t xml:space="preserve">      “limitado” porque la resolución del Consejo es definitiva.</w:t>
        <w:br/>
        <w:br/>
        <w:br/>
        <w:t xml:space="preserve">      Una reforma a la Ley Electoral requeriría el “60% del  voto  favorable</w:t>
        <w:br/>
        <w:t xml:space="preserve">      de los diputados”. Teniendo en cuenta la composición política  de  las</w:t>
        <w:br/>
        <w:t xml:space="preserve">      fuerzas en el Poder Legislativo se necesitaría un acuerdo de  las  dos</w:t>
        <w:br/>
        <w:t xml:space="preserve">      fuerzas mayoritarias, que  son  el  Frente  Sandinista  de  Liberación</w:t>
        <w:br/>
        <w:t xml:space="preserve">      Nacional y el Partido Liberal Constitucionalista. En el evento de  que</w:t>
        <w:br/>
        <w:t xml:space="preserve">      la reforma fuese posible debería ser “fruto de un  análisis  integral”</w:t>
        <w:br/>
        <w:t xml:space="preserve">      que tendría que hacer el Consejo Supremo Electoral.</w:t>
        <w:br/>
        <w:br/>
        <w:t xml:space="preserve">                         C) Valoración de la Prueba</w:t>
        <w:br/>
        <w:br/>
        <w:br/>
        <w:t>Valoración de la Prueba Documental</w:t>
        <w:br/>
        <w:br/>
        <w:t>112.  En  este  caso,  como  en  otros[14],  el  Tribunal  admite  el  valor</w:t>
        <w:br/>
        <w:t>probatorio  de  aquellos  documentos  presentados  por  las  partes  en   su</w:t>
        <w:br/>
        <w:t>oportunidad procesal, o como prueba para mejor resolver de  conformidad  con</w:t>
        <w:br/>
        <w:t>el  artículo  45.2  de  su  Reglamento,  que  no  fueron  controvertidos  ni</w:t>
        <w:br/>
        <w:t>objetados, ni cuya autenticidad fue puesta en duda.</w:t>
        <w:br/>
        <w:br/>
        <w:t>113.  Por otra parte, el Estado  presentó  prueba  en  relación  con  hechos</w:t>
        <w:br/>
        <w:t>supervenientes a la presentación  de  la  demanda,  de  conformidad  con  el</w:t>
        <w:br/>
        <w:t>artículo 44.3 del Reglamento, por  lo  cual  la  Corte  admite  como  prueba</w:t>
        <w:br/>
        <w:t>aquellos documentos que no fueron objetados,  y  cuya  autenticidad  no  fue</w:t>
        <w:br/>
        <w:t>puesta en duda, y que guardan relación con el  presente  caso  (supra  párr.</w:t>
        <w:br/>
        <w:t>27)[15].</w:t>
        <w:br/>
        <w:br/>
        <w:t>114.  El Estado formuló una objeción respecto  de  un  documento  presentado</w:t>
        <w:br/>
        <w:t>por los representantes como “prueba nueva en el proceso” (supra  párr.  35),</w:t>
        <w:br/>
        <w:t>el cual consiste en la Resolución de la Procuraduría para la Defensa de  los</w:t>
        <w:br/>
        <w:t>Derechos Humanos de Nicaragua de 3 de marzo de 2005, expediente No.  217/00,</w:t>
        <w:br/>
        <w:t>relacionada con una “denuncia interpuesta por el […] representante legal  de</w:t>
        <w:br/>
        <w:t>[…] YATAMA” el 24 de agosto de 2000.  El Estado manifestó, inter alia,   que</w:t>
        <w:br/>
        <w:t>“no se concibe que las instituciones del Estado como la  Procuraduría  [...]</w:t>
        <w:br/>
        <w:t>puedan intervenir a su arbitrio  en  contra  de  los  intereses  del  propio</w:t>
        <w:br/>
        <w:t>Estado en el ramo internacional”, lo que “implica  aparente  deslealtad  con</w:t>
        <w:br/>
        <w:t>el Estado”.  Pese  a  ello,   esta   Corte,  tomando  en  consideración  las</w:t>
        <w:br/>
        <w:t>objeciones del Estado, aplicando las reglas de la sana crítica y  apreciando</w:t>
        <w:br/>
        <w:t>dicho documento en el conjunto del acervo probatorio, lo admite  por  cuanto</w:t>
        <w:br/>
        <w:t>se trata de una decisión relativa a los hechos del  presente  caso,  emitida</w:t>
        <w:br/>
        <w:t>por una institución estatal nicaragüense el 3  de  marzo  de  2005.  Por  lo</w:t>
        <w:br/>
        <w:t>tanto, se agrega  al  acervo  probatorio,  conforme  al  artículo  44.3  del</w:t>
        <w:br/>
        <w:t>Reglamento, tal como ha hecho en otro caso semejante[16].</w:t>
        <w:br/>
        <w:br/>
        <w:t>115.  En relación con  las  declaraciones  testimoniales  y  los  dictámenes</w:t>
        <w:br/>
        <w:t>periciales  escritos  rendidos  ante  fedatario  público  (affidávits),   de</w:t>
        <w:br/>
        <w:t>conformidad con lo dispuesto por el Presidente mediante Resolución de 28  de</w:t>
        <w:br/>
        <w:t>enero de 2005 (supra párr. 28), la Corte los  admite  en  cuanto  concuerden</w:t>
        <w:br/>
        <w:t>con el objeto que fue definido en la referida Resolución y los valora en  el</w:t>
        <w:br/>
        <w:t>conjunto del acervo probatorio, aplicando las reglas de la  sana  crítica  y</w:t>
        <w:br/>
        <w:t>tomando en cuenta las observaciones presentadas por el Estado  (supra  párr.</w:t>
        <w:br/>
        <w:t>33).  La Corte acepta el desistimiento de los representantes  de  presentar,</w:t>
        <w:br/>
        <w:t>mediante affidávit, el peritaje  del  señor  Manuel  Alcántara  Sáez  (supra</w:t>
        <w:br/>
        <w:t>párr. 30).</w:t>
        <w:br/>
        <w:br/>
        <w:t>116.  Respecto de las  declaraciones  juradas  no  rendidas  ante  fedatario</w:t>
        <w:br/>
        <w:t>público por los testigos Nancy  Elizabeth  Henríquez  James  y  Eklan  James</w:t>
        <w:br/>
        <w:t>Molina, propuestos por la Comisión y hechos  suyos  por  los  representantes</w:t>
        <w:br/>
        <w:t>(supra párrs. 28 y 30), la Corte las admite y las  aprecia  en  el  conjunto</w:t>
        <w:br/>
        <w:t>del acervo probatorio, aplicando las reglas de la sana crítica y tomando  en</w:t>
        <w:br/>
        <w:t>consideración las objeciones del Estado.  La  Corte  ha  admitido  en  otras</w:t>
        <w:br/>
        <w:t>ocasiones declaraciones  juradas  que  no  fueron  rendidas  ante  fedatario</w:t>
        <w:br/>
        <w:t>público, cuando no se afecta la seguridad jurídica y el equilibrio  procesal</w:t>
        <w:br/>
        <w:t>entre las partes[17].  Como ha señalado esta  Corte,  las  declaraciones  de</w:t>
        <w:br/>
        <w:t>las presuntas  víctimas  pueden  proporcionar  información  útil  sobre  las</w:t>
        <w:br/>
        <w:t>alegadas violaciones y sus consecuencias[18].</w:t>
        <w:br/>
        <w:br/>
        <w:t>117.  El Estado objetó la declaración jurada  del  perito  Roberto  Courtney</w:t>
        <w:br/>
        <w:t>Cerda, presentada por la Comisión el 23 de  febrero  de  2005  (supra  párr.</w:t>
        <w:br/>
        <w:t>31),  debido  “a  la  imposibilidad”  en  que  se   encontraba   de   rendir</w:t>
        <w:br/>
        <w:t>personalmente su dictamen pericial  en  la  audiencia  pública.   El  Estado</w:t>
        <w:br/>
        <w:t>señaló, inter alia, que dicha declaración jurada era extemporánea  y  omitió</w:t>
        <w:br/>
        <w:t>“formalidades elementales”, e indicó que el señor Courtney Cerda “no  rindió</w:t>
        <w:br/>
        <w:t>su peritaje de acuerdo con la Resolución” del Presidente.  Al  respecto,  la</w:t>
        <w:br/>
        <w:t>Corte estima que, tal como lo determinó el Presidente, este dictamen  “puede</w:t>
        <w:br/>
        <w:t>contribuir a la determinación, por parte de la  Corte,  de  los  hechos  del</w:t>
        <w:br/>
        <w:t>presente caso”, en cuanto concuerde con el objeto que  fue  definido  en  la</w:t>
        <w:br/>
        <w:t>referida Resolución, y lo valora  en  el  conjunto  del  acervo  probatorio,</w:t>
        <w:br/>
        <w:t>aplicando  las  reglas  de  la  sana  crítica  y  tomando  en   cuenta   las</w:t>
        <w:br/>
        <w:t>observaciones presentadas por el Estado (supra párr. 33).</w:t>
        <w:br/>
        <w:br/>
        <w:t>118.   La  Corte  estima  útiles  los  documentos  presentados  durante   la</w:t>
        <w:br/>
        <w:t>audiencia pública por el testigo Jorge Teytom Fedrick (supra párr. 37),  así</w:t>
        <w:br/>
        <w:t>como los  documentos  remitidos  por  los  representantes  en  sus  alegatos</w:t>
        <w:br/>
        <w:t>finales  escritos  (supra  párr.  43),  que  no  fueron  controvertidos   ni</w:t>
        <w:br/>
        <w:t>objetados, y cuya autenticidad o veracidad no fueron puestas  en  duda,  por</w:t>
        <w:br/>
        <w:t>lo cual este Tribunal los agrega al acervo probatorio,  de  conformidad  con</w:t>
        <w:br/>
        <w:t>el  artículo 45.1 del Reglamento.</w:t>
        <w:br/>
        <w:br/>
        <w:t>119.  En cuanto a los documentos de prensa presentados por las partes,  este</w:t>
        <w:br/>
        <w:t>Tribunal ha considerado que podrían ser  apreciados  cuando  recojan  hechos</w:t>
        <w:br/>
        <w:t>públicos y notorios o declaraciones de funcionarios  del  Estado,  o  cuando</w:t>
        <w:br/>
        <w:t>corroboren aspectos relacionados con el caso[19].</w:t>
        <w:br/>
        <w:br/>
        <w:t>120.  El Estado “negó valor legal  alguno  a  cualquier  escrito  de  Amicus</w:t>
        <w:br/>
        <w:t>Curiae que se haya presentado en el juicio o posteriormente a  la  audiencia</w:t>
        <w:br/>
        <w:t>oral”. La Corte admite estos elementos, considerando que se trata de  cuatro</w:t>
        <w:br/>
        <w:t>escritos presentados en calidad  de  amicus  curiae  por  instituciones  que</w:t>
        <w:br/>
        <w:t>tienen interés en la materia  de  la  demanda  y  proveen  información  útil</w:t>
        <w:br/>
        <w:t>(supra párrs. 17, 34, 38 y 42).</w:t>
        <w:br/>
        <w:br/>
        <w:t>121.  Asimismo, en aplicación de  lo  dispuesto  en  el  artículo  45.1  del</w:t>
        <w:br/>
        <w:t>Reglamento, la Corte incorpora al acervo probatorio  del  presente  caso  la</w:t>
        <w:br/>
        <w:t>Ley No. 28 de 30 de octubre de 1987 denominada  “Estatuto  de  Autonomía  de</w:t>
        <w:br/>
        <w:t>las Regiones de la Costa Atlántica de Nicaragua”, la Ley Electoral  No.  211</w:t>
        <w:br/>
        <w:t>de 8 de enero de 1996, el informe del Instituto Nacional de  Estadísticas  y</w:t>
        <w:br/>
        <w:t>Censos  de  Nicaragua  (INEC)  denominado  “Población  total  por  área   de</w:t>
        <w:br/>
        <w:t>residencia y sexo, según departamento y grupos de edades, años 2002 y  2003”</w:t>
        <w:br/>
        <w:t>y la Investigación de la Fundación para la Autonomía y el Desarrollo  de  la</w:t>
        <w:br/>
        <w:t>Costa  Atlántica  de  Nicaragua   (FADCANIC)   denominada   “Caracterización</w:t>
        <w:br/>
        <w:t>Fisiogeográfica y Demográfica de  las  Regiones  Autónomas   del  Caribe  de</w:t>
        <w:br/>
        <w:t>Nicaragua”, ya que resultan útiles para la resolución del presente caso.</w:t>
        <w:br/>
        <w:br/>
        <w:br/>
        <w:br/>
        <w:br/>
        <w:t>Valoración de la prueba testimonial y pericial</w:t>
        <w:br/>
        <w:br/>
        <w:t>122.  En relación con  las  declaraciones  rendidas  por  los  dos  testigos</w:t>
        <w:br/>
        <w:t>propuestos por la Comisión y hechos suyos por los  representantes,  por  dos</w:t>
        <w:br/>
        <w:t>testigos y una perito propuestos  por  los  representantes  y  por  los  dos</w:t>
        <w:br/>
        <w:t>peritos presentados por el Estado en el presente caso (supra párr. 111),  la</w:t>
        <w:br/>
        <w:t>Corte los admite en cuanto  concuerden  con  el  objeto  del  interrogatorio</w:t>
        <w:br/>
        <w:t>establecido por el Presidente mediante Resolución de 28 de enero de 2005,  y</w:t>
        <w:br/>
        <w:t>les  reconoce  valor  probatorio,  tomando  en  cuenta   las   observaciones</w:t>
        <w:br/>
        <w:t>realizadas por las partes. Este Tribunal estima  que  el  testimonio  de  la</w:t>
        <w:br/>
        <w:t>señora Anicia Matamoros (supra  párr.  111.b.4),  que  resulta  útil  en  el</w:t>
        <w:br/>
        <w:t>presente caso, no puede  ser  valorado  aisladamente  por  tratarse  de  una</w:t>
        <w:br/>
        <w:t>presunta víctima y tener un interés directo en este caso,  sino  debe  serlo</w:t>
        <w:br/>
        <w:t>dentro del conjunto de las pruebas del proceso[20].</w:t>
        <w:br/>
        <w:br/>
        <w:t>123.  El Estado objetó la solicitud de  la  Comisión,  “apoy[ada]”  por  los</w:t>
        <w:br/>
        <w:t>representantes, de que el Tribunal  “considere como  acervo  probatorio  […]</w:t>
        <w:br/>
        <w:t>la prueba pericial prestada en el Caso de la Comunidad Mayagna  (Sumo)  Awas</w:t>
        <w:br/>
        <w:t>Tingni. Sentencia de 31 de agosto de 2001.  Serie  C  N°  79,  ordenando  se</w:t>
        <w:br/>
        <w:t>tengan  por  reproducidas  las  referencias  a  la  historia,  situación   y</w:t>
        <w:br/>
        <w:t>organización de los pueblos indígenas de la Costa  Atlántica  de  Nicaragua”</w:t>
        <w:br/>
        <w:t>(supra  párrs.  25  y  26).  El  Estado  manifestó,  inter  alia,  que   “no</w:t>
        <w:br/>
        <w:t>corresponde y es improcedente esa supuesta prueba por cuanto  se  refiere  a</w:t>
        <w:br/>
        <w:t>materia distinta (electoral y  demarcación  territorial)  sin  coincidencias</w:t>
        <w:br/>
        <w:t>alguna  de  personas  aparentemente  perjudicadas”.   La   Corte   considera</w:t>
        <w:br/>
        <w:t>pertinente y útil incorporar el dictamen pericial rendido ante  el  Tribunal</w:t>
        <w:br/>
        <w:t>por el señor Rodolfo Stavenhagen Gruenbaum en cuanto haga  referencia  a  la</w:t>
        <w:br/>
        <w:t>historia, situación y organización de los  pueblos  indígenas  de  la  Costa</w:t>
        <w:br/>
        <w:t>Atlántica de Nicaragua, y valora dicho peritaje en el  conjunto  del  acervo</w:t>
        <w:br/>
        <w:t>probatorio, aplicando las reglas de la sana crítica y tomando en cuenta  las</w:t>
        <w:br/>
        <w:t>observaciones presentadas por el Estado (supra párr. 25).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124.   Con  fundamento  en  las  pruebas  aportadas   y   considerando   las</w:t>
        <w:br/>
        <w:t>manifestaciones formuladas por las partes, la Corte considera  probados  los</w:t>
        <w:br/>
        <w:t>siguientes hechos:</w:t>
        <w:br/>
        <w:br/>
        <w:br/>
        <w:t>Respecto de la Costa Atlántica o Caribe de Nicaragua</w:t>
        <w:br/>
        <w:br/>
        <w:t>124.1)           La población de Nicaragua es multiétnica,  multicultural  y</w:t>
        <w:br/>
        <w:t>multilingüe.  En ella  se  encuentran  diferentes  comunidades  indígenas  y</w:t>
        <w:br/>
        <w:t>étnicas, que habitan en la Región del Pacífico y Centro Norte, así  como  en</w:t>
        <w:br/>
        <w:t>la Costa Atlántica o Caribe[21].</w:t>
        <w:br/>
        <w:br/>
        <w:t>124.2)           La Constitución  Política  de  Nicaragua  establece  en  su</w:t>
        <w:br/>
        <w:t>Capítulo VI, titulado “Derechos de las comunidades de la  Costa  Atlántica”,</w:t>
        <w:br/>
        <w:t>que éstas comunidades “son parte  indisoluble  del  pueblo  nicaragüense”  y</w:t>
        <w:br/>
        <w:t>tienen derecho a “preservar  y  desarrollar  su  identidad  cultural  en  la</w:t>
        <w:br/>
        <w:t>unidad nacional; dotarse de sus propias  formas  de  organización  social  y</w:t>
        <w:br/>
        <w:t>administrar sus asuntos locales conforme a sus tradiciones”[22].</w:t>
        <w:br/>
        <w:br/>
        <w:t>124.3)           La Ley No. 28 de 2 de septiembre de 1987, publicada en  “La</w:t>
        <w:br/>
        <w:t>Gaceta” No. 238 de 30 de octubre de 1987, denominada “Estatuto de  Autonomía</w:t>
        <w:br/>
        <w:t>de las Regiones de la  Costa  Atlántica  de  Nicaragua”,  dividió  la  Costa</w:t>
        <w:br/>
        <w:t>Atlántica o del Caribe en la Región Autónoma del Atlántico  Norte  (RAAN)  y</w:t>
        <w:br/>
        <w:t>la Región Autónoma del Atlántico Sur (RAAS),  debido  a  que  “la  autonomía</w:t>
        <w:br/>
        <w:t>hace posible el ejercicio efectivo del derecho  de  las  comunidades  de  la</w:t>
        <w:br/>
        <w:t>Costa  Atlántica  a  participar  en  el  diseño  de   las   modalidades   de</w:t>
        <w:br/>
        <w:t>aprovechamiento de los recursos naturales de la región y de la forma en  que</w:t>
        <w:br/>
        <w:t>los beneficios de la  misma  serán  reinvertidos  en  la  Costa  Atlántica”.</w:t>
        <w:br/>
        <w:t>Dicha ley reconoce que “las poblaciones indígenas [se encuentran]  sometidas</w:t>
        <w:br/>
        <w:t>a un proceso de  empobrecimiento,  segregación,  marginalidad,  asimilación,</w:t>
        <w:br/>
        <w:t>opresión,  explotación  y  exterminio[,  que]  exigen   una   transformación</w:t>
        <w:br/>
        <w:t>profunda del orden político, económico y cultural, para  el  logro  efectivo</w:t>
        <w:br/>
        <w:t>de sus demandas y aspiraciones”[23].  El  régimen  de  autonomía  de  dichas</w:t>
        <w:br/>
        <w:t>regiones se encuentra regulado por las disposiciones del Reglamento de 2  de</w:t>
        <w:br/>
        <w:t>octubre de 2003 a la Ley No. 28[24].</w:t>
        <w:br/>
        <w:br/>
        <w:t>124.4)           La Costa Atlántica representa aproximadamente un  45,8%  de</w:t>
        <w:br/>
        <w:t>la superficie territorial del  Estado  y  constituye  la  segunda  área  más</w:t>
        <w:br/>
        <w:t>poblada de Nicaragua, pues en ella habitan alrededor  de  626.619  personas,</w:t>
        <w:br/>
        <w:t>es decir, el 11,4% de la población total del país[25].   Aproximadamente  el</w:t>
        <w:br/>
        <w:t>72,54% de la población es mestiza.  El 28%  de  la  población  de  la  Costa</w:t>
        <w:br/>
        <w:t>Atlántica o del Caribe se  identifica  con  alguna  comunidad  indígena[26].</w:t>
        <w:br/>
        <w:t>Aproximadamente 172.069  habitantes  de  la  Costa  Atlántica  pertenecen  a</w:t>
        <w:br/>
        <w:t>comunidades indígenas  y  étnicas,  es  decir,  el  3,13%  de  la  población</w:t>
        <w:br/>
        <w:t>nacional.  En la RAAN se concentra el mayor número de población indígena  de</w:t>
        <w:br/>
        <w:t>Nicaragua[27].</w:t>
        <w:br/>
        <w:br/>
        <w:t>124.5)           En la Costa  Atlántica  o  del  Caribe  habitan  diferentes</w:t>
        <w:br/>
        <w:t>comunidades étnicas e indígenas multilingües, como los  mestizos,  miskitos,</w:t>
        <w:br/>
        <w:t>sumos, ramas, creoles y garífunas.   Poseen  identidad  cultural,  mantienen</w:t>
        <w:br/>
        <w:t>rasgos y valores de su cultura tradicional, así como formas  de  tenencia  y</w:t>
        <w:br/>
        <w:t>uso comunal y de organización social propias[28].</w:t>
        <w:br/>
        <w:br/>
        <w:t>124.6)            La  RAAN  tiene  actualmente  siete  municipios:   Rosita,</w:t>
        <w:br/>
        <w:t>Bonanza, Waslala, Prinzapolka, Puerto Cabezas,  Waspam y Siuna.  En  el  año</w:t>
        <w:br/>
        <w:t>2000  la  RAAN  contaba  con  los  seis  primeros  municipios  anteriormente</w:t>
        <w:br/>
        <w:t>mencionados. Dicha región tiene  una  extensión  equivalente  al  24,7%  del</w:t>
        <w:br/>
        <w:t>territorio nacional.  Su sede administrativa se encuentra en  la  ciudad  de</w:t>
        <w:br/>
        <w:t>Bilwi, en el municipio de Puerto Cabezas.  En la  RAAN,  aproximadamente  el</w:t>
        <w:br/>
        <w:t>45% de la población es miskitu, el 38% es mestiza de habla hispana,  el  14%</w:t>
        <w:br/>
        <w:t>es creole de habla inglesa y de raza negra, y el  3%  es  mayagna  de  habla</w:t>
        <w:br/>
        <w:t>twahka[29].</w:t>
        <w:br/>
        <w:br/>
        <w:t>124.7)           La RAAS tiene actualmente once municipios: La Cruz  de  Río</w:t>
        <w:br/>
        <w:t>Grande, la Desembocadura del  Río  Grande,  Tortuguero,  Laguna  de  Perlas,</w:t>
        <w:br/>
        <w:t>Bluefields, Corn Island, Kubra Hill, el Rama, Nueva Guinea,  Muelle  de  los</w:t>
        <w:br/>
        <w:t>Bueyes y Bocana de Paiwas. En el año 2000 la RAAS contaba con  los  primeros</w:t>
        <w:br/>
        <w:t>siete municipios anteriormente mencionados.  La RAAS  tiene  una  superficie</w:t>
        <w:br/>
        <w:t>del 21,1% del territorio nacional, y su sede administrativa se encuentra  en</w:t>
        <w:br/>
        <w:t>la  ciudad  de  Bluefields,   del   mismo   municipio[30].    En   la   RAAS</w:t>
        <w:br/>
        <w:t>aproximadamente el 85,5% de la población es mestiza,  el  10,3%  creole,  el</w:t>
        <w:br/>
        <w:t>2,8% miskitu, el 0,7% garífuna, el 0,4% rama y el 0,3% mayagna[31].</w:t>
        <w:br/>
        <w:br/>
        <w:t>Respecto de la organización indígena YATAMA</w:t>
        <w:br/>
        <w:br/>
        <w:t>a) yatama como organización indígena y étnica</w:t>
        <w:br/>
        <w:br/>
        <w:t>124.8)           En 1969 se  creó  el  movimiento  ecuménico  Asociación  de</w:t>
        <w:br/>
        <w:t>Clubes Agrícolas de  Río  Coco  (ACARIC),  que  se  basaba  en  cooperativas</w:t>
        <w:br/>
        <w:t>comunales  de  comercialización  de  productos  agrícolas  en  el  Río  Coco</w:t>
        <w:br/>
        <w:t>(Wanki), “con el objetivo  de  promover  la  mejora  de  la  vida  social  y</w:t>
        <w:br/>
        <w:t>económica de la población indígena”[32].</w:t>
        <w:br/>
        <w:br/>
        <w:t>124.9)           La organización indígena YAPTI TASBA NANIH ASLATAKANKA  (en</w:t>
        <w:br/>
        <w:t>adelante “YATAMA”), que significa “la organización  de  los  Pueblos  de  la</w:t>
        <w:br/>
        <w:t>Madre Tierra” o la “organización de los hijos de la madre tierra”[33],    se</w:t>
        <w:br/>
        <w:t>originó en la década de 1970 en el municipio de  Waspam  con  el  nombre  de</w:t>
        <w:br/>
        <w:t>Alianza para el Progreso de los Pueblos Miskitus y Sumos (ALPROMISU),  y  se</w:t>
        <w:br/>
        <w:t>expandió hacia la RAAN.   ALPROMISU  tenía  el  objetivo,  entre  otros,  de</w:t>
        <w:br/>
        <w:t>“defender sus territorios y sus recursos naturales”[34].</w:t>
        <w:br/>
        <w:br/>
        <w:t>124.10)     El 11 de noviembre de 1979 se celebró una  Asamblea  General  de</w:t>
        <w:br/>
        <w:t>los  pueblos  indígenas,  en  la  cual  ALPROMISU  cambió  de  nombre  y  se</w:t>
        <w:br/>
        <w:t>constituyó  en  la  organización   MISURASATA   (Miskitos,   Sumos,   Ramas,</w:t>
        <w:br/>
        <w:t>Sandinistas Aslatakanaka)[35].</w:t>
        <w:br/>
        <w:br/>
        <w:t>124.11)      En  1987  se  celebró  una  Asamblea  General  de  los  pueblos</w:t>
        <w:br/>
        <w:t>indígenas en Honduras, durante la cual la  antigua  organización  MISURASATA</w:t>
        <w:br/>
        <w:t>se constituyó en la “organización etnopolítica regional” YATAMA[36].  En  la</w:t>
        <w:br/>
        <w:t>actualidad, numerosas comunidades indígenas y étnicas de la Costa  Atlántica</w:t>
        <w:br/>
        <w:t>o  Caribe  nicaragüense  se   consideran   representadas   por   YATAMA[37],</w:t>
        <w:br/>
        <w:t>“primordialmente [los] miembros del pueblo  indígena  miskitu”[38].   YATAMA</w:t>
        <w:br/>
        <w:t>se formó con el  propósito  de  “def[ender]  el  derecho  histórico  de  los</w:t>
        <w:br/>
        <w:t>pueblos indígenas y comunidades étnicas sobre sus territorios  tradicionales</w:t>
        <w:br/>
        <w:t>y prom[over] el autogobierno, […] impulsar el desarrollo  económico,  social</w:t>
        <w:br/>
        <w:t>y cultural de Yapti Tasba, forjando así  la  democracia  comunitaria  en  el</w:t>
        <w:br/>
        <w:t>marco  de  la  democracia,   la   paz   y   la   unidad   de   estado/nación</w:t>
        <w:br/>
        <w:t>nicaragüense”[39].</w:t>
        <w:br/>
        <w:br/>
        <w:t>b)    estructura  e Integración de Yatama</w:t>
        <w:br/>
        <w:br/>
        <w:t>124.12)     Son miembros de la organización de base de  las  comunidades  de</w:t>
        <w:br/>
        <w:t>YATAMA “los hijos y las hijas de las comunidades indígenas y étnicas  de  la</w:t>
        <w:br/>
        <w:t>Moskitia nicaragüense, que reconocen su identidad étnica y  defienden  [sus]</w:t>
        <w:br/>
        <w:t>intereses  estratégicos”[40].  Sin  embargo,  cuando  YATAMA  participa   en</w:t>
        <w:br/>
        <w:t>elecciones regionales o municipales, permite que  sean  candidatos  miembros</w:t>
        <w:br/>
        <w:t>de “todos los otros pueblos que no son indígenas, como los mestizos”[41].</w:t>
        <w:br/>
        <w:br/>
        <w:t>124.13)     YATAMA tiene una  forma  organizativa  propia  heredada  de  sus</w:t>
        <w:br/>
        <w:t>ancestros,  denominada  “democracia  comunitaria”,  la  cual  se   basa   en</w:t>
        <w:br/>
        <w:t>asambleas  de  comunidades  y  barrios,  territoriales  en  los  territorios</w:t>
        <w:br/>
        <w:t>indígenas o étnicos, y regionales en la RAAN,  RAAS  y  Jinotega[42].   Cada</w:t>
        <w:br/>
        <w:t>asamblea comunal, instancia de decisión de  la  comunidad  y  barrio,   está</w:t>
        <w:br/>
        <w:t>integrada por la asamblea de las familias  (Tawan  Aslika),  es  decir,  por</w:t>
        <w:br/>
        <w:t>todas las familias indígenas o  étnicas  pertenecientes  a  la  comunidad  o</w:t>
        <w:br/>
        <w:t>barrio, y dicha asamblea  comunal  está  dirigida  por  el  Consejo  Comunal</w:t>
        <w:br/>
        <w:t>(Wihta Daknika), que es la estructura ejecutiva de la asamblea[43].</w:t>
        <w:br/>
        <w:br/>
        <w:t>124.14)      Las  asambleas   territoriales   están   compuestas   por   los</w:t>
        <w:br/>
        <w:t>representantes de las asambleas  comunales  de  las  comunidades  y  barrios</w:t>
        <w:br/>
        <w:t>indígenas  y  étnicos  correspondientes  al  territorio,  y  su   estructura</w:t>
        <w:br/>
        <w:t>ejecutiva  es  el  Consejo  Territorial.  Cada  comunidad  designa   a   sus</w:t>
        <w:br/>
        <w:t>candidatos y los propone a  la  asamblea.  La  Asamblea  territorial  es  la</w:t>
        <w:br/>
        <w:t>encargada de elegir a los candidatos de YATAMA  para  cargos  de  concejales</w:t>
        <w:br/>
        <w:t>ante el Consejo Regional y el Consejo Municipal, así como a  los  candidatos</w:t>
        <w:br/>
        <w:t>a alcalde y vicealcalde del territorio  y  municipio  que  lo  integra.   Se</w:t>
        <w:br/>
        <w:t>reúne al menos dos veces al año[44].   Las  votaciones  son  públicas.   Las</w:t>
        <w:br/>
        <w:t>personas  electas  van  a  las  mismas  comunidades   a   presentarse   como</w:t>
        <w:br/>
        <w:t>candidatos[45].</w:t>
        <w:br/>
        <w:br/>
        <w:br/>
        <w:t>124.15)     La asamblea regional está compuesta por  los  representantes  de</w:t>
        <w:br/>
        <w:t>las “asambleas territoriales de  las  comunidades,  o  barrios  indígenas  o</w:t>
        <w:br/>
        <w:t>étnic[o]s” que  pertenecen  a  determinada  región.   La  asamblea  regional</w:t>
        <w:br/>
        <w:t>aprueba el programa electoral y  elige  a  los  candidatos  de  YATAMA  para</w:t>
        <w:br/>
        <w:t>cargos de diputados ante la Asamblea Nacional, así como a los  candidatos  a</w:t>
        <w:br/>
        <w:t>alcalde y vicealcalde de las  cabeceras  regionales  (Bilwi,  Bluefields)  y</w:t>
        <w:br/>
        <w:t>ratifica al resto de los candidatos a los cargos de elección popular de  los</w:t>
        <w:br/>
        <w:t>demás municipios y a los consejos regionales de la RAAN y de la RAAS[46].</w:t>
        <w:br/>
        <w:br/>
        <w:t>124.16)     “Cualquier dirigente o miembro de la organización tiene  derecho</w:t>
        <w:br/>
        <w:t>a ser postulado candidato a cualquier puesto de elección popular  por  parte</w:t>
        <w:br/>
        <w:t>de cualquiera estructura u organismo de ésta”.  Las estructuras  integrantes</w:t>
        <w:br/>
        <w:t>podrán postular candidatos que no sean  miembros de YATAMA, con el apoyo  de</w:t>
        <w:br/>
        <w:t>“al menos quinientas firmas certificadas por el Consejo de Ancianos y  serán</w:t>
        <w:br/>
        <w:t>elegidos por voto mayoritario de los representantes de la asamblea  regional</w:t>
        <w:br/>
        <w:t>respectiva”[47].</w:t>
        <w:br/>
        <w:br/>
        <w:br/>
        <w:t>c) Participación de YATAMA en  elecciones  en  Nicaragua  como  organización</w:t>
        <w:br/>
        <w:t>indígena y étnica</w:t>
        <w:br/>
        <w:br/>
        <w:t>124.17)     YATAMA participó por primera vez en  las  elecciones  regionales</w:t>
        <w:br/>
        <w:t>de  Nicaragua  en  1990.   En   1994   volvió   a   participar   en   dichas</w:t>
        <w:br/>
        <w:t>elecciones[48].  En 1996 YATAMA participó por primera vez en las  elecciones</w:t>
        <w:br/>
        <w:t>municipales.   En  1998  participó  en  las  elecciones  de  concejales   al</w:t>
        <w:br/>
        <w:t>parlamento regional, en las cuales  obtuvo  8  de  45  escaños  de  Concejos</w:t>
        <w:br/>
        <w:t>Regionales Autónomos de la RAAN y 4 de  45 en la RAAS[49].</w:t>
        <w:br/>
        <w:br/>
        <w:t>124.18)     YATAMA participó en las contiendas electorales mencionadas  bajo</w:t>
        <w:br/>
        <w:t>la figura  de  “asociación  de  suscripción  popular”,  de  acuerdo  con  lo</w:t>
        <w:br/>
        <w:t>dispuesto en las  leyes  electorales  de  1990  y  de  1996.   Dicha  figura</w:t>
        <w:br/>
        <w:t>permitía la participación política de cualquier  organización  que  reuniera</w:t>
        <w:br/>
        <w:t>un mínimo de 5% de  ciudadanos  incluidos  en  el  padrón  electoral  de  la</w:t>
        <w:br/>
        <w:t>respectiva circunscripción  electoral,  o  inscritos  en  los  Catálogos  de</w:t>
        <w:br/>
        <w:t>Electores de la última elección.  Las asociaciones  de  suscripción  popular</w:t>
        <w:br/>
        <w:t>podían  presentar  candidatos  para  alcaldes,  vicealcaldes  y   concejales</w:t>
        <w:br/>
        <w:t>municipales en todo el país y para miembros de los Consejos de las  Regiones</w:t>
        <w:br/>
        <w:t>Autónomas de la Costa Atlántica[50].</w:t>
        <w:br/>
        <w:br/>
        <w:t>124.19)     Las comunidades indígenas y étnicas a las que se  dirige  o  que</w:t>
        <w:br/>
        <w:t>forman parte de YATAMA no cuentan con una red vial,  por  lo  que  la  mayor</w:t>
        <w:br/>
        <w:t>parte del trayecto para acceder a sus territorios, sobre todo  en  la  RAAS,</w:t>
        <w:br/>
        <w:t>se debe hacer  por  vía  fluvial.  No  existe  transporte  público,  lo  que</w:t>
        <w:br/>
        <w:t>encarece los gastos para acceder a la mayoría de  dichas  comunidades.   Las</w:t>
        <w:br/>
        <w:t>comunidades se encuentran esparcidas, con una densidad poblacional de  11,72</w:t>
        <w:br/>
        <w:t>habitantes por kilómetro cuadrado en la RAAS y 7,2  en  la  RAAN;  la  media</w:t>
        <w:br/>
        <w:t>nacional es de 42,14 habitantes por kilómetro cuadrado[51].   Pese  a  ello,</w:t>
        <w:br/>
        <w:t>los candidatos electos por YATAMA mantienen contacto directo y personal  con</w:t>
        <w:br/>
        <w:t>las  comunidades  que  los  eligieron,  de  quienes  reciben  apoyo  en  las</w:t>
        <w:br/>
        <w:t>elecciones.   YATAMA  realizaba  sus  gestiones  conforme  a  su   tradición</w:t>
        <w:br/>
        <w:t>oral[52].</w:t>
        <w:br/>
        <w:br/>
        <w:t>YATAMA en las elecciones municipales de 5 de noviembre de 2000</w:t>
        <w:br/>
        <w:br/>
        <w:t>A) Emisión de la Ley Electoral No. 331 de 24 de enero de 2000</w:t>
        <w:br/>
        <w:br/>
        <w:t>124.20)     El 24 de enero de 2000  se  publicó  en  la  Gaceta  Oficial  de</w:t>
        <w:br/>
        <w:t>Nicaragua una nueva Ley Electoral (Ley No. 331) (en adelante “Ley  Electoral</w:t>
        <w:br/>
        <w:t>de 2000” o “Ley Electoral No. 331 de 2000”), aproximadamente 9  meses  antes</w:t>
        <w:br/>
        <w:t>de la fecha de las siguientes elecciones municipales.   Esta  nueva  Ley  no</w:t>
        <w:br/>
        <w:t>contempló la figura de las asociaciones  de  suscripción  popular  para  que</w:t>
        <w:br/>
        <w:t>participaran en las elecciones, que se recogía en las leyes  electorales  de</w:t>
        <w:br/>
        <w:t>1990 y 1996 (supra párr. 124.18)[53].  En la nueva ley sólo  se  permite  la</w:t>
        <w:br/>
        <w:t>participación en los procesos electorales a través de la figura jurídica  de</w:t>
        <w:br/>
        <w:t>partidos políticos[54], forma de  organización  que  no  es  propia  de  las</w:t>
        <w:br/>
        <w:t>comunidades indígenas y étnicas de la Costa Atlántica[55].</w:t>
        <w:br/>
        <w:br/>
        <w:t>124.21)     El artículo 71 de la Ley Electoral de 2000 establece que en  las</w:t>
        <w:br/>
        <w:t>“Regiones  Autónomas  de  la  Costa  Atlántica  podrán   formarse   partidos</w:t>
        <w:br/>
        <w:t>regionales, cuyo ámbito de acción estará limitado a  sus  circunscripciones.</w:t>
        <w:br/>
        <w:t>Los requisitos serán los mismos establecidos para los  partidos  nacionales,</w:t>
        <w:br/>
        <w:t>pero remitidos  a  la  división  político  administrativa  de  las  Regiones</w:t>
        <w:br/>
        <w:t>Autónomas”.  Dicha ley establece que “[e]n el  caso  de  las  organizaciones</w:t>
        <w:br/>
        <w:t>indígenas para que formen los partidos regionales  se  respetará  su  propia</w:t>
        <w:br/>
        <w:t>forma natural de organización y participación”[56].</w:t>
        <w:br/>
        <w:br/>
        <w:t>124.22)     El artículo 65.9 de la Ley Electoral de 2000 establece que  para</w:t>
        <w:br/>
        <w:t>obtener  personalidad  jurídica  un  partido  político   debe   “[p]resentar</w:t>
        <w:br/>
        <w:t>documento debidamente autenticado que contenga el respaldo de  al  menos  el</w:t>
        <w:br/>
        <w:t>tres porciento (3%) de firmas de ciudadanos,  correspondiente  al  total  de</w:t>
        <w:br/>
        <w:t>registrados en el Padrón Electoral de las  últimas  elecciones  nacionales”.</w:t>
        <w:br/>
        <w:t>Además, el artículo  77.7  de  dicha  ley  exige  para  la  presentación  de</w:t>
        <w:br/>
        <w:t>candidatos que el partido político presente el 3% de  firmas  de  ciudadanos</w:t>
        <w:br/>
        <w:t>identificados con el número de cédula, de conformidad con  lo  dispuesto  en</w:t>
        <w:br/>
        <w:t>el artículo 65 de dicha ley, excepto en el caso de  los  partidos  políticos</w:t>
        <w:br/>
        <w:t>que en las últimas elecciones nacionales hubieren obtenido un mínimo  de  3%</w:t>
        <w:br/>
        <w:t>de los votos válidos en las elecciones presidenciales[57].</w:t>
        <w:br/>
        <w:br/>
        <w:t>124.23)     El primer párrafo del artículo 77 de la Ley  Electoral  de  2000</w:t>
        <w:br/>
        <w:t>establece que las organizaciones que deseen  participar  en  las  elecciones</w:t>
        <w:br/>
        <w:t>que no fueren de autoridades nacionales,  como  son  las  municipales,  para</w:t>
        <w:br/>
        <w:t>presentar candidatos deben  “haber  obtenido  su  Personalidad  Jurídica  al</w:t>
        <w:br/>
        <w:t>menos […] seis meses” antes de la fecha de las elecciones,  así  como  deben</w:t>
        <w:br/>
        <w:t>“someter[…] al Consejo Supremo Electoral una solicitud escrita”[58].</w:t>
        <w:br/>
        <w:br/>
        <w:t>124.24)     El artículo 82 de la Ley Electoral de 2000  establece  que  para</w:t>
        <w:br/>
        <w:t>las  elecciones  municipales  los   partidos   políticos   deben   inscribir</w:t>
        <w:br/>
        <w:t>candidatos “al menos en el ochenta por ciento (80%) de los municipios […  y]</w:t>
        <w:br/>
        <w:t>al menos el ochenta por ciento (80%) del total de las candidaturas”[59].</w:t>
        <w:br/>
        <w:br/>
        <w:t>124.25)     Los artículos 83 y 84 de la Ley  Electoral  de  2000  establecen</w:t>
        <w:br/>
        <w:t>que los partidos  políticos  o  alianzas  de  partidos,  “a  través  de  sus</w:t>
        <w:br/>
        <w:t>respectivos representantes legales podrán sustituir sus candidatos  en  una,</w:t>
        <w:br/>
        <w:t>varias o todas  las  circunscripciones  en  el  período  señalado  o  en  la</w:t>
        <w:br/>
        <w:t>prórroga que les conceda el Consejo Supremo Electoral”.  En el caso  de  que</w:t>
        <w:br/>
        <w:t>dicho Consejo “den[egara] una solicitud o recha[zara] a un candidato por  no</w:t>
        <w:br/>
        <w:t>llenar los requisitos de Ley, lo notificará al partido  político  o  alianza</w:t>
        <w:br/>
        <w:t>de partidos dentro de tres días siguientes a la resolución, para proceder  a</w:t>
        <w:br/>
        <w:t>subsanar los defectos o a sustituir [a] los candidatos”[60].</w:t>
        <w:br/>
        <w:br/>
        <w:br/>
        <w:t xml:space="preserve">      b) Constitución de YATAMA como partido político</w:t>
        <w:br/>
        <w:br/>
        <w:t>124.26)     El 8 de marzo de 2000 nueve  miembros  de  YATAMA  firmaron  una</w:t>
        <w:br/>
        <w:t>escritura pública para “enmarcar y reajustar su participación Electoral  […]</w:t>
        <w:br/>
        <w:t>como agrupación Etno-Política Regional de conformidad con el artículo 71  de</w:t>
        <w:br/>
        <w:t>[la] Ley [Electoral de 24 de  enero  de  2000],  para  presentarla  ante  el</w:t>
        <w:br/>
        <w:t>Consejo Supremo  Electoral,  con  el  fin  de  obtener  la  autorización  de</w:t>
        <w:br/>
        <w:t>realizar actividades tendientes  a  […]  legaliz[ar  dicha  organización]  y</w:t>
        <w:br/>
        <w:t>llenar las formalidades  establecidas  para  la  solicitud  de  Personalidad</w:t>
        <w:br/>
        <w:t>jurídica y ser reconocida  como  ‘PARTIDO  POLÍTICO  REGIONAL’”.   En  dicha</w:t>
        <w:br/>
        <w:t>escritura, designaron  como  representante  ante  el  mencionado  Consejo  a</w:t>
        <w:br/>
        <w:t>Brooklyn Rivera Bryan y como  suplentes  a  los  señores  Centuriano  Knight</w:t>
        <w:br/>
        <w:t>Andrews para la RAAN, y al señor John Alex Delio Bans para la RAAS[61].</w:t>
        <w:br/>
        <w:br/>
        <w:t>124.27)     La Asamblea General de las Comunidades  aprobó  el  Estatuto  de</w:t>
        <w:br/>
        <w:t>YATAMA, que fue certificado por notario público el 30 de marzo de 2000.   En</w:t>
        <w:br/>
        <w:t>ese estatuto se establece  que  dicha  “organización  etno-política  de  los</w:t>
        <w:br/>
        <w:t>pueblos indígenas y comunidades étnicas […] se rige por los  […]  principios</w:t>
        <w:br/>
        <w:t>[de l]a defensa de los intereses estratégicos de  los  pueblos  indígenas  y</w:t>
        <w:br/>
        <w:t>comunidades étnicas de la Costa Caribe y Jinotega y[,] en  particular[,]  en</w:t>
        <w:br/>
        <w:t>la defensa de los territorios y el autogobierno”[62].</w:t>
        <w:br/>
        <w:br/>
        <w:t>124.28)     El 4 de mayo de 2000, un día antes  de  que  venciera  el  plazo</w:t>
        <w:br/>
        <w:t>para que una organización pudiera  obtener  la  personalidad  jurídica  para</w:t>
        <w:br/>
        <w:t>participar en  las  elecciones  municipales  de  5  noviembre  de  2000,  de</w:t>
        <w:br/>
        <w:t>conformidad con el artículo 77 de la Ley Electoral No. 331  de  2000  (supra</w:t>
        <w:br/>
        <w:t>párr. 124.23), el Consejo Supremo Electoral emitió una  Resolución  mediante</w:t>
        <w:br/>
        <w:t>la  cual  otorgó  a  YATAMA  personalidad  jurídica  como  partido  político</w:t>
        <w:br/>
        <w:t>regional.  En dicha Resolución el Consejo Supremo resolvió  que   “a  partir</w:t>
        <w:br/>
        <w:t>de [dicha] fecha [YATAMA] podr[í]a gozar de  los  derechos  y  prerrogativas</w:t>
        <w:br/>
        <w:t>que le otorga[ba] la Constitución Política, la Ley Electoral y  demás  leyes</w:t>
        <w:br/>
        <w:t>de la República”[63].</w:t>
        <w:br/>
        <w:br/>
        <w:t>124.29)     El Consejo Supremo Electoral, de conformidad con  los  artículos</w:t>
        <w:br/>
        <w:t>4 y 10 de la  Ley  Electoral  No.  331  de  2000,  acordó  “aprobar  el  […]</w:t>
        <w:br/>
        <w:t>Calendario Electoral que  regir[í]a  el  proceso  electoral  de  autoridades</w:t>
        <w:br/>
        <w:t>municipales” de 5 de noviembre de 2000[64].</w:t>
        <w:br/>
        <w:br/>
        <w:t>124.30)     El 15 de julio  de  2000  vencía  el  plazo  establecido  en  el</w:t>
        <w:br/>
        <w:t>calendario electoral, publicado por el Consejo Supremo Electoral,  para  que</w:t>
        <w:br/>
        <w:t>los partidos políticos que hubieren obtenido la  personalidad  jurídica  con</w:t>
        <w:br/>
        <w:t>la antelación establecida por la ley presentaran la lista de candidatos  que</w:t>
        <w:br/>
        <w:t>deseaban inscribir para las elecciones municipales  de  5  de  noviembre  de</w:t>
        <w:br/>
        <w:t>2000[65].</w:t>
        <w:br/>
        <w:br/>
        <w:t xml:space="preserve">      c)    Presentación  de candidatos de YATAMA  en la RAAN</w:t>
        <w:br/>
        <w:br/>
        <w:t>124.31)      El 15 de  julio  de  2000  el  representante  legal  de  YATAMA</w:t>
        <w:br/>
        <w:t>presentó ante el Consejo Electoral Regional  de  la  RAAN  las  “[h]ojas  de</w:t>
        <w:br/>
        <w:t>inscripciones  de  los  Candidatos  de  Waspam  Río  Coco,  Puerto  Cabezas,</w:t>
        <w:br/>
        <w:t>Prinzapolka, Rosita y Bonanza”, una “copia de personería jurídica y  emblema</w:t>
        <w:br/>
        <w:t>de la organización”, así como un “[l]istado de candidatos a Alcaldes,  Vice-</w:t>
        <w:br/>
        <w:t>Alcaldes y Concejales [de] Puerto Cabezas,  Waspam,  Prinzapolka,  Rosita  y</w:t>
        <w:br/>
        <w:t>Bonanza”[66].  El 18 de julio de 2000 el Presidente  del  Consejo  Electoral</w:t>
        <w:br/>
        <w:t>Regional firmó una comunicación en  la  que  manifestó  que  remitía  dichos</w:t>
        <w:br/>
        <w:t>documentos al   Director  General  de  Atención  a  Partidos  Políticos  del</w:t>
        <w:br/>
        <w:t>Consejo Supremo Electoral[67].</w:t>
        <w:br/>
        <w:br/>
        <w:t>124.32)     El Consejo Supremo Electoral publicó,  como  lo  ordena  la  Ley</w:t>
        <w:br/>
        <w:t>Electoral,  una  “lista  preliminar”  de  candidatos  de  YATAMA  para   las</w:t>
        <w:br/>
        <w:t>elecciones de 5 de noviembre de 2000 en la RAAN.  Ninguno de los  candidatos</w:t>
        <w:br/>
        <w:t>fue objeto de impugnación por algún partido político[68].</w:t>
        <w:br/>
        <w:br/>
        <w:t xml:space="preserve">      d) Presentación de candidatos de YATAMA en la RAAS en alianza  con  el</w:t>
        <w:br/>
        <w:t xml:space="preserve">      Partido de Pueblos Costeños (PPC)</w:t>
        <w:br/>
        <w:br/>
        <w:t>124.33)     El 13 de junio de 2000 los representantes  del  Partido  de  los</w:t>
        <w:br/>
        <w:t>Pueblos  Costeños  (PPC),  del  partido  YATAMA  y  del   Partido   Indígena</w:t>
        <w:br/>
        <w:t>Multiétnico (PIM) constituyeron una  alianza  electoral  mediante  escritura</w:t>
        <w:br/>
        <w:t>pública, “con el fin de participar en las Elecciones Municipales  del  Cinco</w:t>
        <w:br/>
        <w:t>de  noviembre  del  […]  2000  para  Alcaldes,  Vice-Alcaldes  y  Concejales</w:t>
        <w:br/>
        <w:t>Municipales en la Región Autónoma del Atlántico  Sur  (RAAS),  […]   con  el</w:t>
        <w:br/>
        <w:t>nombre de UNIDAD PIM/YATAMA/PPC”.   En  dicha  escritura  indicaron  que  el</w:t>
        <w:br/>
        <w:t>objetivo primordial de la alianza era “alcanzar  el  Poder  Público  en  los</w:t>
        <w:br/>
        <w:t>Municipios de la Región Autónoma del Atlántico Sur (RAAS), en  beneficio  de</w:t>
        <w:br/>
        <w:t>los ‘Pueblos  Indígenas  y  Comunidades  Étnicas’  de  la  Costa  Caribe  de</w:t>
        <w:br/>
        <w:t>Nicaragua[, por lo cual] se presentar[í]an dentro  del  período  establecido</w:t>
        <w:br/>
        <w:t>por el Consejo Supremo Electoral y de  conformidad  con  la  Ley  Electoral,</w:t>
        <w:br/>
        <w:t>candidatos a los  distintos  cargos  de  elección  popular”.    Además,  los</w:t>
        <w:br/>
        <w:t>representantes de los  mencionados  partidos  políticos  acordaron  que  los</w:t>
        <w:br/>
        <w:t>órganos ejecutivos de los Partidos de  la  mencionada  alianza  crearían  un</w:t>
        <w:br/>
        <w:t>reglamento interno con normas, procedimientos  y  mecanismos,  mediante  los</w:t>
        <w:br/>
        <w:t>cuales se regiría “la selección de candidatos a  Alcaldes,  Vice-Alcaldes  y</w:t>
        <w:br/>
        <w:t>Concejales”[69].</w:t>
        <w:br/>
        <w:br/>
        <w:t>124.34)     Cada uno de  los  tres  partidos  políticos  que  integraban  la</w:t>
        <w:br/>
        <w:t>alianza PIM/YATAMA/PPC poseía personalidad jurídica otorgada por el  Consejo</w:t>
        <w:br/>
        <w:t>Supremo Electoral[70].  Los tres  partidos  acordaron  que  conservarían  su</w:t>
        <w:br/>
        <w:t>“identidad política y personalidad jurídica propias”, por  lo  cual,  en  el</w:t>
        <w:br/>
        <w:t>caso de que  uno  de  los  partidos  se  retirara  de  dicha  alianza,  ésta</w:t>
        <w:br/>
        <w:t>“continuar[ía] con  los  que  qued[ara]n”.   Para  poder  participar  en  la</w:t>
        <w:br/>
        <w:t>alianza cada uno de los partidos políticos que la  componían  debían  reunir</w:t>
        <w:br/>
        <w:t>el requisito establecido en el artículo 65.9  de  la  Ley  Electoral  (supra</w:t>
        <w:br/>
        <w:t>párr. 124.22)[71]. Se nombró al señor John  Alex  Delio  Bans  representante</w:t>
        <w:br/>
        <w:t>legal de la alianza ante el Consejo Supremo Electoral[72].</w:t>
        <w:br/>
        <w:br/>
        <w:t>124.35)     El 14 de  junio  de  2000  los  representantes  legales  de  los</w:t>
        <w:br/>
        <w:t>partidos regionales PIM, YATAMA y PPC presentaron ante  el  Consejo  Supremo</w:t>
        <w:br/>
        <w:t>Electoral una solicitud de autorización de la  Alianza  PIM/YATAMA/PPC.   El</w:t>
        <w:br/>
        <w:t>24 de junio de 2000 el Consejo  Supremo  Electoral  les  indicó  que  debían</w:t>
        <w:br/>
        <w:t>señalar el partido que encabezaría dicha alianza y “bajo la bandera  de  qué</w:t>
        <w:br/>
        <w:t>partido correr[í]an en las elecciones en  las  que  [dicha  alianza  iba]  a</w:t>
        <w:br/>
        <w:t>participar”[73].  El artículo 80 de la Ley Electoral de 2000  establece  que</w:t>
        <w:br/>
        <w:t>las  alianzas  de  partidos  políticos  participarán   en   las   elecciones</w:t>
        <w:br/>
        <w:t>correspondientes bajo “el nombre, bandera y  emblema  del  partido  político</w:t>
        <w:br/>
        <w:t>integrante de la alianza que  ellos  mismos  decidan  y  de  esta  forma  el</w:t>
        <w:br/>
        <w:t>partido escogido será quien encabece dicha alianza”[74].</w:t>
        <w:br/>
        <w:br/>
        <w:t>124.36)      El  5  de  julio  de  2000  el  representante  de  la   Alianza</w:t>
        <w:br/>
        <w:t>PIM/YATAMA/PPC presentó un escrito ante el  Consejo  Supremo  Electoral,  en</w:t>
        <w:br/>
        <w:t>respuesta a su comunicación de 24 de junio de 2000 (supra párr. 124.35),  en</w:t>
        <w:br/>
        <w:t>el  cual  indicó  que  “el  nombre  de  la  Alianza  de  Partidos  Políticos</w:t>
        <w:br/>
        <w:t>Regionales e[ra] PIM y el partido  político  que  encabezar[í]a  la  Alianza</w:t>
        <w:br/>
        <w:t>e[ra]  el  Partido  Indígena   Multiétnico   (PIM)”.    Además,   en   dicha</w:t>
        <w:br/>
        <w:t>comunicación se informó que YATAMA había decidido unilateralmente  retirarse</w:t>
        <w:br/>
        <w:t>de la alianza, “por lo tanto, [ésta] queda[ba] constituida  por  el  Partido</w:t>
        <w:br/>
        <w:t>Indígena Multiétnico (PIM) y el Partido de Pueblos Costeños (PPC)”[75].</w:t>
        <w:br/>
        <w:br/>
        <w:t>124.37)     El 11 de julio de 2000 el representante legal de  YATAMA  en  la</w:t>
        <w:br/>
        <w:t>RAAS informó al Presidente del Consejo Supremo  Electoral  que  “el  partido</w:t>
        <w:br/>
        <w:t>Yatama en la Región Autónoma  del  Atlántico  Sur  terminó  una  alianza  de</w:t>
        <w:br/>
        <w:t>partido el día 13 de junio  [de]  2000,  para  participar  en  la  contienda</w:t>
        <w:br/>
        <w:t>electoral de la elección municipal, [debido a que e]sta Alianza  después  de</w:t>
        <w:br/>
        <w:t>firmar tuvo problemas”.  Por ello, solicitó  al  Consejo  Supremo  Electoral</w:t>
        <w:br/>
        <w:t>“que gir[ara] instrucciones a quien correspond[ier]a a fin  de  notificar  a</w:t>
        <w:br/>
        <w:t>los otros dos partidos que Yatama participar[í]a solo” en las elecciones  de</w:t>
        <w:br/>
        <w:t>5 de noviembre de 2000[76].</w:t>
        <w:br/>
        <w:br/>
        <w:t>124.38)     Si  bien  el  5  y  el  11  de  julio  de  2000  se  presentaron</w:t>
        <w:br/>
        <w:t>comunicaciones al Consejo Supremo Electoral, el 14  de  julio  de  2000  los</w:t>
        <w:br/>
        <w:t>representantes del PPC y YATAMA presentaron una nueva  comunicación,  en  la</w:t>
        <w:br/>
        <w:t>que  indicaron  al  Presidente  de  dicho  Consejo,  como  respuesta  a   su</w:t>
        <w:br/>
        <w:t>comunicación de 24 de junio de 2000 (supra párr. 124.35), que “el nombre  de</w:t>
        <w:br/>
        <w:t>la Alianza de Partidos Políticos Regionales,  e[ra]  el  PPC  y  el  Partido</w:t>
        <w:br/>
        <w:t>Político que encabezar[ía] la Alianza e[ra] el Partido de  Pueblos  Costeños</w:t>
        <w:br/>
        <w:t>(PPC)”.  Además, dichos representantes informaron que  el  Partido  Indígena</w:t>
        <w:br/>
        <w:t>Multiétnico (PIM) decidió de manera unilateral retirarse de la Alianza,  por</w:t>
        <w:br/>
        <w:t>lo tanto,[ ésta] queda[ba] constituida por el Partido  de  Pueblos  Costeños</w:t>
        <w:br/>
        <w:t>(PPC) y  el  partido  Yapti  Tasbah  Masraka  Nanih  Aslatakanka  (YATAMA)”.</w:t>
        <w:br/>
        <w:t>Asimismo, indicaron que “[eran] las  últimas  decisiones  tomadas  por  esta</w:t>
        <w:br/>
        <w:t>Alianza  y  si   ha[bían]   algunas   inconsistencias   con   comunicaciones</w:t>
        <w:br/>
        <w:t>anteriores, esta e[ra] la que val[ía] por encima de  todo”[77].   El  17  de</w:t>
        <w:br/>
        <w:t>julio de 2000 el representante legal  del  PIM  informó  al  Presidente  del</w:t>
        <w:br/>
        <w:t>Consejo Supremo  Electoral  que  “por  desacuerdos  con  las  Organizaciones</w:t>
        <w:br/>
        <w:t>YATAMA y PPC,  [dicha]  organización  ha[bía]  decidido  ir  sola  en  [l]os</w:t>
        <w:br/>
        <w:t>comicios electorales Municipales [del] 5 de noviembre del 2000”[78].</w:t>
        <w:br/>
        <w:br/>
        <w:t>124.39)     El 15 de julio de  2000,  fecha  en  que  vencía  el  plazo  del</w:t>
        <w:br/>
        <w:t>calendario  electoral  para   presentar   la   lista   de   candidatos   que</w:t>
        <w:br/>
        <w:t>participarían en las elecciones de 5  de  noviembre  de  2000  (supra  párr.</w:t>
        <w:br/>
        <w:t>124.30), la Alianza del PPC y YATAMA (denominada Alianza PPC), a  través  de</w:t>
        <w:br/>
        <w:t>su representante legal, “presentó  candidatos  a  Alcaldes,  Vicealcaldes  y</w:t>
        <w:br/>
        <w:t>Concejales”[79]  ante  el   Consejo   Electoral   Regional   con   sede   en</w:t>
        <w:br/>
        <w:t>Bluefields[80].</w:t>
        <w:br/>
        <w:br/>
        <w:t>124.40)     El 17 de julio de 2000 el representante  legal  nacional  de  la</w:t>
        <w:br/>
        <w:t>Alianza PPC/YATAMA dirigió  una  comunicación  al  Director  de  Atención  a</w:t>
        <w:br/>
        <w:t>Partidos Políticos del Consejo Supremo Electoral, mediante  la  cual,  “[e]n</w:t>
        <w:br/>
        <w:t>cumplimiento de lo establecido por la Ley Electoral[, …] remit[ió] la  lista</w:t>
        <w:br/>
        <w:t>de candidatos a Alcaldes, Vice-alcaldes y Concejales  Municipales,  con  sus</w:t>
        <w:br/>
        <w:t>respectivos  suplentes,  de  los  municipios  de  Bluefields,  Corn  Island,</w:t>
        <w:br/>
        <w:t>[K]ukra Hill, Laguna de Perlas, La Desembocadura del Río Grande,  Tortuguero</w:t>
        <w:br/>
        <w:t>y La Cruz de Río Grande”[81].</w:t>
        <w:br/>
        <w:br/>
        <w:t>124.41)     El Consejo Supremo Electoral hizo referencia a  la  constitución</w:t>
        <w:br/>
        <w:t>de la alianza PPC/YATAMA recién en su Resolución de 15  de  agosto  de  2000</w:t>
        <w:br/>
        <w:t>(infra párr. 124.51)[82].  La Ley Electoral No. 331 no contiene  disposición</w:t>
        <w:br/>
        <w:t>alguna que impida que alguno de los partidos políticos que  se  presentó  en</w:t>
        <w:br/>
        <w:t>alianza participe en las elecciones para las que  habían  constituido  dicha</w:t>
        <w:br/>
        <w:t>alianza, cuando otro partido que integraba la  misma  no  sea  autorizado  a</w:t>
        <w:br/>
        <w:t>participar[83].</w:t>
        <w:br/>
        <w:br/>
        <w:t>124.42)     El 20 de abril de  2005  el  Director  General  de  Atención  de</w:t>
        <w:br/>
        <w:t>Partidos Políticos del Consejo Supremo Electoral emitió  una  constancia  en</w:t>
        <w:br/>
        <w:t>la que indicó que, “según los registros de  inscripción  de  candidatos  que</w:t>
        <w:br/>
        <w:t>llevó [la] Dirección General para las elecciones de  Alcaldes,  Vicealcaldes</w:t>
        <w:br/>
        <w:t>y Miembros de los Concejos Municipales para las elecciones de  noviembre  de</w:t>
        <w:br/>
        <w:t>2000, el  partido  Yapti  Tasba  Masraka  Nanih  Asla  Takanka  (YATAMA)  no</w:t>
        <w:br/>
        <w:t>presentó candidatos ante el Consejo Supremo Electoral, ni  ante  el  Consejo</w:t>
        <w:br/>
        <w:t>Electoral Regional de la Región Autónoma del Atlántico Sur (RAAS)”[84].</w:t>
        <w:br/>
        <w:br/>
        <w:t>124.43)     El 3 de mayo de 2005 el Director General de Atención a  Partidos</w:t>
        <w:br/>
        <w:t>Políticos del  Consejo  Supremo  Electoral  certificó  “que  de  los  folios</w:t>
        <w:br/>
        <w:t>números dos al ciento  diecinueve  del  Tomo  I  del  libro  de  candidatos,</w:t>
        <w:br/>
        <w:t>correspondiente al año dos mil, se encuentran las  fichas  de  candidatos  a</w:t>
        <w:br/>
        <w:t>Alcaldes y Concejales de  la  Región  Autónoma  del  Atlántico  Sur  [RAAS],</w:t>
        <w:br/>
        <w:t>presentadas: [a]nte el Consejo Electoral  Regional  del  Atlántico  Sur  con</w:t>
        <w:br/>
        <w:t>sede  en   Bluefields,   organismo   sin   atribuciones   para   recepcionar</w:t>
        <w:br/>
        <w:t>candidaturas conforme Ley, por la Alianza Partido de  los  Pueblos  Costeños</w:t>
        <w:br/>
        <w:t>(PPC) y extemporáneamente, el diecisiete  de  julio  de  dos  mil,  ante  el</w:t>
        <w:br/>
        <w:t>Consejo Supremo Electoral; fichas que se corresponden con [un]  listado  [de</w:t>
        <w:br/>
        <w:t>candidatos cuyos nombres se] detall[aron]” en la referida constancia[85].</w:t>
        <w:br/>
        <w:br/>
        <w:t xml:space="preserve">      E)    Decisiones del Consejo Supremo  Electoral,  la  Sala  Civil  del</w:t>
        <w:br/>
        <w:t xml:space="preserve">      Tribunal de Apelaciones de la RAAN, la Sala de lo Constitucional de la</w:t>
        <w:br/>
        <w:t xml:space="preserve">      Corte Suprema de Justicia y la Procuraduría para  la  Defensa  de  los</w:t>
        <w:br/>
        <w:t xml:space="preserve">      Derechos Humanos,  relacionadas con la participación de Candidatos  de</w:t>
        <w:br/>
        <w:t xml:space="preserve">      YATAMA en las elecciones de 5 de noviembre de 2000</w:t>
        <w:br/>
        <w:br/>
        <w:t>124.44)     El Poder Electoral es uno de  los  cuatro  poderes  establecidos</w:t>
        <w:br/>
        <w:t>por la Constitución Política de Nicaragua, junto a  los  poderes  ejecutivo,</w:t>
        <w:br/>
        <w:t>legislativo y judicial.  Está integrado por el  Consejo  Supremo  Electoral,</w:t>
        <w:br/>
        <w:t>máximo  órgano  de  dicho  poder,  así  como  por   organismos   electorales</w:t>
        <w:br/>
        <w:t>subordinados, tales como Consejos Electorales de los Departamentos y de  las</w:t>
        <w:br/>
        <w:t>Regiones Autónomas de la Costa Atlántica, Consejos  Electorales  Municipales</w:t>
        <w:br/>
        <w:t>y Juntas Receptoras de Votos.  Le corresponde de forma exclusiva  “organizar</w:t>
        <w:br/>
        <w:t>y dirigir las elecciones, plebiscitos [y] referendos” [86].</w:t>
        <w:br/>
        <w:br/>
        <w:t>124.45)     El 7 de junio de 2000 el Consejo Supremo Electoral  realizó  “un</w:t>
        <w:br/>
        <w:t>Acto de Apertura de la  Verificación  de  Firmas”,  en  el  cual  inició  un</w:t>
        <w:br/>
        <w:t>proceso de verificación de las firmas que requiere el artículo  77.7  de  la</w:t>
        <w:br/>
        <w:t>Ley Electoral de 2000 No. 331 para la inscripción de los candidatos  de  los</w:t>
        <w:br/>
        <w:t>partidos políticos con personalidad jurídica[87].</w:t>
        <w:br/>
        <w:br/>
        <w:t>124.46)     El 18 de julio de 2000 el Consejo Supremo Electoral  emitió  una</w:t>
        <w:br/>
        <w:t>resolución en la  cual  indicó  que  “[l]as  firmas  presentadas  por  [los]</w:t>
        <w:br/>
        <w:t>partidos políticos fueron sometidas al Proceso de  Verificación  de  Firmas,</w:t>
        <w:br/>
        <w:t>de conformidad con el procedimiento administrativo dictado para  ese  efecto</w:t>
        <w:br/>
        <w:t>y los Acuerdos de los Fiscales y el  Consejo  Supremo  Electoral”[88].    En</w:t>
        <w:br/>
        <w:t>esa Resolución el Consejo Supremo Electoral  “rechaz[ó]  las  impugnaciones”</w:t>
        <w:br/>
        <w:t>de distintos candidatos  de  diversos  partidos  políticos  e  “inici[ó]  el</w:t>
        <w:br/>
        <w:t>proceso  de  cancelación  de  personalidad  jurídica  de  aquellos  partidos</w:t>
        <w:br/>
        <w:t>políticos  que  no  presentaron  candidatos  y  la  de   aquellos   que   no</w:t>
        <w:br/>
        <w:t>participa[ría]n en el […] proceso electoral, ya que no  cumplieron  con  los</w:t>
        <w:br/>
        <w:t>requisitos  para  la  inscripción  de  candidatos”.   El   Consejo   Supremo</w:t>
        <w:br/>
        <w:t>Electoral indicó que, entre  otros,  el  Partido  de  los  Pueblos  Costeños</w:t>
        <w:br/>
        <w:t>(PPC), que lideraba la Alianza con YATAMA en la RAAS (supra párrs. 124.38  y</w:t>
        <w:br/>
        <w:t>124.39), no alcanzó el 3% de las firmas requeridas por el artículo 77 de  la</w:t>
        <w:br/>
        <w:t>Ley  Electoral  de  2000  para  la  inscripción  de  sus  candidatos  en  la</w:t>
        <w:br/>
        <w:t>Región[89](supra párr. 124.22).  Según lo decidido por  el  Consejo  Supremo</w:t>
        <w:br/>
        <w:t>Electoral, solamente el Partido  Liberal  Constitucionalista  y  el  Partido</w:t>
        <w:br/>
        <w:t>Conservador alcanzaron el 3% de las firmas requeridas.  En dicha  resolución</w:t>
        <w:br/>
        <w:t>el Consejo Supremo Electoral no hizo referencia expresa al  cumplimiento  de</w:t>
        <w:br/>
        <w:t>los requisitos por YATAMA en la RAAN ni en la RAAS.  En esta  resolución  de</w:t>
        <w:br/>
        <w:t>18 de julio de 2000 el Consejo  Supremo  Electoral  resolvió  una  solicitud</w:t>
        <w:br/>
        <w:t>presentada el 21 de julio de 2000 por el PPC, mediante la  cual  impugnó  el</w:t>
        <w:br/>
        <w:t>procedimiento de verificación de firmas, alegando  “que  no  se  realizó  el</w:t>
        <w:br/>
        <w:t>cotejo de firmas  con  ‘Número  de  Identificación  Válido’  con  los  datos</w:t>
        <w:br/>
        <w:t>contenidos en el padrón electoral […] y que se realizó un cotejo  ilegal  de</w:t>
        <w:br/>
        <w:t>firmas válidas, a pesar de  que  ya  había  superado  el  numero  de  firmas</w:t>
        <w:br/>
        <w:t>válidas que la Ley Electoral requiera  para  participar  en  las  elecciones</w:t>
        <w:br/>
        <w:t>municipales”[90].  Además del PPC, otros partidos políticos  solicitaron  al</w:t>
        <w:br/>
        <w:t>Consejo Supremo Electoral que  cancelara  “el  trámite  de  verificación  de</w:t>
        <w:br/>
        <w:t>firmas argumentando que  éste  e[ra]  ilegal”,  porque  el  único  requisito</w:t>
        <w:br/>
        <w:t>exigido por el artículo 77.7 de la Ley Electoral de 2000 era que las  firmas</w:t>
        <w:br/>
        <w:t>estuvieran “notariadas” y no se establecía un procedimiento de  verificación</w:t>
        <w:br/>
        <w:t>de firmas[91].  El Consejo Supremo  Electoral  no  notificó  a  YATAMA  está</w:t>
        <w:br/>
        <w:t>decisión, ni le concedió a dicho partido, que integraba la  Alianza  con  el</w:t>
        <w:br/>
        <w:t>PPC, el plazo de  tres  días  “para  proceder  a  subsanar  los  defectos  o</w:t>
        <w:br/>
        <w:t>sustituir candidatos”, como lo establece el artículo 84 de la Ley  Electoral</w:t>
        <w:br/>
        <w:t>No. 331 de 2000 (supra párr. 124.25)[92].</w:t>
        <w:br/>
        <w:br/>
        <w:t>124.47)     El 31 de julio de 2000 el señor Brooklyn  Rivera,  representante</w:t>
        <w:br/>
        <w:t>legal de YATAMA, dirigió una comunicación al Presidente del Consejo  Supremo</w:t>
        <w:br/>
        <w:t>Electoral, mediante la cual le solicitó que autorizara la  participación  de</w:t>
        <w:br/>
        <w:t>YATAMA en la RAAS, dado que en las últimas  elecciones  regionales  “ha[bía]</w:t>
        <w:br/>
        <w:t>cosechado cantidades de votos que rebas[ab]an el  porcentaje  requerido  por</w:t>
        <w:br/>
        <w:t>la ley para ser autorizada su participación electoral en las  dos  regiones;</w:t>
        <w:br/>
        <w:t>RAAN y RAAS”.  En dicho escrito el  mencionado  representante  legal  señaló</w:t>
        <w:br/>
        <w:t>que, “al no recibir a  la  fecha  una  comunicación  oficial  de  parte  del</w:t>
        <w:br/>
        <w:t>organismo rector, como agrupación participante esta[ba] siendo  afectada  en</w:t>
        <w:br/>
        <w:t>el ánimo de las comunidades y sectores bases, al igual [que] en el ritmo  de</w:t>
        <w:br/>
        <w:t>trabajo de la Organización en ambas regiones autónomas”[93].</w:t>
        <w:br/>
        <w:br/>
        <w:t>124.48)     YATAMA solicitó al Consejo Supremo Electoral que “inscribiera  a</w:t>
        <w:br/>
        <w:t>[dicho partido] para las elecciones de las Regiones Autónoma  del  Atlántico</w:t>
        <w:br/>
        <w:t>Sur, RAAS bajo su propia denominación[,] presentándole [su] propia lista  de</w:t>
        <w:br/>
        <w:t>candidatos  al  delegado  regional  del  Consejo  Supremo   Electoral[,   …]</w:t>
        <w:br/>
        <w:t>comunicaciones de las que nunca  recibi[eron]  respuesta”[94].   En  una  de</w:t>
        <w:br/>
        <w:t>estas comunicaciones YATAMA solicitó que se  le  permitiera  registrar  como</w:t>
        <w:br/>
        <w:t>candidatos de ese partido en la RAAS a los presentados por  la  Alianza  del</w:t>
        <w:br/>
        <w:t>PPC y YATAMA (denominada Alianza PPC)[95].</w:t>
        <w:br/>
        <w:br/>
        <w:t>124.49)     El 11 de agosto de 2000 el señor Brooklyn Rivera Bryan  presentó</w:t>
        <w:br/>
        <w:t>personalmente una comunicación ante el Consejo Supremo  Electoral,  dirigida</w:t>
        <w:br/>
        <w:t>al Presidente de dicho órgano, mediante la cual hizo “formal entrega  de  la</w:t>
        <w:br/>
        <w:t>lista de fotocopias de cédulas y constancias  de  solicitud  de  cédulas  de</w:t>
        <w:br/>
        <w:t>candidato[s]  a  Alcaldes,  Vice-Alcaldes  y   Concejales   propietarios   y</w:t>
        <w:br/>
        <w:t>suplentes de los municipios de Bluefields, Kubra Hill, Laguna de Perlas,  La</w:t>
        <w:br/>
        <w:t>Desembocadura del Río Grande, Tortuguero y la Cruz  de  Río  Grande  [RAAS],</w:t>
        <w:br/>
        <w:t>inscrito[s]  por  la  organización[…]  YATAMA  […]  en  reposición  de   los</w:t>
        <w:br/>
        <w:t>candidatos” que renunciaron a sus candidaturas en el partido[96].</w:t>
        <w:br/>
        <w:br/>
        <w:t>124.50)     El 11 de agosto de 2000 el señor Brooklyn Rivera Bryan  presentó</w:t>
        <w:br/>
        <w:t>personalmente otra comunicación dirigida al Presidente del  Consejo  Supremo</w:t>
        <w:br/>
        <w:t>Electoral, mediante la cual manifestó que “[a]unque el  PIM  a  última  hora</w:t>
        <w:br/>
        <w:t>ha[bía] abandonado unilateralmente su compromiso de unidad costeña y el  PPC</w:t>
        <w:br/>
        <w:t>no ha[bía] completado las firmas requeridas, esto no menoscaba[ba] la  buena</w:t>
        <w:br/>
        <w:t>intención o impe[día] el derecho de participación de YATAMA en los  comicios</w:t>
        <w:br/>
        <w:t>previstos”.  Además, en dicha comunicación el señor Rivera Bryan indicó  que</w:t>
        <w:br/>
        <w:t>“YATAMA dispon[í]a  de  todos  los  requisitos  legales  ante  el  Honorable</w:t>
        <w:br/>
        <w:t>Consejo Supremo  Electoral,  incluyendo  la  lista  de  sustitución  de  los</w:t>
        <w:br/>
        <w:t>candidatos renunciantes en  los  diferentes  municipios  de  ambas  regiones</w:t>
        <w:br/>
        <w:t>autónomas, RAAN y RAAS.  En el caso de la RAAN  ya  se  [había]  public[ado]</w:t>
        <w:br/>
        <w:t>oportunamente  la  lista  de  los   candidatos   en   los   municipios   que</w:t>
        <w:br/>
        <w:t>participa[ban], pero no se  ha[bía]  publicado  oportunamente  la  lista  de</w:t>
        <w:br/>
        <w:t>candidatos en la RAAS, incidiendo [en] forma negativa en  el  ánimo  de  las</w:t>
        <w:br/>
        <w:t>comunidades y sectores de bases, al igual [que] en el ritmo  de  trabajo  de</w:t>
        <w:br/>
        <w:t>la Organización” [97].</w:t>
        <w:br/>
        <w:br/>
        <w:t>124.51)     El 15 de agosto de 2000, un  mes  después  de  que  venciera  el</w:t>
        <w:br/>
        <w:t>plazo  establecido  en  el  calendario  electoral  para  que  los   partidos</w:t>
        <w:br/>
        <w:t>políticos presentaran la lista de candidatos, el Consejo  Supremo  Electoral</w:t>
        <w:br/>
        <w:t>emitió una resolución, que excluyó a  YATAMA  de  las  elecciones  de  5  de</w:t>
        <w:br/>
        <w:t>noviembre de 2000, tanto en la RAAN, como en la RAAS.   El  Consejo  Supremo</w:t>
        <w:br/>
        <w:t>Electoral no otorgó a YATAMA la oportunidad de que “proced[iera] a  subsanar</w:t>
        <w:br/>
        <w:t>los  defectos  o  a  sustituir  los  candidatos”,  de  conformidad  con  los</w:t>
        <w:br/>
        <w:t>artículos 83 y 84 de la Ley Electoral No. 331 de 2000 (supra párr.  124.25).</w:t>
        <w:br/>
        <w:t xml:space="preserve"> En su Resolución, el Consejo Electoral resolvió[98]:</w:t>
        <w:br/>
        <w:br/>
        <w:br/>
        <w:t xml:space="preserve">       a)   en cuanto a la participación de YATAMA en la Región Autónoma del</w:t>
        <w:br/>
        <w:t xml:space="preserve">       Atlántico Sur, “[n]o ha lugar a la solicitud de YATAMA  de  registrar</w:t>
        <w:br/>
        <w:t xml:space="preserve">       como candidatos de ese partido  a  los  presentados  por  la  Alianza</w:t>
        <w:br/>
        <w:t xml:space="preserve">       YATAMA/PPC en la  Región Autónoma del  Atlántico  Sur”  (supra  párr.</w:t>
        <w:br/>
        <w:t xml:space="preserve">       124.48).  En este sentido, consideró “que  YATAMA  e[ra]  un  partido</w:t>
        <w:br/>
        <w:t xml:space="preserve">       legalmente  constituido  y  en  pleno  uso  de   los   derechos   que</w:t>
        <w:br/>
        <w:t xml:space="preserve">       establec[ía] la Ley Electoral y que como tal[,] p[odía] participar en</w:t>
        <w:br/>
        <w:t xml:space="preserve">       las  elecciones  de  noviembre  de  2000,  ya  sea  en   alianzas   o</w:t>
        <w:br/>
        <w:t xml:space="preserve">       individualmente, siempre y cuando cumpl[ier]a con la Ley Electoral  y</w:t>
        <w:br/>
        <w:t xml:space="preserve">       Términos establecidos en el Candelario Electoral.   Asimismo,  señaló</w:t>
        <w:br/>
        <w:t xml:space="preserve">       que “como consecuencia [de que el PPC] no cumpli[ó] con el porcentaje</w:t>
        <w:br/>
        <w:t xml:space="preserve">       de firmas a que se refiere el art[ículo] 77 numeral 7, […] el  número</w:t>
        <w:br/>
        <w:t xml:space="preserve">       de  municipios  en  los  cuales  YATAMA  present[ó]   candidatos   no</w:t>
        <w:br/>
        <w:t xml:space="preserve">       alcanza[ba] el 80% a que se refiere el art[ículo] 82 párrafo  segundo</w:t>
        <w:br/>
        <w:t xml:space="preserve">       en concordancia con el art[ículo] 80 in fine de la  Ley  Electoral[,]</w:t>
        <w:br/>
        <w:t xml:space="preserve">       que establec[ía] que los partidos o  Alianzas  de  partidos  deb[ían]</w:t>
        <w:br/>
        <w:t xml:space="preserve">       inscribir candidatos para todas las elecciones  y  cargos  a  que  se</w:t>
        <w:br/>
        <w:t xml:space="preserve">       refier[ía] el art[ículo] 1  de  [dicha]  Ley,  así  como  el  párrafo</w:t>
        <w:br/>
        <w:t xml:space="preserve">       primero del art[ículo] 89 de la Constitución Política  establece  que</w:t>
        <w:br/>
        <w:t xml:space="preserve">       ‘Las comunidades de la Costa  Atlántica  son  parte  indisoluble  del</w:t>
        <w:br/>
        <w:t xml:space="preserve">       pueblo nicaragüense y, como tal,  gozan  de  los  mismos  derechos  y</w:t>
        <w:br/>
        <w:t xml:space="preserve">       tienen las mismas obligaciones”; y</w:t>
        <w:br/>
        <w:br/>
        <w:br/>
        <w:t xml:space="preserve">       b)   en cuanto a la participación de YATAMA en la Región Autónoma del</w:t>
        <w:br/>
        <w:t xml:space="preserve">       Atlántico Norte (RAAN), que  “no  se  registr[aría]n  los  candidatos</w:t>
        <w:br/>
        <w:t xml:space="preserve">       presentados en el Atlántico Norte por dicha Organización, en vista de</w:t>
        <w:br/>
        <w:t xml:space="preserve">       que […] no  llena[ba]  el  tiempo  requerido  consignado  en  la  Ley</w:t>
        <w:br/>
        <w:t xml:space="preserve">       Electoral”.</w:t>
        <w:br/>
        <w:br/>
        <w:t>124.52)     El 17 de agosto de 2000 el Consejo  Supremo  Electoral  notificó</w:t>
        <w:br/>
        <w:t>la mencionada Resolución de 15  de  agosto  de  2000  a  los  representantes</w:t>
        <w:br/>
        <w:t>legales de YATAMA[99].</w:t>
        <w:br/>
        <w:br/>
        <w:t>124.53)     El 17 de agosto de 2000  el  Presidente  del  Consejo  Electoral</w:t>
        <w:br/>
        <w:t>Regional de la  RAAN  dirigió  una  comunicación  al  presidente,  al  vice-</w:t>
        <w:br/>
        <w:t>presidente y a un magistrado  del  Consejo  Supremo  Electoral,  en  la  que</w:t>
        <w:br/>
        <w:t>solicitó “de forma enérgica” una aclaración  respecto  de  la  exclusión  de</w:t>
        <w:br/>
        <w:t>YATAMA de las  elecciones  municipales,  e  indicó  que  “[u]rg[ía]  que  se</w:t>
        <w:br/>
        <w:t>present[ara] un Magistrado a lo inmediato  para  aclarar  esta  situación  y</w:t>
        <w:br/>
        <w:t>evitar[a] daños posteriores[, o que,] en su efecto [se] brindar[a a  YATAMA]</w:t>
        <w:br/>
        <w:t>un despacho ante  los  magistrados  del  C[onsejo  Supremo  Electoral]”.  El</w:t>
        <w:br/>
        <w:t>Presidente del Consejo Electoral  Regional  indicó  que  “de  no  tener  una</w:t>
        <w:br/>
        <w:t>respuesta  clara  y  positiva  la  organización  política  regional   a   lo</w:t>
        <w:br/>
        <w:t>inmediato:  no  se  responsabiliza[ba]n  de  lo[s]  acto[s]  que  pu[dieran]</w:t>
        <w:br/>
        <w:t>suceder en” la RAAN[100].</w:t>
        <w:br/>
        <w:br/>
        <w:t>124.54)     El 18 de agosto de 2000 los  representantes  legales  de  YATAMA</w:t>
        <w:br/>
        <w:t>presentaron ante el Consejo Supremo Electoral  un  recurso  de  revisión  en</w:t>
        <w:br/>
        <w:t>contra de la Resolución de 15 de agosto de 2000 emitida  por  dicho  Consejo</w:t>
        <w:br/>
        <w:t>(supra  párr.   124.51).    En   el   mencionado   recurso   los   referidos</w:t>
        <w:br/>
        <w:t>representantes señalaron  que  en  diversas  comunicaciones  solicitaron  al</w:t>
        <w:br/>
        <w:t>Consejo Supremo Electoral que “inscribiera a YATAMA para las  elecciones  de</w:t>
        <w:br/>
        <w:t>la Región Autónoma del Atlántico Sur, RAAS bajo  su  propia  denominación[,]</w:t>
        <w:br/>
        <w:t>presentándole [su] propia lista  de  candidatos  al  delegado  regional  del</w:t>
        <w:br/>
        <w:t>Consejo Supremo Electoral[, …] comunicaciones de las que nunca  recibi[eron]</w:t>
        <w:br/>
        <w:t>respuesta”.  Asimismo, señalaron que, de conformidad con el artículo  81  de</w:t>
        <w:br/>
        <w:t>la Ley Electoral, no se “p[odía]n postular para cargos de  elección  popular</w:t>
        <w:br/>
        <w:t>aquellas personas que no llen[aba]n las calidades, que tuvieren  impedimento</w:t>
        <w:br/>
        <w:t>o les fuere prohibido de conformidad a la Constitución Política y las  leyes</w:t>
        <w:br/>
        <w:t>de  la  materia;  sin  embargo[,]  ninguno  de  [sus]   candidatos   t[enía]</w:t>
        <w:br/>
        <w:t>impedimento para postularse, razón por la que  los  partidos  existentes  no</w:t>
        <w:br/>
        <w:t>los impugnaron dentro del término que establece el  [a]rt[ículo]  85  de  la</w:t>
        <w:br/>
        <w:t>ley electoral”.  Además, plantearon  que  “habiendo  publicado  [el  Consejo</w:t>
        <w:br/>
        <w:t>Supremo Electoral] la lista de [los] candidatos [de  YATAMA]  en  la  Región</w:t>
        <w:br/>
        <w:t>Autónoma del Atlántico Norte RAAN, […] e[ra] inconcebible que la  resolución</w:t>
        <w:br/>
        <w:t>emitida […] concluy[era] que el hecho de no dar lugar a  la  alianza  en  la</w:t>
        <w:br/>
        <w:t>RAAS, […] afect[ara] a [sus] candidatos de la RAAN”.  Los representantes  de</w:t>
        <w:br/>
        <w:t>YATAMA indicaron que lo anterior “constituye una violación  a  los  derechos</w:t>
        <w:br/>
        <w:t>políticos del  pueblo  costeño,  por  cuanto  no  les  estarían  permitiendo</w:t>
        <w:br/>
        <w:t>ejercer su derecho a la oportunidad de elegir y la libertad de  elección  de</w:t>
        <w:br/>
        <w:t>los pobladores de  la  Costa  Atlántica[,  f]omentando  de  esta  manera  el</w:t>
        <w:br/>
        <w:t>bipartidismo”[101].  No consta  en  el  expediente  ante  la  Corte  que  el</w:t>
        <w:br/>
        <w:t>Consejo Supremo Electoral haya  emitido  algún  pronunciamiento  sobre  este</w:t>
        <w:br/>
        <w:t>recurso.</w:t>
        <w:br/>
        <w:br/>
        <w:t>124.55)      El  30  de  agosto  de  2000  los  señores  Brooklyn  Rivera  y</w:t>
        <w:br/>
        <w:t>Centuriano  Knight  presentaron  ante  el  Tribunal  de  Apelaciones  de  la</w:t>
        <w:br/>
        <w:t>Circunscripción  Atlántico  Norte,  Sala  de  lo  Civil  y  Laboral,  Puerto</w:t>
        <w:br/>
        <w:t>Cabezas, un recurso de amparo administrativo, con base en el artículo 23  de</w:t>
        <w:br/>
        <w:t>la Ley de Amparo vigente, en contra de la Resolución emitida por el  Consejo</w:t>
        <w:br/>
        <w:t>Supremo Electoral el 15 de agosto de 2000 (supra párr. 124.51), mediante  el</w:t>
        <w:br/>
        <w:t>cual solicitaron “la suspensión del  acto  y  de  sus  efectos”.   En  dicho</w:t>
        <w:br/>
        <w:t>recurso manifestaron que[102]:</w:t>
        <w:br/>
        <w:br/>
        <w:t xml:space="preserve">      a)    la decisión del Consejo Supremo Electoral sobre la participación</w:t>
        <w:br/>
        <w:t xml:space="preserve">      de YATAMA en la RAAN  “contrad[ecía…] las actas de entrega presentadas</w:t>
        <w:br/>
        <w:t xml:space="preserve">      por el Presidente del Consejo Electoral en la  RAAN”,  ya  que  YATAMA</w:t>
        <w:br/>
        <w:t xml:space="preserve">      presentó la lista de  los  candidatos  a  Alcaldes,  Vice  Alcaldes  y</w:t>
        <w:br/>
        <w:t xml:space="preserve">      Concejales el 15 de julio de 2000, y que “por tanto la extemporaneidad</w:t>
        <w:br/>
        <w:t xml:space="preserve">      alegada queda[ba] sin fundamentos”;</w:t>
        <w:br/>
        <w:br/>
        <w:br/>
        <w:t xml:space="preserve">      b)    en cuanto a la decisión del Consejo Supremo Electoral  sobre  la</w:t>
        <w:br/>
        <w:t xml:space="preserve">      participación de YATAMA en la RAAS, “la Ley Electoral no prohib[ía que</w:t>
        <w:br/>
        <w:t xml:space="preserve">      un partido que] dejar[a] de participar en un  proyecto  de  alianza[,]</w:t>
        <w:br/>
        <w:t xml:space="preserve">      tratar[a] de participar en las elecciones municipales por [su]  propia</w:t>
        <w:br/>
        <w:t xml:space="preserve">      personalidad jurídica”; y</w:t>
        <w:br/>
        <w:br/>
        <w:t xml:space="preserve">      c)    el artículo 84 de la Ley Electoral dispone que cuando el Consejo</w:t>
        <w:br/>
        <w:t xml:space="preserve">      Supremo Electoral “deniegue una solicitud o rechace un  candidato  por</w:t>
        <w:br/>
        <w:t xml:space="preserve">      no llenar los requisitos de Ley lo notificará al  partido  político  o</w:t>
        <w:br/>
        <w:t xml:space="preserve">      alianza  de  partidos  dentro  de  los  tres  días  siguientes  a   la</w:t>
        <w:br/>
        <w:t xml:space="preserve">      resolución, para proceder a subsanar los defectos o a sustituir a  los</w:t>
        <w:br/>
        <w:t xml:space="preserve">      candidatos”. Sin embargo, el Consejo Supremo Electoral  “emiti[ó]  una</w:t>
        <w:br/>
        <w:t xml:space="preserve">      resolución excluyente que […] dej[ó a YATAMA] en  total  inactividad”,</w:t>
        <w:br/>
        <w:t xml:space="preserve">      pues  nunca  notificó  a  sus   representantes   “que   se   estuviera</w:t>
        <w:br/>
        <w:t xml:space="preserve">      desarrollando un proceso administrativo sobre la inscripción  de  [los</w:t>
        <w:br/>
        <w:t xml:space="preserve">      candidatos de YATAMA]” con el fin de “garantizar [su] participación en</w:t>
        <w:br/>
        <w:t xml:space="preserve">      las elecciones”[103].</w:t>
        <w:br/>
        <w:br/>
        <w:t>124.56)     El 21 de septiembre de 2000, de conformidad  con  el  calendario</w:t>
        <w:br/>
        <w:t>electoral, comenzó la campaña electoral, que tenía una duración de  42  días</w:t>
        <w:br/>
        <w:t>de acuerdo a la Ley, y culminó el 1 de noviembre de 2000[104].</w:t>
        <w:br/>
        <w:br/>
        <w:t>124.57)     El 11 de octubre de 2000 la Sala  de  lo  Civil  y  Laboral  del</w:t>
        <w:br/>
        <w:t>Tribunal de  Apelaciones  de  la  Circunscripción  Atlántico  Norte,  Puerto</w:t>
        <w:br/>
        <w:t>Cabezas, resolvió tramitar el recurso de amparo presentado por YATAMA el  30</w:t>
        <w:br/>
        <w:t>de agosto de 2000 (supra párr. 124.55), y acordó  “suspender  de  oficio  el</w:t>
        <w:br/>
        <w:t>acto en lo referente a dejar al Partido Regional YATAMA sin registrar a  sus</w:t>
        <w:br/>
        <w:t>candidatos y por ende fuera  de  la  contienda  Electoral  para  autoridades</w:t>
        <w:br/>
        <w:t>Municipales el día [5] de noviembre de [2000], QUEDANDO LA SITUACIÓN  DE  LA</w:t>
        <w:br/>
        <w:t>ORGANIZACIÓN YATAMA ANTE EL CONSEJO SUPREMO ELECTORAL EN EL  ESTADO  EN  QUE</w:t>
        <w:br/>
        <w:t>SE ENCONTRABA  ANTES  DE  LA  RESOLUCIÓN  DICTADA  POR  EL  CONSEJO  SUPREMO</w:t>
        <w:br/>
        <w:t>ELECTORAL[, …] YA QUE DE CONSUMARSE DICHO ACTO HARÍA  FÍSICAMENTE  IMPOSIBLE</w:t>
        <w:br/>
        <w:t>RESTITUIR LOS DERECHOS DE LOS RECURRENTES”[105].</w:t>
        <w:br/>
        <w:br/>
        <w:t>124.58)     El 20 de octubre de 2000 el Consejo Supremo Electoral  interpuso</w:t>
        <w:br/>
        <w:t>un recurso de reposición ante la Sala de lo Civil y Laboral del Tribunal  de</w:t>
        <w:br/>
        <w:t>Apelaciones de la Circunscripción Atlántico Norte,  Puerto  Cabezas,  contra</w:t>
        <w:br/>
        <w:t>la resolución de esa Sala, de 11 de octubre de 2000  (supra  párr.  124.57),</w:t>
        <w:br/>
        <w:t>con el propósito de que  “revo[cara]  dicha  resolución  […]  declarando  su</w:t>
        <w:br/>
        <w:t>nulidad” y dispusiera que  el  recurso  admitido  era  improcedente  y   “no</w:t>
        <w:br/>
        <w:t>t[e]n[ía] efecto legal alguno”, debido  a  que  la  resolución  del  Consejo</w:t>
        <w:br/>
        <w:t>Supremo Electoral era de estricta materia electoral[106].</w:t>
        <w:br/>
        <w:br/>
        <w:t>124.59)     El  23  de  octubre  de  2000  los  señores  Brooklyn  Rivera  y</w:t>
        <w:br/>
        <w:t>Centuriano Knight, representantes de YATAMA, presentaron un escrito ante  la</w:t>
        <w:br/>
        <w:t>Sala de lo Civil de Bilwi del Tribunal de Apelaciones de la Región  Autónoma</w:t>
        <w:br/>
        <w:t>del Atlántico Norte, RAAN, mediante el cual  le  solicitaron  que  rechazara</w:t>
        <w:br/>
        <w:t>por improcedente  el  recurso  de  reposición  interpuesto  por  el  Consejo</w:t>
        <w:br/>
        <w:t>Supremo Electoral (supra párr. 124.58), por cuanto la ley de amparo  vigente</w:t>
        <w:br/>
        <w:t>establecía que para que quedara sin  efecto  la  suspensión  decretada  sólo</w:t>
        <w:br/>
        <w:t>cabría el ofrecimiento de garantía.  Además, señalaron  que  se  trataba  de</w:t>
        <w:br/>
        <w:t>una “impugnación […] contra una resolución  administrativa  que  violenta[ba</w:t>
        <w:br/>
        <w:t>los] derechos constitucionales a la participación política[, …]  la  que  de</w:t>
        <w:br/>
        <w:t>llegar a materializarse haría físicamente imposible la restitución de  [su]s</w:t>
        <w:br/>
        <w:t>derechos, por  cuanto  no  sólo  [l]os  inhib[iría]  de  participar  en  las</w:t>
        <w:br/>
        <w:t>elecciones sino también […] traería como consecuencia  la  pérdida  de  [su]</w:t>
        <w:br/>
        <w:t>personalidad jurídica, tal y como lo establece el inc[iso] 4 del  art[ículo]</w:t>
        <w:br/>
        <w:t>74 de la Ley Electoral”[107].</w:t>
        <w:br/>
        <w:br/>
        <w:t>124.60)     El 24 de octubre de 2000 la Sala  de  lo  Civil  y  Laboral  del</w:t>
        <w:br/>
        <w:t>Tribunal de  Apelaciones  de  la  Circunscripción  Atlántico  Norte,  Puerto</w:t>
        <w:br/>
        <w:t>Cabezas, rechazó  el  recurso  de  reposición  interpuesto  por  el  Consejo</w:t>
        <w:br/>
        <w:t>Supremo Electoral (supra párr. 124.58) “por […] notoriamente  improcedente”,</w:t>
        <w:br/>
        <w:t>y dejó “a salvo los derechos que consideren  tener  los  peticionarios  para</w:t>
        <w:br/>
        <w:t>hacerlos valer en la instancia correspondiente”[108].</w:t>
        <w:br/>
        <w:br/>
        <w:t>124.61)     El 25 de octubre de 2000 la Sala  de  lo  Constitucional  de  la</w:t>
        <w:br/>
        <w:t>Corte Suprema de Justicia emitió la sentencia No. 205,  en  la  que  declaró</w:t>
        <w:br/>
        <w:t>“improcedente In Limine Litis” el recurso  de  amparo  interpuesto  por  los</w:t>
        <w:br/>
        <w:t>representantes de YATAMA (supra párr. 124.55), dado que  la  resolución  del</w:t>
        <w:br/>
        <w:t>Consejo Supremo Electoral de 15 de agosto de  2000  “es  una  resolución  de</w:t>
        <w:br/>
        <w:t>materia electoral”, y  la  mencionada  Sala  “carece[…]  de  competencia  en</w:t>
        <w:br/>
        <w:t>materia electoral, con base en la parte  final  del  [a]rtículo  173  de  la</w:t>
        <w:br/>
        <w:t>Constitución Política  que  establece:  ‘De  las  resoluciones  del  Consejo</w:t>
        <w:br/>
        <w:t>Supremo  en  materia  electoral  no  habrá  recurso  alguno   ordinario   ni</w:t>
        <w:br/>
        <w:t>extraordinario’”.  Además, dicha Sala señaló que el artículo  1  de  la  Ley</w:t>
        <w:br/>
        <w:t>Electoral dispone en sus “incisos 5 y 6 que los  procesos  electorales  para</w:t>
        <w:br/>
        <w:t>las  elecciones  de  Alcaldes,  Vice-Alcaldes,  Miembros  de  los   Consejos</w:t>
        <w:br/>
        <w:t>Municipales,   no   serán   objeto   de   recurso   alguno   ordinario    ni</w:t>
        <w:br/>
        <w:t>extraordinario”. La referida Sala de lo Constitucional  también  indicó  que</w:t>
        <w:br/>
        <w:t>en la legislación  de  Nicaragua  “no  exist[ía]  procedimiento  contencioso</w:t>
        <w:br/>
        <w:t>administrativo  ni  constitucional  por  la  vía  del  amparo   en   materia</w:t>
        <w:br/>
        <w:t>electoral”, y que en otra  sentencia  “se  pronunció  sobre  decisiones  del</w:t>
        <w:br/>
        <w:t>Consejo Supremo Electoral en materia  administrativa  referidas  a  partidos</w:t>
        <w:br/>
        <w:t>políticos,  sobre  las  cuales  ten[ía]  competencia  y   así   lo   h[abía]</w:t>
        <w:br/>
        <w:t>declarado”.  Además, la mencionada Sala hizo “un fuerte llamado de  atención</w:t>
        <w:br/>
        <w:t>a la Sala  de  lo  Civil  y  Laboral  del  Tribunal  de  Apelaciones  de  la</w:t>
        <w:br/>
        <w:t>Circunscripción Atlántico Norte, por  haber  tramitado  el  […]  Recurso  de</w:t>
        <w:br/>
        <w:t>Amparo, cuando en su lugar debió rechazarlo”[109] (supra párr. 124.57).</w:t>
        <w:br/>
        <w:br/>
        <w:t>124.62)     El 30 de octubre de 2000 el Consejo Supremo Electoral emitió  un</w:t>
        <w:br/>
        <w:t>comunicado, mediante el que se dirigió a la “ciudadanía en general  y  a  la</w:t>
        <w:br/>
        <w:t>comunidad internacional para hacer de su conocimiento [… q]ue […] se  otorgó</w:t>
        <w:br/>
        <w:t>personalidad jurídica al partido político […] YATAMA, la que  se  mant[enía]</w:t>
        <w:br/>
        <w:t>en toda su vigencia y fuerza legal”, así como  que  dicho  partido  político</w:t>
        <w:br/>
        <w:t>regional “podr[ía] participar y  presentar  candidatos  en  sus  respectivas</w:t>
        <w:br/>
        <w:t>Regiones Autónomas en las elecciones de noviembre de [2001]”[110].</w:t>
        <w:br/>
        <w:br/>
        <w:t>124.63)     YATAMA,  así  como  la  Procuraduría  para  la  Defensa  de  los</w:t>
        <w:br/>
        <w:t>Derechos Humanos, el Presidente del Movimiento de Unidad Nacional (MUN),  la</w:t>
        <w:br/>
        <w:t>Misión de Observación Electoral de  la  OEA  y  otras  organizaciones,  como</w:t>
        <w:br/>
        <w:t>Ética y Transparencia Internacional, solicitaron “que se  posterg[ara]n  las</w:t>
        <w:br/>
        <w:t>elecciones municipales en la Región Autónoma  del  Atlántico  Norte  por  un</w:t>
        <w:br/>
        <w:t>período que permit[ier]a al partido YATAMA hacer campaña  y  participar  en”</w:t>
        <w:br/>
        <w:t>dichas elecciones, dado que el Consejo Supremo  Electoral  estaba  facultado</w:t>
        <w:br/>
        <w:t>para suspenderlas “con fundamento en los artículos 4 y 10 inciso  4)  de  la</w:t>
        <w:br/>
        <w:t>Ley Electoral […]”[111].   El Consejo Supremo  Electoral  no  suspendió  las</w:t>
        <w:br/>
        <w:t>referidas elecciones, argumentando que la suspensión era competencia  de  la</w:t>
        <w:br/>
        <w:t>Asamblea Nacional[112].</w:t>
        <w:br/>
        <w:br/>
        <w:t>124.64)     La Procuraduría para la Defensa de los  Derechos  Humanos,  como</w:t>
        <w:br/>
        <w:t>consecuencia de una denuncia interpuesta por el señor Brooklyn Rivera  Bryan</w:t>
        <w:br/>
        <w:t>el 24 de agosto de 2000, pidió al  Consejo  Supremo  Electoral  “un  informe</w:t>
        <w:br/>
        <w:t>detallado de las causas que motivaron los hechos  denunciados”.  El  Consejo</w:t>
        <w:br/>
        <w:t>Supremo Electoral no permitió que la Procuraduría  realizara  la  inspección</w:t>
        <w:br/>
        <w:t>del  “Libro  de  Resoluciones  en  el  que  se  enc[ontraba]  contenida   la</w:t>
        <w:br/>
        <w:t>resolución que este mismo Consejo tomó por unanimidad” el 15  de  agosto  de</w:t>
        <w:br/>
        <w:t>2000 (supra párr. 124.51), dado que según una  autoridad  de  dicho  Consejo</w:t>
        <w:br/>
        <w:t>“el libro se encontraba bajo llave y  [la]  única  [persona]  que  tenía  la</w:t>
        <w:br/>
        <w:t>clave […] había fallecido”[113].</w:t>
        <w:br/>
        <w:br/>
        <w:t>124.65)     El 3 de marzo de 2005 la Procuraduría para  la  Defensa  de  los</w:t>
        <w:br/>
        <w:t>Derechos Humanos emitió una  resolución  final  respecto  de  la  mencionada</w:t>
        <w:br/>
        <w:t>denuncia interpuesta  por  el  señor  Brooklyn  Rivera  Bryan  (supra  párr.</w:t>
        <w:br/>
        <w:t>124.64), mediante la cual declaró que el  Consejo  Supremo  Electoral  y  la</w:t>
        <w:br/>
        <w:t>Corte Suprema de Justicia “han vulnerado los derechos civiles  y  políticos,</w:t>
        <w:br/>
        <w:t>traducidos en el derecho a la igualdad ante la ley,  el  derecho  a  no  ser</w:t>
        <w:br/>
        <w:t>sujetos de discriminación, derecho de participación política, a elegir  y  a</w:t>
        <w:br/>
        <w:t>ser electos, al respeto de su identidad cultural, así como al derecho  a  la</w:t>
        <w:br/>
        <w:t>protección judicial de los candidatos a Alcaldes, Vice-alcaldes,  concejales</w:t>
        <w:br/>
        <w:t>y población en general de las  Regiones  Autónomas  del  Atlántico  Norte  y</w:t>
        <w:br/>
        <w:t>Sur”[114].</w:t>
        <w:br/>
        <w:br/>
        <w:br/>
        <w:t>Sobre las elecciones municipales de 5 de noviembre de 2000</w:t>
        <w:br/>
        <w:br/>
        <w:br/>
        <w:t>124.66)     El 5 de noviembre de 2000 se celebraron las primeras  elecciones</w:t>
        <w:br/>
        <w:t>municipales bajo la vigencia de la Ley Electoral No. 331 de  2000,  conforme</w:t>
        <w:br/>
        <w:t>al  calendario  electoral  del  Consejo  Supremo  Electoral   (supra   párr.</w:t>
        <w:br/>
        <w:t>124.29)[115].</w:t>
        <w:br/>
        <w:br/>
        <w:t>124.67)     El partido YATAMA  no  participó  en  las  elecciones  de  5  de</w:t>
        <w:br/>
        <w:t>noviembre de 2000, como consecuencia de  la  decisión  del  Consejo  Supremo</w:t>
        <w:br/>
        <w:t>Electoral de 15 de agosto de 2000 (supra párr. 124.51).   Esto  provocó  una</w:t>
        <w:br/>
        <w:t>tensión  que  adquirió  repercusión  nacional  e  internacional[116].   Hubo</w:t>
        <w:br/>
        <w:t>enfrentamientos con la policía, protestas  y  detenciones  de  manifestantes</w:t>
        <w:br/>
        <w:t>que cuestionaban esa decisión[117].</w:t>
        <w:br/>
        <w:br/>
        <w:t>124.68)      Solamente  seis  partidos   políticos   participaron   en   las</w:t>
        <w:br/>
        <w:t>elecciones  municipales  de  5  de  noviembre  de  2000,  a  saber:   Frente</w:t>
        <w:br/>
        <w:t>Sandinista    de    Liberación    Nacional    (FSLN),    Partido     Liberal</w:t>
        <w:br/>
        <w:t>Constitucionalista (PLC), Camino  Cristiano,  Partido  Conservador,  Partido</w:t>
        <w:br/>
        <w:t>Indígena Multiétnico del  Atlántico  Sur  y  Partido  Movimiento  de  Unidad</w:t>
        <w:br/>
        <w:t>Costeña  (PAMUC)[118].   Los   candidatos   que   ganaron   las   elecciones</w:t>
        <w:br/>
        <w:t>pertenecían a los partidos tradicionales[119].  Los partidos políticos  PLC,</w:t>
        <w:br/>
        <w:t>FSLN y PC obtuvieron  94,  52  y  5  alcaldías,  respectivamente[120].   Las</w:t>
        <w:br/>
        <w:t>únicas organizaciones políticas costeñas que participaron en las  elecciones</w:t>
        <w:br/>
        <w:t>municipales de noviembre de 2000, fueron el Partido Multiétnico (PIM) en  la</w:t>
        <w:br/>
        <w:t>RAAS y el Partido Multiétnico de la Unidad Costeña (PAMUC) en la  RAAN,  los</w:t>
        <w:br/>
        <w:t>cuales obtuvieron “el  0,3%  de  los  votos  válidos  en  las  dos  Regiones</w:t>
        <w:br/>
        <w:t>Autónomas”[121].</w:t>
        <w:br/>
        <w:br/>
        <w:t>124.69)      En  la  RAAN  se  registró   un  nivel  de  abstencionismo   de</w:t>
        <w:br/>
        <w:t>aproximadamente 80%, dado  que  una  parte  del  electorado,  compuesto  por</w:t>
        <w:br/>
        <w:t>miembros de comunidades indígenas y étnicas, no  se  encontraba  debidamente</w:t>
        <w:br/>
        <w:t>representado por los partidos nacionales[122].</w:t>
        <w:br/>
        <w:br/>
        <w:t>124.70)     La aplicación  de  la  Ley  Electoral  No.  331  de  2000  y  la</w:t>
        <w:br/>
        <w:t>exigencia  de  los  requisitos   para   constituir   un   partido   político</w:t>
        <w:br/>
        <w:t>disminuyeron  las  posibilidades  de  participación  de  las  organizaciones</w:t>
        <w:br/>
        <w:t>indígenas y étnicas de la Costa Atlántica. En la  elección  presidencial  de</w:t>
        <w:br/>
        <w:t>1996 participaron más de 20 partidos políticos[123].</w:t>
        <w:br/>
        <w:br/>
        <w:t>124.71)       El   8   de   noviembre   de   2000   los   partidos   Liberal</w:t>
        <w:br/>
        <w:t>Constitucionalista (PLC), Movimiento de  Unidad  Costeña  (PAMUC),  Indígena</w:t>
        <w:br/>
        <w:t>Multiétnico (PIM), Camino Cristiano  Nicaragüense  (CCN)  y  Conservador  de</w:t>
        <w:br/>
        <w:t>Nicaragua (PCN),  “con  personería  jurídica  y  representación  nacional  y</w:t>
        <w:br/>
        <w:t>regional, participantes en la […]  contienda  electoral  municipal  del  día</w:t>
        <w:br/>
        <w:t>[5]de noviembre de  [2000],  en  la  Región  Autónoma  del  Atlántico  Norte</w:t>
        <w:br/>
        <w:t>(RAAN)”, solicitaron al Consejo  Supremo  Electoral  que  “[d]eclarar[a]  la</w:t>
        <w:br/>
        <w:t>nulidad de las elecciones en la RAAN[… y r]eprogramar[a]  nuevas  elecciones</w:t>
        <w:br/>
        <w:t>municipales en la RAAN, con inclusión del  Partido  Indígena  YATAMA”,  dado</w:t>
        <w:br/>
        <w:t>que “[d]urante el desarrollo de la  campaña  electoral  y  los  comicios  en</w:t>
        <w:br/>
        <w:t>[dicha] región se observaron actos de  violencia  y  tensionamiento  social,</w:t>
        <w:br/>
        <w:t>que no permitieron el normal ejercicio del derecho al voto[, s]ituación  que</w:t>
        <w:br/>
        <w:t>se origin[ó| a partir de la exclusión del Partido  Indígena  YATAMA  y  como</w:t>
        <w:br/>
        <w:t>manifestación de inconformidad de la  población  costeña,  que  culminó  con</w:t>
        <w:br/>
        <w:t>[un] abstencionismo electoral […] mayor al 80% del Padrón Electoral”[124].</w:t>
        <w:br/>
        <w:br/>
        <w:t>124.72)     YATAMA no obtuvo el  reembolso  de  los  gastos  de  la  campaña</w:t>
        <w:br/>
        <w:t>electoral para las elecciones municipales de 5 de noviembre  de  2000,  dado</w:t>
        <w:br/>
        <w:t>que no participó en dichas elecciones[125].</w:t>
        <w:br/>
        <w:br/>
        <w:br/>
        <w:t>Elecciones municipales de noviembre de 2004</w:t>
        <w:br/>
        <w:br/>
        <w:t>124.73)     En las elecciones de 2004 YATAMA “obt[uvo] 3  alcaldías  en  los</w:t>
        <w:br/>
        <w:t>municipios más grandes de la  Región  Autónoma  del  Atlántico  Norte  y  la</w:t>
        <w:br/>
        <w:t>mayoría de concejales en todos los municipios”[126].  Dada  la  cantidad  de</w:t>
        <w:br/>
        <w:t>miembros de YATAMA, estos “sólo pueden ser candidatos una vez para  dar  […]</w:t>
        <w:br/>
        <w:t>oportunidad  a  que  otros  miembros  participen”.   Una  minoría   de   los</w:t>
        <w:br/>
        <w:t>candidatos de YATAMA que iban  a  participar  en  las  elecciones  del  2000</w:t>
        <w:br/>
        <w:t>participaron en las elecciones de 2004[127].</w:t>
        <w:br/>
        <w:br/>
        <w:t>Representatividad  de  las  comunidades  de  las  regiones   autónomas   del</w:t>
        <w:br/>
        <w:t>Atlántico</w:t>
        <w:br/>
        <w:br/>
        <w:t>124.74)     Las comunidades  indígenas  y  étnicas  de  la  Costa  Atlántica</w:t>
        <w:br/>
        <w:t>representan el 3,13% de la población nacional.  En la  RAAN  aproximadamente</w:t>
        <w:br/>
        <w:t>el 62% de la población pertenece a comunidades indígenas y étnicas y  en  la</w:t>
        <w:br/>
        <w:t>RAAS  alrededor   del   14,5%   de   la   población   pertenece   a   dichas</w:t>
        <w:br/>
        <w:t>comunidades[128].  El artículo 132 de la Constitución Política de  Nicaragua</w:t>
        <w:br/>
        <w:t>establece que la Asamblea Nacional “está integrada por noventa  diputados[.]</w:t>
        <w:br/>
        <w:t xml:space="preserve">  En  carácter  nacional,  […]  se  elegirán  veinte  diputados,  y  en  las</w:t>
        <w:br/>
        <w:t>circunscripciones departamentales y regiones autónomas  setenta  diputados”.</w:t>
        <w:br/>
        <w:t>Cinco diputados representan a la RAAS y la RAAN en la Asamblea  Nacional,  y</w:t>
        <w:br/>
        <w:t>pertenecen a partidos tradicionales[129].</w:t>
        <w:br/>
        <w:br/>
        <w:t>Respecto de la reforma del sistema electoral de Nicaragua</w:t>
        <w:br/>
        <w:br/>
        <w:t>124.75)     El 8 de noviembre de  2002  la  Corte  Suprema  de  Justicia  de</w:t>
        <w:br/>
        <w:t>Nicaragua,  mediante  sentencia  No.  103,  declaró   inconstitucional   “el</w:t>
        <w:br/>
        <w:t>artículo 65 numeral 9) párrafos 1 y 2 de la  Ley  [Electoral]  No.  331  […]</w:t>
        <w:br/>
        <w:t>referidos a la presentación del tres  por  ciento  de  firmas  para  que  un</w:t>
        <w:br/>
        <w:t>partido político obtenga la personalidad jurídica[, …así como  el]  artículo</w:t>
        <w:br/>
        <w:t>77 numeral 7) de la misma Ley, referido  a  la  presentación  del  tres  por</w:t>
        <w:br/>
        <w:t>ciento de firmas de ciudadanos para  la  presentación  de  candidatos”[130].</w:t>
        <w:br/>
        <w:t>La Corte Suprema de Justicia fundamentó su decisión en que “habrán  partidos</w:t>
        <w:br/>
        <w:t>políticos que por una u otra razón no logren obtener la cantidad  de  firmas</w:t>
        <w:br/>
        <w:t>exigidas, […por  lo  que]  no  podrán  constituirse  legalmente  y  quedarán</w:t>
        <w:br/>
        <w:t>excluidos como opciones electorales en campañas  futuras,  lo  que  violenta</w:t>
        <w:br/>
        <w:t>las  garantías  políticas  de  los  nicaragüenses  […  y]   constituye   una</w:t>
        <w:br/>
        <w:t>intromisión y menoscabo de los derechos individuales, al  establecer  en  la</w:t>
        <w:br/>
        <w:t>Ley Electoral, una disposición que  obliga  a  los  ciudadanos  a  poner  de</w:t>
        <w:br/>
        <w:t>manifiesto a través del proceso de identificación  de  firmas  de  respaldo,</w:t>
        <w:br/>
        <w:t>sus  inclinaciones  ideológicas  partidistas”,  lo  cual  “constitu[ye]  una</w:t>
        <w:br/>
        <w:t>indebida y odiosa intromisión en la actividad política  de  los  ciudadanos,</w:t>
        <w:br/>
        <w:t>propia de los países totalitarios”[131].</w:t>
        <w:br/>
        <w:br/>
        <w:t>124.76)     En el  Plan  Nacional  de  Desarrollo  del  Poder  Ejecutivo  de</w:t>
        <w:br/>
        <w:t>Nicaragua el Presidente de la República propuso reformas institucionales  en</w:t>
        <w:br/>
        <w:t>el sistema electoral nicaragüense, cuyos temas centrales giran en  torno  al</w:t>
        <w:br/>
        <w:t>“órgano electoral y sus características[, el]  fundamento  jurídico  o  cómo</w:t>
        <w:br/>
        <w:t>mejorar las reglas del juego[, y l]as características deseables del  sistema</w:t>
        <w:br/>
        <w:t>electoral”[132].</w:t>
        <w:br/>
        <w:br/>
        <w:br/>
        <w:t>Sobre las costas y gastos</w:t>
        <w:br/>
        <w:br/>
        <w:t>124.77)     Los representantes legales de YATAMA realizaron  gestiones  para</w:t>
        <w:br/>
        <w:t>lograr que sus candidatos participaran en las elecciones de 5  de  noviembre</w:t>
        <w:br/>
        <w:t>de 2000, así como han participado en las diligencias  ante  las  autoridades</w:t>
        <w:br/>
        <w:t>electorales y judiciales en el trámite interno. El partido YATAMA, CENIDH  y</w:t>
        <w:br/>
        <w:t>CEJIL han sufragado los gastos  generados por  haber  recurrido  al  Sistema</w:t>
        <w:br/>
        <w:t>Interamericano de Protección de los Derechos Humanos[133].</w:t>
        <w:br/>
        <w:br/>
        <w:br/>
        <w:t xml:space="preserve">                                    VIII</w:t>
        <w:br/>
        <w:t xml:space="preserve">     Consideraciones respecto de la determinación de presuntas víctimas</w:t>
        <w:br/>
        <w:br/>
        <w:t>125.  Se han presentado diversos problemas en cuanto a la  determinación  de</w:t>
        <w:br/>
        <w:t>las presuntas víctimas,  por  lo  que  antes  de  analizar  las  violaciones</w:t>
        <w:br/>
        <w:t>alegadas, la Corte establecerá quiénes serán consideradas como tales.</w:t>
        <w:br/>
        <w:br/>
        <w:t>126.  La Comisión indicó que  las  supuestas  violaciones  a  la  Convención</w:t>
        <w:br/>
        <w:t>fueron cometidas “en perjuicio de los candidatos a alcaldes, vicealcaldes  y</w:t>
        <w:br/>
        <w:t>concejales presentados por el partido político regional  […]  ‘YATAMA’  para</w:t>
        <w:br/>
        <w:t>las elecciones municipales  del  5  de  noviembre  de  2000,  en  la  Región</w:t>
        <w:br/>
        <w:t>Autónoma del Atlántico Norte  y  la  Región  Autónoma  del  Atlántico  Sur”.</w:t>
        <w:br/>
        <w:t>Explicó que en la RAAS el partido YATAMA presentó candidatos en alianza  con</w:t>
        <w:br/>
        <w:t>el Partido de los Pueblos Costeños (PPC), alianza que  se  denominó  PPC,  y</w:t>
        <w:br/>
        <w:t>que en la RAAN el partido YATAMA participó de manera independiente.</w:t>
        <w:br/>
        <w:br/>
        <w:t>127.  La determinación de las presuntas víctimas requiere, en principio,  el</w:t>
        <w:br/>
        <w:t>sustento  de  documentos  oficiales   presentados   ante   las   autoridades</w:t>
        <w:br/>
        <w:t>electorales nicaragüenses o emitidos por éstas, en los que conste de  manera</w:t>
        <w:br/>
        <w:t>fehaciente  el  nombre  de  quienes  fueron  propuestos  por   YATAMA   como</w:t>
        <w:br/>
        <w:t>candidatos, de manera independiente o en alianza.</w:t>
        <w:br/>
        <w:br/>
        <w:t>128.  Durante el procedimiento ante la Comisión los  representantes  de  las</w:t>
        <w:br/>
        <w:t>presuntas víctimas solicitaron en  diversas  oportunidades  al  Director  de</w:t>
        <w:br/>
        <w:t>Atención de Partidos Políticos del Consejo Supremo Electoral, al  Secretario</w:t>
        <w:br/>
        <w:t>de Actuaciones y a los magistrados  de  dicho  consejo  que  les  facilitara</w:t>
        <w:br/>
        <w:t>copias de las listas de candidatos presentadas por YATAMA  en  las  Regiones</w:t>
        <w:br/>
        <w:t>Autónomas  del  Atlántico.   El  único  documento  oficial   que   Nicaragua</w:t>
        <w:br/>
        <w:t>proporcionó  fue  el  acta  de  entrega  de  18  de  julio  de  2000  de  la</w:t>
        <w:br/>
        <w:t>“documentación original de  candidatos  sustitutos  municipales  a  alcalde,</w:t>
        <w:br/>
        <w:t>vicealcalde y concejales de los municipios del Atlántico Norte  recibida  el</w:t>
        <w:br/>
        <w:t>15 de  julio de 2000”, que  remitió  el  Presidente  del  Consejo  Electoral</w:t>
        <w:br/>
        <w:t>Regional de la RAAN al Director General de  Atención  a  Partidos  Políticos</w:t>
        <w:br/>
        <w:t>del Consejo Supremo Electoral.  En ese instrumento consta el nombre  de  los</w:t>
        <w:br/>
        <w:t>candidatos que aportó la Comisión en la demanda.  Sin  embargo,  no  informa</w:t>
        <w:br/>
        <w:t>sobre la lista de candidatos presentada en la  RAAS  y  no  permite  conocer</w:t>
        <w:br/>
        <w:t>todos los candidatos presentados en la RAAN, pues se trata de una  lista  de</w:t>
        <w:br/>
        <w:t>candidatos sustitutos.</w:t>
        <w:br/>
        <w:br/>
        <w:t>129.  En sus escritos de solicitudes y argumentos y de  alegatos  sobre  las</w:t>
        <w:br/>
        <w:t>excepciones preliminares los  representantes  solicitaron  a  la  Corte  que</w:t>
        <w:br/>
        <w:t>requiriera al Estado la presentación de las listas oficiales  de  candidatos</w:t>
        <w:br/>
        <w:t>postulados por YATAMA tanto en la RAAN como en la RAAS para  las  elecciones</w:t>
        <w:br/>
        <w:t>municipales de 2000, debido a que ellos lo  habían  hecho  sin  obtener  del</w:t>
        <w:br/>
        <w:t>Estado información completa.</w:t>
        <w:br/>
        <w:br/>
        <w:t>130.  En virtud de que era necesario contar  con  las  listas  oficiales  de</w:t>
        <w:br/>
        <w:t>candidatos presentados por YATAMA y  de  que  había  diferencias  entre  las</w:t>
        <w:br/>
        <w:t>listas  de  presuntas  víctimas  aportadas  por  la  Comisión  y   por   los</w:t>
        <w:br/>
        <w:t>representantes, la Secretaría, siguiendo instrucciones del Presidente y  del</w:t>
        <w:br/>
        <w:t>pleno de la Corte, requirió al Estado su cooperación en la  presentación  de</w:t>
        <w:br/>
        <w:t>tales listas, mediante notas de 12 de mayo de 2004, 9 de diciembre de  2004,</w:t>
        <w:br/>
        <w:t>31 de marzo de 2005, 15 y 27 de abril de 2005 (supra párrs. 22, 24,  39,  45</w:t>
        <w:br/>
        <w:t>y 47).  Asimismo, en la audiencia pública, celebrada el 9 y 10 de  marzo  de</w:t>
        <w:br/>
        <w:t>2005, la  Corte  requirió  a  las  partes  que  presentaran  la  información</w:t>
        <w:br/>
        <w:t>necesaria, en sus alegatos finales escritos, para que  el  Tribunal  pudiera</w:t>
        <w:br/>
        <w:t>determinar la relación de presuntas víctimas en este caso,  pedido  que  fue</w:t>
        <w:br/>
        <w:t>recordado a las partes mediante nota de la Secretaría  de  31  de  marzo  de</w:t>
        <w:br/>
        <w:t>2005 (supra párr. 39).  Las personas propuestas por YATAMA  para  participar</w:t>
        <w:br/>
        <w:t>en las elecciones municipales de 2000 no fueron  inscritos  como  candidatos</w:t>
        <w:br/>
        <w:t>por el Consejo Supremo Electoral, pues éste  consideró  que  el  partido  no</w:t>
        <w:br/>
        <w:t>cumplía requisitos legales.  Por lo tanto, ninguno  de  ellos  participó  en</w:t>
        <w:br/>
        <w:t>las elecciones celebradas el 4 de noviembre de ese  año.   En  consecuencia,</w:t>
        <w:br/>
        <w:t>las listas cuya presentación se requirió al Estado no  podrían  referirse  a</w:t>
        <w:br/>
        <w:t>candidatos inscritos.</w:t>
        <w:br/>
        <w:br/>
        <w:t>131.  En las diversas solicitudes de  las  listas  de  candidatos,  se  hizo</w:t>
        <w:br/>
        <w:t>notar al Estado que en la RAAS  la  lista  habría  sido  presentada  por  la</w:t>
        <w:br/>
        <w:t>alianza del Partido de los Pueblos Costeños y del partido YATAMA,  así  como</w:t>
        <w:br/>
        <w:t>que debía proporcionar tales listas independientemente de que YATAMA  y  sus</w:t>
        <w:br/>
        <w:t>candidatos no hubieran participado en las elecciones municipales de  2000  y</w:t>
        <w:br/>
        <w:t>de que se tratara de documentos que no hubieran sido presentados por  YATAMA</w:t>
        <w:br/>
        <w:t>directamente ante el Consejo Supremo  Electoral,  sino  ante  una  autoridad</w:t>
        <w:br/>
        <w:t>regional, o de constancias que no hubiesen sido emitidas por  dicho  Consejo</w:t>
        <w:br/>
        <w:t>sino por una autoridad regional.</w:t>
        <w:br/>
        <w:br/>
        <w:t>132.   Después  de  las  dos  primeras  solicitudes  para  que  prestara  su</w:t>
        <w:br/>
        <w:t>colaboración en el envío de las referidas listas, realizadas mediante  notas</w:t>
        <w:br/>
        <w:t>de 12 de mayo y 9 de diciembre de 2004 (supra párrs.  22  y  24),  el  1  de</w:t>
        <w:br/>
        <w:t>marzo de  2005  el  Estado  aportó  un  documento  emitido  por  el  Consejo</w:t>
        <w:br/>
        <w:t>Electoral Regional de la RAAN el 15 de julio de 2000,  en  el  que  se  hace</w:t>
        <w:br/>
        <w:t>constar que ese mismo día “el Representante Legal del partido  regional  […]</w:t>
        <w:br/>
        <w:t>YATAMA  presentó  las  hojas  de  inscripciones  de  los   Candidatos   para</w:t>
        <w:br/>
        <w:t>elecciones […] de  los  municipios  de  Waspam  Río  Coco,  Puerto  Cabezas,</w:t>
        <w:br/>
        <w:t>Prinzapolka, Rosita y Bonanza”, y se indica el  nombre  de  aquéllos  (supra</w:t>
        <w:br/>
        <w:t>párr. 33).  Así se pudo contar con  información  completa  respecto  de  las</w:t>
        <w:br/>
        <w:t>personas propuestas por YATAMA como candidatos en la RAAN, dado  que  ya  se</w:t>
        <w:br/>
        <w:t>contaba con la lista oficial de candidatos  suplentes  o  sustitutos  (supra</w:t>
        <w:br/>
        <w:t>párr. 128).  Sin embargo, el Estado no aportó información  alguna  sobre  la</w:t>
        <w:br/>
        <w:t>lista de candidatos propuestos en la RAAS.</w:t>
        <w:br/>
        <w:br/>
        <w:t>133.  Finalmente, el 5 de mayo de 2005 (supra párr. 49),  después  de  cinco</w:t>
        <w:br/>
        <w:t>solicitudes de la Corte o su Presidente (supra párrs. 22, 24, 39, 45 y  47),</w:t>
        <w:br/>
        <w:t>el Estado entregó una constancia emitida  el  3  de  mayo  de  2005  por  el</w:t>
        <w:br/>
        <w:t>Director General de  Atención  a  Partidos  Políticos  del  Consejo  Supremo</w:t>
        <w:br/>
        <w:t>Electoral, que  contiene  los  nombres  de  los  “candidatos  a  Alcaldes  y</w:t>
        <w:br/>
        <w:t>Concejales de la Región Autónoma del Atlántico Sur, presentadas [… a]nte  el</w:t>
        <w:br/>
        <w:t>Consejo Electoral  Regional  del  Atlántico  Sur  con  sede  en  Bluefields,</w:t>
        <w:br/>
        <w:t>organismo sin atribuciones para recepcionar  candidaturas  conforme  [a  la]</w:t>
        <w:br/>
        <w:t>Ley,  por  la  Alianza   Partido   de   los   Pueblos   Costeños   (PPC)   y</w:t>
        <w:br/>
        <w:t>extemporáneamente el 17 de  julio  de  dos  mil,  ante  el  Consejo  Supremo</w:t>
        <w:br/>
        <w:t>Electoral”[134].</w:t>
        <w:br/>
        <w:br/>
        <w:t>134.  La Corte ha establecido que  las  partes  deben  allegar  al  Tribunal</w:t>
        <w:br/>
        <w:t>oportunamente las pruebas solicitadas por  éste,  a  fin  de  que  la  Corte</w:t>
        <w:br/>
        <w:t>cuente con el mayor número de elementos de juicio para conocer los hechos  y</w:t>
        <w:br/>
        <w:t>motivar sus resoluciones[135]. En los procesos sobre violación  de  derechos</w:t>
        <w:br/>
        <w:t>humanos puede ocurrir que el demandante no  cuente  con  la  posibilidad  de</w:t>
        <w:br/>
        <w:t>aportar pruebas que sólo puedan obtenerse con  la  cooperación  del  Estado,</w:t>
        <w:br/>
        <w:t>que en muchos casos tiene el control  de  los  medios  para  aclarar  hechos</w:t>
        <w:br/>
        <w:t>ocurridos dentro de su territorio[136].</w:t>
        <w:br/>
        <w:br/>
        <w:t>135.  La Corte estima que el  Estado  contaba  con  la  información  oficial</w:t>
        <w:br/>
        <w:t>requerida y que, pese a los reiterados requerimientos  que  se  le  hicieron</w:t>
        <w:br/>
        <w:t>con base  en  el  artículo  45.2  del  Reglamento,  omitió  la  presentación</w:t>
        <w:br/>
        <w:t>oportuna invocando diversos argumentos sin sustento (supra párrs. 23,  40  y</w:t>
        <w:br/>
        <w:t>46).  Adujo que YATAMA no había cumplido requisitos legales para  participar</w:t>
        <w:br/>
        <w:t>en las elecciones (algunos de los cuales  ni  siquiera  fueron  considerados</w:t>
        <w:br/>
        <w:t>por  el  Consejo  Supremo  Electoral  cuando  decidió  no  inscribir  a  los</w:t>
        <w:br/>
        <w:t>candidatos de YATAMA –supra párr. 124.51-), y actuó como si no  comprendiera</w:t>
        <w:br/>
        <w:t>que al pedírsele información sobre los candidatos propuestos por  YATAMA  en</w:t>
        <w:br/>
        <w:t>la RAAS debía aportarla aunque YATAMA los hubiere presentado en alianza  con</w:t>
        <w:br/>
        <w:t>el PPC.</w:t>
        <w:br/>
        <w:br/>
        <w:t>136.  Dicha omisión  del  Estado  motivó  dificultades  innecesarias  en  la</w:t>
        <w:br/>
        <w:t>determinación de las presuntas víctimas y significó el incumplimiento de  la</w:t>
        <w:br/>
        <w:t>obligación de cooperar con el Tribunal al no  haber  aportado  oportunamente</w:t>
        <w:br/>
        <w:t>la información que le fue requerida. No corresponde al Estado, ni a  ninguna</w:t>
        <w:br/>
        <w:t>otra parte, determinar la procedencia y consecuencias de  la  aportación  de</w:t>
        <w:br/>
        <w:t>documentos requeridos por el Tribunal o su Presidente.</w:t>
        <w:br/>
        <w:br/>
        <w:t>137.  A la  fecha  de  emisión  de  esta  Sentencia,  la  Corte  cuenta  con</w:t>
        <w:br/>
        <w:t>documentación  oficial  para  determinar  los  nombres  de   las   presuntas</w:t>
        <w:br/>
        <w:t>víctimas, por lo que este problema ha quedado resuelto.</w:t>
        <w:br/>
        <w:br/>
        <w:t>138.  La Corte ha tenido en  cuenta  los  siguientes  elementos  probatorios</w:t>
        <w:br/>
        <w:t>para determinar quiénes fueron presentados por YATAMA como  candidatos  para</w:t>
        <w:br/>
        <w:t>participar en las elecciones municipales de 2000: a) acta de entrega  de  18</w:t>
        <w:br/>
        <w:t>de julio de 2000 de la  “documentación  original  de  Candidatos  Sustitutos</w:t>
        <w:br/>
        <w:t>Municipales a Alcalde,  Vicealcalde  y  Concejales  de  los  municipios  del</w:t>
        <w:br/>
        <w:t>Atlántico Norte”, que el Presidente del Consejo  Electoral  Regional  de  la</w:t>
        <w:br/>
        <w:t>RAAN remitió al Director  General  de  Atención  a  Partidos  Políticos  del</w:t>
        <w:br/>
        <w:t>Consejo Supremo Electoral; b) documento emitido  por  el  Consejo  Electoral</w:t>
        <w:br/>
        <w:t>Regional de la RAAN el 15 de julio de 2000, en el que hace constar  que  ese</w:t>
        <w:br/>
        <w:t>mismo día “el Representante  Legal  […]  del  partido  regional  […]  YATAMA</w:t>
        <w:br/>
        <w:t>presentó las hojas de inscripciones de los  Candidatos(as)  para  elecciones</w:t>
        <w:br/>
        <w:t>[…] de los municipios de  Waspam  Río  Coco,  Puerto  Cabezas,  Prinzapolka,</w:t>
        <w:br/>
        <w:t>Rosita y Bonanza”; c) constancia de 3  de  mayo  de  2005  expedida  por  el</w:t>
        <w:br/>
        <w:t>Director General de  Atención  a  Partidos  Políticos  del  Consejo  Supremo</w:t>
        <w:br/>
        <w:t>Electoral, que  contiene  los  nombres  de  los  “candidatos  a  Alcaldes  y</w:t>
        <w:br/>
        <w:t>Concejales de la Región Autónoma del Atlántico Sur, presentadas [… a]nte  el</w:t>
        <w:br/>
        <w:t>Consejo Electoral Regional del Atlántico Sur con sede en Bluefields […]  por</w:t>
        <w:br/>
        <w:t>la Alianza Partido de los Pueblos Costeños (PPC) y extemporáneamente  el  17</w:t>
        <w:br/>
        <w:t>de julio de dos mil,  ante  el  Consejo  Supremo  Electoral”;  d)  lista  de</w:t>
        <w:br/>
        <w:t>candidatos presentada por los peticionarios en el trámite ante la  Comisión;</w:t>
        <w:br/>
        <w:t>e) lista de candidatos presentada  por  la  Comisión  como  anexo  1  de  su</w:t>
        <w:br/>
        <w:t>demanda; f) lista de  candidatos  incluida  por  los  representantes  en  el</w:t>
        <w:br/>
        <w:t>escrito de  solicitudes  y  argumentos;  g)  relación  final  de  candidatos</w:t>
        <w:br/>
        <w:t>presentada por los representantes en sus alegatos finales escritos[137];  h)</w:t>
        <w:br/>
        <w:t>escrito de 13 de mayo de 2005 por  el  que  los  representantes  presentaron</w:t>
        <w:br/>
        <w:t>aclaraciones  y  explicaciones  respecto  de  las  diferencias  surgidas  en</w:t>
        <w:br/>
        <w:t>relación con las listas de candidatos aportadas durante el proceso  ante  la</w:t>
        <w:br/>
        <w:t>Corte[138]; i) escrito de 16 de mayo de 2005, mediante el  que  la  Comisión</w:t>
        <w:br/>
        <w:t>expuso aclaraciones y explicaciones respecto de las diferencias surgidas  en</w:t>
        <w:br/>
        <w:t>relación con  las  distintas  listas  de  candidatos  aportadas  durante  el</w:t>
        <w:br/>
        <w:t>proceso ante la Corte; y j) escritos de 18 y 19 de mayo  de  2005,  mediante</w:t>
        <w:br/>
        <w:t>los cuales el Estado presentó observaciones a los dos anteriores escritos.</w:t>
        <w:br/>
        <w:br/>
        <w:t>139.  En la determinación de quiénes fueron las  personas  presentadas  para</w:t>
        <w:br/>
        <w:t>ser inscritas como candidatos por YATAMA, la Corte ha  dado  preeminencia  a</w:t>
        <w:br/>
        <w:t>los tres primeros documentos señalados  en  el  párrafo  anterior,  que  son</w:t>
        <w:br/>
        <w:t>constancias  oficiales  emitidas   por   los   órganos   electorales,   cuya</w:t>
        <w:br/>
        <w:t>autenticidad y contenido no fueron objetados ni puestos en duda.</w:t>
        <w:br/>
        <w:br/>
        <w:t>140.  Con base en lo anterior, la Corte considera presuntas víctimas  a  las</w:t>
        <w:br/>
        <w:t>siguientes personas que fueron propuestas por YATAMA para  ser  inscritos  y</w:t>
        <w:br/>
        <w:t>participar  como  candidatos   a   alcaldes,   vicealcaldes   y   concejales</w:t>
        <w:br/>
        <w:t>municipales para las elecciones municipales de 2000 en  la  RAAN:  Municipio</w:t>
        <w:br/>
        <w:t>de Puerto Cabezas: Rodolfo Spear Smith (alcalde),  Anicia  Matamoros  Bushey</w:t>
        <w:br/>
        <w:t>(vicealcalde), Lilly Mai Henríquez James (concejal), Donly  Mendoza  Cisnero</w:t>
        <w:br/>
        <w:t>(concejal  suplente),  Ovencio  Maikell   Barwell   (concejal),   Gumersindo</w:t>
        <w:br/>
        <w:t>Rodríguez   Francis   (concejal   suplente),   Edmundo   Catriciano   Joseph</w:t>
        <w:br/>
        <w:t>(concejal), Sonia Pedro Feliciano (concejal suplente), Jerry  Labonte  Moody</w:t>
        <w:br/>
        <w:t>(concejal),  Evaristo  Lacayo  Salvador  (concejal  suplente),  Elmer  Emsly</w:t>
        <w:br/>
        <w:t>Blanco  (concejal),  Winston  Joel   Livy   (concejal   suplente),   Rodolfo</w:t>
        <w:br/>
        <w:t>Alciriades Sánchez (concejal), Alfredo Gabriel Gabrino (concejal  suplente),</w:t>
        <w:br/>
        <w:t>Teresa  Jonson  Bengis  (concejal),  Roberto   Labonte   Centeno   (concejal</w:t>
        <w:br/>
        <w:t>suplente), Minario Emsly Wilson (concejal); Municipio de  San  Juan  de  Río</w:t>
        <w:br/>
        <w:t>Coco  Waspam:  Celio  Thomas  Zamora  (alcalde),  Calistro  Osorio  Bans  M.</w:t>
        <w:br/>
        <w:t>(vicealcalde), Diego Guzmán Vanegas Allington  (concejal),  Aguilar  Salomón</w:t>
        <w:br/>
        <w:t>Dixon (concejal suplente), Adrián Padilla Richard (concejal), Morano  Castro</w:t>
        <w:br/>
        <w:t>Castro (concejal  suplente),  Gilberto  Williams  Jirón  (concejal),  Alonso</w:t>
        <w:br/>
        <w:t>Fresly Gabriel (concejal suplente), Lucio Alfred Lacayo  Kitler  (concejal),</w:t>
        <w:br/>
        <w:t>Armando Thomas (concejal suplente), José Guzmán  Guzmán  Briman  (concejal),</w:t>
        <w:br/>
        <w:t>Antonio  Avila  Gutiérrez  (concejal  suplente),   Bernaldo  García   Pantin</w:t>
        <w:br/>
        <w:t>(concejal), Arturo Solórzano White Solórzano  (concejal  suplente),  Loenida</w:t>
        <w:br/>
        <w:t>Martínez  Pasly  (concejal),  Lobres  Josenes  Josenes  Figueroa   (concejal</w:t>
        <w:br/>
        <w:t>suplente),  Remigio  Narciso  Zepeda  (concejal),   Antonio   Reyes   Waldan</w:t>
        <w:br/>
        <w:t>(concejal suplente); Municipio de Bonanza: Mario  Peralta  Bands  (alcalde),</w:t>
        <w:br/>
        <w:t>Jorge  Chacón  Wilson  (vicealcalde),  Ceferino  Wilson   Bell   (concejal),</w:t>
        <w:br/>
        <w:t>Patricio López Díxon (concejal suplente),  Icasio  Díxon  Reyes  (concejal),</w:t>
        <w:br/>
        <w:t>Cindyluz Carolina Couberth Cárdenas (concejal  suplente),  Neiria  Elizabeth</w:t>
        <w:br/>
        <w:t>Fúnez Muller  (concejal);  Municipio  de  Rosita:  Cristina  Poveda  Montiel</w:t>
        <w:br/>
        <w:t>(alcalde),  Morgan  Johnny  Anderson  (vicealcalde),  Daniel  Manuel  Juwith</w:t>
        <w:br/>
        <w:t>(concejal), Oliverio  Mairena  Ocampo  (concejal  suplente),  Edison  Johnny</w:t>
        <w:br/>
        <w:t>Anderson (concejal), Lorenzo  Mairena  Ocampo  (concejal  suplente),  Andrés</w:t>
        <w:br/>
        <w:t>López Martínez (concejal); Municipio  de  Prinzapolka:  Eklan  James  Molina</w:t>
        <w:br/>
        <w:t>(alcalde), Jaime Timoteo Hammer Berig (vicealcalde), Marvin Ignacio  Serapio</w:t>
        <w:br/>
        <w:t>(concejal),  Romer  Barkley  Hemphry  (concejal  suplente),  Alonso  Edwards</w:t>
        <w:br/>
        <w:t>Salomón  (concejal),  Antonio  López  Hans  (concejal  suplente),    Domingo</w:t>
        <w:br/>
        <w:t>Peralta Cristóbal (concejal), Fidencio Rivera Janneth  (concejal  suplente),</w:t>
        <w:br/>
        <w:t>Melancio  Hernández  Budier  (concejal)  y  Pedro  Morley  Rivera  (concejal</w:t>
        <w:br/>
        <w:t>suplente).</w:t>
        <w:br/>
        <w:br/>
        <w:t>141.  Asimismo, la Corte  considera  presuntas  víctimas  a  las  siguientes</w:t>
        <w:br/>
        <w:t>personas que fueron postuladas por YATAMA para ser  inscritos  y  participar</w:t>
        <w:br/>
        <w:t>como candidatos a alcaldes, vicealcaldes y concejales municipales  para  las</w:t>
        <w:br/>
        <w:t>elecciones municipales de 2000 en la RAAS: Municipio de  Bluefields:  Manuel</w:t>
        <w:br/>
        <w:t>Salvador  Paguagua   García   (alcalde),   Yahaira   Ivonne   Amador   Gadea</w:t>
        <w:br/>
        <w:t>(vicealcalde); Concejales:  Eustacio Flores Wilson, Ashmet  Alexander  Ally,</w:t>
        <w:br/>
        <w:t>Julio Cesar Delgado Pacheco, Israel  Díaz  Amador,  Angela  Gibson  Morales,</w:t>
        <w:br/>
        <w:t>Reynaldo Lagos Amador, Eduardo Alexander Siu Estrada, Isabel  Reina  Estrada</w:t>
        <w:br/>
        <w:t>Colindres, Lillian  Elizabeth  Francis  Wilson,  Carlos  John  Omeir,  Nelly</w:t>
        <w:br/>
        <w:t>Sánchez Castillo, Flor Deliz Bravo Carr, William Wong López, Jenny  Mitchell</w:t>
        <w:br/>
        <w:t>Omeir, Sergio Warren León Corea, Olga Orelia Shepperd Hodgson; Municipio  de</w:t>
        <w:br/>
        <w:t>Corn Island: Dayne Winston Cash Cassanova (alcalde), Cristina Morris  Anisal</w:t>
        <w:br/>
        <w:t>(vicealcalde);  Concejales:  Lorenzo  Fidencio  Britton   Calderón,   Keston</w:t>
        <w:br/>
        <w:t>Orville López  Lewis,  Lowell  Alvin  Rigby  Downs,  Cherrul  Eltina  Tucker</w:t>
        <w:br/>
        <w:t>Hunter, Marlene del Socorro  Hebbert  Escorcia,  Vaden  Davis  Downs  White,</w:t>
        <w:br/>
        <w:t>Erick Alvaro Archibol Lavonte, Olga María Leyman Francis;  Municipio  de  la</w:t>
        <w:br/>
        <w:t>Cruz de  Río  Grande:  Exibia  Alarcón  Herrera  (alcalde),  Gloria  Maritza</w:t>
        <w:br/>
        <w:t>Colindres Romero (vicealcalde); Concejales: Angela Barbarina  Hurtado,  Juan</w:t>
        <w:br/>
        <w:t>Francisco Díaz Matamoro, Marcelino  Lanzas  Amador,  Juan  Carlos  Loáisiga,</w:t>
        <w:br/>
        <w:t>Digno Días González, Gloria  Isabel  Lira  Díaz,  Teodora  Duarte  Sequeira,</w:t>
        <w:br/>
        <w:t>Maritza Collado Plazaola; Municipio de Desembocadura de Río Grande:  Roberto</w:t>
        <w:br/>
        <w:t>Chow Molina (alcalde), Edward Nixon Ellis Brooks (vicealcalde);  Concejales;</w:t>
        <w:br/>
        <w:t>Kramwel Frank James, Donald Wilson Martínez Roland, Cristina Josefina  Hills</w:t>
        <w:br/>
        <w:t>Thompson, Carolina Del Socorro Hurtado Rocha, Carlos  Julián  Prudo,  Norman</w:t>
        <w:br/>
        <w:t>Marcelina  Inglish,  Belarmino  Young  Richard,   Hipólito   García   López;</w:t>
        <w:br/>
        <w:t>Municipio de Tortuguero: Gorge Antonio Gutiérrez Robledo (alcalde),  Pastora</w:t>
        <w:br/>
        <w:t>Carmen García Guillen (vicealcalde);  Concejales:  Jacinta  Pérez  González,</w:t>
        <w:br/>
        <w:t>Juana María Jirón Rodríguez, Alejandro Miranda Reyes,  Sandra  Esther  Reyes</w:t>
        <w:br/>
        <w:t>López, Emelina Valle Solano, Andrea Lira Gaitán, Guillermina  López  García,</w:t>
        <w:br/>
        <w:t>Hilda María Miranda Reyes; Municipio de  Kukra  Hill:  Juan  Casterio  Reyes</w:t>
        <w:br/>
        <w:t>Craford  (alcalde),  José  Mateo  López  Rigby  (vicealcalde);   Concejales;</w:t>
        <w:br/>
        <w:t>Dionicio Márquez Méndez, Ruth Vargas Smith,  Leonor  Haydé  Maesk  Thompson,</w:t>
        <w:br/>
        <w:t>Miguel Amador Huate, Alicia Reyes, Roberto Ramos Renis, Hilda Estela  Méndez</w:t>
        <w:br/>
        <w:t xml:space="preserve"> Sinclair, Samuel Walter Lewis  Fedrick;  Municipio  de  Laguna  de  Perlas:</w:t>
        <w:br/>
        <w:t>Rodolfo  Chang   Bennett   (alcalde),   Alonso   Florencio   Willis   Tucker</w:t>
        <w:br/>
        <w:t>(vicealcalde);  Concejales:  Liston  Hooker  Allen,   Constantino   Franklin</w:t>
        <w:br/>
        <w:t>Humpheys Hogdson, Jason Kenred Gutiérrez Peralta, Arlen Joan Peralta  Davis,</w:t>
        <w:br/>
        <w:t>Winston Brown Martin  López,  Clarinda  Catalina  Hamphys  Moses[139],  Ilva</w:t>
        <w:br/>
        <w:t>Bernard, Wilma Janeth Taylor Hebbert, y William Martin[140].</w:t>
        <w:br/>
        <w:br/>
        <w:br/>
        <w:t xml:space="preserve">                                     IX</w:t>
        <w:br/>
        <w:t xml:space="preserve">            Violación de los artículos 8.1 y 25 de la Convención</w:t>
        <w:br/>
        <w:t xml:space="preserve">              en relación con los artículos 1.1 y 2 de la misma</w:t>
        <w:br/>
        <w:t xml:space="preserve">                (Garantías Judiciales y Protección Judicial)</w:t>
        <w:br/>
        <w:br/>
        <w:t>142.  Alegatos de la Comisión:</w:t>
        <w:br/>
        <w:br/>
        <w:br/>
        <w:t xml:space="preserve">      a)    fueron arbitrarias las decisiones del Consejo Supremo  Electoral</w:t>
        <w:br/>
        <w:t xml:space="preserve">      de no aceptar la solicitud de YATAMA de registrar como  candidatos  de</w:t>
        <w:br/>
        <w:t xml:space="preserve">      ese partido a los presentados por la alianza entre YATAMA y el Partido</w:t>
        <w:br/>
        <w:t xml:space="preserve">      de los Pueblos Costeños en la RAAS  y  “no  registrar  los  candidatos</w:t>
        <w:br/>
        <w:t xml:space="preserve">      presentados por YATAMA en la RAAN porque la organización no llenaba el</w:t>
        <w:br/>
        <w:t xml:space="preserve">      tiempo requerido consignado en la Ley Electoral”.  La Ley Electoral de</w:t>
        <w:br/>
        <w:t xml:space="preserve">      Nicaragua  dispone  que,  vencido  el  período  de   presentación   de</w:t>
        <w:br/>
        <w:t xml:space="preserve">      candidatos, si el Consejo deniega una solicitud o rechaza un candidato</w:t>
        <w:br/>
        <w:t xml:space="preserve">      “debe notificar, dentro de los tres días siguientes a  la  resolución,</w:t>
        <w:br/>
        <w:t xml:space="preserve">      al partido político que lo presentó para que proceda  a  subsanar  los</w:t>
        <w:br/>
        <w:t xml:space="preserve">      defectos o sustituir los candidatos”;</w:t>
        <w:br/>
        <w:br/>
        <w:t xml:space="preserve">      b)    el Consejo Supremo Electoral señaló en su resolución  de  15  de</w:t>
        <w:br/>
        <w:t xml:space="preserve">      agosto de 2000 que YATAMA no llenaba el tiempo requerido  previsto  en</w:t>
        <w:br/>
        <w:t xml:space="preserve">      la Ley Electoral, lo cual “sólo [podía] referirse  al  plazo  de  seis</w:t>
        <w:br/>
        <w:t xml:space="preserve">      meses contemplado en el artículo 77 de la Ley Electoral”, lapso mínimo</w:t>
        <w:br/>
        <w:t xml:space="preserve">      que debe  transcurrir  entre  el  reconocimiento  de  la  personalidad</w:t>
        <w:br/>
        <w:t xml:space="preserve">      jurídica del partido político  y  la  fecha  de  las  elecciones.  Sin</w:t>
        <w:br/>
        <w:t xml:space="preserve">      embargo, el Consejo Supremo Electoral reconoció a YATAMA su  condición</w:t>
        <w:br/>
        <w:t xml:space="preserve">      de partido político el 4 de mayo de 2000, es decir, seis  meses  antes</w:t>
        <w:br/>
        <w:t xml:space="preserve">      de las elecciones municipales de 2000,  cumpliendo  así  el  requisito</w:t>
        <w:br/>
        <w:t xml:space="preserve">      establecido en el artículo 77 de la Ley Electoral; y</w:t>
        <w:br/>
        <w:br/>
        <w:t xml:space="preserve">      c)    el Estado “privó a los candidatos de YATAMA para las  elecciones</w:t>
        <w:br/>
        <w:t xml:space="preserve">      municipales del 5 de noviembre del año 2000 del derecho de  acceder  a</w:t>
        <w:br/>
        <w:t xml:space="preserve">      un juicio justo, ser oídos y ejercer su derecho a [la] defensa, al  no</w:t>
        <w:br/>
        <w:t xml:space="preserve">      prever en el derecho interno  un  recurso  sencillo  y  efectivo  para</w:t>
        <w:br/>
        <w:t xml:space="preserve">      impugnar resoluciones del Consejo Supremo Electoral”.</w:t>
        <w:br/>
        <w:br/>
        <w:br/>
        <w:t>143.  Alegatos de los representantes de las presuntas víctimas:</w:t>
        <w:br/>
        <w:br/>
        <w:t xml:space="preserve">      a)    la resolución  que  emitió  el  Consejo  Supremo  Electoral  “no</w:t>
        <w:br/>
        <w:t xml:space="preserve">      presenta ningún tipo de razonamiento con respecto a […] las decisiones</w:t>
        <w:br/>
        <w:t xml:space="preserve">      que contiene”, y al ordenar que no se registren los candidatos por  no</w:t>
        <w:br/>
        <w:t xml:space="preserve">      llenar el tiempo requerido por la ley, “no aclara si el tiempo  a  que</w:t>
        <w:br/>
        <w:t xml:space="preserve">      se refiere es el  que  debe  poseer  de  existencia  un  partido  para</w:t>
        <w:br/>
        <w:t xml:space="preserve">      participar en las elecciones o el tiempo señalado para la  inscripción</w:t>
        <w:br/>
        <w:t xml:space="preserve">      de candidatos”;</w:t>
        <w:br/>
        <w:br/>
        <w:t xml:space="preserve">      b)    YATAMA no fue notificada de  la  decisión  del  Consejo  Supremo</w:t>
        <w:br/>
        <w:t xml:space="preserve">      Electoral de “no aceptar a los candidatos propuestos por el PPC”,  con</w:t>
        <w:br/>
        <w:t xml:space="preserve">      el  cual  YATAMA  había  conformado  una  alianza  en  la  RAAS.    Al</w:t>
        <w:br/>
        <w:t xml:space="preserve">      comunicarse con funcionarios  del  Consejo  Supremo  Electoral,  éstos</w:t>
        <w:br/>
        <w:t xml:space="preserve">      informaron que “la  lista  completa  de  YATAMA  iba  a  salir  en  la</w:t>
        <w:br/>
        <w:t xml:space="preserve">      publicación definitiva de candidatos”, lo cual no aconteció;</w:t>
        <w:br/>
        <w:br/>
        <w:t xml:space="preserve">      c)    el artículo 84  de  la  Ley  Electoral  dispone  que  cuando  el</w:t>
        <w:br/>
        <w:t xml:space="preserve">      Consejo rechace a un candidato por no llenar los  requisitos  legales,</w:t>
        <w:br/>
        <w:t xml:space="preserve">      lo notificará al partido político o alianza de partidos dentro de  los</w:t>
        <w:br/>
        <w:t xml:space="preserve">      tres días siguientes, para que subsane los defectos  o  sustituya  los</w:t>
        <w:br/>
        <w:t xml:space="preserve">      candidatos.  “El Consejo  Supremo  Electoral  no  sólo  no  inició  el</w:t>
        <w:br/>
        <w:t xml:space="preserve">      procedimiento de subsanación de candidatos, sino que tampoco  notificó</w:t>
        <w:br/>
        <w:t xml:space="preserve">      el rechazo de los mismos”;</w:t>
        <w:br/>
        <w:br/>
        <w:t xml:space="preserve">      d)    el artículo 98 de la Ley Electoral establece la  posibilidad  de</w:t>
        <w:br/>
        <w:t xml:space="preserve">      que los partidos y alianzas  interpongan  recursos  “ante  el  Consejo</w:t>
        <w:br/>
        <w:t xml:space="preserve">      Supremo Electoral contra las decisiones de  los  Consejos  Electorales</w:t>
        <w:br/>
        <w:t xml:space="preserve">      que consideren han violado sus derechos”.  Como la resolución de 15 de</w:t>
        <w:br/>
        <w:t xml:space="preserve">      agosto de 2000 fue emitida en “única instancia”, los representantes de</w:t>
        <w:br/>
        <w:t xml:space="preserve">      YATAMA interpusieron un recurso de revisión ante aquél, que “nunca fue</w:t>
        <w:br/>
        <w:t xml:space="preserve">      resuelto”;</w:t>
        <w:br/>
        <w:br/>
        <w:t xml:space="preserve">       e)     el  Estado  estaba  obligado  a  “respetar  el   procedimiento</w:t>
        <w:br/>
        <w:t xml:space="preserve">      establecido   en   la   [l]ey”,   aunque   sus   resoluciones   fuesen</w:t>
        <w:br/>
        <w:t xml:space="preserve">      administrativas o jurisdiccionales;</w:t>
        <w:br/>
        <w:br/>
        <w:t xml:space="preserve">      f)    debido a que la consecuencia legal de que YATAMA no  participara</w:t>
        <w:br/>
        <w:t xml:space="preserve">      en las elecciones municipales  de  2000  era  “la  cancelación  de  la</w:t>
        <w:br/>
        <w:t xml:space="preserve">      personalidad  jurídica”  de  partido  político,  “los   representantes</w:t>
        <w:br/>
        <w:t xml:space="preserve">      legales de YATAMA presentaron un recurso de  amparo  con  base  en  el</w:t>
        <w:br/>
        <w:t xml:space="preserve">      artículo 76 de la  ley  electoral[,]  que  permite  que  los  partidos</w:t>
        <w:br/>
        <w:t xml:space="preserve">      recurran [al] amparo por la cancelación de  la  personería  jurídica”.</w:t>
        <w:br/>
        <w:t xml:space="preserve">      Sin embargo, el procedimiento de cancelación de la personería jurídica</w:t>
        <w:br/>
        <w:t xml:space="preserve">      de los partidos que “no participarían en el proceso electoral de 2000”</w:t>
        <w:br/>
        <w:t xml:space="preserve">      nunca se inició oficialmente,  lo  que  implica  que  si  “para  poder</w:t>
        <w:br/>
        <w:t xml:space="preserve">      recurrir en amparo era  necesaria  la  existencia  de  una  resolución</w:t>
        <w:br/>
        <w:t xml:space="preserve">      definitiva, el Estado ya había cercenado este derecho al no iniciar el</w:t>
        <w:br/>
        <w:t xml:space="preserve">      proceso de cancelación de YATAMA, como lo establece la Ley Electoral”.</w:t>
        <w:br/>
        <w:t xml:space="preserve">       El Tribunal de Apelaciones,  que  adelantó  el  trámite  inicial  del</w:t>
        <w:br/>
        <w:t xml:space="preserve">      recurso de amparo,  resolvió  “suspender  de  oficio  el  acto  en  lo</w:t>
        <w:br/>
        <w:t xml:space="preserve">      referente a dejar al Partido  Regional  YATAMA  sin  registrar  a  sus</w:t>
        <w:br/>
        <w:t xml:space="preserve">      candidatos”. Esta decisión no fue  cumplida  por  el  Consejo  Supremo</w:t>
        <w:br/>
        <w:t xml:space="preserve">      Electoral;</w:t>
        <w:br/>
        <w:br/>
        <w:t xml:space="preserve">      g)    la Corte Suprema  de  Justicia  rechazó  el  recurso  de  amparo</w:t>
        <w:br/>
        <w:t xml:space="preserve">      interpuesto  por  YATAMA  sin  referirse  a  las  “razones  que   [..]</w:t>
        <w:br/>
        <w:t xml:space="preserve">      justificaban su competencia” ni al “objeto principal del recurso”;</w:t>
        <w:br/>
        <w:br/>
        <w:t xml:space="preserve">        h)      el   Consejo   Supremo   Electoral   no   ejerce   funciones</w:t>
        <w:br/>
        <w:t xml:space="preserve">      jurisdiccionales, sino administrativas.  La  legislación  nicaragüense</w:t>
        <w:br/>
        <w:t xml:space="preserve">      no exige que los miembros de dicho órgano  sean  expertos  en  materia</w:t>
        <w:br/>
        <w:t xml:space="preserve">      legal o electoral. Además, “en el caso de Nicaragua no existe  recurso</w:t>
        <w:br/>
        <w:t xml:space="preserve">      judicial alguno contra las decisiones en materia  electoral,  mientras</w:t>
        <w:br/>
        <w:t xml:space="preserve">      que en los  demás  países  cuyo  órgano  electoral  posee  las  mismas</w:t>
        <w:br/>
        <w:t xml:space="preserve">      características, existe la posibilidad  de  recurrir  ante  el  órgano</w:t>
        <w:br/>
        <w:t xml:space="preserve">      judicial”; e</w:t>
        <w:br/>
        <w:br/>
        <w:t xml:space="preserve">      i)    el Estado dejó en indefensión a las presuntas víctimas del  caso</w:t>
        <w:br/>
        <w:t xml:space="preserve">      y violó su derecho a un “recurso rápido y efectivo” al  no  prever  un</w:t>
        <w:br/>
        <w:t xml:space="preserve">      medio para “impugnar las decisiones del Consejo Supremo Electoral”.</w:t>
        <w:br/>
        <w:br/>
        <w:t>144.  Alegatos del Estado:</w:t>
        <w:br/>
        <w:br/>
        <w:t xml:space="preserve">      a)    en el caso de  YATAMA  “no  era  aplicable  [el]  procedimiento[</w:t>
        <w:br/>
        <w:t xml:space="preserve">      establecido en la Ley ELectoral,] por cuanto no estaba rechazando a un</w:t>
        <w:br/>
        <w:t xml:space="preserve">      candidato en particular, no  se  estaba  denegando  una  solicitud  de</w:t>
        <w:br/>
        <w:t xml:space="preserve">      inscripción de candidatos, sino que el  partido  político  YATAMA,  no</w:t>
        <w:br/>
        <w:t xml:space="preserve">      cumplió con los requisitos exigidos para la presentación de candidatos</w:t>
        <w:br/>
        <w:t xml:space="preserve">      según el título VI de la Ley Electoral”;</w:t>
        <w:br/>
        <w:br/>
        <w:t xml:space="preserve">      b)    YATAMA no cumplió lo previsto  en  el  artículo  77  de  la  Ley</w:t>
        <w:br/>
        <w:t xml:space="preserve">      Electoral, ya que solicitó  que  los  candidatos  presentados  por  la</w:t>
        <w:br/>
        <w:t xml:space="preserve">      alianza política fueran inscritos a su favor, y esta  solicitud  debió</w:t>
        <w:br/>
        <w:t xml:space="preserve">      presentarla ante el Consejo Supremo Electoral;</w:t>
        <w:br/>
        <w:br/>
        <w:t xml:space="preserve">      c)    el Consejo Supremo  Electoral  resolvió  que  “de  los  partidos</w:t>
        <w:br/>
        <w:t xml:space="preserve">      políticos que presentaron las firmas de ciudadanos, de conformidad  al</w:t>
        <w:br/>
        <w:t xml:space="preserve">      art[ículo] 77 [de la] Ley Electoral, únicamente alcanzaron el 3% a que</w:t>
        <w:br/>
        <w:t xml:space="preserve">      se refiere el mencionado artículo,  las  presentadas  por  el  Partido</w:t>
        <w:br/>
        <w:t xml:space="preserve">      Liberal  Constitucionalista  y  las   presentadas   por   el   Partido</w:t>
        <w:br/>
        <w:t xml:space="preserve">      Conservador”;</w:t>
        <w:br/>
        <w:br/>
        <w:t xml:space="preserve">      d)    “el partido político YATAMA, como efecto de la disolución de  la</w:t>
        <w:br/>
        <w:t xml:space="preserve">      alianza política que había conformado, no cumplió con el  artículo  82</w:t>
        <w:br/>
        <w:t xml:space="preserve">      párrafo  2  de  la  Ley  Electoral  que  exige,  para  las  elecciones</w:t>
        <w:br/>
        <w:t xml:space="preserve">      municipales, inscribir candidatos al menos en el ochenta por ciento de</w:t>
        <w:br/>
        <w:t xml:space="preserve">      los municipios”;</w:t>
        <w:br/>
        <w:br/>
        <w:t xml:space="preserve">      e)    la resolución que el Consejo Supremo Electoral emitió el  15  de</w:t>
        <w:br/>
        <w:t xml:space="preserve">      agosto de 2000 “es de contenido y materia estrictamente electoral”,  y</w:t>
        <w:br/>
        <w:t xml:space="preserve">      contra  tal  decisión  “no  cabe  recurso  alguno,  ni  ordinario   ni</w:t>
        <w:br/>
        <w:t xml:space="preserve">      extraordinario” (artículos 173 de la Constitución Política,  1  de  la</w:t>
        <w:br/>
        <w:t xml:space="preserve">      Ley Electoral e inciso 5 del artículo 51 de la  Ley  de  Amparo).   La</w:t>
        <w:br/>
        <w:t xml:space="preserve">      Corte Suprema de Justicia de Nicaragua ha  sostenido  que  contra  las</w:t>
        <w:br/>
        <w:t xml:space="preserve">      resoluciones del Consejo Supremo Electoral  en  materia  electoral  no</w:t>
        <w:br/>
        <w:t xml:space="preserve">      procede recurso alguno;</w:t>
        <w:br/>
        <w:br/>
        <w:t xml:space="preserve">      f)    el  partido  YATAMA  fundamentó  su  recurso  de  amparo  en  el</w:t>
        <w:br/>
        <w:t xml:space="preserve">      artículo 76 de la Ley Electoral, en  el  cual  se  dispone  que  dicho</w:t>
        <w:br/>
        <w:t xml:space="preserve">      recurso  procede  ante  los  Tribunales   de   Justicia   contra   las</w:t>
        <w:br/>
        <w:t xml:space="preserve">      resoluciones que el Consejo Supremo  Electoral  emita  en  materia  de</w:t>
        <w:br/>
        <w:t xml:space="preserve">      partidos políticos.  No obstante,  la  resolución  dictada  el  15  de</w:t>
        <w:br/>
        <w:t xml:space="preserve">      agosto de 2000 por  el  Consejo  Supremo  Electoral  es  estrictamente</w:t>
        <w:br/>
        <w:t xml:space="preserve">      electoral y no se refiere a partidos políticos.  Esta  última  materia</w:t>
        <w:br/>
        <w:t xml:space="preserve">      está regulada en los “incisos 17, 18 y 19” del artículo 10 de  la  Ley</w:t>
        <w:br/>
        <w:t xml:space="preserve">      Electoral; y</w:t>
        <w:br/>
        <w:br/>
        <w:t xml:space="preserve">      g)    los representantes señalan que no  se  siguió  el  procedimiento</w:t>
        <w:br/>
        <w:t xml:space="preserve">      establecido en “el artículo 37 y siguientes”, pero no  expresaron  que</w:t>
        <w:br/>
        <w:t xml:space="preserve">      el inciso 5 del artículo 51 de la Ley de Amparo  declara  improcedente</w:t>
        <w:br/>
        <w:t xml:space="preserve">      este recurso contra las resoluciones del Consejo Supremo Electoral  en</w:t>
        <w:br/>
        <w:t xml:space="preserve">      materia electoral.</w:t>
        <w:br/>
        <w:br/>
        <w:br/>
        <w:br/>
        <w:t>Consideraciones de la Corte</w:t>
        <w:br/>
        <w:br/>
        <w:t>145.  El artículo 8.1 de la Convención señala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br/>
        <w:t>146.  Como ha quedado  establecido  en  los  hechos  probados  (supra  párr.</w:t>
        <w:br/>
        <w:t>124.51, 124.57 y 124.61), el Consejo Supremo Electoral, la Sala de lo  Civil</w:t>
        <w:br/>
        <w:t>y Laboral del  Tribunal  de  Apelaciones  de  la  Circunscripción  Atlántico</w:t>
        <w:br/>
        <w:t>Norte, Puerto Cabezas, y la Sala de lo Constitucional de  la  Corte  Suprema</w:t>
        <w:br/>
        <w:t>de Justicia  adoptaron  decisiones  relativas  a  la  participación  de  los</w:t>
        <w:br/>
        <w:t>candidatos de YATAMA en las elecciones municipales de noviembre de 2000.</w:t>
        <w:br/>
        <w:br/>
        <w:t>1)    Aplicación del artículo 8.1 con respecto a las decisiones del  Consejo</w:t>
        <w:br/>
        <w:t>Supremo Electoral</w:t>
        <w:br/>
        <w:br/>
        <w:t>147.  El artículo 8 de la Convención Americana  se  aplica  al  conjunto  de</w:t>
        <w:br/>
        <w:t>requisitos que deben observarse en las instancias  procesales,  cualesquiera</w:t>
        <w:br/>
        <w:t>que  ellas  sean,  a  efecto  de  que   las   personas   puedan   defenderse</w:t>
        <w:br/>
        <w:t>adecuadamente ante cualquier acto emanado del Estado que pueda  afectar  sus</w:t>
        <w:br/>
        <w:t>derechos[141].</w:t>
        <w:br/>
        <w:br/>
        <w:t>148.  De acuerdo a lo dispuesto en el artículo 8.1 de la Convención,  en  la</w:t>
        <w:br/>
        <w:t>determinación de los derechos y  obligaciones  de  las  personas,  de  orden</w:t>
        <w:br/>
        <w:t>penal, civil, laboral,  fiscal  o  de  cualquier  otro  carácter,  se  deben</w:t>
        <w:br/>
        <w:t>observar “las debidas garantías” que aseguren,  según  el  procedimiento  de</w:t>
        <w:br/>
        <w:t>que se trate, el derecho al debido proceso.</w:t>
        <w:br/>
        <w:br/>
        <w:t>149.  Todos los órganos que ejerzan funciones  de  naturaleza  materialmente</w:t>
        <w:br/>
        <w:t>jurisdiccional tienen el deber de adoptar decisiones justas  basadas  en  el</w:t>
        <w:br/>
        <w:t>respeto pleno  a  las  garantías  del  debido  proceso  establecidas  en  el</w:t>
        <w:br/>
        <w:t>artículo  8  de  la  Convención  Americana[142].  El  artículo  8.1  de   la</w:t>
        <w:br/>
        <w:t>Convención, que alude al derecho de toda persona a ser oída por un  “juez  o</w:t>
        <w:br/>
        <w:t>tribunal competente” para la “determinación de sus derechos”, es  igualmente</w:t>
        <w:br/>
        <w:t>aplicable al supuesto en que alguna autoridad pública,  no  judicial,  dicte</w:t>
        <w:br/>
        <w:t>resoluciones que afecten  la  determinación  de  tales  derechos[143],  como</w:t>
        <w:br/>
        <w:t>ocurrió en el presente caso.</w:t>
        <w:br/>
        <w:br/>
        <w:t>150.  Las decisiones que emiten los órganos internos  en  materia  electoral</w:t>
        <w:br/>
        <w:t>pueden afectar el goce de los derechos políticos.  Por lo  tanto,  en  dicho</w:t>
        <w:br/>
        <w:t>ámbito también se deben observar las garantías  mínimas  consagradas  en  el</w:t>
        <w:br/>
        <w:t>artículo 8.1 de la Convención, en cuanto sean  aplicables  al  procedimiento</w:t>
        <w:br/>
        <w:t>respectivo.   En  el  presente  caso,  debe  tomarse  en   cuenta   que   el</w:t>
        <w:br/>
        <w:t>procedimiento  electoral  que  antecede  a  la  celebración  de   elecciones</w:t>
        <w:br/>
        <w:t>municipales requiere celeridad y un trámite sencillo que  facilite  la  toma</w:t>
        <w:br/>
        <w:t>de decisiones en el marco del  calendario  electoral.   El  Consejo  Supremo</w:t>
        <w:br/>
        <w:t>Electoral debía respetar las garantías  específicas  dispuestas  en  la  Ley</w:t>
        <w:br/>
        <w:t>Electoral No. 331 de 2000, la cual  regula el proceso  para  las  elecciones</w:t>
        <w:br/>
        <w:t>de alcaldes, vicealcaldes y concejales.</w:t>
        <w:br/>
        <w:br/>
        <w:t>151.  Las decisiones que emitió  el  Consejo  Supremo  Electoral  incidieron</w:t>
        <w:br/>
        <w:t>directamente en el ejercicio del derecho a la participación política de  las</w:t>
        <w:br/>
        <w:t>personas propuestas por el partido YATAMA para participar en las  elecciones</w:t>
        <w:br/>
        <w:t>municipales de noviembre de 2000, por cuanto se trataban de  decisiones  que</w:t>
        <w:br/>
        <w:t>les negaban  su  inscripción  como  candidatos,  y  la  posibilidad  de  ser</w:t>
        <w:br/>
        <w:t>elegidos para determinados cargos públicos.  La  normativa  nicaragüense  ha</w:t>
        <w:br/>
        <w:t>asignado al Consejo  Supremo  Electoral  el  cumplimiento  de  funciones  de</w:t>
        <w:br/>
        <w:t>naturaleza  materialmente  jurisdiccional.  Inclusive,  el  Estado  en   sus</w:t>
        <w:br/>
        <w:t>alegatos indicó que “la Ley en  materia  electoral  le  da  al  Consejo  una</w:t>
        <w:br/>
        <w:t>función jurisdiccional […] y por ello resolvió como  un  organismo  judicial</w:t>
        <w:br/>
        <w:t>de última instancia, de acuerdo con la Constitución Política vigente”.</w:t>
        <w:br/>
        <w:br/>
        <w:t>152.  Las decisiones que adopten los órganos  internos  que  puedan  afectar</w:t>
        <w:br/>
        <w:t>derechos humanos, tal como el derecho a  la  participación  política,  deben</w:t>
        <w:br/>
        <w:t>estar debidamente fundamentadas, pues  de  lo  contrario  serían  decisiones</w:t>
        <w:br/>
        <w:t>arbitrarias[144].</w:t>
        <w:br/>
        <w:br/>
        <w:t>153.  Las decisiones que el Consejo  Supremo  Electoral  emitió  en  materia</w:t>
        <w:br/>
        <w:t>electoral y que implicaban una afectación de los derechos políticos  de  las</w:t>
        <w:br/>
        <w:t>personas propuestas por  YATAMA  como  candidatos  para  participar  en  las</w:t>
        <w:br/>
        <w:t>elecciones municipales  de  noviembre  de  2000,  debían  estar  debidamente</w:t>
        <w:br/>
        <w:t>fundamentadas,  lo  que  implicaba  señalar  las  normas  en  las   que   se</w:t>
        <w:br/>
        <w:t>fundamentaban los requisitos que estaba incumpliendo YATAMA, los  hechos  en</w:t>
        <w:br/>
        <w:t>que consistía el incumplimiento y las consecuencias de ello.</w:t>
        <w:br/>
        <w:br/>
        <w:t>154.  Como ha quedado probado (supra párr. 124.46), el 18 de julio  de  2000</w:t>
        <w:br/>
        <w:t>el Consejo Supremo Electoral emitió una resolución en la cual indicó,  inter</w:t>
        <w:br/>
        <w:t>alia, que el Partido de los Pueblos Costeños (PPC), que lideraba la  alianza</w:t>
        <w:br/>
        <w:t>con YATAMA en la RAAS (supra párr. 124.38  y  124.39),  no  cumplió  con  un</w:t>
        <w:br/>
        <w:t>requisito  para la inscripción de candidatos.  La Corte  ha  constatado  que</w:t>
        <w:br/>
        <w:t>en dicha resolución no  se  hizo  referencia  alguna  al  incumplimiento  de</w:t>
        <w:br/>
        <w:t>requisitos en que incurrió YATAMA en la RAAS ni en la  RAAN,  lo  cual  creó</w:t>
        <w:br/>
        <w:t>inseguridad respecto de la aprobación de participación  de  sus  candidatos.</w:t>
        <w:br/>
        <w:t>El Consejo no notificó a YATAMA esta decisión, a pesar de  que  le  afectaba</w:t>
        <w:br/>
        <w:t>por cuanto la exclusión del Partido de los  Pueblos  Costeños  (PPC)  podría</w:t>
        <w:br/>
        <w:t>tener consecuencias para la participación de los candidatos de YATAMA en  la</w:t>
        <w:br/>
        <w:t>RAAS.   Tampoco  se  indicó  que   existiera   problema   alguno   para   la</w:t>
        <w:br/>
        <w:t>participación de los candidatos de YATAMA en la RAAN.</w:t>
        <w:br/>
        <w:br/>
        <w:t>155.  Con posterioridad a dicha  decisión  de  18  de  julio  de  2000,  los</w:t>
        <w:br/>
        <w:t>representantes de YATAMA remitieron diversos  escritos  al  Consejo  Supremo</w:t>
        <w:br/>
        <w:t>Electoral, en los cuales fundamentalmente  requerían  a  dicho  Consejo  que</w:t>
        <w:br/>
        <w:t>definiera la situación de sus candidatos, ya que YATAMA  no  había  recibido</w:t>
        <w:br/>
        <w:t>comunicación  oficial  respecto  de  la  participación   política   de   sus</w:t>
        <w:br/>
        <w:t>candidatos en las elecciones municipales de ese año (supra  párr.  124.47  a</w:t>
        <w:br/>
        <w:t>124.50).</w:t>
        <w:br/>
        <w:br/>
        <w:t>156.  El Consejo Supremo  Electoral  se  pronunció  sobre  la  participación</w:t>
        <w:br/>
        <w:t>política de los candidatos de YATAMA en la RAAS  y  en  la  RAAN  el  15  de</w:t>
        <w:br/>
        <w:t>agosto de 2000, y decidió no inscribir a los candidatos de dicho partido  en</w:t>
        <w:br/>
        <w:t>el proceso electoral de noviembre de dicho año (supra párr. 124.51).</w:t>
        <w:br/>
        <w:br/>
        <w:t>157.  En cuanto a la participación de los candidatos propuestos  por  YATAMA</w:t>
        <w:br/>
        <w:t>en la RAAS, en la resolución de 15 de agosto  de  2000  el  Consejo  Supremo</w:t>
        <w:br/>
        <w:t>Electoral declaró: “[n]o ha lugar a la  solicitud  de  YATAMA  de  registrar</w:t>
        <w:br/>
        <w:t>como candidatos de ese partido a los presentados por la  Alianza  YATAMA/PPC</w:t>
        <w:br/>
        <w:t>en la Región Autónoma del Atlántico Sur”  (supra  párr.  124.51.a).   No  se</w:t>
        <w:br/>
        <w:t>indicó fundamentación alguna respecto de esta decisión.  Por otra parte,  en</w:t>
        <w:br/>
        <w:t>el  “Considerando  II”  señaló  que  “YATAMA  e[ra]  un  partido  legalmente</w:t>
        <w:br/>
        <w:t>constituido y  en  pleno  uso  de  los  derechos  que  establec[ía]  la  Ley</w:t>
        <w:br/>
        <w:t>Electoral y  que  como  tal[,]  p[odía]  participar  en  las  elecciones  de</w:t>
        <w:br/>
        <w:t>noviembre de 2000, ya sea en alianzas o individualmente[,] siempre y  cuando</w:t>
        <w:br/>
        <w:t>cumpl[ier]a con la Ley Electoral y Términos establecidos  en  el  Candelario</w:t>
        <w:br/>
        <w:t>Electoral”.  Sin embargo, el Consejo manifestó que al no contar  el  Partido</w:t>
        <w:br/>
        <w:t>de los Pueblos Costeños (PPC) con el porcentaje de firmas a que  se  refiere</w:t>
        <w:br/>
        <w:t>el artículo 77.7 de la Ley  Electoral,  “el  número  de  municipios  en  los</w:t>
        <w:br/>
        <w:t>cuales YATAMA present[ó] candidatos no alcanza[ba] el 80% a que  se  refiere</w:t>
        <w:br/>
        <w:t>el art[ículo] 82 párrafo segundo en concordancia con  el  art[ículo]  80  in</w:t>
        <w:br/>
        <w:t>fine de la Ley Electoral”.  El Consejo no indicó en qué  municipios  careció</w:t>
        <w:br/>
        <w:t>YATAMA de representación.</w:t>
        <w:br/>
        <w:br/>
        <w:br/>
        <w:t>158.  En cuanto a la participación de los candidatos propuestos  por  YATAMA</w:t>
        <w:br/>
        <w:t>en la RAAN, la aludida resolución de 15 de agosto de 2000  declaró  que  “no</w:t>
        <w:br/>
        <w:t>se registr[ara]n los candidatos presentados en el Atlántico Norte por  dicha</w:t>
        <w:br/>
        <w:t>Organización, en vista de que  la  misma  no  llen[ó]  el  tiempo  requerido</w:t>
        <w:br/>
        <w:t>consignado  en  la  Ley  Electoral”  (supra   párr.   124.51.b).    En   los</w:t>
        <w:br/>
        <w:t>“Considerandos” no se alude a los fundamentos de esta decisión.  El  Consejo</w:t>
        <w:br/>
        <w:t>Supremo Electoral no indicó si el “tiempo requerido  consignado  en  la  Ley</w:t>
        <w:br/>
        <w:t>Electoral” que YATAMA “no llen[ó]” era el necesario para la obtención de  la</w:t>
        <w:br/>
        <w:t>personalidad jurídica de YATAMA como partido  político  para  participar  en</w:t>
        <w:br/>
        <w:t>dichas elecciones (supra párr. 124.23), o el establecido  en  el  calendario</w:t>
        <w:br/>
        <w:t>electoral para la presentación  de  la  lista  de  candidatos  (supra  párr.</w:t>
        <w:br/>
        <w:t>124.30).</w:t>
        <w:br/>
        <w:br/>
        <w:t>159.  Dado  que,  como  se  encuentra  probado,  YATAMA  había  obtenido  su</w:t>
        <w:br/>
        <w:t>personalidad jurídica con la antelación exigida por el  artículo  77  de  la</w:t>
        <w:br/>
        <w:t>Ley Electoral para participar en las elecciones municipales de noviembre  de</w:t>
        <w:br/>
        <w:t>2000 (supra párr. 124.23 y 124.28), y que había  presentado  las  listas  de</w:t>
        <w:br/>
        <w:t>candidatos dentro del plazo estipulado en  el  calendario  electoral  (supra</w:t>
        <w:br/>
        <w:t>párr. 124.30, 124.31 y 124.39),  el  Consejo  debió  señalar  qué  requisito</w:t>
        <w:br/>
        <w:t>específico de la Ley Electoral había incumplido YATAMA, indicando  la  norma</w:t>
        <w:br/>
        <w:t>correspondiente, con el fin de que se  comprendiera  qué  “tiempo  requerido</w:t>
        <w:br/>
        <w:t>consignado en la Ley Electoral” era  el  que  YATAMA   no  “llen[ó]”  y  las</w:t>
        <w:br/>
        <w:t>razones de dicha conclusión.</w:t>
        <w:br/>
        <w:br/>
        <w:t>160.  El cumplimiento de la garantía de la fundamentación de las  decisiones</w:t>
        <w:br/>
        <w:t>adoptadas en el proceso electoral de noviembre  de  2000  era  especialmente</w:t>
        <w:br/>
        <w:t>importante, tomando en cuenta que la Ley Electoral No. 331 que  regía  dicho</w:t>
        <w:br/>
        <w:t>proceso entró en vigencia aproximadamente 9 meses antes del  día  estipulado</w:t>
        <w:br/>
        <w:t>para la celebración de las elecciones,  es  decir,  se  trataba  del  primer</w:t>
        <w:br/>
        <w:t>proceso electoral que se realizaba bajo la vigencia  de  esa  ley,  la  cual</w:t>
        <w:br/>
        <w:t>consagraba importantes modificaciones respecto de  la  ley  anterior,  tales</w:t>
        <w:br/>
        <w:t>como la eliminación de la figura de la asociación de suscripción  popular  y</w:t>
        <w:br/>
        <w:t>la nueva exigencia de que sólo se puede participar como candidato  a  través</w:t>
        <w:br/>
        <w:t>de un partido político (supra párr. 124.20).</w:t>
        <w:br/>
        <w:br/>
        <w:t>161.  El Tribunal considera que al  excluir  a  las  presuntas  víctimas  de</w:t>
        <w:br/>
        <w:t>participar en  las  elecciones  municipales  de  2000,  el  Consejo  Supremo</w:t>
        <w:br/>
        <w:t>Electoral no respetó la garantía prevista  en  el  artículo  84  de  la  Ley</w:t>
        <w:br/>
        <w:t>Electoral No. 331, que dispone:</w:t>
        <w:br/>
        <w:br/>
        <w:t xml:space="preserve">      [c]uando el Consejo Supremo Electoral de acuerdo con lo establecido en</w:t>
        <w:br/>
        <w:t xml:space="preserve">      la presente Ley, deniegue una solicitud o rechace a un  candidato  por</w:t>
        <w:br/>
        <w:t xml:space="preserve">      no llenar los requisitos de Ley, lo notificará al partido  político  o</w:t>
        <w:br/>
        <w:t xml:space="preserve">      alianza  de  partidos  dentro  de  los  tres  días  siguientes  a   la</w:t>
        <w:br/>
        <w:t xml:space="preserve">      resolución, para proceder a subsanar los defectos o  a  sustituir  los</w:t>
        <w:br/>
        <w:t xml:space="preserve">      candidatos.</w:t>
        <w:br/>
        <w:br/>
        <w:t>162.  Al resolver que YATAMA no cumplía los requisitos para  la  inscripción</w:t>
        <w:br/>
        <w:t>de sus candidatos en la RAAS y en la RAAN, el Consejo Supremo  Electoral  no</w:t>
        <w:br/>
        <w:t>otorgó  a  esa  organización  la  oportunidad  de  subsanar  la  deficiencia</w:t>
        <w:br/>
        <w:t>existente.  Tampoco se había notificado a YATAMA la  resolución  que  emitió</w:t>
        <w:br/>
        <w:t>el Consejo el 18 de julio de 2000  (supra  párr.  124.46),  que  excluyó  de</w:t>
        <w:br/>
        <w:t>participar en las elecciones al PPC, partido que  lideraba  la  alianza  con</w:t>
        <w:br/>
        <w:t>YATAMA en la RAAS, alianza que se encontraba pendiente de  autorización  por</w:t>
        <w:br/>
        <w:t>el Consejo Supremo Electoral.  Un mes más tarde el Consejo dispuso  que  los</w:t>
        <w:br/>
        <w:t>candidatos propuestos por YATAMA no  podían  participar  porque  no  estaban</w:t>
        <w:br/>
        <w:t>satisfechos todos los requisitos para ello (supra párr. 124.51).</w:t>
        <w:br/>
        <w:br/>
        <w:t>163.  El 30 de octubre de 2000 el Consejo Supremo Electoral  se  dirigió  “a</w:t>
        <w:br/>
        <w:t>la ciudadanía en general y a la comunidad internacional  para  hacer  de  su</w:t>
        <w:br/>
        <w:t>conocimiento  […  q]ue  […]  se  otorgó  personalidad  jurídica  al  partido</w:t>
        <w:br/>
        <w:t>político […] YATAMA, la que se mant[enía]  en  toda  su  vigencia  y  fuerza</w:t>
        <w:br/>
        <w:t>legal”, y  que  dicho  partido  político  regional  “podr[ía]  participar  y</w:t>
        <w:br/>
        <w:t>presentar  candidatos  en  sus  respectivas  Regiones   Autónomas   en   las</w:t>
        <w:br/>
        <w:t>elecciones de noviembre de [2001]” (supra párr.  124.62).   Resulta  extraño</w:t>
        <w:br/>
        <w:t>este proceder del Consejo  Supremo  Electoral,  e  incluso  contrario  a  lo</w:t>
        <w:br/>
        <w:t>establecido  en  la  Ley  Electoral  No.  331,  que  prevé  como  causal  de</w:t>
        <w:br/>
        <w:t>cancelación de la personalidad jurídica de  un  partido  político  que  éste</w:t>
        <w:br/>
        <w:t>“[n]o particip[e] en las elecciones que se convoquen” (artículo 74.4).   Por</w:t>
        <w:br/>
        <w:t>un lado, el Consejo decide que  los  candidatos  propuestos  por  YATAMA  no</w:t>
        <w:br/>
        <w:t>pueden participar en las  elecciones  de  noviembre  de  2000  (supra  párr.</w:t>
        <w:br/>
        <w:t>124.51), lo cual conllevaría la  cancelación  de  la  personalidad  jurídica</w:t>
        <w:br/>
        <w:t>como partido político, y por otro emite un  comunicado  en  que  indica  que</w:t>
        <w:br/>
        <w:t>YATAMA conserva tal personalidad de partido.</w:t>
        <w:br/>
        <w:br/>
        <w:t>164.  A partir de las anteriores consideraciones, la Corte concluye que  las</w:t>
        <w:br/>
        <w:t>decisiones adoptadas por el  Consejo  Supremo  Electoral  que  afectaron  la</w:t>
        <w:br/>
        <w:t>participación política de los candidatos  propuestos  por  YATAMA  para  las</w:t>
        <w:br/>
        <w:t>elecciones municipales de noviembre de 2000 no  se  encontraban  debidamente</w:t>
        <w:br/>
        <w:t>fundamentadas ni se ajustaron a los parámetros consagrados  en  el  artículo</w:t>
        <w:br/>
        <w:t>8.1 de la Convención Americana, por lo que el Estado violó el derecho a  las</w:t>
        <w:br/>
        <w:t>garantías judiciales consagrado  en  dicho  artículo,  en  relación  con  el</w:t>
        <w:br/>
        <w:t>artículo 1.1 de dicho tratado, en perjuicio de los referidos candidatos.</w:t>
        <w:br/>
        <w:br/>
        <w:t>2) Derecho a un recurso  sencillo  y  rápido  o  a  cualquier  otro  recurso</w:t>
        <w:br/>
        <w:t>efectivo consagrado en el artículo 25.1 de la Convención</w:t>
        <w:br/>
        <w:br/>
        <w:t>165.  El artículo 25.1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166.  El artículo 2 establece que</w:t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167.  La salvaguarda de la persona frente al ejercicio arbitrario del  poder</w:t>
        <w:br/>
        <w:t>público es el objetivo primordial de  la  protección  internacional  de  los</w:t>
        <w:br/>
        <w:t>derechos humanos[145].   La  inexistencia  de  recursos  internos  efectivos</w:t>
        <w:br/>
        <w:t>coloca a las personas en estado de indefensión.   El  artículo  25.1  de  la</w:t>
        <w:br/>
        <w:t>Convención ha establecido, en términos amplios,</w:t>
        <w:br/>
        <w:br/>
        <w:t xml:space="preserve">      la obligación a cargo de los Estados de ofrecer, a todas las  personas</w:t>
        <w:br/>
        <w:t xml:space="preserve">      sometidas a su jurisdicción, un recurso judicial efectivo contra actos</w:t>
        <w:br/>
        <w:t xml:space="preserve">      violatorios de sus derechos fundamentales.  Dispone,  además,  que  la</w:t>
        <w:br/>
        <w:t xml:space="preserve">      garantía allí consagrada se aplica no sólo respecto  de  los  derechos</w:t>
        <w:br/>
        <w:t xml:space="preserve">      contenidos en la  Convención,  sino  también  de  aquéllos  que  estén</w:t>
        <w:br/>
        <w:t xml:space="preserve">      reconocidos por la Constitución o por la ley[146].</w:t>
        <w:br/>
        <w:br/>
        <w:t>168.  La inexistencia de un recurso efectivo contra las violaciones  de  los</w:t>
        <w:br/>
        <w:t>derechos reconocidos por la Convención constituye  una  transgresión  de  la</w:t>
        <w:br/>
        <w:t>misma por el Estado Parte[147].</w:t>
        <w:br/>
        <w:br/>
        <w:t>169.  Para que el Estado cumpla  lo  dispuesto  en  el  artículo  25  de  la</w:t>
        <w:br/>
        <w:t>Convención no basta con que los recursos existan formalmente, sino  que  los</w:t>
        <w:br/>
        <w:t>mismos deben tener efectividad[148], es decir, debe brindarse a  la  persona</w:t>
        <w:br/>
        <w:t>la posibilidad real de interponer un  recurso,  en  los  términos  de  aquél</w:t>
        <w:br/>
        <w:t>precepto.  La existencia de esta garantía “constituye  uno  de  los  pilares</w:t>
        <w:br/>
        <w:t>básicos, no sólo de la Convención  Americana,  sino  del  propio  Estado  de</w:t>
        <w:br/>
        <w:t>Derecho en una sociedad democrática en el sentido de la Convención”[149].</w:t>
        <w:br/>
        <w:br/>
        <w:t>170.  El deber general del Estado  de  adecuar  su  derecho  interno  a  las</w:t>
        <w:br/>
        <w:t>disposiciones de dicha Convención  para  garantizar  los  derechos  en  ella</w:t>
        <w:br/>
        <w:t>consagrados, establecido en el artículo 2, incluye la expedición  de  normas</w:t>
        <w:br/>
        <w:t>y el desarrollo de prácticas conducentes a la observancia  efectiva  de  los</w:t>
        <w:br/>
        <w:t>derechos y libertades consagrados en la  misma,  así  como  la  adopción  de</w:t>
        <w:br/>
        <w:t>medidas para suprimir las normas y prácticas  de  cualquier  naturaleza  que</w:t>
        <w:br/>
        <w:t>entrañen una violación a las  garantías  previstas  en  la  Convención[150].</w:t>
        <w:br/>
        <w:t>Este deber general del Estado Parte  implica  que  las  medidas  de  derecho</w:t>
        <w:br/>
        <w:t>interno han de ser efectivas (principio del effet utile), para  lo  cual  el</w:t>
        <w:br/>
        <w:t>Estado debe adaptar  su  actuación  a  la  normativa  de  protección  de  la</w:t>
        <w:br/>
        <w:t>Convención[151].</w:t>
        <w:br/>
        <w:br/>
        <w:t>171.  La Constitución Política de Nicaragua establece en su capítulo  VI  un</w:t>
        <w:br/>
        <w:t>Poder Electoral independiente de los otros tres poderes  y  cuyo  órgano  de</w:t>
        <w:br/>
        <w:t>mayor  jerarquía  es  el  Consejo  Supremo  Electoral  (artículo  129).   La</w:t>
        <w:br/>
        <w:t>Constitución dispone que respecto de las resoluciones de  dicho  Consejo  en</w:t>
        <w:br/>
        <w:t>materia electoral “no habrá recurso  alguno,  ordinario  ni  extraordinario”</w:t>
        <w:br/>
        <w:t>(artículo 173.14), la Ley de Amparo estipula que no procede  el  recurso  de</w:t>
        <w:br/>
        <w:t>amparo “[c]ontra las resoluciones dictadas en materia  electoral”  (artículo</w:t>
        <w:br/>
        <w:t>51.5), y la Ley Electoral establece que “[d]e las  resoluciones  definitivas</w:t>
        <w:br/>
        <w:t>que en materia de partidos políticos dicte el Consejo Supremo  Electoral  en</w:t>
        <w:br/>
        <w:t>uso de sus  facultades  que  le  confiere  la  presente  Ley,  los  partidos</w:t>
        <w:br/>
        <w:t>políticos o agrupaciones solicitantes podrán recurrir  de  Amparo  ante  los</w:t>
        <w:br/>
        <w:t>Tribunales de Justicia” (artículo 76).</w:t>
        <w:br/>
        <w:br/>
        <w:t>172.  El 30 de agosto de 2000  los  señores  Brooklyn  Rivera  y  Centuriano</w:t>
        <w:br/>
        <w:t>Knight, representantes legales de YATAMA, presentaron ante  el  Tribunal  de</w:t>
        <w:br/>
        <w:t>Apelaciones de la Región Autónoma del Atlántico  Norte,  RAAN  (Sala  Civil,</w:t>
        <w:br/>
        <w:t>Bilwi), un recurso de amparo administrativo (supra párr. 124.55),  con  base</w:t>
        <w:br/>
        <w:t>en el artículo 23 de la Ley de Amparo vigente, en contra  de  la  Resolución</w:t>
        <w:br/>
        <w:t>de 15 de agosto de 2000, mediante  la  cual  el  Consejo  Supremo  Electoral</w:t>
        <w:br/>
        <w:t>excluyó a  YATAMA  de  las  elecciones  municipales  de  2000  (supra  párr.</w:t>
        <w:br/>
        <w:t>124.51).  El 25 de octubre de 2000 la Sala de lo Constitucional de la  Corte</w:t>
        <w:br/>
        <w:t>Suprema de Justicia resolvió el recurso de amparo interpuesto,  declarándolo</w:t>
        <w:br/>
        <w:t>improcedente in limine litis (supra párr. 124.61) con fundamento en  que  no</w:t>
        <w:br/>
        <w:t>tenía competencia para conocer en materia electoral, ya  que  la  resolución</w:t>
        <w:br/>
        <w:t>que dictó el Consejo Supremo Electoral se  refería  a  dicha  materia  y  el</w:t>
        <w:br/>
        <w:t>artículo 173 de la Constitución  dispone  que  contra  las  resoluciones  de</w:t>
        <w:br/>
        <w:t>dicho  órgano  no  cabrá  recurso  ordinario  ni  extraordinario.   En  esta</w:t>
        <w:br/>
        <w:t>decisión la Sala de lo Constitucional también  señaló  que,  de  conformidad</w:t>
        <w:br/>
        <w:t>con la sentencia que había emitido el 16 de julio de 1999 en otro caso,  las</w:t>
        <w:br/>
        <w:t>únicas decisiones del Consejo Supremo Electoral  recurribles  a  través  del</w:t>
        <w:br/>
        <w:t>amparo son las relativas  a  materia  administrativa  referidas  a  partidos</w:t>
        <w:br/>
        <w:t>políticos, aunque no hizo ninguna consideración respecto de las  diferencias</w:t>
        <w:br/>
        <w:t>existentes entre los asuntos relativos a partidos  políticos  y  la  materia</w:t>
        <w:br/>
        <w:t>electoral, ni sobre las razones  por  las  cuales  la  decisión  que  YATAMA</w:t>
        <w:br/>
        <w:t>recurría quedaba comprendida en esta última categoría.</w:t>
        <w:br/>
        <w:br/>
        <w:t>173.  No existía ningún recurso judicial contra la decisión  que  adoptó  el</w:t>
        <w:br/>
        <w:t>Consejo Supremo Electoral el 15 de agosto de 2000 (supra párr. 124.51),  por</w:t>
        <w:br/>
        <w:t>lo cual ésta no podría ser revisada, en caso de que  hubiere  sido  adoptada</w:t>
        <w:br/>
        <w:t>sin observar  las  garantías  del  proceso  electoral  previsto  en  la  Ley</w:t>
        <w:br/>
        <w:t>Electoral ni la garantías  mínimas  previstas  en  el  artículo  8.1  de  la</w:t>
        <w:br/>
        <w:t>Convención, aplicables a dicho proceso.</w:t>
        <w:br/>
        <w:br/>
        <w:t>174.   Si  bien  la  Constitución  de  Nicaragua  ha  establecido  que   las</w:t>
        <w:br/>
        <w:t>resoluciones del Consejo Supremo  Electoral  en  materia  electoral  no  son</w:t>
        <w:br/>
        <w:t>susceptibles de recursos ordinarios o  extraordinarios,  esto  no  significa</w:t>
        <w:br/>
        <w:t>que dicho Consejo no deba estar sometido a  controles  judiciales,  como  lo</w:t>
        <w:br/>
        <w:t>están los otros poderes del Estado.  Las exigencias derivadas del  principio</w:t>
        <w:br/>
        <w:t>de independencia de los poderes del  Estado  no  son  incompatibles  con  la</w:t>
        <w:br/>
        <w:t>necesidad de consagrar recursos o  mecanismos  para  proteger  los  derechos</w:t>
        <w:br/>
        <w:t>humanos.</w:t>
        <w:br/>
        <w:br/>
        <w:t>175.  Independientemente de la regulación que cada Estado haga respecto  del</w:t>
        <w:br/>
        <w:t>órgano  supremo  electoral,  éste  debe  estar  sujeto   a   algún   control</w:t>
        <w:br/>
        <w:t>jurisdiccional que permita determinar si sus actos  han  sido  adoptados  al</w:t>
        <w:br/>
        <w:t>amparo de los derechos  y  garantías  mínimas  previstos  en  la  Convención</w:t>
        <w:br/>
        <w:t>Americana, así como las establecidos en su propia legislación,  lo  cual  no</w:t>
        <w:br/>
        <w:t>es incompatible con el respeto a las funciones  que  son  propias  de  dicho</w:t>
        <w:br/>
        <w:t>órgano en materia  electoral.   Ese  control  es  indispensable  cuando  los</w:t>
        <w:br/>
        <w:t>órganos  supremos  electorales,  como  el  Consejo  Supremo   Electoral   en</w:t>
        <w:br/>
        <w:t>Nicaragua,  tienen  amplias  atribuciones,  que   exceden   las   facultades</w:t>
        <w:br/>
        <w:t>administrativas, y que podrían ser  utilizados,  sin  un  adecuado  control,</w:t>
        <w:br/>
        <w:t>para  favorecer  determinados  fines  partidistas.  En  este  ámbito,  dicho</w:t>
        <w:br/>
        <w:t>recurso debe ser sencillo y rápido, tomando en cuenta  las  particularidades</w:t>
        <w:br/>
        <w:t>del procedimiento electoral (supra párr. 150).</w:t>
        <w:br/>
        <w:br/>
        <w:t>176.  Por todo lo expuesto,  la  Corte  concluye  que  el  Estado  violó  el</w:t>
        <w:br/>
        <w:t>derecho a la protección judicial  consagrado  en  el  artículo  25.1  de  la</w:t>
        <w:br/>
        <w:t>Convención Americana, en perjuicio de los candidatos propuestos  por  YATAMA</w:t>
        <w:br/>
        <w:t>para participar en las elecciones municipales de 2000, en relación  con  los</w:t>
        <w:br/>
        <w:t>artículos 1.1 y 2 de la misma.</w:t>
        <w:br/>
        <w:br/>
        <w:t>177.  En cuanto  a  otros  alegatos  de  los  representantes,  la  Corte  no</w:t>
        <w:br/>
        <w:t>encuentra que los hechos planteados por la  Comisión  en  el  presente  caso</w:t>
        <w:br/>
        <w:t>demuestren que se configurara  una  violación  al  artículo  25.2.c)  de  la</w:t>
        <w:br/>
        <w:t>Convención.</w:t>
        <w:br/>
        <w:br/>
        <w:br/>
        <w:t xml:space="preserve">                                      X</w:t>
        <w:br/>
        <w:t xml:space="preserve"> Violación de los artículos 23 y 24 de la Convención Americana  en relación</w:t>
        <w:br/>
        <w:t xml:space="preserve">                    con los artículos 1.1 y 2 de la misma</w:t>
        <w:br/>
        <w:t xml:space="preserve">                 (Derechos Políticos e Igualdad ante la Ley)</w:t>
        <w:br/>
        <w:br/>
        <w:br/>
        <w:t>178.  Alegatos de la Comisión:</w:t>
        <w:br/>
        <w:br/>
        <w:br/>
        <w:t>Respecto de la violación al artículo 23 en relación con los artículos 1.1  y</w:t>
        <w:br/>
        <w:t>2 de la Convención alegó que:</w:t>
        <w:br/>
        <w:br/>
        <w:t xml:space="preserve">   a)       los  candidatos  presentados  por  YATAMA  para  las  elecciones</w:t>
        <w:br/>
        <w:t xml:space="preserve">      municipales de 5 de noviembre de 2000 en la  RAAN  y  en  la  RAAS  se</w:t>
        <w:br/>
        <w:t xml:space="preserve">      vieron impedidos de  participar  en  ellas  como  consecuencia  de  la</w:t>
        <w:br/>
        <w:t xml:space="preserve">      resolución emitida por el Consejo Supremo Electoral de Nicaragua el 15</w:t>
        <w:br/>
        <w:t xml:space="preserve">      de agosto de 2000. No tuvieron acceso a  un  recurso  eficaz  que  les</w:t>
        <w:br/>
        <w:t xml:space="preserve">      permitiera hacer valer sus derechos  políticos  fundamentales.  “[L]os</w:t>
        <w:br/>
        <w:t xml:space="preserve">      electores de la Región Autónoma del Atlántico de Nicaragua  se  vieron</w:t>
        <w:br/>
        <w:t xml:space="preserve">      impedidos de elegir entre los candidatos  a  los  presentados  por  el</w:t>
        <w:br/>
        <w:t xml:space="preserve">      partido indígena YATAMA”;</w:t>
        <w:br/>
        <w:br/>
        <w:t xml:space="preserve">   b)       “el ejercicio  de  los  derechos  políticos,  entre  ellos  ‘ser</w:t>
        <w:br/>
        <w:t xml:space="preserve">      elegido’, implica que los órganos encargados de velar por su  práctica</w:t>
        <w:br/>
        <w:t xml:space="preserve">      y cumplimiento actúen de acuerdo a las normas del debido proceso y que</w:t>
        <w:br/>
        <w:t xml:space="preserve">      sus  decisiones  sean  susceptibles  de  revisión”.   Los   organismos</w:t>
        <w:br/>
        <w:t xml:space="preserve">      electorales deben garantizar el ejercicio de los derechos políticos “a</w:t>
        <w:br/>
        <w:t xml:space="preserve">      través de la independencia e  imparcialidad  con  que  desempeñen  sus</w:t>
        <w:br/>
        <w:t xml:space="preserve">      funciones”;</w:t>
        <w:br/>
        <w:br/>
        <w:t xml:space="preserve">   c)       “[d]entro del derecho internacional en general, y en el  derecho</w:t>
        <w:br/>
        <w:t xml:space="preserve">      interamericano específicamente, se  requiere  de  protección  especial</w:t>
        <w:br/>
        <w:t xml:space="preserve">      para que los pueblos indígenas puedan ejercer  sus  derechos  plena  y</w:t>
        <w:br/>
        <w:t xml:space="preserve">      equitativamente con el  resto  de  la  población.  Además,  quizá  sea</w:t>
        <w:br/>
        <w:t xml:space="preserve">      necesario establecer medidas especiales de protección para los pueblos</w:t>
        <w:br/>
        <w:t xml:space="preserve">      indígenas[,] a fin de garantizar su supervivencia física y  cultural”,</w:t>
        <w:br/>
        <w:t xml:space="preserve">      así como garantizar su participación efectiva en los procesos de  toma</w:t>
        <w:br/>
        <w:t xml:space="preserve">      de decisiones que les afectan;</w:t>
        <w:br/>
        <w:br/>
        <w:t xml:space="preserve">      d)    el artículo 23 de la Convención Americana debe ser  interpretado</w:t>
        <w:br/>
        <w:t xml:space="preserve">      a la luz de las disposiciones normativas de la Constitución  Política,</w:t>
        <w:br/>
        <w:t xml:space="preserve">      del Estatuto de Autonomía de  la  Costa  Atlántica  y  de  la  Ley  de</w:t>
        <w:br/>
        <w:t xml:space="preserve">      Municipios, que tienden a fortalecer la participación política de  los</w:t>
        <w:br/>
        <w:t xml:space="preserve">      pueblos indígenas;</w:t>
        <w:br/>
        <w:br/>
        <w:t xml:space="preserve">      e)    a pesar de las normas de carácter  constitucional  y  legal  que</w:t>
        <w:br/>
        <w:t xml:space="preserve">      reconocen el derecho de las comunidades de la Costa Atlántica a  vivir</w:t>
        <w:br/>
        <w:t xml:space="preserve">      y desarrollarse bajo formas de organización social que correspondan  a</w:t>
        <w:br/>
        <w:t xml:space="preserve">      sus tradiciones históricas y culturales,  la  Ley  Electoral  de  2000</w:t>
        <w:br/>
        <w:t xml:space="preserve">      obligó  a  las  organizaciones  indígenas  de  la  Costa  Atlántica  a</w:t>
        <w:br/>
        <w:t xml:space="preserve">      constituirse como partidos políticos.  Si bien el artículo  71  de  la</w:t>
        <w:br/>
        <w:t xml:space="preserve">      referida ley expresa que se respetará la forma natural de organización</w:t>
        <w:br/>
        <w:t xml:space="preserve">      y participación  de  las  organizaciones  indígenas  para  que  formen</w:t>
        <w:br/>
        <w:t xml:space="preserve">      partidos regionales, “en la práctica  deben  someterse  a  las  mismas</w:t>
        <w:br/>
        <w:t xml:space="preserve">      reglas que se aplican  a  los  partidos  nacionales  o  regionales  no</w:t>
        <w:br/>
        <w:t xml:space="preserve">      indígenas  electorales”.   Los  miembros  de  YATAMA  cumplieron   las</w:t>
        <w:br/>
        <w:t xml:space="preserve">      exigencias de la Ley Electoral;</w:t>
        <w:br/>
        <w:br/>
        <w:t xml:space="preserve">      f)    la Ley Electoral despoja de algunos derechos a una parte  de  la</w:t>
        <w:br/>
        <w:t xml:space="preserve">      población en razón de su origen étnico;  y</w:t>
        <w:br/>
        <w:br/>
        <w:t xml:space="preserve">      g)    solicita a la Corte que declare que Nicaragua es responsable por</w:t>
        <w:br/>
        <w:t xml:space="preserve">      la violación del artículo 23 de la Convención,  en  relación  con  los</w:t>
        <w:br/>
        <w:t xml:space="preserve">      artículos 1.1 y 2 de la  misma,  en  perjuicio  de  los  candidatos  a</w:t>
        <w:br/>
        <w:t xml:space="preserve">      alcaldes,  vicealcaldes  y  concejales  presentados  por  el   partido</w:t>
        <w:br/>
        <w:t xml:space="preserve">      político regional indígena YATAMA en la RAAN y en  la  RAAS,  “por  no</w:t>
        <w:br/>
        <w:t xml:space="preserve">      prever normas en  la  [L]ey  [E]lectoral,  en  orden  a  facilitar  la</w:t>
        <w:br/>
        <w:t xml:space="preserve">      participación  política  de  las  organizaciones  indígenas   en   los</w:t>
        <w:br/>
        <w:t xml:space="preserve">      distintos procesos electorales de  la  Región  Autónoma  de  la  Costa</w:t>
        <w:br/>
        <w:t xml:space="preserve">      Atlántica de Nicaragua, de acuerdo  al  derecho  consuetudinario,  los</w:t>
        <w:br/>
        <w:t xml:space="preserve">      valores, usos y costumbres de los pueblos indígenas que la habitan”.</w:t>
        <w:br/>
        <w:br/>
        <w:t>179.  Alegatos de los representantes</w:t>
        <w:br/>
        <w:br/>
        <w:t>Además de  alegar  la  violación  al  artículo  23  de  la  Convención,  los</w:t>
        <w:br/>
        <w:t>representantes de las presuntas víctimas alegaron que  el  Estado  violó  el</w:t>
        <w:br/>
        <w:t>artículo 24 de la Convención, en relación con los artículos 1.1 y  2  de  la</w:t>
        <w:br/>
        <w:t>misma, apreciación que no figura en la demanda presentada por  la  Comisión.</w:t>
        <w:br/>
        <w:t>Con  respecto  a  la  violación  de  todos  los  referidos  artículos,   los</w:t>
        <w:br/>
        <w:t>representantes expresaron los mismos argumentos resumidos en el párrafo  143</w:t>
        <w:br/>
        <w:t>de esta Sentencia y además señalaron que:</w:t>
        <w:br/>
        <w:br/>
        <w:br/>
        <w:t xml:space="preserve">   a) el Estado violó los derechos políticos consagrados en la Convención en</w:t>
        <w:br/>
        <w:t xml:space="preserve">      perjuicio  de  los  candidatos  presentados  por  YATAMA  y   de   las</w:t>
        <w:br/>
        <w:t xml:space="preserve">      comunidades indígenas que los  eligieron  por  haber  excluido  a  los</w:t>
        <w:br/>
        <w:t xml:space="preserve">      mencionados candidatos de las elecciones municipales, a través  de  la</w:t>
        <w:br/>
        <w:t xml:space="preserve">      resolución que emitió el Consejo Supremo Electoral el 15 de agosto  de</w:t>
        <w:br/>
        <w:t xml:space="preserve">      2000 y la confirmación de esta resolución por sentencia  de  la  Corte</w:t>
        <w:br/>
        <w:t xml:space="preserve">      Suprema de Justicia de 25 de  octubre  del  mismo  año;  “no  haberles</w:t>
        <w:br/>
        <w:t xml:space="preserve">      permitido contradecir la resolución del CSE, arguyendo que se  trataba</w:t>
        <w:br/>
        <w:t xml:space="preserve">      de ‘materia electoral’; y por no  haber  cumplido  su  propio  derecho</w:t>
        <w:br/>
        <w:t xml:space="preserve">      interno que ordena al Estado eliminar los obstáculos  que  impidan  de</w:t>
        <w:br/>
        <w:t xml:space="preserve">      hecho la igualdad entre los nicaragüenses y su participación  efectiva</w:t>
        <w:br/>
        <w:t xml:space="preserve">      en la vida política, económica y social del país”;</w:t>
        <w:br/>
        <w:br/>
        <w:br/>
        <w:t xml:space="preserve">   b) los candidatos de YATAMA no pudieron representar políticamente  a  sus</w:t>
        <w:br/>
        <w:t xml:space="preserve">      organizaciones y comunidades indígenas, que  los  habían  escogido  de</w:t>
        <w:br/>
        <w:t xml:space="preserve">      conformidad  con  su  derecho   consuetudinario,   valores,   usos   y</w:t>
        <w:br/>
        <w:t xml:space="preserve">      costumbres, y  no  pudieron  cumplir  sus  expectativas  personales  y</w:t>
        <w:br/>
        <w:t xml:space="preserve">      comunales  ni  participar  en  los  asuntos  públicos.   Además,  “las</w:t>
        <w:br/>
        <w:t xml:space="preserve">      comunidades indígenas y sus miembros no  tuvieron  la  posibilidad  de</w:t>
        <w:br/>
        <w:t xml:space="preserve">      verse representados por sus propios integrantes”.  “[L]as  autoridades</w:t>
        <w:br/>
        <w:t xml:space="preserve">      que fueron electas en la Costa Atlántica  no  representan  al  85%  de</w:t>
        <w:br/>
        <w:t xml:space="preserve">      votantes, en su gran mayoría indígenas,  que  no  concurrieron  a  las</w:t>
        <w:br/>
        <w:t xml:space="preserve">      urnas en señal de protesta por la exclusión de YATAMA.  Esta falta  de</w:t>
        <w:br/>
        <w:t xml:space="preserve">      representación política ha tenido un efecto directo en las  decisiones</w:t>
        <w:br/>
        <w:t xml:space="preserve">      que se han tomado a nivel municipal respecto al uso y  manejo  de  los</w:t>
        <w:br/>
        <w:t xml:space="preserve">      recursos”;</w:t>
        <w:br/>
        <w:br/>
        <w:t xml:space="preserve">   c)  la  organización  YATAMA  no  tuvo  participación  en   los   asuntos</w:t>
        <w:br/>
        <w:t xml:space="preserve">      municipales, pese a que la población indígena es  mayoritaria  en  las</w:t>
        <w:br/>
        <w:t xml:space="preserve">      Regiones Autónomas del  Atlántico.   Además,  se  puso  en  riesgo  la</w:t>
        <w:br/>
        <w:t xml:space="preserve">      existencia jurídica del partido político YATAMA;</w:t>
        <w:br/>
        <w:br/>
        <w:t xml:space="preserve">      d)    el Estatuto de Autonomía de las Regiones de la  Costa  Atlántica</w:t>
        <w:br/>
        <w:t xml:space="preserve">      “no garantiza el derecho de los pueblos  indígenas  que  habitan  esta</w:t>
        <w:br/>
        <w:t xml:space="preserve">      región a participar activamente en  la  toma  de  decisiones  que  les</w:t>
        <w:br/>
        <w:t xml:space="preserve">      afectan”;</w:t>
        <w:br/>
        <w:br/>
        <w:t xml:space="preserve">      e)    el Proyecto de Declaración Americana sobre los Derechos  de  los</w:t>
        <w:br/>
        <w:t xml:space="preserve">      Pueblos Indígenas reconoce el derecho al autogobierno de  los  pueblos</w:t>
        <w:br/>
        <w:t xml:space="preserve">      indígenas, y el Proyecto de Declaración de las Naciones  Unidas  sobre</w:t>
        <w:br/>
        <w:t xml:space="preserve">      los Derechos de las Poblaciones  Indígenas  señala  que  éstos  tienen</w:t>
        <w:br/>
        <w:t xml:space="preserve">      derecho a participar plenamente, si lo desean, en todos los niveles de</w:t>
        <w:br/>
        <w:t xml:space="preserve">      adopción de decisiones que afecten sus derechos, vidas y destinos, por</w:t>
        <w:br/>
        <w:t xml:space="preserve">      conducto de representantes elegidos por ellos de conformidad  con  sus</w:t>
        <w:br/>
        <w:t xml:space="preserve">      propios  procedimientos,  así  como  a  mantener  y  desarrollar   sus</w:t>
        <w:br/>
        <w:t xml:space="preserve">      instituciones.  El Consejo Supremo Electoral “hizo todo lo  contrario,</w:t>
        <w:br/>
        <w:t xml:space="preserve">      es decir, puso barreras a la participación de YATAMA”;</w:t>
        <w:br/>
        <w:br/>
        <w:t xml:space="preserve">      f)    la discriminación del Estado a los miembros de YATAMA en lo  que</w:t>
        <w:br/>
        <w:t xml:space="preserve">      respecta a su derecho a elegir  y  ser  elegidos  se  produjo  por  la</w:t>
        <w:br/>
        <w:t xml:space="preserve">      imposición de una serie de  requisitos  excesivos,  que  preveían  una</w:t>
        <w:br/>
        <w:t xml:space="preserve">      carga desmedida para los pueblos indígenas; la interpretación  que  el</w:t>
        <w:br/>
        <w:t xml:space="preserve">      Estado dio a la Ley Electoral, al señalar que se exige la presentación</w:t>
        <w:br/>
        <w:t xml:space="preserve">      de documentos exclusivamente ante  el  Consejo  Supremo  Electoral  en</w:t>
        <w:br/>
        <w:t xml:space="preserve">      Managua; diversos  obstáculos  interpuestos  por  el  Consejo  Supremo</w:t>
        <w:br/>
        <w:t xml:space="preserve">      Electoral  y  por  la  propia  administración  de  justicia,  que   se</w:t>
        <w:br/>
        <w:t xml:space="preserve">      tradujeron en graves violaciones al  debido  proceso  y  a  la  tutela</w:t>
        <w:br/>
        <w:t xml:space="preserve">      judicial efectiva; y falta  de  adopción  de  medidas  especiales  que</w:t>
        <w:br/>
        <w:t xml:space="preserve">      permitieran la participación  política  en  condiciones  igualitarias.</w:t>
        <w:br/>
        <w:t xml:space="preserve">      “[L]as organizaciones indígenas no tienen las mismas posibilidades que</w:t>
        <w:br/>
        <w:t xml:space="preserve">      los partidos políticos nacionales para cumplir con los requisitos  que</w:t>
        <w:br/>
        <w:t xml:space="preserve">      exige la Ley Electoral”;</w:t>
        <w:br/>
        <w:br/>
        <w:t xml:space="preserve">      g)    las medidas de protección especial son necesarias e  imperativas</w:t>
        <w:br/>
        <w:t xml:space="preserve">      para  que  las  comunidades  indígenas  puedan  ejercer  sus  derechos</w:t>
        <w:br/>
        <w:t xml:space="preserve">      efectivamente, en plano de igualdad con el resto de la población, y  a</w:t>
        <w:br/>
        <w:t xml:space="preserve">      fin de garantizar la supervivencia de los  valores  culturales  y,  en</w:t>
        <w:br/>
        <w:t xml:space="preserve">      particular, las formas de participación política;</w:t>
        <w:br/>
        <w:br/>
        <w:t xml:space="preserve">      h)    la legislación del Estado  dispuso  requisitos  inadecuados  con</w:t>
        <w:br/>
        <w:t xml:space="preserve">      impacto discriminatorio sobre los pueblos indígenas, no previó  medios</w:t>
        <w:br/>
        <w:t xml:space="preserve">      de tutela  de  los  derechos  de  las  presuntas  víctimas  y  excluyó</w:t>
        <w:br/>
        <w:t xml:space="preserve">      arbitrariamente a los candidatos presentados por YATAMA;</w:t>
        <w:br/>
        <w:br/>
        <w:br/>
        <w:t xml:space="preserve">      i)     “el  Estado  no  permitió  que   los   candidatos   de   YATAMA</w:t>
        <w:br/>
        <w:t xml:space="preserve">      particip[ara]n  en  igualdad  de   condiciones   en   las   elecciones</w:t>
        <w:br/>
        <w:t xml:space="preserve">      municipales de  2000,  no  garantizó  la  igualdad  de  acceso  a  las</w:t>
        <w:br/>
        <w:t xml:space="preserve">      funciones y  cargos  públicos  y,  con  ello,  no  garantizó  que  los</w:t>
        <w:br/>
        <w:t xml:space="preserve">      electores indígenas fueran representados en  igualdad  de  condiciones</w:t>
        <w:br/>
        <w:t xml:space="preserve">      que el resto de electores”; y</w:t>
        <w:br/>
        <w:br/>
        <w:t xml:space="preserve">      j)    el Estado también ha violado el derecho a  la  igualdad  por  no</w:t>
        <w:br/>
        <w:t xml:space="preserve">      haber adoptado medidas  especiales  de  protección  para  facilitar  y</w:t>
        <w:br/>
        <w:t xml:space="preserve">      asegurar la  participación  política  de  los  pueblos  indígenas,  de</w:t>
        <w:br/>
        <w:t xml:space="preserve">      conformidad con sus valores, usos y costumbres.</w:t>
        <w:br/>
        <w:br/>
        <w:t>180.  Alegatos del Estado:[152]</w:t>
        <w:br/>
        <w:br/>
        <w:br/>
        <w:t xml:space="preserve">      a)    en las elecciones municipales del año  2000  se  respetaron  las</w:t>
        <w:br/>
        <w:t xml:space="preserve">      normas constitucionales y la Ley Electoral vigentes;</w:t>
        <w:br/>
        <w:br/>
        <w:t xml:space="preserve">      b)     los  candidatos  a  alcaldes,  vicealcaldes  y  concejales   no</w:t>
        <w:br/>
        <w:t xml:space="preserve">      obtuvieron resultados favorables en dichas elecciones, por deficiencia</w:t>
        <w:br/>
        <w:t xml:space="preserve">      en la observancia de los requisitos  establecidos  en  la  legislación</w:t>
        <w:br/>
        <w:t xml:space="preserve">      electoral;</w:t>
        <w:br/>
        <w:br/>
        <w:t xml:space="preserve">      c)    las declaraciones rendidas mediante  affidávits  por  la  señora</w:t>
        <w:br/>
        <w:t xml:space="preserve">      Lidia Chamorro y el señor Mauricio Carrión  Matamoros  demostraron  la</w:t>
        <w:br/>
        <w:t xml:space="preserve">      validez de la Ley  Electoral,  el  nivel  constitucional  del  Consejo</w:t>
        <w:br/>
        <w:t xml:space="preserve">      Supremo Electoral y la aplicación de las leyes.  Las declaraciones  de</w:t>
        <w:br/>
        <w:t xml:space="preserve">      los peritos Carlos Hurtado Cabrera, Secretario de la Presidencia  para</w:t>
        <w:br/>
        <w:t xml:space="preserve">      Asuntos de  la  Costa  Atlántica,  y  Saúl  Castellón  demostraron  la</w:t>
        <w:br/>
        <w:t xml:space="preserve">      preocupación del Estado por el desarrollo económico, político y social</w:t>
        <w:br/>
        <w:t xml:space="preserve">      del Caribe Nicaragüense y por  su  vinculación  plena  con  el  norte,</w:t>
        <w:br/>
        <w:t xml:space="preserve">      centro y oeste del país;</w:t>
        <w:br/>
        <w:br/>
        <w:t xml:space="preserve">      d)    en las elecciones de 4 de noviembre del 2004 YATAMA cumplió  los</w:t>
        <w:br/>
        <w:t xml:space="preserve">      requisitos de la Ley Electoral, y obtuvo triunfos en  Puerto  Cabezas,</w:t>
        <w:br/>
        <w:t xml:space="preserve">      Waspam, Prinzapolka,  Desembocadura  de  Río  Grande,  Corn  Island  y</w:t>
        <w:br/>
        <w:t xml:space="preserve">      Tortuguero;</w:t>
        <w:br/>
        <w:br/>
        <w:t xml:space="preserve">      e)    los candidatos  electos  dentro  de  las  comunidades  indígenas</w:t>
        <w:br/>
        <w:t xml:space="preserve">      tienen que someterse a lo dispuesto por la legislación, al  igual  que</w:t>
        <w:br/>
        <w:t xml:space="preserve">      los candidatos de las otras regiones o departamentos de Nicaragua;</w:t>
        <w:br/>
        <w:br/>
        <w:t xml:space="preserve">      f)    el criterio que sostuvo la perito María Luisa Acosta respecto de</w:t>
        <w:br/>
        <w:t xml:space="preserve">      que YATAMA tiene el objetivo estratégico de alcanzar  el  autogobierno</w:t>
        <w:br/>
        <w:t xml:space="preserve">      indígena implica “contemplar una agrupación independiente dentro de un</w:t>
        <w:br/>
        <w:t xml:space="preserve">      Estado independiente, lo cual es totalmente inaceptable”;</w:t>
        <w:br/>
        <w:br/>
        <w:br/>
        <w:t xml:space="preserve">      g)     “la  [L]ey  [Electoral  …],  como  otras   leyes,   tiene   que</w:t>
        <w:br/>
        <w:t xml:space="preserve">      reformarse”. Nicaragua se encuentra “en  el  proceso  de  modificar  y</w:t>
        <w:br/>
        <w:t xml:space="preserve">      perfeccionar las leyes”.  Probablemente, el Estado pueda “encontrar un</w:t>
        <w:br/>
        <w:t xml:space="preserve">      método [que,] de  acuerdo  con  recomendaciones  [de]  los  organismos</w:t>
        <w:br/>
        <w:t xml:space="preserve">      internacionales”, permita flexibilizar la referida ley “a  efectos  de</w:t>
        <w:br/>
        <w:t xml:space="preserve">      que la participación sea más efectiva, especialmente cuando se refiere</w:t>
        <w:br/>
        <w:t xml:space="preserve">      a las regiones alejadas de la capital”;</w:t>
        <w:br/>
        <w:br/>
        <w:t xml:space="preserve">      h)    confía en que la Corte “[le] ayudará[… con]  recomendaciones  […</w:t>
        <w:br/>
        <w:t xml:space="preserve">      para] mejorar la ley en beneficio, no sólo de la comunidad YATAMA, […]</w:t>
        <w:br/>
        <w:t xml:space="preserve">      sino [de] todas  las  comunidades  que  integra[n]  los  mestizos  del</w:t>
        <w:br/>
        <w:t xml:space="preserve">      Pacífico y otras comunidades del Norte y del Centro del país”;</w:t>
        <w:br/>
        <w:br/>
        <w:t xml:space="preserve">      i)     la  Ley  Electoral  tiene  rango  constitucional.   Su  reforma</w:t>
        <w:br/>
        <w:t xml:space="preserve">      “requeriría sacar el 60% de los votos”;</w:t>
        <w:br/>
        <w:br/>
        <w:br/>
        <w:t xml:space="preserve">      j)               “no acepta y protesta” que haya violado el derecho  a</w:t>
        <w:br/>
        <w:t xml:space="preserve">      la igualdad y a la no discriminación; y</w:t>
        <w:br/>
        <w:br/>
        <w:br/>
        <w:t xml:space="preserve">      k)    la Ley Electoral prevé medidas especiales de protección para los</w:t>
        <w:br/>
        <w:t xml:space="preserve">      pueblos indígenas, pues “les permite  designar  a  quienes  aspiran  a</w:t>
        <w:br/>
        <w:t xml:space="preserve">      participar en la vida pública[,] tomando en  cuenta  sus  tradiciones,</w:t>
        <w:br/>
        <w:t xml:space="preserve">      valores,  usos  y  costumbres”,  pero,  una  vez  designados,   “[los]</w:t>
        <w:br/>
        <w:t xml:space="preserve">      candidatos  oficiales  [de  las  comunidades  indígenas]  tienen   que</w:t>
        <w:br/>
        <w:t xml:space="preserve">      someterse  a  lo  dispuesto  por  la  legislación  como  el  resto  de</w:t>
        <w:br/>
        <w:t xml:space="preserve">      candidatos de  las  otras  regiones  […  D]e  establecerse  requisitos</w:t>
        <w:br/>
        <w:t xml:space="preserve">      especiales para regiones determinadas[, se] estaría en  presencia  del</w:t>
        <w:br/>
        <w:t xml:space="preserve">      establecimiento de diferentes categorías de ciudadanos  nicaragüenses,</w:t>
        <w:br/>
        <w:t xml:space="preserve">      ya que […] la ley es general y de aplicación por igual para todos  los</w:t>
        <w:br/>
        <w:t xml:space="preserve">      Nicaragüenses”.</w:t>
        <w:br/>
        <w:br/>
        <w:br/>
        <w:br/>
        <w:br/>
        <w:t>Consideraciones de la Corte</w:t>
        <w:br/>
        <w:br/>
        <w:t>181.  El artículo 23 de la Convención ordena que:</w:t>
        <w:br/>
        <w:br/>
        <w:t xml:space="preserve">      1.    Todos los ciudadanos deben gozar de los  siguientes  derechos  y</w:t>
        <w:br/>
        <w:t xml:space="preserve">      oportunidades:</w:t>
        <w:br/>
        <w:br/>
        <w:br/>
        <w:t xml:space="preserve">      a)     de  participar  en  la  dirección  de  los  asuntos   públicos,</w:t>
        <w:br/>
        <w:t xml:space="preserve">      directamente o por medio de representantes libremente elegidos;</w:t>
        <w:br/>
        <w:br/>
        <w:br/>
        <w:t xml:space="preserve">      b)    de votar y ser elegidos  en  elecciones  periódicas  auténticas,</w:t>
        <w:br/>
        <w:t xml:space="preserve">      realizadas por sufragio universal e igual  y  por  voto   secreto  que</w:t>
        <w:br/>
        <w:t xml:space="preserve">      garantice la libre expresión de la voluntad de los electores, y</w:t>
        <w:br/>
        <w:br/>
        <w:br/>
        <w:t xml:space="preserve">      c)    de tener acceso, en condiciones  generales de  igualdad,  a  las</w:t>
        <w:br/>
        <w:t xml:space="preserve">      funciones públicas de su país.</w:t>
        <w:br/>
        <w:br/>
        <w:br/>
        <w:t xml:space="preserve">      2.    La  ley  puede  reglamentar  el  ejercicio  de  los  derechos  y</w:t>
        <w:br/>
        <w:t xml:space="preserve">      oportunidades a que se refiere el inciso anterior, exclusivamente  por</w:t>
        <w:br/>
        <w:t xml:space="preserve">      razones  de  edad,  nacionalidad,  residencia,  idioma,   instrucción,</w:t>
        <w:br/>
        <w:t xml:space="preserve">      capacidad civil o mental, o condena, por juez competente,  en  proceso</w:t>
        <w:br/>
        <w:t xml:space="preserve">      penal.</w:t>
        <w:br/>
        <w:br/>
        <w:br/>
        <w:t>182.  El artículo 24 de la Convención Americana dispone que:</w:t>
        <w:br/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br/>
        <w:br/>
        <w:t>183.  La Corte ha establecido que la presunta víctima, sus familiares o  sus</w:t>
        <w:br/>
        <w:t>representantes pueden invocar derechos distintos de los comprendidos  en  la</w:t>
        <w:br/>
        <w:t>demanda de la  Comisión,  sobre  la  base  de  los  hechos  presentados  por</w:t>
        <w:br/>
        <w:t>ésta[153].</w:t>
        <w:br/>
        <w:br/>
        <w:t>184.  El principio de la protección igualitaria y efectiva de la  ley  y  de</w:t>
        <w:br/>
        <w:t>la no discriminación constituye un dato sobresaliente en el sistema  tutelar</w:t>
        <w:br/>
        <w:t>de   los   derechos    humanos    consagrado    en    muchos    instrumentos</w:t>
        <w:br/>
        <w:t>internacionales[154]  y  desarrollado  por  la  doctrina  y   jurisprudencia</w:t>
        <w:br/>
        <w:t>internacionales.   En  la  actual  etapa  de  la   evolución   del   derecho</w:t>
        <w:br/>
        <w:t>internacional, el principio fundamental de igualdad y no  discriminación  ha</w:t>
        <w:br/>
        <w:t>ingresado en el dominio del jus cogens.   Sobre  él  descansa  el  andamiaje</w:t>
        <w:br/>
        <w:t>jurídico del orden  público  nacional  e  internacional  y  permea  todo  el</w:t>
        <w:br/>
        <w:t>ordenamiento jurídico[155].</w:t>
        <w:br/>
        <w:br/>
        <w:t>185.  Ese principio posee un carácter fundamental para  la  salvaguardia  de</w:t>
        <w:br/>
        <w:t>los derechos humanos tanto en el derecho internacional como en  el  interno;</w:t>
        <w:br/>
        <w:t>se trata de un principio  de  derecho  imperativo.   Por  consiguiente,  los</w:t>
        <w:br/>
        <w:t>Estados tienen la obligación de no introducir en  su  ordenamiento  jurídico</w:t>
        <w:br/>
        <w:t>regulaciones  discriminatorias,  eliminar  las  regulaciones   de   carácter</w:t>
        <w:br/>
        <w:t>discriminatorio, combatir  las  prácticas  de  este  carácter  y  establecer</w:t>
        <w:br/>
        <w:t>normas y otras medidas que reconozcan y aseguren la efectiva  igualdad  ante</w:t>
        <w:br/>
        <w:t>la ley de todas las personas[156].  Es discriminatoria  una  distinción  que</w:t>
        <w:br/>
        <w:t>carezca de justificación objetiva y razonable[157].</w:t>
        <w:br/>
        <w:br/>
        <w:t>186.  El artículo 24 de la Convención Americana  prohíbe  la  discriminación</w:t>
        <w:br/>
        <w:t>de derecho o de hecho, no sólo en  cuanto  a  los  derechos  consagrados  en</w:t>
        <w:br/>
        <w:t>dicho tratado, sino en lo que respecta a todas  las  leyes  que  apruebe  el</w:t>
        <w:br/>
        <w:t>Estado y a su aplicación.  Es decir, no se limita a  reiterar  lo  dispuesto</w:t>
        <w:br/>
        <w:t>en el artículo 1.1 de la misma, respecto de la obligación de los Estados  de</w:t>
        <w:br/>
        <w:t>respetar y garantizar,  sin  discriminación,  los  derechos  reconocidos  en</w:t>
        <w:br/>
        <w:t>dicho tratado, sino consagra un derecho que también acarrea obligaciones  al</w:t>
        <w:br/>
        <w:t>Estado  de  respetar  y  garantizar  el   principio   de   igualdad   y   no</w:t>
        <w:br/>
        <w:t>discriminación  en  la  salvaguardia  de  otros  derechos  y  en   toda   la</w:t>
        <w:br/>
        <w:t>legislación interna que apruebe.</w:t>
        <w:br/>
        <w:br/>
        <w:t>187.  En relación con la obligación de respetar los  derechos,  el  artículo</w:t>
        <w:br/>
        <w:t>1.1 de la Convención dispone que:</w:t>
        <w:br/>
        <w:br/>
        <w:t xml:space="preserve">      Los Estados Partes en esta Convención se comprometen  a  respetar  los</w:t>
        <w:br/>
        <w:t xml:space="preserve">      derechos y libertades reconocidos en ella y a  garantizar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188.  Acerca del deber de  adoptar  disposiciones  de  derecho  interno,  el</w:t>
        <w:br/>
        <w:t>artículo 2 de la Convención establece que:</w:t>
        <w:br/>
        <w:br/>
        <w:t xml:space="preserve">       Si el ejercicio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 comprometen a  adoptar, con</w:t>
        <w:br/>
        <w:t xml:space="preserve">      arreglo a sus procedimientos constitucionales y a las disposiciones de</w:t>
        <w:br/>
        <w:t xml:space="preserve">      esta  Convención, las medidas legislativas  o  de  otro  carácter  que</w:t>
        <w:br/>
        <w:t xml:space="preserve">      fueren necesarias para hacer  efectivos tales derechos y libertades.</w:t>
        <w:br/>
        <w:br/>
        <w:t>189.  La Corte ha establecido que el deber general  del  artículo  2  de  la</w:t>
        <w:br/>
        <w:t>Convención implica la supresión de  las  normas  y  prácticas  de  cualquier</w:t>
        <w:br/>
        <w:t>naturaleza  que  entrañen  violación  a  las  garantías  previstas   en   la</w:t>
        <w:br/>
        <w:t>Convención, así como la expedición de normas y el  desarrollo  de  prácticas</w:t>
        <w:br/>
        <w:t>conducentes a la efectiva observancia de dichas garantías[158].</w:t>
        <w:br/>
        <w:br/>
        <w:t>190.  La Corte debe determinar, a la  luz  de  los  hechos  probados  en  el</w:t>
        <w:br/>
        <w:t>presente caso, si Nicaragua restringió indebidamente los derechos  políticos</w:t>
        <w:br/>
        <w:t>consagrados en el artículo 23  de  la  Convención  y  si  se  configuró  una</w:t>
        <w:br/>
        <w:t>violación a la protección igualitaria consagrada en el  artículo  24  de  la</w:t>
        <w:br/>
        <w:t>misma.</w:t>
        <w:br/>
        <w:br/>
        <w:t>1)    Derechos políticos en una sociedad democrática</w:t>
        <w:br/>
        <w:br/>
        <w:t>191.  La Corte  ha  establecido  que  “[e]n  una  sociedad  democrática  los</w:t>
        <w:br/>
        <w:t>derechos y libertades inherentes a la persona, sus garantías y el Estado  de</w:t>
        <w:br/>
        <w:t>Derecho constituyen una tríada”,  en  la  que  cada  componente  se  define,</w:t>
        <w:br/>
        <w:t>completa y adquiere sentido en función de los otros[159].   Al  ponderar  la</w:t>
        <w:br/>
        <w:t>importancia que tienen los derechos políticos la Corte observa  que  incluso</w:t>
        <w:br/>
        <w:t>la Convención, en su  artículo  27,  prohíbe  su  suspensión  y  la  de  las</w:t>
        <w:br/>
        <w:t>garantías judiciales indispensables para la protección de éstos[160].</w:t>
        <w:br/>
        <w:br/>
        <w:t>192.  Este Tribunal ha expresado  que  “[l]a  democracia  representativa  es</w:t>
        <w:br/>
        <w:t>determinante en todo el sistema  del  que  la  Convención  forma  parte”,  y</w:t>
        <w:br/>
        <w:t>constituye “un ‘principio’ reafirmado  por  los  Estados  americanos  en  la</w:t>
        <w:br/>
        <w:t>Carta de la OEA, instrumento fundamental del  Sistema  Interamericano”[161].</w:t>
        <w:br/>
        <w:t>Los derechos políticos protegidos en la Convención Americana,  así  como  en</w:t>
        <w:br/>
        <w:t>diversos instrumentos internacionales[162], propician el fortalecimiento  de</w:t>
        <w:br/>
        <w:t>la democracia y el pluralismo político.</w:t>
        <w:br/>
        <w:br/>
        <w:t>193.   Los Ministros de Relaciones Exteriores de las Américas  aprobaron  el</w:t>
        <w:br/>
        <w:t>11 de septiembre de 2001 durante la Asamblea Extraordinaria  de  la  OEA  la</w:t>
        <w:br/>
        <w:t>Carta Democrática Interamericana, en la cual se señala que:</w:t>
        <w:br/>
        <w:br/>
        <w:t xml:space="preserve">      [s]on elementos esenciales  de  la  democracia  representativa,  entre</w:t>
        <w:br/>
        <w:t xml:space="preserve">      otros,  el  respeto  a  los  derechos   humanos   y   las   libertades</w:t>
        <w:br/>
        <w:t xml:space="preserve">      fundamentales; el acceso al poder  y  su  ejercicio  con  sujeción  al</w:t>
        <w:br/>
        <w:t xml:space="preserve">      Estado de derecho; la celebración de  elecciones  periódicas,  libres,</w:t>
        <w:br/>
        <w:t xml:space="preserve">      justas y basadas en el sufragio universal y secreto como expresión  de</w:t>
        <w:br/>
        <w:t xml:space="preserve">      la  soberanía  del  pueblo;  el   régimen   plural   de   partidos   y</w:t>
        <w:br/>
        <w:t xml:space="preserve">      organizaciones políticas; y  la  separación  e  independencia  de  los</w:t>
        <w:br/>
        <w:t xml:space="preserve">      poderes públicos[163].</w:t>
        <w:br/>
        <w:br/>
        <w:t>2)    Contenido de los derechos políticos</w:t>
        <w:br/>
        <w:br/>
        <w:t>194.   El  artículo  23  de  la  Convención  consagra  los  derechos  a   la</w:t>
        <w:br/>
        <w:t>participación en la dirección de  los  asuntos  públicos,  a  votar,  a  ser</w:t>
        <w:br/>
        <w:t>elegido, y a  acceder  a  las  funciones  públicas,  los  cuales  deben  ser</w:t>
        <w:br/>
        <w:t>garantizados por el Estado en condiciones de igualdad.</w:t>
        <w:br/>
        <w:br/>
        <w:t>195.  Es indispensable que el Estado genere  las  condiciones  y  mecanismos</w:t>
        <w:br/>
        <w:t>óptimos para  dichos  derechos  políticos  puedan  ser  ejercidos  de  forma</w:t>
        <w:br/>
        <w:t>efectiva, respetando el principio  de  igualdad  y  no  discriminación.  Los</w:t>
        <w:br/>
        <w:t>hechos del presente caso  se  refieren  principalmente  a  la  participación</w:t>
        <w:br/>
        <w:t>política por medio de representantes  libremente  elegidos,  cuyo  ejercicio</w:t>
        <w:br/>
        <w:t>efectivo  también  se  encuentra  protegido  en  el   artículo  50   de   la</w:t>
        <w:br/>
        <w:t>Constitución de Nicaragua[164].</w:t>
        <w:br/>
        <w:br/>
        <w:t>196.   La  participación  política  puede   incluir   amplias   y   diversas</w:t>
        <w:br/>
        <w:t>actividades que las personas realizan individualmente u organizados, con  el</w:t>
        <w:br/>
        <w:t>propósito de intervenir en la designación de quienes gobernarán un Estado  o</w:t>
        <w:br/>
        <w:t>se encargarán de la dirección de los asuntos públicos, así como  influir  en</w:t>
        <w:br/>
        <w:t>la formación de la política estatal a través de mecanismos de  participación</w:t>
        <w:br/>
        <w:t>directa.</w:t>
        <w:br/>
        <w:br/>
        <w:t>197.  El ejercicio de los derechos a ser  elegido  y  a  votar,  íntimamente</w:t>
        <w:br/>
        <w:t>ligados entre sí, es la expresión de las dimensiones individual y social  de</w:t>
        <w:br/>
        <w:t>la participación política.</w:t>
        <w:br/>
        <w:br/>
        <w:t>198.  Los ciudadanos tienen el derecho de participar en la dirección de  los</w:t>
        <w:br/>
        <w:t>asuntos públicos  por  medio  de  representantes  libremente  elegidos.   El</w:t>
        <w:br/>
        <w:t>derecho al voto es uno de los elementos esenciales para la existencia de  la</w:t>
        <w:br/>
        <w:t>democracia y una de las formas en que los ciudadanos ejercen  el  derecho  a</w:t>
        <w:br/>
        <w:t>la participación política.  Este derecho implica que los  ciudadanos  puedan</w:t>
        <w:br/>
        <w:t>elegir libremente y en condiciones de igualdad a quienes los  representarán.</w:t>
        <w:br/>
        <w:br/>
        <w:br/>
        <w:t>199.  La participación mediante el  ejercicio  del  derecho  a  ser  elegido</w:t>
        <w:br/>
        <w:t>supone que los ciudadanos puedan postularse como candidatos  en  condiciones</w:t>
        <w:br/>
        <w:t>de igualdad y que puedan ocupar los cargos públicos sujetos  a  elección  si</w:t>
        <w:br/>
        <w:t>logran obtener la cantidad de votos necesarios para ello.</w:t>
        <w:br/>
        <w:br/>
        <w:t>200.  El derecho a tener acceso a  las  funciones  públicas  en  condiciones</w:t>
        <w:br/>
        <w:t>generales  de  igualdad  protege  el  acceso  a   una   forma   directa   de</w:t>
        <w:br/>
        <w:t>participación en el diseño, implementación, desarrollo y  ejecución  de  las</w:t>
        <w:br/>
        <w:t>directrices  políticas  estatales  a  través  de  funciones  públicas.    Se</w:t>
        <w:br/>
        <w:t>entiende que estas condiciones generales de igualdad están  referidas  tanto</w:t>
        <w:br/>
        <w:t>al acceso a la función pública por elección popular como por nombramiento  o</w:t>
        <w:br/>
        <w:t>designación.</w:t>
        <w:br/>
        <w:br/>
        <w:br/>
        <w:t>3)    Obligación de garantizar el goce de los derechos políticos</w:t>
        <w:br/>
        <w:br/>
        <w:t>201.  La Corte entiende que, de conformidad con los artículos 23, 24, 1.1  y</w:t>
        <w:br/>
        <w:t>2 de la Convención, el Estado tiene la obligación de garantizar el  goce  de</w:t>
        <w:br/>
        <w:t>los derechos políticos, lo cual implica que la regulación del  ejercicio  de</w:t>
        <w:br/>
        <w:t>dichos derechos y su aplicación sean acordes al principio de igualdad  y  no</w:t>
        <w:br/>
        <w:t>discriminación, y debe adoptar las medidas  necesarias  para  garantizar  su</w:t>
        <w:br/>
        <w:t>pleno ejercicio. Dicha obligación de garantizar no se  cumple  con  la  sola</w:t>
        <w:br/>
        <w:t>expedición de normativa que  reconozca  formalmente  dichos  derechos,  sino</w:t>
        <w:br/>
        <w:t>requiere que el Estado adopte las  medidas  necesarias  para  garantizar  su</w:t>
        <w:br/>
        <w:t>pleno ejercicio, considerando la situación de debilidad o  desvalimiento  en</w:t>
        <w:br/>
        <w:t>que  se  encuentran  los  integrantes   de   ciertos   sectores   o   grupos</w:t>
        <w:br/>
        <w:t>sociales[165].</w:t>
        <w:br/>
        <w:br/>
        <w:t>202.  Al analizar el goce de estos derechos por las  presuntas  víctimas  en</w:t>
        <w:br/>
        <w:t>este caso, se debe tomar en consideración  que  se  trata  de  personas  que</w:t>
        <w:br/>
        <w:t>pertenecen a comunidades indígenas  y  étnicas  de  la  Costa  Atlántica  de</w:t>
        <w:br/>
        <w:t>Nicaragua, quienes se diferencian de  la  mayoría  de  la  población,  inter</w:t>
        <w:br/>
        <w:t>alia, por sus lenguas, costumbres y  formas  de  organización,  y  enfrentan</w:t>
        <w:br/>
        <w:t>serias dificultades que los mantienen en una situación de vulnerabilidad   y</w:t>
        <w:br/>
        <w:t>marginalidad.  Ello ha sido reconocido en el propio  Estatuto  de  Autonomía</w:t>
        <w:br/>
        <w:t>de las Regiones de la Costa Atlántica de Nicaragua (supra párr. 124.3) y  en</w:t>
        <w:br/>
        <w:t>el  informe  “Desarrollo  Humano  en  la  Costa  Caribe  de  Nicaragua”   de</w:t>
        <w:br/>
        <w:t>2001[166].  Además, la perito María Dolores Álvarez Arzate  y  los  testigos</w:t>
        <w:br/>
        <w:t>Jorge Frederick y John Alex Delio Bans se refirieron particularmente  a  las</w:t>
        <w:br/>
        <w:t>dificultades que enfrentaron los miembros de las  referidas  comunidades  en</w:t>
        <w:br/>
        <w:t>el proceso electoral municipal de 2000 (supra párr. 111).</w:t>
        <w:br/>
        <w:br/>
        <w:t>203.  Al analizar la Ley Electoral de 2000 No. 331,  la  Corte  interpretará</w:t>
        <w:br/>
        <w:t>el contenido de los artículos 23 y 24 de la Convención según  los  criterios</w:t>
        <w:br/>
        <w:t>de interpretación previstos en el artículo 29.a) y b) de la misma.</w:t>
        <w:br/>
        <w:br/>
        <w:t>204.  De acuerdo al artículo 29.a) de la Convención no se puede  limitar  el</w:t>
        <w:br/>
        <w:t>alcance pleno de los derechos políticos de manera que  su  reglamentación  o</w:t>
        <w:br/>
        <w:t>las decisiones que se adopten en aplicación de  ésta  se  conviertan  en  un</w:t>
        <w:br/>
        <w:t>impedimento para que las personas participen efectivamente en la  conducción</w:t>
        <w:br/>
        <w:t>del Estado o  se  torne  ilusoria  dicha  participación,  privando  a  tales</w:t>
        <w:br/>
        <w:t>derechos de su contenido esencial.</w:t>
        <w:br/>
        <w:br/>
        <w:t>205.  De  conformidad  con  lo  establecido  en  el  artículo  29.b)  de  la</w:t>
        <w:br/>
        <w:t>Convención Americana, la Corte considera que para garantizar la  efectividad</w:t>
        <w:br/>
        <w:t>de los derechos políticos de los miembros de  las  comunidades  indígenas  y</w:t>
        <w:br/>
        <w:t>étnicas de la Costa Atlántica, como lo son las presuntas  víctimas  en  este</w:t>
        <w:br/>
        <w:t>caso, Nicaragua debe tomar en cuenta la  protección  específica  establecida</w:t>
        <w:br/>
        <w:t>en los artículos 5[167], 49[168], 89[169]  y  180[170]  de  la  Constitución</w:t>
        <w:br/>
        <w:t>Política y en el  artículo  11.7[171]  del  Estatuto  de  Autonomía  de  las</w:t>
        <w:br/>
        <w:t>Regiones de la Costa Atlántica.</w:t>
        <w:br/>
        <w:br/>
        <w:t>206.  La previsión y aplicación de requisitos para  ejercitar  los  derechos</w:t>
        <w:br/>
        <w:t>políticos no constituyen, per se, una restricción indebida  a  los  derechos</w:t>
        <w:br/>
        <w:t>políticos.  Esos  derechos  no  son  absolutos  y  pueden  estar  sujetos  a</w:t>
        <w:br/>
        <w:t>limitaciones[172].   Su  reglamentación  debe  observar  los  principios  de</w:t>
        <w:br/>
        <w:t>legalidad, necesidad y proporcionalidad en  una  sociedad  democrática.   La</w:t>
        <w:br/>
        <w:t>observancia del principio de legalidad exige que el Estado defina de  manera</w:t>
        <w:br/>
        <w:t>precisa, mediante una ley, los requisitos para  que  los  ciudadanos  puedan</w:t>
        <w:br/>
        <w:t>participar  en  la  contienda  electoral,  y  que  estipule  claramente   el</w:t>
        <w:br/>
        <w:t>procedimiento electoral que  antecede  a  las  elecciones.   De  acuerdo  al</w:t>
        <w:br/>
        <w:t>artículo 23.2 de la Convención se puede  reglamentar  el  ejercicio  de  los</w:t>
        <w:br/>
        <w:t>derechos y oportunidades  a  las  que  se  refiere  el  inciso  1  de  dicho</w:t>
        <w:br/>
        <w:t>artículo, exclusivamente por las razones establecidas  en  ese  inciso.   La</w:t>
        <w:br/>
        <w:t>restricción debe encontrase prevista en una  ley,  no  ser  discriminatoria,</w:t>
        <w:br/>
        <w:t>basarse en criterios razonables, atender a un propósito útil y oportuno  que</w:t>
        <w:br/>
        <w:t>la torne necesaria para satisfacer un  interés  público  imperativo,  y  ser</w:t>
        <w:br/>
        <w:t>proporcional a ese objetivo.  Cuando hay varias opciones para  alcanzar  ese</w:t>
        <w:br/>
        <w:t>fin, debe escogerse la que restrinja menos el  derecho  protegido  y  guarde</w:t>
        <w:br/>
        <w:t>mayor proporcionalidad con el propósito que se persigue[173].</w:t>
        <w:br/>
        <w:br/>
        <w:t>207.  Los Estados pueden  establecer  estándares  mínimos  para  regular  la</w:t>
        <w:br/>
        <w:t>participación política, siempre y cuando sean razonables de  acuerdo  a  los</w:t>
        <w:br/>
        <w:t>principios  de  la  democracia  representativa.   Dichos  estándares,  deben</w:t>
        <w:br/>
        <w:t>garantizar, entre otras, la celebración de  elecciones  periódicas,  libres,</w:t>
        <w:br/>
        <w:t>justas y basadas en el sufragio universal, igual y  secreto  como  expresión</w:t>
        <w:br/>
        <w:t>de la voluntad de  los  electores  que  refleje  la  soberanía  del  pueblo,</w:t>
        <w:br/>
        <w:t>tomando en que cuenta que, según lo dispuesto en el artículo 6 de  la  Carta</w:t>
        <w:br/>
        <w:t>Democrática  Interamericana,  “[p]romover  y  fomentar  diversas  formas  de</w:t>
        <w:br/>
        <w:t>participación fortalece la democracia”,  para  lo  cual  se  pueden  diseñar</w:t>
        <w:br/>
        <w:t>normas orientadas a facilitar la participación de  sectores  específicos  de</w:t>
        <w:br/>
        <w:t>la sociedad,  tales  como  los  miembros  de  las  comunidades  indígenas  y</w:t>
        <w:br/>
        <w:t>étnicas.</w:t>
        <w:br/>
        <w:br/>
        <w:t>208.  Con respecto a las limitaciones al derecho a ser elegido,  el  Comité</w:t>
        <w:br/>
        <w:t>de Derechos Humanos de Naciones Unidas señaló que</w:t>
        <w:br/>
        <w:br/>
        <w:br/>
        <w:t xml:space="preserve">      [e]l derecho de las personas a  presentarse  a  elecciones  no  deberá</w:t>
        <w:br/>
        <w:t xml:space="preserve">      limitarse  de  forma  excesiva  mediante  el  requisito  de  que   los</w:t>
        <w:br/>
        <w:t xml:space="preserve">      candidatos sean miembros de  partidos  o  pertenezcan  a  determinados</w:t>
        <w:br/>
        <w:t xml:space="preserve">      partidos.  Toda exigencia de que los candidatos cuenten con un  mínimo</w:t>
        <w:br/>
        <w:t xml:space="preserve">      de partidarios [para presentar su candidatura] deberá ser razonable  y</w:t>
        <w:br/>
        <w:t xml:space="preserve">      no constituir un obstáculo a esa candidatura[174].</w:t>
        <w:br/>
        <w:br/>
        <w:br/>
        <w:t>209.  La Ley Electoral No. 331 de 2000 exige el cumplimiento  de  requisitos</w:t>
        <w:br/>
        <w:t>que no contemplaba la  ley  anterior  y  que  limitan  en  mayor  medida  la</w:t>
        <w:br/>
        <w:t>posibilidad  de  participar  en  las  elecciones  municipales  (supra  párr.</w:t>
        <w:br/>
        <w:t>124.20). Esa nueva Ley Electoral entró  en  vigencia  aproximadamente  nueve</w:t>
        <w:br/>
        <w:t>meses antes del día estipulado para la celebración de las elecciones, en  el</w:t>
        <w:br/>
        <w:t>primer proceso electoral que se realizaba bajo su vigencia.</w:t>
        <w:br/>
        <w:br/>
        <w:t>210.  La Corte toma nota del reconocimiento hecho por el Estado respecto  de</w:t>
        <w:br/>
        <w:t>la necesidad de reformar la Ley Electoral No. 331 de 2000, y  considera  que</w:t>
        <w:br/>
        <w:t>esto implica admitir que dicha ley contiene  disposiciones  que  afectan  el</w:t>
        <w:br/>
        <w:t>ejercicio del derecho a la participación  política.   Durante  la  audiencia</w:t>
        <w:br/>
        <w:t>pública ante la Corte (supra párr. 37) el Agente  del  Estado  expresó  “con</w:t>
        <w:br/>
        <w:t>convicción […] que hay que reformar tanto esa ley como una  serie  de  leyes</w:t>
        <w:br/>
        <w:t>en Nicaragua”, “para ello  [le]s  será  muy  útil  recibir  el  concurso  de</w:t>
        <w:br/>
        <w:t>aportes, de recomendaciones, de buscar cómo flexibilizar la ley en  aquellos</w:t>
        <w:br/>
        <w:t>puntos en que no se roce con el fondo de la  ley[,]  a  efectos  de  que  la</w:t>
        <w:br/>
        <w:t>participación sea más  efectiva,  especialmente  cuando  se  refiere  a  las</w:t>
        <w:br/>
        <w:t>regiones alejadas de la capital”.  Asimismo,  el  mencionado  Agente  agregó</w:t>
        <w:br/>
        <w:t>que “procurar[ía] que cuanto antes se gestione, se  negocie,  una  mejora  a</w:t>
        <w:br/>
        <w:t>las leyes electorales, que […] beneficie no solo  al  grupo  YATAMA  que  lo</w:t>
        <w:br/>
        <w:t>merece, sino a los demás grupos del país y a los miembros  de  los  partidos</w:t>
        <w:br/>
        <w:t>políticos […]”.  En igual sentido, el Secretario de Asuntos  para  la  Costa</w:t>
        <w:br/>
        <w:t>Atlántica de Nicaragua, quien rindió dictamen ante  la  Corte,  expresó  que</w:t>
        <w:br/>
        <w:t>existe “una necesidad imperiosa de que esa ley sea reformada”  (supra  párr.</w:t>
        <w:br/>
        <w:t>111).</w:t>
        <w:br/>
        <w:br/>
        <w:t>211.  La Secretaría General de  la  OEA  en  su  “Observación  electoral  en</w:t>
        <w:br/>
        <w:t>Nicaragua: elecciones municipales, 2000” señaló que  la  Ley  Electoral  No.</w:t>
        <w:br/>
        <w:t>331 de 2000 “disminuyó considerablemente las oportunidades de  participación</w:t>
        <w:br/>
        <w:t>en la elección municipal”, y se refirió a la falta de claridad de dicha  ley</w:t>
        <w:br/>
        <w:t>al destacar que</w:t>
        <w:br/>
        <w:br/>
        <w:t xml:space="preserve">      la ley generó controversias en cuanto a su interpretación  y  más  aún</w:t>
        <w:br/>
        <w:t xml:space="preserve">      sobre su aplicación.  Durante la estadía de la Misión, se observó  que</w:t>
        <w:br/>
        <w:t xml:space="preserve">      ante  casos  similares  se  aplicaron  criterios   de   interpretación</w:t>
        <w:br/>
        <w:t xml:space="preserve">      diferentes; y en consecuencia, se produjeron decisiones o resoluciones</w:t>
        <w:br/>
        <w:t xml:space="preserve">      diferentes.</w:t>
        <w:br/>
        <w:br/>
        <w:t>212.  En cuanto a la  observancia  del  principio  de  legalidad,  la  Corte</w:t>
        <w:br/>
        <w:t>estima que la Ley Electoral No. 331 de 2000  es  ambigua  debido  a  que  no</w:t>
        <w:br/>
        <w:t>establece con claridad  las  consecuencias  del  incumplimiento  de  ciertos</w:t>
        <w:br/>
        <w:t>requisitos tanto para quienes participaban a través de un partido como  para</w:t>
        <w:br/>
        <w:t>quienes lo hacían en una alianza de partidos; es confusa la redacción  sobre</w:t>
        <w:br/>
        <w:t>los procedimientos aplicables cuando el Consejo Supremo Electoral  determina</w:t>
        <w:br/>
        <w:t>que hay incumplimiento de  algún  requisito;  y  no  regula  claramente  las</w:t>
        <w:br/>
        <w:t>decisiones fundamentadas que dicho órgano debería  adoptar  para  establecer</w:t>
        <w:br/>
        <w:t>quiénes quedan inscritos para participar en  las  elecciones  y  quiénes  no</w:t>
        <w:br/>
        <w:t>cumplen los requisitos para ello, así como  los  derechos  de  las  personas</w:t>
        <w:br/>
        <w:t>cuya participación se vea afectada por una decisión del  Estado.  Dicha  ley</w:t>
        <w:br/>
        <w:t>no permite un claro entendimiento del proceso por parte de los ciudadanos  y</w:t>
        <w:br/>
        <w:t>de  los  órganos  electorales  y  favorece  su   aplicación   arbitraria   y</w:t>
        <w:br/>
        <w:t>discrecional mediante  interpretaciones  extensivas  y  contradictorias  que</w:t>
        <w:br/>
        <w:t>restringen indebidamente la participación  de  los  ciudadanos,  restricción</w:t>
        <w:br/>
        <w:t>particularmente indeseable cuando afecta severamente  bienes  fundamentales,</w:t>
        <w:br/>
        <w:t>como son los reconocidos a través de los derechos políticos[175].</w:t>
        <w:br/>
        <w:br/>
        <w:t>213.  En cuanto a los requisitos para ser  electo  establecidos  en  la  Ley</w:t>
        <w:br/>
        <w:t>Electoral de 2000, el  Tribunal  toma  nota  de  que  la  Corte  Suprema  de</w:t>
        <w:br/>
        <w:t>Justicia de Nicaragua, mediante sentencia No. 103 emitida el 8 de  noviembre</w:t>
        <w:br/>
        <w:t>de 2002, declaró inconstitucionales los párrafos 1 y 2 del  numeral  9)  del</w:t>
        <w:br/>
        <w:t>artículo 65 de dicha ley, así como el numeral  7)  del  artículo  77  de  la</w:t>
        <w:br/>
        <w:t>misma ley, referidos al requisito de la presentación del tres por ciento  de</w:t>
        <w:br/>
        <w:t>firmas de ciudadanos  para  presentar  candidatos,  por  considerar  que  lo</w:t>
        <w:br/>
        <w:t>dispuesto  en  los  referidos  numerales  del  artículo  65  constituía  “un</w:t>
        <w:br/>
        <w:t>obstáculo para el ejercicio de los derechos políticos” y  que  lo  dispuesto</w:t>
        <w:br/>
        <w:t>en el artículo 77.7 “constitu[ía] una indebida y odiosa  intromisión  en  la</w:t>
        <w:br/>
        <w:t>actividad política de los ciudadanos” (supra párr. 124.75).</w:t>
        <w:br/>
        <w:br/>
        <w:t>214.  Por otra parte, la Ley Electoral No.  331  de  2000  sólo  permite  la</w:t>
        <w:br/>
        <w:t>participación en los procesos electorales a  través  de  partidos  políticos</w:t>
        <w:br/>
        <w:t>(supra párr. 124.20).  Esta forma  de  organización  no  es  propia  de  las</w:t>
        <w:br/>
        <w:t>comunidades indígenas de la Costa  Atlántica.   Se  ha  probado  que  YATAMA</w:t>
        <w:br/>
        <w:t>logró obtener personalidad jurídica para participar  como  partido  político</w:t>
        <w:br/>
        <w:t>en  las  elecciones  municipales  de  noviembre  de  2000,  cumpliendo   los</w:t>
        <w:br/>
        <w:t>requisitos  correspondientes  (supra  párr.  124.28).   Sin   embargo,   los</w:t>
        <w:br/>
        <w:t>testigos Brooklyn Rivera Bryan y Jorge Teytom Fedrick,  y  la  perito  María</w:t>
        <w:br/>
        <w:t>Dolores Álvarez Arzate, enfatizaron que el  requisito  de  transformarse  en</w:t>
        <w:br/>
        <w:t>partido político desconoció las costumbres, organización y  cultura  de  los</w:t>
        <w:br/>
        <w:t>candidatos propuestos  por  YATAMA,  quienes  son  miembros  de  comunidades</w:t>
        <w:br/>
        <w:t>indígenas y étnicas de la Costa Atlántica.</w:t>
        <w:br/>
        <w:br/>
        <w:t>215.  No existe disposición en la Convención Americana que permita  sostener</w:t>
        <w:br/>
        <w:t>que los  ciudadanos  sólo  pueden  ejercer  el  derecho  a  postularse  como</w:t>
        <w:br/>
        <w:t>candidatos a un cargo electivo a través  de  un  partido  político.   No  se</w:t>
        <w:br/>
        <w:t>desconoce la importancia que revisten los partidos políticos como formas  de</w:t>
        <w:br/>
        <w:t>asociación  esenciales  para  el  desarrollo   y   fortalecimiento   de   la</w:t>
        <w:br/>
        <w:t>democracia[176], pero se reconoce que hay  otras  formas  a  través  de  las</w:t>
        <w:br/>
        <w:t>cuales se impulsan candidaturas para cargos de elección popular con miras  a</w:t>
        <w:br/>
        <w:t>la realización de  fines  comunes,  cuando  ello  es  pertinente  e  incluso</w:t>
        <w:br/>
        <w:t>necesario para favorecer o asegurar  la  participación  política  de  grupos</w:t>
        <w:br/>
        <w:t>específicos  de  la  sociedad,  tomando  en   cuenta   sus   tradiciones   y</w:t>
        <w:br/>
        <w:t>ordenamientos especiales, cuya legitimidad ha sido reconocida e  incluso  se</w:t>
        <w:br/>
        <w:t>halla sujeta a la protección  explícita  del  Estado.   Incluso,   la  Carta</w:t>
        <w:br/>
        <w:t>Democrática Interamericana señala que  para  la  democracia  es  prioritario</w:t>
        <w:br/>
        <w:t>“[e]l  fortalecimiento  de  los   partidos   y   de   otras   organizaciones</w:t>
        <w:br/>
        <w:t>políticas”[177].</w:t>
        <w:br/>
        <w:br/>
        <w:t>216.  Los partidos políticos y las organizaciones o  grupos  que  participan</w:t>
        <w:br/>
        <w:t>en la vida del Estado, como es el caso de los procesos  electorales  en  una</w:t>
        <w:br/>
        <w:t>sociedad democrática, deben tener propósitos compatibles con el  respeto  de</w:t>
        <w:br/>
        <w:t>los derechos y libertades consagrados en la Convención Americana.   En  este</w:t>
        <w:br/>
        <w:t>sentido, el artículo 16 de dicho tratado  establece  que  el  ejercicio  del</w:t>
        <w:br/>
        <w:t>derecho a asociarse libremente “sólo puede estar sujeto a las  restricciones</w:t>
        <w:br/>
        <w:t>previstas por la ley que sean necesarias en  una  sociedad  democrática,  en</w:t>
        <w:br/>
        <w:t>interés de la seguridad nacional, de la seguridad o  del  orden  público,  o</w:t>
        <w:br/>
        <w:t>para proteger la salud o la moral públicas o los derechos  y  libertades  de</w:t>
        <w:br/>
        <w:t>los demás”.</w:t>
        <w:br/>
        <w:br/>
        <w:t>217.  La Corte considera que la participación en  los  asuntos  públicos  de</w:t>
        <w:br/>
        <w:t>organizaciones  diversas  de  los  partidos,  sustentadas  en  los  términos</w:t>
        <w:br/>
        <w:t>aludidos en el párrafo anterior, es esencial para  garantizar  la  expresión</w:t>
        <w:br/>
        <w:t>política legítima y necesaria cuando se trate de grupos  de  ciudadanos  que</w:t>
        <w:br/>
        <w:t>de otra forma podrían quedar excluidos de  esa  participación,  con  lo  que</w:t>
        <w:br/>
        <w:t>ello significa.</w:t>
        <w:br/>
        <w:br/>
        <w:t>218.  La restricción de participar a través de un partido político impuso  a</w:t>
        <w:br/>
        <w:t>los candidatos propuestos por YATAMA una forma de organización ajena  a  sus</w:t>
        <w:br/>
        <w:t>usos, costumbres y tradiciones, como requisito para ejercer el derecho a  la</w:t>
        <w:br/>
        <w:t>participación política, en  contravención  de  las  normas  internas  (supra</w:t>
        <w:br/>
        <w:t>párr. 205) que obligan al Estado a respetar las formas  de  organización  de</w:t>
        <w:br/>
        <w:t>las comunidades de la  Costa  Atlántica,  y  afectó  en  forma  negativa  la</w:t>
        <w:br/>
        <w:t>participación electoral de dichos candidatos en las  elecciones  municipales</w:t>
        <w:br/>
        <w:t>de 2000.  El Estado no ha justificado que dicha  restricción  atienda  a  un</w:t>
        <w:br/>
        <w:t>propósito útil y oportuno que la torne necesaria para satisfacer un  interés</w:t>
        <w:br/>
        <w:t>público  imperativo.   Por  el  contrario,  dicha  restricción  implica   un</w:t>
        <w:br/>
        <w:t>impedimento para el ejercicio  pleno  del  derecho  a  ser  elegido  de  los</w:t>
        <w:br/>
        <w:t>miembros de las comunidades indígenas y étnicas que integran YATAMA.</w:t>
        <w:br/>
        <w:br/>
        <w:t>219.  Con base en las anteriores consideraciones, la  Corte  estima  que  la</w:t>
        <w:br/>
        <w:t>limitación analizada en los párrafos precedentes constituye una  restricción</w:t>
        <w:br/>
        <w:t>indebida al  ejercicio  de  un  derecho  político,  que  implica  un  límite</w:t>
        <w:br/>
        <w:t>innecesario al derecho a ser elegido, tomando en cuenta  las  circunstancias</w:t>
        <w:br/>
        <w:t>del presente caso, a las que no son  necesariamente  asimilables  todas  las</w:t>
        <w:br/>
        <w:t>hipótesis de agrupaciones para fines políticos que pudieran  presentarse  en</w:t>
        <w:br/>
        <w:t>otras sociedades nacionales o sectores de una misma sociedad nacional.</w:t>
        <w:br/>
        <w:br/>
        <w:t>220.  Una vez establecido lo anterior, la Corte encuentra necesario  indicar</w:t>
        <w:br/>
        <w:t>que  cualquier  requisito  para  la  participación  política  diseñado  para</w:t>
        <w:br/>
        <w:t>partidos  políticos,  que  no  pueda  ser  cumplido  por  agrupaciones   con</w:t>
        <w:br/>
        <w:t>diferente organización, es también contrario a los artículos 23 y 24  de  la</w:t>
        <w:br/>
        <w:t>Convención  Americana,  en  la  medida  en  que  limita,  más  allá  de   lo</w:t>
        <w:br/>
        <w:t>estrictamente necesario, el alcance pleno de los  derechos  políticos  y  se</w:t>
        <w:br/>
        <w:t>convierte  en  un   impedimento   para   que   los   ciudadanos   participen</w:t>
        <w:br/>
        <w:t>efectivamente en la dirección de los asuntos públicos.  Los requisitos  para</w:t>
        <w:br/>
        <w:t>ejercitar  el  derecho  a  ser  elegido  deben   observar   los   parámetros</w:t>
        <w:br/>
        <w:t>establecidos en los párrafos 204, 206 y 207 de esta Sentencia.</w:t>
        <w:br/>
        <w:br/>
        <w:t>221.  El artículo 82 de la Ley Electoral  de  2000  dispone  como  requisito</w:t>
        <w:br/>
        <w:t>para participar en las elecciones municipales  que  los  partidos  políticos</w:t>
        <w:br/>
        <w:t>presenten candidatos al menos en el 80% de los municipios de  la  respectiva</w:t>
        <w:br/>
        <w:t>circunscripción  territorial  y  respecto  del  80%   del   total   de   las</w:t>
        <w:br/>
        <w:t>candidaturas (supra  párr.  124.24).   En  este  caso,  el  Consejo  Supremo</w:t>
        <w:br/>
        <w:t>Electoral decidió no registrar a los candidatos propuestos por YATAMA en  la</w:t>
        <w:br/>
        <w:t>RAAS consideró que, al  quedar  excluido  el  partido  que  se  presentó  en</w:t>
        <w:br/>
        <w:t>alianza con YATAMA, éste último, por si solo, no  cumplía  el  requisito  de</w:t>
        <w:br/>
        <w:t>haber  presentado  candidatos  en  el  80%   de   los   municipios   de   la</w:t>
        <w:br/>
        <w:t>circunscripción territorial (supra párr. 124.51.a).</w:t>
        <w:br/>
        <w:br/>
        <w:t>222.  El testigo Brooklyn Rivera Bryan explicó que</w:t>
        <w:br/>
        <w:br/>
        <w:br/>
        <w:t xml:space="preserve">      fu[eron] obligados a […]  entrar  en  otras  áreas  donde  no  existen</w:t>
        <w:br/>
        <w:t xml:space="preserve">      indígenas porque la Ley Electoral obliga [a que] se cumpla el  80%  de</w:t>
        <w:br/>
        <w:t xml:space="preserve">      candidatos que hay que inscribir de todos los municipios.  Entonces en</w:t>
        <w:br/>
        <w:t xml:space="preserve">      la región autónoma hay municipios de matriz indígena donde  domina[n],</w:t>
        <w:br/>
        <w:t xml:space="preserve">      donde t[ienen su] liderazgo y estructura, pero  hay  otros  municipios</w:t>
        <w:br/>
        <w:t xml:space="preserve">      que son mestizos ladinos [con los] que no t[ienen] ni  vinculación  ni</w:t>
        <w:br/>
        <w:t xml:space="preserve">      interés, pero la ley [l]os obligó a entrar a organizar y participar en</w:t>
        <w:br/>
        <w:t xml:space="preserve">      los procesos, de lo contrario [serían] descalificados para  participar</w:t>
        <w:br/>
        <w:t xml:space="preserve">      en las elecciones.</w:t>
        <w:br/>
        <w:br/>
        <w:t>223.  Esta exigencia de la Ley Electoral de  2000  No.  331  constituye  una</w:t>
        <w:br/>
        <w:t>restricción  desproporcionada  que  limitó  indebidamente  la  participación</w:t>
        <w:br/>
        <w:t>política de  los  candidatos  propuestos  por  YATAMA  para  las  elecciones</w:t>
        <w:br/>
        <w:t>municipales de noviembre de 2000. No se toma  en  cuenta  que  la  población</w:t>
        <w:br/>
        <w:t>indígena y étnica es minoritaria en la RAAS, ni  que  habría  municipios  en</w:t>
        <w:br/>
        <w:t>los que no se contaría con apoyo para presentar candidatos o no  se  tendría</w:t>
        <w:br/>
        <w:t>interés en buscar dicho apoyo.</w:t>
        <w:br/>
        <w:br/>
        <w:t xml:space="preserve">                                      *</w:t>
        <w:br/>
        <w:t xml:space="preserve">                                   *     *</w:t>
        <w:br/>
        <w:br/>
        <w:t>224.  La Corte encuentra que Nicaragua  no  adoptó  las  medidas  necesarias</w:t>
        <w:br/>
        <w:t>para garantizar el goce  del  derecho  a  ser  elegidos  de  los  candidatos</w:t>
        <w:br/>
        <w:t>propuestos por YATAMA, quienes  son  miembros  de  comunidades  indígenas  y</w:t>
        <w:br/>
        <w:t>étnicas de la Costa Atlántica de Nicaragua, ya que se vieron  afectados  por</w:t>
        <w:br/>
        <w:t>la  discriminación  legal  y  de  hecho  que  impidió  su  participación  en</w:t>
        <w:br/>
        <w:t>condiciones de igualdad en las elecciones municipales de noviembre de  2000.</w:t>
        <w:br/>
        <w:br/>
        <w:br/>
        <w:t>225.  La  Corte  estima  que  el  Estado  debe  adoptar  todas  las  medidas</w:t>
        <w:br/>
        <w:t>necesarias para garantizar que los miembros de las comunidades  indígenas  y</w:t>
        <w:br/>
        <w:t>étnicas  de  la  Costa  Atlántica  de  Nicaragua   puedan   participar,   en</w:t>
        <w:br/>
        <w:t>condiciones de igualdad, en la toma de decisiones sobre asuntos y  políticas</w:t>
        <w:br/>
        <w:t>que inciden o pueden incidir en sus derechos y en el  desarrollo  de  dichas</w:t>
        <w:br/>
        <w:t>comunidades, de forma tal  que  puedan  integrarse  a  las  instituciones  y</w:t>
        <w:br/>
        <w:t>órganos estatales y  participar  de  manera  directa  y  proporcional  a  su</w:t>
        <w:br/>
        <w:t>población en la dirección de los asuntos públicos, así  como  hacerlo  desde</w:t>
        <w:br/>
        <w:t>sus propias instituciones y de acuerdo a sus  valores,  usos,  costumbres  y</w:t>
        <w:br/>
        <w:t>formas de organización,  siempre  que  sean  compatibles  con  los  derechos</w:t>
        <w:br/>
        <w:t>humanos consagrados en la Convención.</w:t>
        <w:br/>
        <w:br/>
        <w:t xml:space="preserve">                                      *</w:t>
        <w:br/>
        <w:t xml:space="preserve">                                   *     *</w:t>
        <w:br/>
        <w:br/>
        <w:t>226.  Las violaciones a  los  derechos  de  los  candidatos  propuestos  por</w:t>
        <w:br/>
        <w:t>YATAMA son particularmente graves porque,  como  se  ha  dicho,  existe  una</w:t>
        <w:br/>
        <w:t>estrecha relación entre el derecho a ser elegido y el derecho a  votar  para</w:t>
        <w:br/>
        <w:t>elegir representantes (supra párr. 197).  La Corte  estima  necesario  hacer</w:t>
        <w:br/>
        <w:t>notar que se afectó a los electores como consecuencia  de  la  violación  al</w:t>
        <w:br/>
        <w:t>derecho a ser elegidos de los candidatos de YATAMA.  En  el  presente  caso,</w:t>
        <w:br/>
        <w:t>la referida exclusión significó que los candidatos propuestos por YATAMA  no</w:t>
        <w:br/>
        <w:t>figuraran  entre  las  opciones  al  alcance  de  los  electores,  lo   cual</w:t>
        <w:br/>
        <w:t>representó directamente un  límite  al  ejercicio  del  derecho  a  votar  e</w:t>
        <w:br/>
        <w:t>incidió negativamente en la más amplia y libre expresión de la voluntad  del</w:t>
        <w:br/>
        <w:t>electorado, lo cual  supone  una  consecuencia  grave  para  la  democracia.</w:t>
        <w:br/>
        <w:t>Dicha afectación a los electores deviene del incumplimiento  del  Estado  de</w:t>
        <w:br/>
        <w:t>la obligación general  de  garantizar  el  ejercicio  del  derecho  a  votar</w:t>
        <w:br/>
        <w:t>consagrada en el artículo 1.1 de la Convención.</w:t>
        <w:br/>
        <w:br/>
        <w:t>227.  Para valorar el alcance  de  dicha  afectación  es  preciso  tomar  en</w:t>
        <w:br/>
        <w:t>cuenta que YATAMA contribuye a establecer y preservar la identidad  cultural</w:t>
        <w:br/>
        <w:t>de los  miembros  de  las  comunidades  indígenas  y  étnicas  de  la  Costa</w:t>
        <w:br/>
        <w:t>Atlántica.  Su estructura y fines están ligados a  los  usos,  costumbres  y</w:t>
        <w:br/>
        <w:t>formas de organización de dichas comunidades.  Como  consecuencia  de  ello,</w:t>
        <w:br/>
        <w:t>al haber excluido la participación de los candidatos  de  YATAMA  se  afectó</w:t>
        <w:br/>
        <w:t>particularmente a los miembros de las comunidades indígenas  y  étnicas  que</w:t>
        <w:br/>
        <w:t>estaban representados por dicha organización en las  elecciones  municipales</w:t>
        <w:br/>
        <w:t>de noviembre de 2000, al colocarlos  en  una  situación  de  desigualdad  en</w:t>
        <w:br/>
        <w:t>cuanto a las opciones entre las cuales  podían  elegir  al  votar,  pues  se</w:t>
        <w:br/>
        <w:t>excluyó  de  participar  como  candidatos  a  aquellas  personas   que,   en</w:t>
        <w:br/>
        <w:t>principio, merecían su confianza por haber sido elegidas  de  forma  directa</w:t>
        <w:br/>
        <w:t>en asambleas, de acuerdo a los usos  y  costumbres  de  dichas  comunidades,</w:t>
        <w:br/>
        <w:t>para representar los intereses de los miembros de  éstas.   Dicha  exclusión</w:t>
        <w:br/>
        <w:t>incidió en la carencia de representación de las necesidades de los  miembros</w:t>
        <w:br/>
        <w:t>de las  referidas  comunidades  en  los  órganos  regionales  encargados  de</w:t>
        <w:br/>
        <w:t>adoptar políticas y programas que podrían influir en su desarrollo.</w:t>
        <w:br/>
        <w:br/>
        <w:t>228.  La referida afectación  a  los  electores  se  vio  reflejada  en  las</w:t>
        <w:br/>
        <w:t>elecciones municipales de 2000, ya que, por ejemplo, en la RAAN se  registró</w:t>
        <w:br/>
        <w:t>un abstencionismo de aproximadamente 80%, el cual se debió a que  un  aparte</w:t>
        <w:br/>
        <w:t>de los electores  no  se  consideraba  adecuadamente  representada  por  los</w:t>
        <w:br/>
        <w:t>partidos que participaron (supra párr. 124.69), y cinco  partidos  políticos</w:t>
        <w:br/>
        <w:t>solicitaron al Consejo Supremo Electoral que “[d]eclarar[a]  la  nulidad  de</w:t>
        <w:br/>
        <w:t>las elecciones en la RAAN[… y r]eprogramar[a] nuevas elecciones  municipales</w:t>
        <w:br/>
        <w:t>[…], con inclusión  del  Partido  Indígena  YATAMA”  (supra  párr.  124.71).</w:t>
        <w:br/>
        <w:t>Asimismo, el perito Carlos Antonio Hurtado Cabrera resaltó  que  YATAMA  “es</w:t>
        <w:br/>
        <w:t>la principal organización política indígena que existe en  el  país”  (supra</w:t>
        <w:br/>
        <w:t>párr. 111).</w:t>
        <w:br/>
        <w:br/>
        <w:t xml:space="preserve">                                      *</w:t>
        <w:br/>
        <w:t xml:space="preserve">                                   *     *</w:t>
        <w:br/>
        <w:br/>
        <w:t>229.   Por todo lo expuesto, la Corte considera  que  el  Estado  violó  los</w:t>
        <w:br/>
        <w:t>artículos 23 y 24 de la Convención, en relación con los artículos  1.1  y  2</w:t>
        <w:br/>
        <w:t>de la misma, en perjuicio de  los  candidatos  propuestos  por  YATAMA  para</w:t>
        <w:br/>
        <w:t>participar en las elecciones  municipales  de  noviembre  de  2000,  ya  que</w:t>
        <w:br/>
        <w:t>dispuso y aplicó disposiciones de la Ley  Electoral  de  2000  No.  331  que</w:t>
        <w:br/>
        <w:t>establecen una restricción indebida al ejercicio del derecho a  ser  elegido</w:t>
        <w:br/>
        <w:t>y lo reglamentan de forma discriminatoria.   Asimismo,  el  Tribunal  estima</w:t>
        <w:br/>
        <w:t>que el Estado violó el artículo 23.1 de la Convención, en  relación  con  el</w:t>
        <w:br/>
        <w:t>artículo 1.1 de dicho tratado,  en  perjuicio  de  dichos  candidatos,  como</w:t>
        <w:br/>
        <w:t>consecuencia de que las decisiones  que  los  excluyeron  de  ejercer  dicho</w:t>
        <w:br/>
        <w:t>derecho fueron adoptadas en contravención de las garantías previstas  en  el</w:t>
        <w:br/>
        <w:t>artículo 8 de la Convención y no pudieron ser controladas  a  través  de  un</w:t>
        <w:br/>
        <w:t>recurso judicial (supra párrs. 164, 173 y 176).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         Aplicación del artículo 63.1</w:t>
        <w:br/>
        <w:br/>
        <w:br/>
        <w:t xml:space="preserve">                            Obligación de reparar</w:t>
        <w:br/>
        <w:br/>
        <w:br/>
        <w:t>230.   Este  Tribunal  ha  establecido  que  es  un  principio  de   Derecho</w:t>
        <w:br/>
        <w:t>Internacional que toda violación de una obligación  internacional  que  haya</w:t>
        <w:br/>
        <w:t>producido daño comporta el deber de repararlo  adecuadamente[178].   En  sus</w:t>
        <w:br/>
        <w:t>decisiones a este respecto, la Corte se ha basado en el artículo 63.1 de  la</w:t>
        <w:br/>
        <w:t>Convención Americana, según el cual:</w:t>
        <w:br/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231.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consecuencias de la violación[179].</w:t>
        <w:br/>
        <w:br/>
        <w:t>232.  La reparación del daño ocasionado por la infracción de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factible, como ocurre en la  mayoría  de</w:t>
        <w:br/>
        <w:t>los casos, entre ellos éste, el tribunal internacional  determinará  medidas</w:t>
        <w:br/>
        <w:t>para garantizar los derechos conculcados, reparar las consecuencias que  las</w:t>
        <w:br/>
        <w:t>infracciones produjeron y establecer una indemnización que compense por  los</w:t>
        <w:br/>
        <w:t>daños  ocasionados[180].  Es  necesario  añadir  las  medidas  de   carácter</w:t>
        <w:br/>
        <w:t>positivo que el Estado debe adoptar para asegurar que no se  repitan  hechos</w:t>
        <w:br/>
        <w:t>lesivos como los ocurridos  en  el  presente  caso[181].  La  obligación  de</w:t>
        <w:br/>
        <w:t>reparar se regula por el Derecho Internacional, y no puede ser modificada  o</w:t>
        <w:br/>
        <w:t>incumplida por el Estado invocando para ello  disposiciones  de  su  derecho</w:t>
        <w:br/>
        <w:t>interno[182].</w:t>
        <w:br/>
        <w:br/>
        <w:t>233.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Sentencia[183].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 a)    Beneficiarios</w:t>
        <w:br/>
        <w:br/>
        <w:t>234.  Alegatos de la Comisión:</w:t>
        <w:br/>
        <w:br/>
        <w:t xml:space="preserve">      a)    son parte lesionada “los candidatos a alcaldes,  vicealcaldes  y</w:t>
        <w:br/>
        <w:t xml:space="preserve">      concejales presentados por  el  partido  político  regional  indígena”</w:t>
        <w:br/>
        <w:t xml:space="preserve">      YATAMA para las elecciones municipales de noviembre de 2000 en la RAAN</w:t>
        <w:br/>
        <w:t xml:space="preserve">      y en la RAAS;</w:t>
        <w:br/>
        <w:br/>
        <w:t xml:space="preserve">      b)     “los representantes han descrito a la Corte  que  los  listados</w:t>
        <w:br/>
        <w:t xml:space="preserve">      finales de víctimas han sido el resultado de consultas con  líderes  y</w:t>
        <w:br/>
        <w:t xml:space="preserve">      miembros de Yatama”. Dichas consultas “son  la  fuente  más  apropiada</w:t>
        <w:br/>
        <w:t xml:space="preserve">      para conformar listados definitivos, particularmente en la RAAS”; y</w:t>
        <w:br/>
        <w:br/>
        <w:br/>
        <w:t xml:space="preserve">      c)    la lista de 59  candidatos  de  la  RAAN  “es  el  resultado  de</w:t>
        <w:br/>
        <w:t xml:space="preserve">      información confirmada por el Estado a través  de  certificación”,  la</w:t>
        <w:br/>
        <w:t xml:space="preserve">      cual es un medio probatorio idóneo.   Respecto  de  dos  personas  que</w:t>
        <w:br/>
        <w:t xml:space="preserve">      fueron sustituidas en la RAAS, la parte lesionada “está en posición de</w:t>
        <w:br/>
        <w:t xml:space="preserve">      explicar por qué consideró que, a pesar  de  haber  sido  sustituidos,</w:t>
        <w:br/>
        <w:t xml:space="preserve">      fueron también [presuntas] víctimas”.</w:t>
        <w:br/>
        <w:br/>
        <w:t>235.  Alegatos de los representantes de las víctimas:</w:t>
        <w:br/>
        <w:br/>
        <w:t xml:space="preserve">      a)    son titulares  del  derecho  a  la  reparación  los  “candidatos</w:t>
        <w:br/>
        <w:t xml:space="preserve">      presentados por la organización  indígena  YATAMA”  excluidos  de  las</w:t>
        <w:br/>
        <w:t xml:space="preserve">      elecciones municipales de 5 de noviembre de 2000;</w:t>
        <w:br/>
        <w:br/>
        <w:br/>
        <w:t xml:space="preserve">      b)    el Estado “ha violado los derechos políticos de las  comunidades</w:t>
        <w:br/>
        <w:t xml:space="preserve">      indígenas de la Costa Atlántica” y, por ende, las  reparaciones  deben</w:t>
        <w:br/>
        <w:t xml:space="preserve">      alcanzar a los miembros de esas comunidades que se vieron impedidos de</w:t>
        <w:br/>
        <w:t xml:space="preserve">      votar por los candidatos que  habían  elegido  previamente  y  de  ser</w:t>
        <w:br/>
        <w:t xml:space="preserve">      representados por éstos;</w:t>
        <w:br/>
        <w:br/>
        <w:t xml:space="preserve">      c)    en varias oportunidades solicitaron al Consejo Supremo Electoral</w:t>
        <w:br/>
        <w:t xml:space="preserve">      que les “otorg[ara] copias de las listas oficiales de candidatos”.  El</w:t>
        <w:br/>
        <w:t xml:space="preserve">      Estado “se negó a  aportar  el  listado  de  candidatos  y  candidatas</w:t>
        <w:br/>
        <w:t xml:space="preserve">      presentados por YATAMA en la […] RAAS”;</w:t>
        <w:br/>
        <w:br/>
        <w:br/>
        <w:t xml:space="preserve">      d)     en la lista de la RAAS “existe más de un  candidato  para  cada</w:t>
        <w:br/>
        <w:t xml:space="preserve">      cargo de elección[, dado que …] no […] logra[ron] conseguir las listas</w:t>
        <w:br/>
        <w:t xml:space="preserve">      oficiales de  candidatos”.   “[Dichas]  inconsistencias  […]  pod[í]an</w:t>
        <w:br/>
        <w:t xml:space="preserve">      despejarse una vez que el Estado present[ara] las listas oficiales”; y</w:t>
        <w:br/>
        <w:br/>
        <w:br/>
        <w:t xml:space="preserve">      e)      en  casos  en  los  que  las  presuntas  víctimas   no   están</w:t>
        <w:br/>
        <w:t xml:space="preserve">      individualizadas y la Corte no puede fijar indemnización  alguna  para</w:t>
        <w:br/>
        <w:t xml:space="preserve">      ellas, el Tribunal ha establecido reparaciones para todos los miembros</w:t>
        <w:br/>
        <w:t xml:space="preserve">      de las comunidades indígenas afectadas por los hechos del caso.</w:t>
        <w:br/>
        <w:br/>
        <w:t>236.  Alegatos del Estado</w:t>
        <w:br/>
        <w:br/>
        <w:t>El Estado alegó que “no  reconoce  víctimas  o  presuntas  víctimas”  y,  en</w:t>
        <w:br/>
        <w:t>cuanto a que “no ha dado  facilidades  para  conocer  con  exactitud  a  las</w:t>
        <w:br/>
        <w:t>supuestas víctimas [y] para obtener sus listados oficiales, [indicó que]  en</w:t>
        <w:br/>
        <w:t>Nicaragua  existen  procedimientos  legales  [con  el  fin  de]  obtener  la</w:t>
        <w:br/>
        <w:t>exhibición de documentos o de cosas  muebles  según  lo  establecido  en  el</w:t>
        <w:br/>
        <w:t>artículo 921 del Código de Procedimiento Civil”.</w:t>
        <w:br/>
        <w:br/>
        <w:br/>
        <w:br/>
        <w:t>Consideraciones de la Corte</w:t>
        <w:br/>
        <w:br/>
        <w:t>237.  La Corte considera “parte lesionada”, con el carácter de  víctimas  de</w:t>
        <w:br/>
        <w:t>las violaciones de los derechos consagrados en los artículos 23, 24 y 25  de</w:t>
        <w:br/>
        <w:t>la Convención Americana, todos en relación con los artículos 1.1 y 2  de  la</w:t>
        <w:br/>
        <w:t>misma, y del artículo 8.1 de dicho tratado, en relación con el artículo  1.1</w:t>
        <w:br/>
        <w:t>del  mismo,  a  los  candidatos  a  alcaldes,  vicealcaldes   y   concejales</w:t>
        <w:br/>
        <w:t>municipales propuestos por YATAMA para las elecciones  municipales  de  2000</w:t>
        <w:br/>
        <w:t>en la RAAN y  en  la  RAAS.   Estas  personas  serán  beneficiarias  de  las</w:t>
        <w:br/>
        <w:t>reparaciones que fije el Tribunal.</w:t>
        <w:br/>
        <w:br/>
        <w:t>238.  La determinación de quiénes son los candidatos propuestos  por  YATAMA</w:t>
        <w:br/>
        <w:t>en la RAAN y en la RAAS para participar en  las  elecciones  municipales  de</w:t>
        <w:br/>
        <w:t>noviembre de 2000, fue realizada por el Tribunal  en  el  capítulo  VIII  de</w:t>
        <w:br/>
        <w:t>esta Sentencia titulado “Consideraciones respecto  de  la  determinación  de</w:t>
        <w:br/>
        <w:t>presuntas víctimas” (supra párrs. 125 a 141).</w:t>
        <w:br/>
        <w:br/>
        <w:t xml:space="preserve">                      B)    Daños Material e Inmaterial</w:t>
        <w:br/>
        <w:br/>
        <w:t>239.  Alegatos de la Comisión:</w:t>
        <w:br/>
        <w:br/>
        <w:t xml:space="preserve">      a)    respecto del daño material, solicita a la  Corte  que  fije  una</w:t>
        <w:br/>
        <w:t xml:space="preserve">      “suma en equidad para  determinar  el  monto  indemnizatorio  que  por</w:t>
        <w:br/>
        <w:t xml:space="preserve">      concepto de daño emergente  y  lucro  cesante  le  corresponde  a  las</w:t>
        <w:br/>
        <w:t xml:space="preserve">      víctimas”, para lo cual tome en consideración “no sólo  la  afectación</w:t>
        <w:br/>
        <w:t xml:space="preserve">      que les produjo a las víctimas verse impedid[a]s de participar en  las</w:t>
        <w:br/>
        <w:t xml:space="preserve">      elecciones municipales de noviembre de 2000 en la  Costa  Atlántica[,]</w:t>
        <w:br/>
        <w:t xml:space="preserve">      sino también […] el efecto en  sus  proyectos  de  vida  como  líderes</w:t>
        <w:br/>
        <w:t xml:space="preserve">      políticos representantes de  sus  pueblos,  que  vieron  frustrada  la</w:t>
        <w:br/>
        <w:t xml:space="preserve">      posibilidad de representar los intereses comunitarios en  el  gobierno</w:t>
        <w:br/>
        <w:t xml:space="preserve">      local”;</w:t>
        <w:br/>
        <w:br/>
        <w:t xml:space="preserve">      b)    respecto del  daño  inmaterial,  “deben  tenerse  en  cuenta  la</w:t>
        <w:br/>
        <w:t xml:space="preserve">      entidad de las violaciones y el impacto individual  y  comunitario  de</w:t>
        <w:br/>
        <w:t xml:space="preserve">      las acciones y omisiones del  Estado”.   Debe  tenerse  en  cuenta  la</w:t>
        <w:br/>
        <w:t xml:space="preserve">      afectación producida a los pueblos indígenas, por  lo  cual  la  Corte</w:t>
        <w:br/>
        <w:t xml:space="preserve">      debe ordenar reparaciones individuales y colectivas;</w:t>
        <w:br/>
        <w:br/>
        <w:br/>
        <w:t xml:space="preserve">      c)    los candidatos presentados por YATAMA  para  participar  en  las</w:t>
        <w:br/>
        <w:t xml:space="preserve">      elecciones municipales de 2000 en la Costa Atlántica  fueron  elegidos</w:t>
        <w:br/>
        <w:t xml:space="preserve">      por las comunidades; al no permitirse  su  participación  política  en</w:t>
        <w:br/>
        <w:t xml:space="preserve">      dicho proceso, “se sintieron menoscabados ante sus comunidades”;</w:t>
        <w:br/>
        <w:br/>
        <w:t xml:space="preserve">      d)    la exclusión de los  candidatos  de  YATAMA  de  las  elecciones</w:t>
        <w:br/>
        <w:t xml:space="preserve">      municipales de noviembre de 2000 “afectó además a los miembros de  los</w:t>
        <w:br/>
        <w:t xml:space="preserve">      diversos pueblos indígenas […] y desmoralizó a toda la sociedad de  la</w:t>
        <w:br/>
        <w:t xml:space="preserve">      Costa Atlántica”; y</w:t>
        <w:br/>
        <w:br/>
        <w:t xml:space="preserve">      e)    el Estado causó  “un  daño  inmaterial  individual  con  impacto</w:t>
        <w:br/>
        <w:t xml:space="preserve">      colectivo”, el cual debe considerar la Corte para  “su  resarcimiento,</w:t>
        <w:br/>
        <w:t xml:space="preserve">      ajustándose su liquidación a criterios de equidad”.  Fue conculcado el</w:t>
        <w:br/>
        <w:t xml:space="preserve">      derecho de los electores indígenas  a  votar  y  elegir  libremente  a</w:t>
        <w:br/>
        <w:t xml:space="preserve">      candidatos representativos de sus comunidades.</w:t>
        <w:br/>
        <w:br/>
        <w:t>240.  Alegatos de los representantes de las víctimas:</w:t>
        <w:br/>
        <w:br/>
        <w:br/>
        <w:t xml:space="preserve">      a)    en cuanto al daño emergente:</w:t>
        <w:br/>
        <w:br/>
        <w:br/>
        <w:t xml:space="preserve">           i.    los candidatos de YATAMA para las elecciones de  noviembre</w:t>
        <w:br/>
        <w:t xml:space="preserve">           de 2000 y las  comunidades  realizaron  gastos  necesarios  para</w:t>
        <w:br/>
        <w:t xml:space="preserve">           participar en las elecciones;</w:t>
        <w:br/>
        <w:br/>
        <w:t xml:space="preserve">           ii.   “las  comunidades  indígenas  a  las  que  pertenecen  los</w:t>
        <w:br/>
        <w:t xml:space="preserve">           candidatos presentados por YATAMA, no  solamente  los  eligieron</w:t>
        <w:br/>
        <w:t xml:space="preserve">           según sus usos, costumbres, valores y  derecho  consuetudinario,</w:t>
        <w:br/>
        <w:t xml:space="preserve">           sino que también aportaron,  en  apoyo  a  sus  candidatos,  […]</w:t>
        <w:br/>
        <w:t xml:space="preserve">           ciertos bienes y servicios”;</w:t>
        <w:br/>
        <w:br/>
        <w:br/>
        <w:t xml:space="preserve">           iii.  la estimación del monto de los gastos realizados  por  los</w:t>
        <w:br/>
        <w:t xml:space="preserve">           candidatos de YATAMA y sus comunidades debe tener en  cuenta  la</w:t>
        <w:br/>
        <w:t xml:space="preserve">           tradición oral de los pueblos indígenas;</w:t>
        <w:br/>
        <w:br/>
        <w:t xml:space="preserve">           iv.   la Corte debe fijar en equidad la  indemnización  por  los</w:t>
        <w:br/>
        <w:t xml:space="preserve">           gastos realizados durante la campaña  electoral.   Se  presenta,</w:t>
        <w:br/>
        <w:t xml:space="preserve">           ejemplificativamente, un cálculo de las  cantidades  totales  de</w:t>
        <w:br/>
        <w:t xml:space="preserve">           gastos  en  que  incurrieron  una  candidata  a  alcaldesa  (US$</w:t>
        <w:br/>
        <w:t xml:space="preserve">           46.903,97), un  candidato  a  vicealcalde  (US$  12.190,80),  un</w:t>
        <w:br/>
        <w:t xml:space="preserve">           candidato a concejal (US$ 16.057,05) y un candidato  a  concejal</w:t>
        <w:br/>
        <w:t xml:space="preserve">           suplente (US$ 11.491,43);</w:t>
        <w:br/>
        <w:br/>
        <w:br/>
        <w:t xml:space="preserve">           v.    la Corte debe fijar en equidad una indemnización  a  favor</w:t>
        <w:br/>
        <w:t xml:space="preserve">           de las comunidades indígenas de la RAAN y  de  la  RAAS  por  el</w:t>
        <w:br/>
        <w:t xml:space="preserve">           mismo concepto, suma que “deberá ser invertida  por  el  Estado”</w:t>
        <w:br/>
        <w:t xml:space="preserve">           “en obras o servicios  de  interés  colectivo  en  beneficio  de</w:t>
        <w:br/>
        <w:t xml:space="preserve">           [dichas] comunidades […,] de común acuerdo con éstas  y  con  la</w:t>
        <w:br/>
        <w:t xml:space="preserve">           organización indígena YATAMA”; y</w:t>
        <w:br/>
        <w:br/>
        <w:br/>
        <w:t xml:space="preserve">           vi.   en sus alegatos sobre costas y gastos se refirieron a  los</w:t>
        <w:br/>
        <w:t xml:space="preserve">           gastos en que incurrió la  organización  YATAMA  en  la  campaña</w:t>
        <w:br/>
        <w:t xml:space="preserve">           electoral en Puerto Cabezas y Waspam, pero  no  solicitaron  una</w:t>
        <w:br/>
        <w:t xml:space="preserve">           cantidad específica por concepto de indemnización.</w:t>
        <w:br/>
        <w:br/>
        <w:br/>
        <w:t xml:space="preserve">      b)     la  Corte   debe   establecer   en   equidad   las   cantidades</w:t>
        <w:br/>
        <w:t xml:space="preserve">      correspondientes a lucro cesante,  debido  a  que  los  candidatos  de</w:t>
        <w:br/>
        <w:t xml:space="preserve">      YATAMA tuvieron que abandonar sus trabajos o suspender sus actividades</w:t>
        <w:br/>
        <w:t xml:space="preserve">      económicas para dedicarse a la campaña política;</w:t>
        <w:br/>
        <w:br/>
        <w:t xml:space="preserve">      c)    en cuanto al daño inmaterial solicitan a la Corte  que  fije  en</w:t>
        <w:br/>
        <w:t xml:space="preserve">      equidad la indemnización que el Estado debe pagar a los candidatos  de</w:t>
        <w:br/>
        <w:t xml:space="preserve">      YATAMA por el daño moral que les produjo la  exclusión  política,  así</w:t>
        <w:br/>
        <w:t xml:space="preserve">      como a las comunidades indígenas de la Costa Atlántica.  Las  víctimas</w:t>
        <w:br/>
        <w:t xml:space="preserve">      sufrieron  vergüenza  familiar  y  social  por  la  imposibilidad   de</w:t>
        <w:br/>
        <w:t xml:space="preserve">      “ejecutar el compromiso que habían [asumido] con su pueblo”.   Además,</w:t>
        <w:br/>
        <w:t xml:space="preserve">      han sufrido angustia y problemas familiares  “por  haber  perdido  sus</w:t>
        <w:br/>
        <w:t xml:space="preserve">      empleos y […] sacrificado  sus  ahorros”.   La  Corte  debe  tomar  en</w:t>
        <w:br/>
        <w:t xml:space="preserve">      “cuenta el daño causado al  proyecto  de  vida  de  los  candidatos  y</w:t>
        <w:br/>
        <w:t xml:space="preserve">      candidatas al fijar el monto correspondiente  al  daño  moral”,  “pues</w:t>
        <w:br/>
        <w:t xml:space="preserve">      difícilmente podrán presentarse nuevamente como  candidatos  en  otras</w:t>
        <w:br/>
        <w:t xml:space="preserve">      elecciones populares”; y</w:t>
        <w:br/>
        <w:br/>
        <w:br/>
        <w:t xml:space="preserve">      d)    la Corte debe ordenar al Estado  “crear  un  fondo  especial  de</w:t>
        <w:br/>
        <w:t xml:space="preserve">      desarrollo  de   las   comunidades   indígenas”,   cuya   creación   y</w:t>
        <w:br/>
        <w:t xml:space="preserve">      administración se consulte constantemente a éstas.</w:t>
        <w:br/>
        <w:br/>
        <w:t>241.  Alegatos del Estado:</w:t>
        <w:br/>
        <w:br/>
        <w:t xml:space="preserve">      a)    rechaza la pretensión de resarcir daño emergente y lucro cesante</w:t>
        <w:br/>
        <w:t xml:space="preserve">      debido a que no ha violado ninguno de los derechos consagrados  en  la</w:t>
        <w:br/>
        <w:t xml:space="preserve">      Convención Americana en perjuicio de los candidatos de  YATAMA,  y  no</w:t>
        <w:br/>
        <w:t xml:space="preserve">      reconoce la obligación de indemnizar;</w:t>
        <w:br/>
        <w:br/>
        <w:t xml:space="preserve">      b)    en los procesos electorales cada candidato  actúa  a  su  propio</w:t>
        <w:br/>
        <w:t xml:space="preserve">      riesgo.  Las personas que aspiran a participar en la “vida pública  de</w:t>
        <w:br/>
        <w:t xml:space="preserve">      Nicaragua” no están obligadas a abandonar  su  actividad  laboral.  Es</w:t>
        <w:br/>
        <w:t xml:space="preserve">      “probable  que   los   candidatos   de   YATAMA   hayan   interrumpido</w:t>
        <w:br/>
        <w:t xml:space="preserve">      voluntariamente su vida laboral”; y</w:t>
        <w:br/>
        <w:br/>
        <w:br/>
        <w:t xml:space="preserve">      c)    respecto del daño inmaterial se opone a la pretensión  de  haber</w:t>
        <w:br/>
        <w:t xml:space="preserve">      producido perjuicios a los planes de vida de los candidatos, así  como</w:t>
        <w:br/>
        <w:t xml:space="preserve">      “al reclamo sobre perjuicios morales  causados  a  los  candidatos  de</w:t>
        <w:br/>
        <w:t xml:space="preserve">      YATAMA[,] por cuanto se ha demostrado que hicieron uso oportuno de los</w:t>
        <w:br/>
        <w:t xml:space="preserve">      derechos que las leyes vigentes contemplan”, y “cuando una  persona  o</w:t>
        <w:br/>
        <w:t xml:space="preserve">      una organización política se someten a un marco legal  preestablecido,</w:t>
        <w:br/>
        <w:t xml:space="preserve">      se corre el riesgo de ganar o no obtener resultados deseables”.</w:t>
        <w:br/>
        <w:br/>
        <w:br/>
        <w:br/>
        <w:br/>
        <w:t>Consideraciones de la Corte</w:t>
        <w:br/>
        <w:br/>
        <w:t>242.  El daño material  supone  generalmente  la  pérdida  o  detrimento  de</w:t>
        <w:br/>
        <w:t>ingresos,  los  gastos  efectuados  con  motivo  de   los   hechos   y   las</w:t>
        <w:br/>
        <w:t>consecuencias de carácter pecuniario que  tengan  un  nexo  causal  con  los</w:t>
        <w:br/>
        <w:t>hechos  sub  judice[184].    Cuando   corresponde,   la   Corte   fija   una</w:t>
        <w:br/>
        <w:t>indemnización que busque compensar las consecuencias  patrimoniales  de  las</w:t>
        <w:br/>
        <w:t>violaciones.  Para resolver sobre el  daño  material,  la  Corte  tendrá  en</w:t>
        <w:br/>
        <w:t>cuenta el acervo probatorio, la jurisprudencia del  propio  Tribunal  y  los</w:t>
        <w:br/>
        <w:t>argumentos de las partes.</w:t>
        <w:br/>
        <w:br/>
        <w:t>243.  Por su parte, el daño inmaterial puede comprender los  sufrimientos  y</w:t>
        <w:br/>
        <w:t>aflicciones  causados  a  las  víctimas,  el  menoscabo   de   valores   muy</w:t>
        <w:br/>
        <w:t>significativos  para  las  personas  y  las  alteraciones,  de  carácter  no</w:t>
        <w:br/>
        <w:t>pecuniario, en las condiciones de existencia  de  éstas.   Dado  que  no  es</w:t>
        <w:br/>
        <w:t>posible asignar al daño inmaterial un equivalente  monetario  preciso,  sólo</w:t>
        <w:br/>
        <w:t>puede ser objeto de compensación mediante el pago de una cantidad de  dinero</w:t>
        <w:br/>
        <w:t>que el Tribunal determine en ejercicio razonable del arbitrio judicial y  en</w:t>
        <w:br/>
        <w:t>términos de equidad, y mediante actos  u  obras  de  alcance  o  repercusión</w:t>
        <w:br/>
        <w:t>públicos, tales como la transmisión de un mensaje de reprobación  oficial  a</w:t>
        <w:br/>
        <w:t>las violaciones de los derechos humanos de que se trata y de compromiso  con</w:t>
        <w:br/>
        <w:t>los esfuerzos tendientes a que no vuelvan a ocurrir, que tengan como  efecto</w:t>
        <w:br/>
        <w:t>el reconocimiento de la dignidad de las víctimas[185].   El  primer  aspecto</w:t>
        <w:br/>
        <w:t>de la reparación de los daños inmateriales se analizará en  esta  sección  y</w:t>
        <w:br/>
        <w:t>el segundo en la sección C) de este capítulo.</w:t>
        <w:br/>
        <w:br/>
        <w:br/>
        <w:t>244.  Los candidatos a alcaldes, vicealcaldes y  concejales  propuestos  por</w:t>
        <w:br/>
        <w:t>YATAMA, así como esta organización, incurrieron en diversos  gastos  durante</w:t>
        <w:br/>
        <w:t>la campaña electoral antes de que el Consejo Supremo Electoral decidiera  no</w:t>
        <w:br/>
        <w:t>inscribir a esos candidatos.  Los miembros de las comunidades  de  la  Costa</w:t>
        <w:br/>
        <w:t>Atlántica que eligieron en asambleas a  los  candidatos  realizaron  aportes</w:t>
        <w:br/>
        <w:t>materiales para la participación de éstos.  En el presente caso, se  excluyó</w:t>
        <w:br/>
        <w:t>a los  candidatos  propuestos  por  YATAMA  de  participar  en  la  elección</w:t>
        <w:br/>
        <w:t>mediante decisiones violatorias de  la  Convención.   Como  consecuencia  de</w:t>
        <w:br/>
        <w:t>ello, merecen una indemnización  por  concepto  de  daño  material  por  los</w:t>
        <w:br/>
        <w:t>gastos en que incurrieron, para lo cual se toman en cuenta los  comprobantes</w:t>
        <w:br/>
        <w:t>aportados por los representantes, diversos testimonios allegados a la  Corte</w:t>
        <w:br/>
        <w:t>y lo señalado por la perito María Dolores  Álvarez  Arzate  respecto  de  la</w:t>
        <w:br/>
        <w:t>tradición oral de  las comunidades indígenas.</w:t>
        <w:br/>
        <w:br/>
        <w:t>245.  La Corte no  fijará  indemnización  por  concepto  de  lucro  cesante,</w:t>
        <w:br/>
        <w:t>relacionado con la omisión de actividades laborales  o  económicas,  que  no</w:t>
        <w:br/>
        <w:t>tiene un nexo causal con las violaciones declaradas.</w:t>
        <w:br/>
        <w:br/>
        <w:t>246.  En cuanto al daño inmaterial ocasionado a los candidatos,  es  preciso</w:t>
        <w:br/>
        <w:t>tomar en consideración que ser propuesto como candidato para  participar  en</w:t>
        <w:br/>
        <w:t>un proceso electoral reviste una especial importancia y constituye  un  gran</w:t>
        <w:br/>
        <w:t>honor entre los miembros de las comunidades indígenas y étnicas de la  Costa</w:t>
        <w:br/>
        <w:t>Atlántica.  Quienes  asumen  una  candidatura  deben  demostrar   capacidad,</w:t>
        <w:br/>
        <w:t>honestidad  y  compromiso  con  la  defensa  de  las  necesidades   de   las</w:t>
        <w:br/>
        <w:t>comunidades,  y  adquieren  la  gran  responsabilidad  de  representar   los</w:t>
        <w:br/>
        <w:t>intereses de éstas.  El  testigo  John  Alex  Delio  Bans  expresó  que  los</w:t>
        <w:br/>
        <w:t>candidatos se sintieron discriminados, puesto que  no  pudieron  ejercer  su</w:t>
        <w:br/>
        <w:t>derecho a ser elegidos.  La testigo Anicia Matamoros de Marly señaló que  se</w:t>
        <w:br/>
        <w:t>“desmorali[zó y sintió] que si toda la vida [habían sido] excluidos[, …]  de</w:t>
        <w:br/>
        <w:t>nuevo [l]os estaban excluyendo”; las comunidades “estaba[n] casi culpando  a</w:t>
        <w:br/>
        <w:t>los líderes, [porque pensaban] que habían hecho pacto”.  En sentido  similar</w:t>
        <w:br/>
        <w:t>declararon el testigo Eklan James Molina y la perito María  Dolores  Álvarez</w:t>
        <w:br/>
        <w:t>Arzate.</w:t>
        <w:br/>
        <w:br/>
        <w:br/>
        <w:t>247.  La Corte pondera esas particularidades al  evaluar  la  insatisfacción</w:t>
        <w:br/>
        <w:t>que los candidatos sintieron al verse indebidamente excluidos de  participar</w:t>
        <w:br/>
        <w:t>en las elecciones y representar a sus comunidades.  Este sentimiento se  vio</w:t>
        <w:br/>
        <w:t>acentuado por el hecho de que el Consejo  Supremo  Electoral  no  fundamentó</w:t>
        <w:br/>
        <w:t>las razones por las que los candidatos propuestos por YATAMA no  podían  ser</w:t>
        <w:br/>
        <w:t>inscritos, lo cual provocó que las comunidades no  entendieran  los  motivos</w:t>
        <w:br/>
        <w:t>que excluían a sus candidatos. Estos se sintieron impotentes  para  dar  una</w:t>
        <w:br/>
        <w:t>explicación a sus comunidades y consideraron que la exclusión obedecía a  su</w:t>
        <w:br/>
        <w:t>condición de miembros de comunidades indígenas.</w:t>
        <w:br/>
        <w:br/>
        <w:t>248.  Con base en las  anteriores  consideraciones,  el  Tribunal  fija,  en</w:t>
        <w:br/>
        <w:t>equidad, la cantidad de US$ 80.000,00 (ochenta mil dólares  de  los  Estados</w:t>
        <w:br/>
        <w:t>Unidos  de  América)  o  su  equivalente  en   moneda   nicaragüense,   como</w:t>
        <w:br/>
        <w:t>indemnización por concepto de los referidos daños material e inmaterial,  la</w:t>
        <w:br/>
        <w:t>cual deberá ser entregada a la organización YATAMA, que deberá  distribuirla</w:t>
        <w:br/>
        <w:t>según corresponda.</w:t>
        <w:br/>
        <w:br/>
        <w:br/>
        <w:t xml:space="preserve">                        c) Otras Formas de Reparación</w:t>
        <w:br/>
        <w:t xml:space="preserve">           (Medidas de Satisfacción y Garantías de No Repetición)</w:t>
        <w:br/>
        <w:br/>
        <w:t>249.  Alegatos de la Comisión</w:t>
        <w:br/>
        <w:br/>
        <w:t>Solicitó a la Corte que ordene al Estado que:</w:t>
        <w:br/>
        <w:br/>
        <w:br/>
        <w:t xml:space="preserve">      a)    otorgue un reconocimiento público a los candidatos  a  alcaldes,</w:t>
        <w:br/>
        <w:t xml:space="preserve">      vicealcaldes y concejales presentados por el partido político regional</w:t>
        <w:br/>
        <w:t xml:space="preserve">      indígena YATAMA para las elecciones municipales del 5 de noviembre  de</w:t>
        <w:br/>
        <w:t xml:space="preserve">      2000 en la RAAN y en la RAAS, a través de un acto simbólico,  acordado</w:t>
        <w:br/>
        <w:t xml:space="preserve">      previamente con las víctimas y sus representantes;</w:t>
        <w:br/>
        <w:br/>
        <w:br/>
        <w:t xml:space="preserve">      b)    adopte en su derecho interno las  medidas  que  sean  necesarias</w:t>
        <w:br/>
        <w:t xml:space="preserve">      para crear un recurso  efectivo  y  sencillo  de  impugnación  de  las</w:t>
        <w:br/>
        <w:t xml:space="preserve">      resoluciones del Consejo Supremo Electoral, sin limitaciones  respecto</w:t>
        <w:br/>
        <w:t xml:space="preserve">      a la materia recurrida;</w:t>
        <w:br/>
        <w:br/>
        <w:br/>
        <w:t xml:space="preserve">      c)    adopte las medidas legislativas, administrativas y de  cualquier</w:t>
        <w:br/>
        <w:t xml:space="preserve">      otro carácter que sean necesarias para garantizar la participación  de</w:t>
        <w:br/>
        <w:t xml:space="preserve">      los pueblos indígenas de  la  Costa  Atlántica  de  Nicaragua  en  los</w:t>
        <w:br/>
        <w:t xml:space="preserve">      procesos electorales,  de  acuerdo  con  su  derecho  consuetudinario,</w:t>
        <w:br/>
        <w:t xml:space="preserve">      valores, usos y costumbres; y</w:t>
        <w:br/>
        <w:br/>
        <w:t xml:space="preserve">      d)    adopte las medidas necesarias para evitar que en  el  futuro  se</w:t>
        <w:br/>
        <w:t xml:space="preserve">      produzcan hechos similares.</w:t>
        <w:br/>
        <w:br/>
        <w:br/>
        <w:t>250.  Alegatos de los representantes de las víctimas</w:t>
        <w:br/>
        <w:br/>
        <w:t>Solicitaron a la Corte que ordene al Estado que:</w:t>
        <w:br/>
        <w:br/>
        <w:t xml:space="preserve">      a)    reconozca públicamente su responsabilidad  por  las  violaciones</w:t>
        <w:br/>
        <w:t xml:space="preserve">      cometidas, lo cual  debe  realizarse  en  forma  oral,  traducirse  al</w:t>
        <w:br/>
        <w:t xml:space="preserve">      miskito, sumo rama e inglés y ser publicado y  distribuido  entre  las</w:t>
        <w:br/>
        <w:t xml:space="preserve">      comunidades indígenas de la Costa Atlántica;</w:t>
        <w:br/>
        <w:br/>
        <w:br/>
        <w:t xml:space="preserve">      b)    contrate un espacio radial en donde reconozca  públicamente  las</w:t>
        <w:br/>
        <w:t xml:space="preserve">      violaciones a los derechos humanos cometidas, se comprometa  a  evitar</w:t>
        <w:br/>
        <w:t xml:space="preserve">      que se repitan y lea “los hechos y la parte conclusiva de la sentencia</w:t>
        <w:br/>
        <w:t xml:space="preserve">      que dicte la Corte”, y “destine un  fondo  para  que  las  comunidades</w:t>
        <w:br/>
        <w:t xml:space="preserve">      puedan difundir el contenido de esta  publicación  en  los  diferentes</w:t>
        <w:br/>
        <w:t xml:space="preserve">      idiomas […] a través de medios radiales”;</w:t>
        <w:br/>
        <w:br/>
        <w:br/>
        <w:t xml:space="preserve">      c)    publique la sentencia de la Corte en los dos  diarios  de  mayor</w:t>
        <w:br/>
        <w:t xml:space="preserve">      circulación del país y en el Diario Oficial de Nicaragua;</w:t>
        <w:br/>
        <w:br/>
        <w:br/>
        <w:t xml:space="preserve">      d)    modifique los requisitos para participar en las  elecciones  con</w:t>
        <w:br/>
        <w:t xml:space="preserve">      el propósito de asegurar que las comunidades indígenas puedan  acceder</w:t>
        <w:br/>
        <w:t xml:space="preserve">      a  cargos  públicos  a  través  de  sus  representantes,  elegidos  de</w:t>
        <w:br/>
        <w:t xml:space="preserve">      conformidad  con  su  derecho   consuetudinario,   usos,   valores   y</w:t>
        <w:br/>
        <w:t xml:space="preserve">      costumbres;</w:t>
        <w:br/>
        <w:br/>
        <w:br/>
        <w:t xml:space="preserve">      e)    modifique su legislación interna  para  que  las  organizaciones</w:t>
        <w:br/>
        <w:t xml:space="preserve">      puedan presentar candidatos en las zonas en las que están asentadas;</w:t>
        <w:br/>
        <w:br/>
        <w:br/>
        <w:t xml:space="preserve">      f)    adopte medidas legislativas que “asegur[en] la representación de</w:t>
        <w:br/>
        <w:t xml:space="preserve">      las comunidades indígenas en las distintas estructuras de  poder”,  en</w:t>
        <w:br/>
        <w:t xml:space="preserve">      consulta  con  dichas  comunidades  y  respetando   sus    formas   de</w:t>
        <w:br/>
        <w:t xml:space="preserve">      organización. El Estado debe establecer circunscripciones  electorales</w:t>
        <w:br/>
        <w:t xml:space="preserve">      que tomen en cuenta los territorios  indígenas,  y  fijar  una  “cuota</w:t>
        <w:br/>
        <w:t xml:space="preserve">      étnica” a favor de los pueblos indígenas en la Asamblea Legislativa;</w:t>
        <w:br/>
        <w:br/>
        <w:t xml:space="preserve">      g)     adopte  medidas  afirmativas  con  el  objeto  de  fomentar   y</w:t>
        <w:br/>
        <w:t xml:space="preserve">      garantizar la participación política de los pueblos indígenas,  previa</w:t>
        <w:br/>
        <w:t xml:space="preserve">      consulta con éstos;</w:t>
        <w:br/>
        <w:br/>
        <w:br/>
        <w:t xml:space="preserve">      h)    dicte medidas que permitan  que  las  resoluciones  del  Consejo</w:t>
        <w:br/>
        <w:t xml:space="preserve">      Supremo  Electoral  sean  recurridas  ante  un  órgano  judicial,  sin</w:t>
        <w:br/>
        <w:t xml:space="preserve">      considerar si se trata o no de materia electoral; e</w:t>
        <w:br/>
        <w:br/>
        <w:br/>
        <w:t xml:space="preserve">      i)    cree “una Secretaría para Asuntos  Indígenas  a  través  de  una</w:t>
        <w:br/>
        <w:t xml:space="preserve">      ley[,] que debe estar encargada de hacer frente a las  necesidades  de</w:t>
        <w:br/>
        <w:t xml:space="preserve">      este sector de la  población  y  cuyo  titular  debe  ser  elegido  en</w:t>
        <w:br/>
        <w:t xml:space="preserve">      consulta con las comunidades”.</w:t>
        <w:br/>
        <w:br/>
        <w:br/>
        <w:t>251.  Alegatos del Estado:</w:t>
        <w:br/>
        <w:br/>
        <w:t xml:space="preserve">      a)    se opone a que se  ordenen  garantías  de  no  repetición,  pues</w:t>
        <w:br/>
        <w:t xml:space="preserve">      “mientras estén vigentes la Constitución Política y la  Ley  Electoral</w:t>
        <w:br/>
        <w:t xml:space="preserve">      los procesos electorales deberán ajustarse a dichas leyes”;</w:t>
        <w:br/>
        <w:br/>
        <w:t xml:space="preserve">      b)    no acepta la pretensión de que se adopten “medidas especiales de</w:t>
        <w:br/>
        <w:t xml:space="preserve">      protección” a favor de los indígenas organizados en  YATAMA  para  que</w:t>
        <w:br/>
        <w:t xml:space="preserve">      participen en las elecciones municipales, de acuerdo con  sus  usos  y</w:t>
        <w:br/>
        <w:t xml:space="preserve">      costumbres; y</w:t>
        <w:br/>
        <w:br/>
        <w:t xml:space="preserve">      c)    la Ley Electoral, “como otras leyes[,] tiene que reformarse”. El</w:t>
        <w:br/>
        <w:t xml:space="preserve">      Estado está en “el proceso de modificar y perfeccionar las  leyes”,  y</w:t>
        <w:br/>
        <w:t xml:space="preserve">      es  posible  que  se  pueda  “encontrar  un  método  de  acuerdo   con</w:t>
        <w:br/>
        <w:t xml:space="preserve">      recomendaciones que  los  organismos  internacionales”  realicen  para</w:t>
        <w:br/>
        <w:t xml:space="preserve">      “flexibilizar la ley”, con el fin de “que  la  participación  sea  más</w:t>
        <w:br/>
        <w:t xml:space="preserve">      efectiva, especialmente cuando se refiere a las regiones  alejadas  de</w:t>
        <w:br/>
        <w:t xml:space="preserve">      la capital”.</w:t>
        <w:br/>
        <w:br/>
        <w:br/>
        <w:t>Consideraciones de la Corte</w:t>
        <w:br/>
        <w:br/>
        <w:t>a)    Publicidad de esta Sentencia</w:t>
        <w:br/>
        <w:br/>
        <w:t>252.  Como lo ha ordenado en otras ocasiones[186], la Corte dispone  que  el</w:t>
        <w:br/>
        <w:t>Estado publique en el Diario Oficial y en otro diario de amplia  circulación</w:t>
        <w:br/>
        <w:t>nacional, al menos una vez, el capítulo VII (Hechos Probados), los  párrafos</w:t>
        <w:br/>
        <w:t>153, 154, 157 a 160, 162, 164, 173, 175, 176, 212, 218, 219, 221, 223,  224,</w:t>
        <w:br/>
        <w:t>226 y 227, que corresponden a los capítulos IX y  X  sobre  las  violaciones</w:t>
        <w:br/>
        <w:t>declaradas por la Corte, y los puntos resolutivos de la presente  Sentencia.</w:t>
        <w:br/>
        <w:t xml:space="preserve"> En la publicación se deben incluir los títulos de los referidos  capítulos.</w:t>
        <w:br/>
        <w:t>El fallo se deberá  publicar  íntegramente  en  el  sitio  web  oficial  del</w:t>
        <w:br/>
        <w:t>Estado.  Para estas publicaciones se fija plazo de un año, a  partir  de  la</w:t>
        <w:br/>
        <w:t>notificación de la presente Sentencia.</w:t>
        <w:br/>
        <w:br/>
        <w:t>253.   La  Corte  toma  en  cuenta  que  “las  comunidades  usan  la   radio</w:t>
        <w:br/>
        <w:t>comunitaria como medio informativo”, por lo que considera necesario  que  el</w:t>
        <w:br/>
        <w:t>Estado de publicidad, a través de una emisora radial de amplia cobertura  en</w:t>
        <w:br/>
        <w:t>la Costa Atlántica, a los párrafos 124.11, 124.20, 124.28,  124.31,  124.32,</w:t>
        <w:br/>
        <w:t>124.39,  124.40,  124.46,  124.51,  124.62,  124.68,  124.70  y  124.71  del</w:t>
        <w:br/>
        <w:t>capítulo VII (Hechos Probados), los párrafos 153, 154, 157 a 160, 162,  164,</w:t>
        <w:br/>
        <w:t>173, 175, 176, 212, 218, 219, 221, 223, 224, 226 y 227  que  corresponden  a</w:t>
        <w:br/>
        <w:t>los capítulos IX y X sobre las violaciones declaradas por la  Corte,  y  los</w:t>
        <w:br/>
        <w:t>puntos resolutivos de la presente Sentencia, lo cual  deberá  efectuarse  en</w:t>
        <w:br/>
        <w:t>español, miskito,  sumo,  rama  e  inglés.   La  transmisión  radial  deberá</w:t>
        <w:br/>
        <w:t>efectuarse al menos en cuatro ocasiones con  un  intervalo  de  dos  semanas</w:t>
        <w:br/>
        <w:t>entre cada una.  Para ello, el  Estado  cuenta  con  el  plazo  de  un  año,</w:t>
        <w:br/>
        <w:t>contado a partir de la notificación de la presente Sentencia.</w:t>
        <w:br/>
        <w:br/>
        <w:t>b)    Adopción de medidas legislativas para establecer un  recurso  judicial</w:t>
        <w:br/>
        <w:t>sencillo, rápido y  efectivo  contra  las  decisiones  del  Consejo  Supremo</w:t>
        <w:br/>
        <w:t>Electoral</w:t>
        <w:br/>
        <w:br/>
        <w:t>254.  Tomando en cuenta la  declaración  de  esta  Sentencia  acerca  de  la</w:t>
        <w:br/>
        <w:t>violación del artículo 25.1 de la Convención, en relación con los  artículos</w:t>
        <w:br/>
        <w:t>1.1 y 2 de la misma, se requiere al Estado que adopte, dentro  de  un  plazo</w:t>
        <w:br/>
        <w:t>razonable, las medidas legislativas necesarias para  establecer  un  recurso</w:t>
        <w:br/>
        <w:t>judicial sencillo, rápido y efectivo que permita  controlar  las  decisiones</w:t>
        <w:br/>
        <w:t>del Consejo Supremo Electoral que afecten derechos humanos, tales  como  los</w:t>
        <w:br/>
        <w:t>derechos  políticos,  con   observancia   de   las   garantías   legales   y</w:t>
        <w:br/>
        <w:t>convencionales  respectivas,  y  derogue   las   normas   que   impidan   la</w:t>
        <w:br/>
        <w:t>interposición de ese recurso.</w:t>
        <w:br/>
        <w:br/>
        <w:t>255.  Dicho recurso debe  ser  sencillo  y  rápido,  tomando  en  cuenta  la</w:t>
        <w:br/>
        <w:t>necesidad de que la decisión definitiva  se  produzca  oportunamente  dentro</w:t>
        <w:br/>
        <w:t>del calendario electoral (supra párrs. 150 y 175).</w:t>
        <w:br/>
        <w:br/>
        <w:br/>
        <w:t>c)    Reformas a la Ley Electoral No. 331 de 2000 y otras medidas</w:t>
        <w:br/>
        <w:br/>
        <w:t>256.  La Corte toma nota del reconocimiento realizado por el  Estado  en  la</w:t>
        <w:br/>
        <w:t>audiencia pública respecto de la necesidad que existe  de  reformar  la  Ley</w:t>
        <w:br/>
        <w:t>Electoral No. 331 de 2000 y de su disposición favorable a  la  recepción  de</w:t>
        <w:br/>
        <w:t>aportes para ese fin (supra párr. 210). Esta  actitud  podrá  constituir  un</w:t>
        <w:br/>
        <w:t>elemento positivo para el cumplimiento de las  obligaciones  fijadas  en  la</w:t>
        <w:br/>
        <w:t>presente Sentencia.</w:t>
        <w:br/>
        <w:br/>
        <w:t>257.  Con respecto a la alegación  del  Estado  en  el  sentido  de  que  la</w:t>
        <w:br/>
        <w:t>reforma “requeriría sacar 60% de los votos” y de que en  noviembre  de  2006</w:t>
        <w:br/>
        <w:t>habrá elecciones y al estar “en un proceso electoral[,] es  difícil  cambiar</w:t>
        <w:br/>
        <w:t>las reglas del juego”, la Corte recuerda que los Estados no  pueden  invocar</w:t>
        <w:br/>
        <w:t>las disposiciones del derecho interno para justificar el  incumplimiento  de</w:t>
        <w:br/>
        <w:t>obligaciones internacionales[187].</w:t>
        <w:br/>
        <w:br/>
        <w:t>258.  Para atender los requerimientos del principio  de  legalidad  en  esta</w:t>
        <w:br/>
        <w:t>materia (supra párr. 212), el Estado debe reformar la Ley Electoral No.  331</w:t>
        <w:br/>
        <w:t>de  2000  de  manera  que  regule  con  claridad   las   consecuencias   del</w:t>
        <w:br/>
        <w:t>incumplimiento  de  los   requisitos   de   participación   electoral,   los</w:t>
        <w:br/>
        <w:t>procedimientos que debe observar el Consejo Supremo Electoral al  determinar</w:t>
        <w:br/>
        <w:t>tal incumplimiento y las  decisiones  fundamentadas  que  al  respecto  debe</w:t>
        <w:br/>
        <w:t>adoptar  dicho  Consejo,  así  como  los  derechos  de  las  personas   cuya</w:t>
        <w:br/>
        <w:t>participación se vea afectada por una decisión del Estado.</w:t>
        <w:br/>
        <w:br/>
        <w:t>259.  El Estado debe reformar la regulación de los requisitos dispuestos  en</w:t>
        <w:br/>
        <w:t>la Ley Electoral No. 331 de 2000 declarados  violatorios  de  la  Convención</w:t>
        <w:br/>
        <w:t>(supra párrs. 214, 218 a 221 y 223) y adoptar, en un  plazo  razonable,  las</w:t>
        <w:br/>
        <w:t>medidas necesarias para que los integrantes de las comunidades  indígenas  y</w:t>
        <w:br/>
        <w:t>étnicas puedan participar en los procesos electorales en  forma  efectiva  y</w:t>
        <w:br/>
        <w:t>tomando en cuenta sus tradiciones, usos y costumbres,  en  el  marco  de  la</w:t>
        <w:br/>
        <w:t>sociedad democrática.  Los requisitos que se establezcan  deben  permitir  y</w:t>
        <w:br/>
        <w:t>fomentar  que  los  miembros   de   esas   comunidades   cuenten   con   una</w:t>
        <w:br/>
        <w:t>representación adecuada que  les  permita  intervenir  en  los  procesos  de</w:t>
        <w:br/>
        <w:t>decisión sobre las cuestiones nacionales, que conciernen a  la  sociedad  en</w:t>
        <w:br/>
        <w:t>su conjunto, y los asuntos particulares que  atañen  a  dichas  comunidades,</w:t>
        <w:br/>
        <w:t>por lo que dichos  requisitos  no  deberán  constituir  obstáculos  a  dicha</w:t>
        <w:br/>
        <w:t>participación política.</w:t>
        <w:br/>
        <w:br/>
        <w:t>260.  Finalmente, la Corte estima que la presente Sentencia constituye,  per</w:t>
        <w:br/>
        <w:t>se, una forma de reparación[188].</w:t>
        <w:br/>
        <w:br/>
        <w:t xml:space="preserve">                            D)    Costas y Gastos</w:t>
        <w:br/>
        <w:br/>
        <w:t>261.  Alegatos de la Comisión</w:t>
        <w:br/>
        <w:br/>
        <w:t>Solicitó a la Corte que ordene al Estado “el pago de las  costas  originadas</w:t>
        <w:br/>
        <w:t>a nivel nacional en la tramitación de los procesos judiciales  seguidos  por</w:t>
        <w:br/>
        <w:t>las víctimas o  sus  representantes  en  el  fuero  interno,  así  como  las</w:t>
        <w:br/>
        <w:t>originadas a  nivel  internacional  en  la  tramitación  del  caso  ante  la</w:t>
        <w:br/>
        <w:t>Comisión y las que se originaran como consecuencia de la tramitación  de  la</w:t>
        <w:br/>
        <w:t>[…] demanda ante la Honorable Corte”, correspondiendo “a la  Corte  apreciar</w:t>
        <w:br/>
        <w:t>prudentemente [su] alcance”.</w:t>
        <w:br/>
        <w:br/>
        <w:t>262.  Alegatos de los representantes de las víctimas</w:t>
        <w:br/>
        <w:br/>
        <w:t xml:space="preserve">      Solicitaron a la Corte que ordene al Estado reintegrar:</w:t>
        <w:br/>
        <w:br/>
        <w:br/>
        <w:t xml:space="preserve">      a)    “a cada uno  de  los  candidatos  excluidos  de  las  elecciones</w:t>
        <w:br/>
        <w:t xml:space="preserve">      municipales todos los gastos en los cuales incurrieron dentro  de  sus</w:t>
        <w:br/>
        <w:t xml:space="preserve">      procesos de consulta de sus comunidades”;</w:t>
        <w:br/>
        <w:br/>
        <w:br/>
        <w:t xml:space="preserve">      b)    US$ 61.222,04 (sesenta y un mil doscientos veintidós dólares  de</w:t>
        <w:br/>
        <w:t xml:space="preserve">      los Estados Unidos  de  América,  con  cuatro  centavos)  a  favor  de</w:t>
        <w:br/>
        <w:t xml:space="preserve">      YATAMA[189], por  los  gastos  en  que  incurrió  a  nivel  interno  e</w:t>
        <w:br/>
        <w:t xml:space="preserve">      internacional,  con  la  presentación  de  “los   recursos   a   nivel</w:t>
        <w:br/>
        <w:t xml:space="preserve">      administrativo ante el propio [Consejo Supremo Electoral]  y  ante  la</w:t>
        <w:br/>
        <w:t xml:space="preserve">      vía judicial en el Tribunal de  Apelaciones  y  la  Corte  Suprema  de</w:t>
        <w:br/>
        <w:t xml:space="preserve">      Justicia”, así como en las diversas reuniones que ha  debido  realizar</w:t>
        <w:br/>
        <w:t xml:space="preserve">      en la RAAN y en  la  RAAS  con  el  fin  de  “congregar  a  todos  sus</w:t>
        <w:br/>
        <w:t xml:space="preserve">      candidatos y planificar las mejores estrategias para  el  litigio  del</w:t>
        <w:br/>
        <w:t xml:space="preserve">      caso a nivel interno y  a  nivel  internacional  [y]  explicarles  los</w:t>
        <w:br/>
        <w:t xml:space="preserve">      avances  del  mismo”.   YATAMA  también   incurrió   en   los   gastos</w:t>
        <w:br/>
        <w:t xml:space="preserve">      relacionados con “la  elaboración  de  los  affidávit  y  los  poderes</w:t>
        <w:br/>
        <w:t xml:space="preserve">      presentados [a la] Corte”, así como con “el transporte y la estadía de</w:t>
        <w:br/>
        <w:t xml:space="preserve">      algunas de las personas presentadas como  testigos  en  la  audiencia”</w:t>
        <w:br/>
        <w:t xml:space="preserve">      ante la Corte;</w:t>
        <w:br/>
        <w:br/>
        <w:br/>
        <w:t xml:space="preserve">      c)    US$ 13.137,99 (trece mil ciento treinta y siete dólares  de  los</w:t>
        <w:br/>
        <w:t xml:space="preserve">      Estados Unidos de América, con noventa y nueve centavos)  a  favor  de</w:t>
        <w:br/>
        <w:t xml:space="preserve">      CENIDH[190] por los gastos incurridos en el proceso internacional; y</w:t>
        <w:br/>
        <w:br/>
        <w:br/>
        <w:t xml:space="preserve">      d)    US$ 34.178,91 (treinta  y  cuatro  mil  ciento  setenta  y  ocho</w:t>
        <w:br/>
        <w:t xml:space="preserve">      dólares de los Estados Unidos de América, con noventa y un centavos) a</w:t>
        <w:br/>
        <w:t xml:space="preserve">      favor  de  CEJIL[191]  por  los  gastos  incurridos  en   el   proceso</w:t>
        <w:br/>
        <w:t xml:space="preserve">      internacional.</w:t>
        <w:br/>
        <w:br/>
        <w:t>263.  Alegatos del Estado</w:t>
        <w:br/>
        <w:br/>
        <w:t>El Estado objetó el pago de costas y gastos a  favor  de  YATAMA  y  de  sus</w:t>
        <w:br/>
        <w:t>representantes, pues se trata de “una demanda sin fundamento legal”.</w:t>
        <w:br/>
        <w:br/>
        <w:br/>
        <w:t>Consideraciones de la Corte</w:t>
        <w:br/>
        <w:br/>
        <w:t>264.  La Corte ha establecido que las costas  y  gastos  están  comprendidos</w:t>
        <w:br/>
        <w:t>dentro del concepto de reparación consagrado  en  el  artículo  63.1  de  la</w:t>
        <w:br/>
        <w:t>Convención Americana[192]. Corresponde al  Tribunal  apreciar  prudentemente</w:t>
        <w:br/>
        <w:t>el  alcance  de  aquéllos,  considerando  los  gastos  generados  ante   las</w:t>
        <w:br/>
        <w:t>jurisdicciones  interna  e  interamericana,  y   teniendo   en   cuenta   la</w:t>
        <w:br/>
        <w:t>acreditación de los gastos hechos, las circunstancias del  caso  concreto  y</w:t>
        <w:br/>
        <w:t>la  naturaleza  de  la  jurisdicción  internacional  de  protección  de  los</w:t>
        <w:br/>
        <w:t>derechos humanos.  Esta apreciación puede  ser  realizada  con  base  en  la</w:t>
        <w:br/>
        <w:t>equidad[193].</w:t>
        <w:br/>
        <w:br/>
        <w:t>265.  La  organización  YATAMA  incurrió  en  gastos  directamente  por  las</w:t>
        <w:br/>
        <w:t>gestiones efectuadas en representación de las víctimas en el ámbito  interno</w:t>
        <w:br/>
        <w:t>e incurrió en algunos gastos en el proceso ante  el  sistema  interamericano</w:t>
        <w:br/>
        <w:t>de  protección  de  los  derechos  humanos.   Asimismo,   CENIDH   y   CEJIL</w:t>
        <w:br/>
        <w:t>incurrieron en gastos al representar a las presuntas víctimas en el  proceso</w:t>
        <w:br/>
        <w:t>internacional.  Por ello, el Tribunal estima equitativo  ordenar  al  Estado</w:t>
        <w:br/>
        <w:t>que reintegre la cantidad de  US$  15.000,00  (quince  mil  dólares  de  los</w:t>
        <w:br/>
        <w:t>Estados Unidos de América) o su equivalente  en  moneda  nicaragüense  a  la</w:t>
        <w:br/>
        <w:t>organización YATAMA por concepto de las costas y gastos, la  cual  entregará</w:t>
        <w:br/>
        <w:t>a CENIDH y CEJIL la parte que corresponda para compensar  gastos  sufragados</w:t>
        <w:br/>
        <w:t>por éstas.</w:t>
        <w:br/>
        <w:br/>
        <w:br/>
        <w:t xml:space="preserve">                       E)    Modalidad de Cumplimiento</w:t>
        <w:br/>
        <w:br/>
        <w:t>266.  El Estado cubrirá la indemnización por concepto de  daños  material  e</w:t>
        <w:br/>
        <w:t>inmaterial (supra párr. 248), el reintegro de costas y gastos  (supra  párr.</w:t>
        <w:br/>
        <w:t>265) y adoptará las medidas de publicidad dispuestas  por  la  Corte  (supra</w:t>
        <w:br/>
        <w:t>párrs. 252 y 253) dentro del plazo  de  un  año,  contado  a  partir  de  la</w:t>
        <w:br/>
        <w:t>notificación de esta Sentencia.</w:t>
        <w:br/>
        <w:br/>
        <w:t>267.  Nicaragua deberá implementar las medidas de reparación relativas a  la</w:t>
        <w:br/>
        <w:t>creación de un recurso judicial  sencillo,  rápido  y  efectivo  contra  las</w:t>
        <w:br/>
        <w:t>decisiones del Consejo Supremo Electoral (supra  párrs.   254  y  255),  las</w:t>
        <w:br/>
        <w:t>reformas a la Ley Electoral No. 331 de 2000 (supra párrs. 258 y  259),  y  a</w:t>
        <w:br/>
        <w:t>la  adopción  de  las  medidas  necesarias  para  garantizar  los   derechos</w:t>
        <w:br/>
        <w:t>políticos de los miembros de las  comunidades  indígenas  y  étnicas  de  la</w:t>
        <w:br/>
        <w:t>Costa Atlántica (supra párr. 259), dentro de un plazo razonable.</w:t>
        <w:br/>
        <w:br/>
        <w:t>268.  El Estado deberá  cumplir  sus  obligaciones  de  carácter  pecuniario</w:t>
        <w:br/>
        <w:t>mediante el  pago  en  dólares  de  los  Estados  Unidos  de  América  o  su</w:t>
        <w:br/>
        <w:t>equivalente en moneda nicaragüense, utilizando para  el  cálculo  respectivo</w:t>
        <w:br/>
        <w:t>el tipo de cambio vigente en la plaza  de  Nueva  York,  Estados  Unidos  de</w:t>
        <w:br/>
        <w:t>América, el día anterior al pago.</w:t>
        <w:br/>
        <w:br/>
        <w:t>269.  El  pago  de  la  indemnización  por  concepto  de  daños  material  e</w:t>
        <w:br/>
        <w:t>inmaterial  establecida  en  esta  Sentencia  se  deberá   entregar   a   la</w:t>
        <w:br/>
        <w:t>organización YATAMA, que deberá distribuirla según corresponda (supra  párr.</w:t>
        <w:br/>
        <w:t>248).</w:t>
        <w:br/>
        <w:br/>
        <w:t>270.  El pago correspondiente al reintegro de las costas generadas  por  las</w:t>
        <w:br/>
        <w:t>gestiones realizadas por YATAMA, CENIDH y CEJIL  en  el  trámite  interno  y</w:t>
        <w:br/>
        <w:t>ante el sistema interamericano de protección de los  derechos  humanos  será</w:t>
        <w:br/>
        <w:t>hecho a favor de la organización YATAMA, según lo dispuesto  en  el  párrafo</w:t>
        <w:br/>
        <w:t>265 de la presente Sentencia.</w:t>
        <w:br/>
        <w:br/>
        <w:t>271.  Las cantidades asignadas en la presente Sentencia bajo  los  conceptos</w:t>
        <w:br/>
        <w:t>de indemnización por daños material e inmaterial y por reintegro  de  costas</w:t>
        <w:br/>
        <w:t>y gastos, no podrán ser  afectadas  o  condicionadas  por  motivos  fiscales</w:t>
        <w:br/>
        <w:t>actuales  o  futuros.   En  consecuencia,  deberán  ser  entregadas   a   la</w:t>
        <w:br/>
        <w:t>organización YATAMA en forma íntegra  conforme  a  lo  establecido  en  esta</w:t>
        <w:br/>
        <w:t>Sentencia.</w:t>
        <w:br/>
        <w:br/>
        <w:t>272.  Si por causas atribuibles a la organización YATAMA  no  fuese  posible</w:t>
        <w:br/>
        <w:t>que ésta las  reciba  dentro  del  indicado  plazo  de  un  año,  el  Estado</w:t>
        <w:br/>
        <w:t>consignará los montos  a  favor  de  dicha  organización  en  una  cuenta  o</w:t>
        <w:br/>
        <w:t>certificado de depósito en una institución bancaria  nicaragüense  solvente,</w:t>
        <w:br/>
        <w:t>en dólares estadounidenses o su equivalente en moneda nicaragüense y en  las</w:t>
        <w:br/>
        <w:t>condiciones financieras más favorables que  permitan  la  legislación  y  la</w:t>
        <w:br/>
        <w:t>práctica bancarias de Nicaragua.  Si al cabo de 10 años la indemnización  no</w:t>
        <w:br/>
        <w:t>ha sido reclamada, la cantidad será devuelta al Estado,  con  los  intereses</w:t>
        <w:br/>
        <w:t>devengados.</w:t>
        <w:br/>
        <w:br/>
        <w:t>273.  En caso de que el Estado incurriera  en  mora,  deberá  pagar  interés</w:t>
        <w:br/>
        <w:t>sobre la cantidad adeudada, correspondiente al  interés  bancario  moratorio</w:t>
        <w:br/>
        <w:t>en Nicaragua.</w:t>
        <w:br/>
        <w:br/>
        <w:br/>
        <w:t>274.  Conforme a su práctica constante, la Corte  se  reserva  la  facultad,</w:t>
        <w:br/>
        <w:t>inherente a sus atribuciones y derivada, asimismo, del  artículo  65  de  la</w:t>
        <w:br/>
        <w:t>Convención Americana, de supervisar el cumplimiento íntegro de  la  presente</w:t>
        <w:br/>
        <w:t>Sentencia.  El caso se dará por concluido una vez que el  Estado  haya  dado</w:t>
        <w:br/>
        <w:t>cabal cumplimiento a lo dispuesto en el presente fallo.   Dentro  del  plazo</w:t>
        <w:br/>
        <w:t>de un año, contado a partir de la notificación de esta Sentencia,  Nicaragua</w:t>
        <w:br/>
        <w:t>deberá rendir a la Corte un informe sobre las  medidas  adoptadas  para  dar</w:t>
        <w:br/>
        <w:t>cumplimiento a esta Sentencia.</w:t>
        <w:br/>
        <w:br/>
        <w:t xml:space="preserve">                                     XII</w:t>
        <w:br/>
        <w:t xml:space="preserve">                             Puntos Resolutivos</w:t>
        <w:br/>
        <w:br/>
        <w:t>275.  Por tanto,</w:t>
        <w:br/>
        <w:br/>
        <w:br/>
        <w:t xml:space="preserve">      La Corte,</w:t>
        <w:br/>
        <w:br/>
        <w:br/>
        <w:t>Decide,</w:t>
        <w:br/>
        <w:br/>
        <w:t>Por unanimidad, que</w:t>
        <w:br/>
        <w:br/>
        <w:t>1.    Desestima las  cinco  excepciones  preliminares  interpuestas  por  el</w:t>
        <w:br/>
        <w:t>Estado, de conformidad con los párrafos 63 a 67, 71 a 73, 82 a 96  y  100  a</w:t>
        <w:br/>
        <w:t>103 de la presente Sentencia.</w:t>
        <w:br/>
        <w:br/>
        <w:t>Declara:</w:t>
        <w:br/>
        <w:br/>
        <w:t>Por siete votos contra uno, que</w:t>
        <w:br/>
        <w:br/>
        <w:t>2.    El Estado violó el derecho a las garantías  judiciales  consagrado  en</w:t>
        <w:br/>
        <w:t>el artículo 8.1 de  la  Convención  Americana  sobre  Derechos  Humanos,  en</w:t>
        <w:br/>
        <w:t>relación con el artículo 1.1 de la misma, en  perjuicio  de  los  candidatos</w:t>
        <w:br/>
        <w:t>propuestos por YATAMA para  participar  en  las  elecciones  municipales  de</w:t>
        <w:br/>
        <w:t>2000, en los términos de los párrafos 147 a 164 de la presente Sentencia.</w:t>
        <w:br/>
        <w:br/>
        <w:t>Disiente el Juez ad hoc Montiel Argüello.</w:t>
        <w:br/>
        <w:br/>
        <w:br/>
        <w:t>3.    El Estado violó el derecho a la protección judicial consagrado  en  el</w:t>
        <w:br/>
        <w:t>artículo  25.1  de  la  Convención  Americana  sobre  Derechos  Humanos,  en</w:t>
        <w:br/>
        <w:t>relación con los artículos 1.1  y  2  de  la  misma,  en  perjuicio  de  los</w:t>
        <w:br/>
        <w:t>candidatos  propuestos  por  YATAMA  para  participar  en   las   elecciones</w:t>
        <w:br/>
        <w:t>municipales de 2000, en los términos de  los  párrafos   165  a  176  de  la</w:t>
        <w:br/>
        <w:t>presente Sentencia.</w:t>
        <w:br/>
        <w:br/>
        <w:t>Disiente el Juez ad hoc Montiel Argüello.</w:t>
        <w:br/>
        <w:br/>
        <w:t>4.    El Estado violó los derechos políticos y  el  derecho  a  la  igualdad</w:t>
        <w:br/>
        <w:t>ante la ley consagrados en los artículos 23 y 24 de la Convención  Americana</w:t>
        <w:br/>
        <w:t>sobre Derechos Humanos, en relación con los artículos 1.1 y 2 de  la  misma,</w:t>
        <w:br/>
        <w:t>en perjuicio de los candidatos propuestos por YATAMA para participar en  las</w:t>
        <w:br/>
        <w:t>elecciones municipales de 2000, en los términos de los párrafos  201  a  229</w:t>
        <w:br/>
        <w:t>de la presente Sentencia.</w:t>
        <w:br/>
        <w:br/>
        <w:t>Disiente el Juez ad hoc Montiel Argüello.</w:t>
        <w:br/>
        <w:br/>
        <w:t>5.    Esta Sentencia constituye per se  una  forma  de  reparación,  en  los</w:t>
        <w:br/>
        <w:t>términos del párrafo 260 de la misma.</w:t>
        <w:br/>
        <w:br/>
        <w:t>Disiente el Juez ad hoc Montiel Argüello.</w:t>
        <w:br/>
        <w:br/>
        <w:t>Y Dispone:</w:t>
        <w:br/>
        <w:br/>
        <w:t>Por siete votos contra uno, que:</w:t>
        <w:br/>
        <w:br/>
        <w:t>6.    El Estado debe publicar, en el plazo de un año, en el  Diario  Oficial</w:t>
        <w:br/>
        <w:t>y en otro diario de amplia  circulación  nacional,  al  menos  una  vez,  el</w:t>
        <w:br/>
        <w:t>capítulo VII (Hechos Probados), los párrafos 153, 154, 157 a 160, 162,  164,</w:t>
        <w:br/>
        <w:t>173, 175, 176, 212, 218, 219, 221, 223, 224, 226 y 227, que  corresponden  a</w:t>
        <w:br/>
        <w:t>los capítulos IX y X sobre las violaciones declaradas por la  Corte,  y  los</w:t>
        <w:br/>
        <w:t>puntos resolutivos de la presente Sentencia, en  los  términos  del  párrafo</w:t>
        <w:br/>
        <w:t>252 de la misma.</w:t>
        <w:br/>
        <w:br/>
        <w:t>Disiente el Juez ad hoc Montiel Argüello.</w:t>
        <w:br/>
        <w:br/>
        <w:br/>
        <w:t>7.    El Estado debe publicar  íntegramente  la  presente  Sentencia  en  el</w:t>
        <w:br/>
        <w:t>sitio web oficial del Estado, en el plazo de un año,  en  los  términos  del</w:t>
        <w:br/>
        <w:t>párrafo 252 de la misma.</w:t>
        <w:br/>
        <w:br/>
        <w:t>Disiente el Juez ad hoc Montiel Argüello.</w:t>
        <w:br/>
        <w:br/>
        <w:br/>
        <w:t>8.    El Estado debe dar publicidad, a  través  de  una  emisora  radial  de</w:t>
        <w:br/>
        <w:t>amplia cobertura en la Costa Atlántica,  en  el  plazo  de  un  año,  a  los</w:t>
        <w:br/>
        <w:t>párrafos 124.11, 124.20, 124.28, 124.31,  124.32,  124.39,  124.40,  124.46,</w:t>
        <w:br/>
        <w:t>124.51, 124.62, 124.68, 124.70 y 124.71 del capítulo VII (Hechos  Probados),</w:t>
        <w:br/>
        <w:t>los párrafos 153, 154, 157 a 160, 162, 164, 173, 175, 176,  212,  218,  219,</w:t>
        <w:br/>
        <w:t>221, 223, 224, 226 y 227, que corresponden a los capítulos IX y X sobre  las</w:t>
        <w:br/>
        <w:t>violaciones declaradas  por  la  Corte,  y  los  puntos  resolutivos  de  la</w:t>
        <w:br/>
        <w:t>presente Sentencia, lo cual deberá efectuarse  en  español,  miskito,  sumo,</w:t>
        <w:br/>
        <w:t>rama e inglés, al menos en cuatro ocasiones con un intervalo de dos  semanas</w:t>
        <w:br/>
        <w:t>entre cada una, en los términos del párrafo 253 de la presente Sentencia.</w:t>
        <w:br/>
        <w:br/>
        <w:t>Disiente el Juez ad hoc Montiel Argüello.</w:t>
        <w:br/>
        <w:br/>
        <w:br/>
        <w:t>9.    El Estado debe adoptar, dentro de  un  plazo  razonable,  las  medidas</w:t>
        <w:br/>
        <w:t>legislativas  necesarias  para  establecer  un  recurso  judicial  sencillo,</w:t>
        <w:br/>
        <w:t>rápido y efectivo que permita controlar las decisiones del  Consejo  Supremo</w:t>
        <w:br/>
        <w:t>Electoral que afecten derechos humanos, tales como los  derechos  políticos,</w:t>
        <w:br/>
        <w:t>con observancia de las garantías legales  y  convencionales  respectivas,  y</w:t>
        <w:br/>
        <w:t>derogar las normas que impidan la  interposición  de  ese  recurso,  en  los</w:t>
        <w:br/>
        <w:t>términos de los párrafos 254 y 255 de la presente Sentencia.</w:t>
        <w:br/>
        <w:br/>
        <w:t>Disiente el Juez ad hoc Montiel Argüello.</w:t>
        <w:br/>
        <w:br/>
        <w:br/>
        <w:t>10.   El Estado debe reformar la Ley Electoral No. 331  de  2000  de  manera</w:t>
        <w:br/>
        <w:t>que  regule  con  claridad  las  consecuencias  del  incumplimiento  de  los</w:t>
        <w:br/>
        <w:t>requisitos de participación electoral, los procedimientos que debe  observar</w:t>
        <w:br/>
        <w:t>el  Consejo  Supremo  Electoral  al  determinar  tal  incumplimiento  y  las</w:t>
        <w:br/>
        <w:t>decisiones fundamentadas que al respecto debe  adoptar  dicho  Consejo,  así</w:t>
        <w:br/>
        <w:t>como los derechos de las personas cuya participación  se  vea  afectada  por</w:t>
        <w:br/>
        <w:t>una decisión del Estado, en los términos del  párrafo  258  de  la  presente</w:t>
        <w:br/>
        <w:t>Sentencia.</w:t>
        <w:br/>
        <w:br/>
        <w:t>Disiente el Juez ad hoc Montiel Argüello.</w:t>
        <w:br/>
        <w:br/>
        <w:br/>
        <w:t>11.   El Estado debe reformar la regulación de los requisitos dispuestos  en</w:t>
        <w:br/>
        <w:t>la Ley Electoral No. 331 de 2000 declarados  violatorios  de  la  Convención</w:t>
        <w:br/>
        <w:t>Americana sobre Derechos Humanos y  adoptar,  en  un  plazo  razonable,  las</w:t>
        <w:br/>
        <w:t>medidas necesarias para que los miembros  de  las  comunidades  indígenas  y</w:t>
        <w:br/>
        <w:t>étnicas puedan participar en los procesos electorales en  forma  efectiva  y</w:t>
        <w:br/>
        <w:t>tomando en cuenta sus tradiciones, usos y costumbres, en  los  términos  del</w:t>
        <w:br/>
        <w:t>párrafo 259 de la presente Sentencia.</w:t>
        <w:br/>
        <w:br/>
        <w:t>Disiente el Juez ad hoc Montiel Argüello.</w:t>
        <w:br/>
        <w:br/>
        <w:br/>
        <w:t>12.   El Estado debe pagar, por concepto de la indemnización por  los  daños</w:t>
        <w:br/>
        <w:t>material e inmaterial, la cantidad fijada en el párrafo 248 de  la  presente</w:t>
        <w:br/>
        <w:t>Sentencia, la cual deberá  ser  entregada  a  la  organización  YATAMA,  que</w:t>
        <w:br/>
        <w:t>deberá distribuirla según corresponda.</w:t>
        <w:br/>
        <w:br/>
        <w:t>Disiente el Juez ad hoc Montiel Argüello.</w:t>
        <w:br/>
        <w:br/>
        <w:br/>
        <w:t>13.   El Estado debe pagar, por concepto de las costas  y  gastos  generados</w:t>
        <w:br/>
        <w:t>en el  ámbito  interno  y  en  el  proceso  internacional  ante  el  sistema</w:t>
        <w:br/>
        <w:t>interamericano de protección de los derechos humanos, la cantidad fijada  en</w:t>
        <w:br/>
        <w:t>el párrafo 265 de la presente Sentencia, a favor de la organización  YATAMA,</w:t>
        <w:br/>
        <w:t>la cual entregará a CENIDH y CEJIL la parte que corresponda  para  compensar</w:t>
        <w:br/>
        <w:t>los gastos sufragados por éstas.</w:t>
        <w:br/>
        <w:br/>
        <w:t>Disiente el Juez ad hoc Montiel Argüello.</w:t>
        <w:br/>
        <w:br/>
        <w:br/>
        <w:t>14.   El Estado debe efectuar los pagos por concepto  de  daños  material  e</w:t>
        <w:br/>
        <w:t>inmaterial y reintegro de las costas y gastos dentro del plazo  de  un  año,</w:t>
        <w:br/>
        <w:t>contado a partir de  la  notificación  de  la  presente  Sentencia,  en  los</w:t>
        <w:br/>
        <w:t>términos de los párrafos 266 y 268 a 273 de la misma.</w:t>
        <w:br/>
        <w:br/>
        <w:t>Disiente el Juez ad hoc Montiel Argüello.</w:t>
        <w:br/>
        <w:br/>
        <w:br/>
        <w:t>15.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274 de la presente Sentencia.</w:t>
        <w:br/>
        <w:br/>
        <w:t>Disiente el Juez ad hoc Montiel Argüello.</w:t>
        <w:br/>
        <w:br/>
        <w:br/>
        <w:t>El Juez ad hoc Montiel Argüello hizo conocer a la Corte  su  Voto  Disidente</w:t>
        <w:br/>
        <w:t>sobre los puntos resolutivos segundo  a  decimoquinto.   Los  Jueces  García</w:t>
        <w:br/>
        <w:t>Ramírez, Jackman, Cançado Trindade y  García-Sayán  hicieron  conocer  a  la</w:t>
        <w:br/>
        <w:t>Corte sus Votos Razonados.  Dichos votos acompañan esta Sentencia.</w:t>
        <w:br/>
        <w:br/>
        <w:br/>
        <w:br/>
        <w:t>Redactada en español e inglés, haciendo fe  el  texto  en  español,  en  San</w:t>
        <w:br/>
        <w:t>José, Costa Rica, el 23 de junio de 2005.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br/>
        <w:br/>
        <w:t xml:space="preserve">                         Alejandro Montiel Argüello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            VOTO DISIDENTE DEL JUEZ AD HOC</w:t>
        <w:br/>
        <w:br/>
        <w:t xml:space="preserve">                         ALEJANDRO MONTIEL ARGÜELLO</w:t>
        <w:br/>
        <w:br/>
        <w:br/>
        <w:br/>
        <w:br/>
        <w:t>1.    De acuerdo  con  la  legislación  nicaragüense  corresponde  al  Poder</w:t>
        <w:br/>
        <w:t>Electoral,  independientemente  de  los  tres  Poderes   tradicionales,   la</w:t>
        <w:br/>
        <w:t>organización, dirección y vigilancia de las elecciones.   El  organismo  más</w:t>
        <w:br/>
        <w:t>alto del poder electoral es el Consejo  Supremo  Electoral,  el  cual  tiene</w:t>
        <w:br/>
        <w:t>funciones jurisdiccionales y administrativas.  Es indudable que en  el  caso</w:t>
        <w:br/>
        <w:t>presente la inscripción de los candidatos que participarían en la  elección,</w:t>
        <w:br/>
        <w:t>era una función  jurisdiccional  en  materia  electoral,  que  requería  una</w:t>
        <w:br/>
        <w:t>decisión sobre  si  el  partido  o  alianza  de  partidos  que  presenta  la</w:t>
        <w:br/>
        <w:t>solicitud  están  legalmente  autorizados  para  presentarla,  si  la  misma</w:t>
        <w:br/>
        <w:t>solicitud cumple con los requisitos que exige la ley  y  si  los  candidatos</w:t>
        <w:br/>
        <w:t>ostentan las cualidades necesarias.</w:t>
        <w:br/>
        <w:br/>
        <w:t>2.     En  el  caso  presente  el  Consejo  Supremo  Electoral  ejerció  sus</w:t>
        <w:br/>
        <w:t>funciones al denegar  la  inscripción  de  los  candidatos  presentados  por</w:t>
        <w:br/>
        <w:t>YATAMA para Alcaldes, Vice-alcaldes y Concejales de los  Municipios  de  las</w:t>
        <w:br/>
        <w:t>Regiones  Autónomas  de  la  costa  Atlántica  en  las  elecciones  que   se</w:t>
        <w:br/>
        <w:t>celebraron en el año 2000.  La resolución dictada  por  el  Consejo  Supremo</w:t>
        <w:br/>
        <w:t>Electoral  constituye  la  culminación   del   proceso   seguido   para   la</w:t>
        <w:br/>
        <w:t>determinación de si YATAMA tenía derecho de  presentar  candidatos  y  sobre</w:t>
        <w:br/>
        <w:t>ese proceso no se ha  señalado  concretamente  violación  de  las  garantías</w:t>
        <w:br/>
        <w:t>judiciales contenidas en el artículo  8.2  de  la  Convención  que  por  una</w:t>
        <w:br/>
        <w:t>interpretación extensiva ha venido a aplicarse a toda clase  de  procesos  y</w:t>
        <w:br/>
        <w:t>no sólo a los penales.</w:t>
        <w:br/>
        <w:br/>
        <w:t>3.    Respecto  del  artículo  23  (Derechos  Políticos)  de  la  Convención</w:t>
        <w:br/>
        <w:t>Americana sobre Derechos Humanos se ha  alegado  su  violación  por  haberse</w:t>
        <w:br/>
        <w:t>impedido a los candidatos de YATAMA su participación en las  elecciones,  lo</w:t>
        <w:br/>
        <w:t>mismo que la violación del artículo 24 (Derecho a la Igualdad) por  exigirse</w:t>
        <w:br/>
        <w:t>a los candidatos de YATAMA los mismos requisitos que a los  no  indígenas  y</w:t>
        <w:br/>
        <w:t>la violación del artículo 25  (Protección  Judicial)  por  no  proveerse  un</w:t>
        <w:br/>
        <w:t>recurso para tutelar el derecho de participar en las elecciones.</w:t>
        <w:br/>
        <w:br/>
        <w:t>4.    Cabe observar que el artículo 23.2 concede a los  Estados  el  derecho</w:t>
        <w:br/>
        <w:t>de reglamentar el ejercicio de los  derechos  políticos  exclusivamente  por</w:t>
        <w:br/>
        <w:t>razones de edad y algunas más.  Otras regulaciones  por  diferentes  razones</w:t>
        <w:br/>
        <w:t>son contrarias a la Convención y constituirán violaciones  de  los  derechos</w:t>
        <w:br/>
        <w:t>pero las reglamentaciones que son permitidas sólo con restricciones son  las</w:t>
        <w:br/>
        <w:t>referentes a las personas pues esta disposición no  puede  ser  interpretada</w:t>
        <w:br/>
        <w:t>en el sentido de que toda otra reglamentación aunque no sea referente a  las</w:t>
        <w:br/>
        <w:t>personas sea violatoria de los derechos humanos ya que es indudable  que  la</w:t>
        <w:br/>
        <w:t>celebración de elecciones requiere una  reglamentación  sobre  los  partidos</w:t>
        <w:br/>
        <w:t>que puedan participar en ellas, sobre la nominación  de  los  candidatos  de</w:t>
        <w:br/>
        <w:t>esos partidos y muchos otros puntos más.  Es mediante esas  reglamentaciones</w:t>
        <w:br/>
        <w:t>que las elecciones pueden celebrarse en orden y ser  representativas  de  la</w:t>
        <w:br/>
        <w:t>voluntad popular, y fue en aplicación de  esas  reglamentaciones  permitidas</w:t>
        <w:br/>
        <w:t>que el Consejo Supremo Electoral denegó la inscripción de los candidatos  de</w:t>
        <w:br/>
        <w:t>YATAMA.</w:t>
        <w:br/>
        <w:br/>
        <w:t>5.    Respecto del artículo 24 es precisamente en aplicación  del  principio</w:t>
        <w:br/>
        <w:t>de la  igualdad  que  se  exigió  a  los  candidatos  indígenas  los  mismos</w:t>
        <w:br/>
        <w:t>requisitos que a los no indígenas.  Salvo algún caso excepcional  un  Estado</w:t>
        <w:br/>
        <w:t>no puede tener leyes diferentes para cada una de las etnias que lo  integran</w:t>
        <w:br/>
        <w:t>cuando se trata de la elección de autoridades que  ejercerán  sus  funciones</w:t>
        <w:br/>
        <w:t>en territorios habitados por diferentes etnias como son  los  Municipios  de</w:t>
        <w:br/>
        <w:t>las Regiones Autónomas.</w:t>
        <w:br/>
        <w:br/>
        <w:t>6.    En cuanto al artículo 25 se debe señalar que esta Corte en su  Opinión</w:t>
        <w:br/>
        <w:t>Consultiva OC-9/87 (“Garantías Judiciales en Estado  de  Emergencia”,  párr.</w:t>
        <w:br/>
        <w:t>22) dijo que “este artículo (el artículo 8 de la Convención, párr. 1),  cuya</w:t>
        <w:br/>
        <w:t>interpretación  ha  sido  solicitada  expresamente,  es  denominado  por  la</w:t>
        <w:br/>
        <w:t>Convención “Garantías Judiciales” lo cual puede inducir a  confusión  porque</w:t>
        <w:br/>
        <w:t>en ellos no se consagra un medio de esa naturaleza en sentido estricto.   En</w:t>
        <w:br/>
        <w:t>efecto, el artículo 8 no contiene un  recurso  judicial  propiamente  dicho,</w:t>
        <w:br/>
        <w:t>sino el conjunto de  requisitos  que  deben  observarse  en  las  instancias</w:t>
        <w:br/>
        <w:t>procesales para  que  pueda  hablarse  de  verdaderas  y  propias  garantías</w:t>
        <w:br/>
        <w:t>judiciales según la Convención.</w:t>
        <w:br/>
        <w:br/>
        <w:t xml:space="preserve">      El artículo 25 de la Convención  se  intitula  “Protección  Judicial”,</w:t>
        <w:br/>
        <w:t>establece el derecho a un recurso  sencillo  y  rápido  ante  los  jueces  o</w:t>
        <w:br/>
        <w:t>tribunales competentes y más adelante precisa el compromiso  del  Estado  “a</w:t>
        <w:br/>
        <w:t>desarrollar las posibilidades de recurso judicial”.</w:t>
        <w:br/>
        <w:br/>
        <w:t xml:space="preserve">      Las dos disposiciones citadas han sido  interpretadas  como  si  ellas</w:t>
        <w:br/>
        <w:t>establecieran el recurso de amparo como obligatorio en todos los casos,  más</w:t>
        <w:br/>
        <w:t>eso no es así.</w:t>
        <w:br/>
        <w:br/>
        <w:t>7.    La legislación electoral nicaragüense establece una serie de  recursos</w:t>
        <w:br/>
        <w:t>contra los funcionarios electorales inferiores, que en algunos casos  pueden</w:t>
        <w:br/>
        <w:t>llegar hasta el Supremo Consejo  Electoral,  pero  expresamente  excluye  el</w:t>
        <w:br/>
        <w:t>recursos de amparo en cuestiones electorales  al  igual  que  lo  hacen  las</w:t>
        <w:br/>
        <w:t>legislaciones de muchos otros países y también son muchos los países que  al</w:t>
        <w:br/>
        <w:t>igual  que  Nicaragua  excluyen  del  recurso  de  amparo  las  resoluciones</w:t>
        <w:br/>
        <w:t>judiciales por considerar que los recursos ordinarios son  suficientes  para</w:t>
        <w:br/>
        <w:t>garantizar los  derechos  humanos.   Cuando  el  Supremo  Consejo  Electoral</w:t>
        <w:br/>
        <w:t>resolvió en el caso presente la solicitud de YATAMA para la  inscripción  de</w:t>
        <w:br/>
        <w:t>sus candidatos no estaba ejerciendo una simple función  administrativa  sino</w:t>
        <w:br/>
        <w:t>que  actuaba  como  un  tribunal  judicial  en  materia   electoral   y   la</w:t>
        <w:br/>
        <w:t>consecuencia de ello es que contra  esa  resolución  no  era  procedente  el</w:t>
        <w:br/>
        <w:t>recurso de amparo que se  tramita  ante  funcionarios  del  Poder  Judicial.</w:t>
        <w:br/>
        <w:t>Como fundamento de esa disposición legal puede  tomarse  en  cuenta  que  el</w:t>
        <w:br/>
        <w:t>alto grado de politización partidista  que  existe  en  muchos  países  hace</w:t>
        <w:br/>
        <w:t>preferible en ellos la no politización  del  Poder  Judicial  pues  esto  se</w:t>
        <w:br/>
        <w:t>produciría necesariamente al  conferirle  funciones  en  materia  electoral.</w:t>
        <w:br/>
        <w:t>Así que, tanto por ser una resolución jurisdiccional como  por  ser  materia</w:t>
        <w:br/>
        <w:t>electoral el recurso de amparo era improcedente.</w:t>
        <w:br/>
        <w:br/>
        <w:t>8.    Tratándose en el presente caso de  reglamentaciones  permitidas,  está</w:t>
        <w:br/>
        <w:t>fuera de la competencia de la Corte entrar al examen de  la  resolución  del</w:t>
        <w:br/>
        <w:t>Consejo Supremo  Electoral  para  determinar  si  fue  dictada  en  correcta</w:t>
        <w:br/>
        <w:t>aplicación de la Ley Electoral de Nicaragua.  Eso  equivaldría  a  convertir</w:t>
        <w:br/>
        <w:t>la Corte en un tribunal de apelación sobre todos los tribunales  nacionales,</w:t>
        <w:br/>
        <w:t>apartándose  de  sus  funciones  de  interpretación  y  aplicación  de   las</w:t>
        <w:br/>
        <w:t>disposiciones de la Convención.  Tampoco puede la Corte entrar a  considerar</w:t>
        <w:br/>
        <w:t>la legislación nicaragüense en ausencia de  toda  prueba  de  que  ella  sea</w:t>
        <w:br/>
        <w:t>contraria a los derechos humanos y tomando en cuenta que  YATAMA  participó,</w:t>
        <w:br/>
        <w:t>bajo la misma legislación en las  elecciones  locales  de  2004  y  no  tuvo</w:t>
        <w:br/>
        <w:t>problema alguno.</w:t>
        <w:br/>
        <w:br/>
        <w:t>9.     Para  concluir,  deseo  dejar  constancia  de  las  razones   de   mi</w:t>
        <w:br/>
        <w:t>disentimiento en cuanto a los  puntos  sobre  publicidad  de  la  Sentencia,</w:t>
        <w:br/>
        <w:t>sobre reforma de la legislación y sobre adopción de  otras  medidas  porque,</w:t>
        <w:br/>
        <w:t>como dije en el punto 14 de mi Voto en el Caso Hermanas Serrano Cruz  contra</w:t>
        <w:br/>
        <w:t>El Salvador, Sentencia de 1 de marzo del presente año, el artículo 63 de  la</w:t>
        <w:br/>
        <w:t>Convención no encomienda a la Corte la promoción de los derechos  humanos  y</w:t>
        <w:br/>
        <w:t>los puntos citados constituyen una promoción  y  no  una  reparación  a  las</w:t>
        <w:br/>
        <w:t>víctimas.</w:t>
        <w:br/>
        <w:br/>
        <w:t>10.   Lo dicho en  el  párrafo  anterior  no  debe  interpretarse  como  que</w:t>
        <w:br/>
        <w:t>considero perfecta la legislación nicaragüense en cuanto al  tratamiento  de</w:t>
        <w:br/>
        <w:t>los indígenas que habitan en la Costa Atlántica.  El Gobierno de  Nicaragua,</w:t>
        <w:br/>
        <w:t>respetuoso de los derechos de las comunidades indígenas, está consciente  de</w:t>
        <w:br/>
        <w:t>los defectos y por ello en la reforma constitucional de 1995 se  precisó  el</w:t>
        <w:br/>
        <w:t>régimen de autonomía de las comunidades étnicas y en 1987 se  había  dictado</w:t>
        <w:br/>
        <w:t>el Estatuto de la Autonomía de las Regiones de la Costa Atlántica  (Ley  No.</w:t>
        <w:br/>
        <w:t>28) y en 2003 se dictó la Ley  del  Régimen  de  Propiedad  Comunal  de  los</w:t>
        <w:br/>
        <w:t>Pueblos Indígenas y Comunidades Étnicas de  las  Regiones  Autónomas  de  la</w:t>
        <w:br/>
        <w:t>Costa Atlántica (Ley No. 445).  Además, ha creado una Asesoría  Especial  en</w:t>
        <w:br/>
        <w:t>la Presidencia de la República para los casos de la Costa Atlántica, que  en</w:t>
        <w:br/>
        <w:t>la actualidad es desempeñada por una de las personas que declaró en la  fase</w:t>
        <w:br/>
        <w:t>oral de este caso.</w:t>
        <w:br/>
        <w:br/>
        <w:t>11.   He disentido  de  los  puntos  de  la  parte  resolutiva  sobre  daños</w:t>
        <w:br/>
        <w:t>materiales e inmateriales y resarcimiento de gastos a favor de YATAMA y  sus</w:t>
        <w:br/>
        <w:t>candidatos, porque  no  se  justifican  en  ausencia  de  violación  de  los</w:t>
        <w:br/>
        <w:t>derechos humanos.  Más aún, en el caso de que hubiera ocurrido la  violación</w:t>
        <w:br/>
        <w:t>la presente Sentencia constituiría suficiente reparación, tomando en  cuenta</w:t>
        <w:br/>
        <w:t>que los reclamantes solo contaban con una expectativa de participar  en  las</w:t>
        <w:br/>
        <w:t>elecciones y que los cargos públicos, particularmente los que se  disputaban</w:t>
        <w:br/>
        <w:t>en esas elecciones, constituyen un deber cívico y un honor, no debiendo  ser</w:t>
        <w:br/>
        <w:t>considerados como una fuente de ingresos económicos.  Además, es  importante</w:t>
        <w:br/>
        <w:t>señalar  que  YATAMA  tuvo  plena  participación  en   las   elecciones   de</w:t>
        <w:br/>
        <w:t>autoridades locales que se  celebraron  el  año  próximo  pasado.   Son  muy</w:t>
        <w:br/>
        <w:t>numerosos los casos en que la Corte Europea de Derechos Humanos ha  decidido</w:t>
        <w:br/>
        <w:t>que su declaración  de  que  el  Estado  ha  violado  los  derechos  humanos</w:t>
        <w:br/>
        <w:t>constituye suficiente reparación y el caso presente  amerita  la  aplicación</w:t>
        <w:br/>
        <w:t>de esa jurisprudencia tomando en cuenta todas las circunstancias del mismo.</w:t>
        <w:br/>
        <w:br/>
        <w:br/>
        <w:br/>
        <w:br/>
        <w:br/>
        <w:t xml:space="preserve">                                                  Alejandro Montiel Argüello</w:t>
        <w:br/>
        <w:t xml:space="preserve">                                                                 Juez ad hoc</w:t>
        <w:br/>
        <w:br/>
        <w:br/>
        <w:br/>
        <w:br/>
        <w:br/>
        <w:t>Pablo Saavedra Alessandri</w:t>
        <w:br/>
        <w:t xml:space="preserve">        Secretario</w:t>
        <w:br/>
        <w:br/>
        <w:t xml:space="preserve">   VOTO CONCURRENTE DEL JUEZ SERGIO GARCIA RAMIREZ A LA SENTENCIA DEL CASO</w:t>
        <w:br/>
        <w:t xml:space="preserve">                YATAMA VS. NICARAGUA, DEL 23 DE JUNIO DE 2005</w:t>
        <w:br/>
        <w:br/>
        <w:br/>
        <w:t>A)  Categorías  de  violaciones.  Individuos  e  integrantes  de  grupos   o</w:t>
        <w:br/>
        <w:t>comunidades</w:t>
        <w:br/>
        <w:br/>
        <w:t>1.    La Corte Interamericana ha conocido violaciones cometidas  en  agravio</w:t>
        <w:br/>
        <w:t>de individuos, aisladamente, que pueden  reducirse  a  un  caso  concreto  o</w:t>
        <w:br/>
        <w:t>poner a la vista un patrón de comportamiento y sugerir medidas destinadas  a</w:t>
        <w:br/>
        <w:t>evitar nuevas transgresiones similares en  agravio  de  numerosas  personas.</w:t>
        <w:br/>
        <w:t>Asimismo, este Tribunal ha conocido  violaciones  que  afectan  a  numerosos</w:t>
        <w:br/>
        <w:t>miembros de un grupo humano y  que  reflejan  actitudes  o  situaciones  con</w:t>
        <w:br/>
        <w:t>alcance general y fuertes raíces históricas, inclusive.</w:t>
        <w:br/>
        <w:br/>
        <w:t>2.    Esta segunda categoría de asuntos conduce a reflexionar, a  partir  de</w:t>
        <w:br/>
        <w:t>un litigio concreto y de ciertas víctimas individualizadas, sobre el  estado</w:t>
        <w:br/>
        <w:t>que guardan los integrantes de ese grupo e incluso este mismo, sin que  ello</w:t>
        <w:br/>
        <w:t>represente, en modo alguno, desbordar las atribuciones  jurisdiccionales  de</w:t>
        <w:br/>
        <w:t>la Corte  Interamericana,  puesto  que  cada  resolución  se  refiere  a  un</w:t>
        <w:br/>
        <w:t>supuesto concreto y dispone acerca  de  él,  sin  perjuicio  de  que  aporte</w:t>
        <w:br/>
        <w:t>reflexiones y criterios que pudieran resultar aprovechables para  el  examen</w:t>
        <w:br/>
        <w:t>de  otras  situaciones  similares.  Si  éstas  se  plantean  ante  la  misma</w:t>
        <w:br/>
        <w:t>jurisdicción  serán  materia  de  examen  individual,  pero  a  ese   examen</w:t>
        <w:br/>
        <w:t>contribuirá   la   orientación   jurisprudencial    elaborada    en    otras</w:t>
        <w:br/>
        <w:t>oportunidades.</w:t>
        <w:br/>
        <w:br/>
        <w:t>3.     Por  lo  demás,  la  idea  de  que  la  orientación   jurisprudencial</w:t>
        <w:br/>
        <w:t>razonablemente  formada,  ponderada,  reiterada   --hasta   constituir   una</w:t>
        <w:br/>
        <w:t>“jurisprudencia constante”--, puede proyectarse  sobre  situaciones  en  las</w:t>
        <w:br/>
        <w:t>que  aparecen  las  mismas  condiciones  de  hecho  y  de  derecho  que  han</w:t>
        <w:br/>
        <w:t>determinado aquélla, es perfectamente consecuente  con  el  quehacer  de  un</w:t>
        <w:br/>
        <w:t>tribunal  internacional  de  “convencionalidad”,  como  lo   es   la   Corte</w:t>
        <w:br/>
        <w:t>Interamericana  de  Derechos  Humanos,  llamada  a  aplicar  la   Convención</w:t>
        <w:br/>
        <w:t>Americana sobre Derechos Humanos y otros instrumentos multilaterales que  le</w:t>
        <w:br/>
        <w:t>confieren competencia material.</w:t>
        <w:br/>
        <w:br/>
        <w:t>4.    El Tribunal regional de  derechos  humanos  no  constituye  una  nueva</w:t>
        <w:br/>
        <w:t>instancia para revisar las resoluciones de los órganos judiciales, sino  una</w:t>
        <w:br/>
        <w:t>instancia única,  de  carácter  internacional,  dispuesta  para  definir  el</w:t>
        <w:br/>
        <w:t>alcance de los derechos  humanos  contenidos  en  la  Convención  Americana,</w:t>
        <w:br/>
        <w:t>mediante la aplicación e interpretación de ésta. Así lo resuelve  la  propia</w:t>
        <w:br/>
        <w:t>Convención, así lo ha entendido la Corte  misma  y  así  lo  reconocen,  con</w:t>
        <w:br/>
        <w:t>creciente  uniformidad  y  énfasis,  los  más  altos  tribunales  de  países</w:t>
        <w:br/>
        <w:t>americanos, cuya recepción de la jurisprudencia de la  Corte  Interamericana</w:t>
        <w:br/>
        <w:t>constituye uno de los rasgos más recientes, valiosos  y  alentadores  en  el</w:t>
        <w:br/>
        <w:t>desenvolvimiento de la tutela jurisdiccional de los derechos humanos  en  el</w:t>
        <w:br/>
        <w:t>plano continental.</w:t>
        <w:br/>
        <w:br/>
        <w:t>5.    La meditación de la Corte se despliega en todos los  litigios  que  se</w:t>
        <w:br/>
        <w:t>someten a su conocimiento, así como en las opiniones consultivas que  emite.</w:t>
        <w:br/>
        <w:t>Ha sido en  los  casos  que  conciernen  a  integrantes  de  grupos  humanos</w:t>
        <w:br/>
        <w:t>minoritarios --generalmente comunidades indígenas y étnicas--  presentes  en</w:t>
        <w:br/>
        <w:t>diversas sociedades nacionales, donde esa  reflexión  suele  adquirir  mayor</w:t>
        <w:br/>
        <w:t>acento en el examen de factores de  eliminación,  exclusión,  marginación  o</w:t>
        <w:br/>
        <w:t>“contención”. Se trata de  expresiones  o  vertientes  de  la  violación  de</w:t>
        <w:br/>
        <w:t>derechos, ejercida con diversa  intensidad.  Se  identifican  en  una  misma</w:t>
        <w:br/>
        <w:t>línea  de  conducta  y  manifiestan  distintos  momentos  de  los   procesos</w:t>
        <w:br/>
        <w:t>históricos  en  los  que  se   hallan   inmersas.   Poseen   características</w:t>
        <w:br/>
        <w:t>específicas e implican un quebranto o un inminente riesgo  de  quebranto  de</w:t>
        <w:br/>
        <w:t>los principios de igualdad y  no  discriminación,  proyectados  en  diversos</w:t>
        <w:br/>
        <w:t>espacios  de  la  vida  social.  Se  traducen  en  infracción  de  numerosos</w:t>
        <w:br/>
        <w:t>derechos.</w:t>
        <w:br/>
        <w:br/>
        <w:t>6.    Al examinar esos casos, la Corte ha tenido presente, en todo  momento,</w:t>
        <w:br/>
        <w:t>el alcance subjetivo de su competencia a la  luz  del  artículo  1.2  de  la</w:t>
        <w:br/>
        <w:t>Convención Americana sobre Derechos Humanos, que aclara la  connotación  que</w:t>
        <w:br/>
        <w:t>ese instrumento internacional maneja acerca del concepto  de  “persona”:  el</w:t>
        <w:br/>
        <w:t>ser humano,  el  individuo,  como  titular  de  derechos  y  libertades.  El</w:t>
        <w:br/>
        <w:t>Tribunal no puede exceder esta frontera establecida por  la  Convención  que</w:t>
        <w:br/>
        <w:t>fija su competencia. Pero tampoco debe prescindir  del  examen  profundo  de</w:t>
        <w:br/>
        <w:t>las cuestiones que  se  le  proponen,  a  fin  de  precisar  sus  verdaderas</w:t>
        <w:br/>
        <w:t>características,  raíces,  implicaciones,  consecuencias,   etcétera,   para</w:t>
        <w:br/>
        <w:t>comprender la entidad de las violaciones cometidas, en su caso,  y  resolver</w:t>
        <w:br/>
        <w:t>adecuadamente en torno  a  las  reparaciones  que  pudieran  corresponder  a</w:t>
        <w:br/>
        <w:t>ellas.</w:t>
        <w:br/>
        <w:br/>
        <w:t>7.    De ahí que en diversas decisiones --sobre todo acerca  de  integrantes</w:t>
        <w:br/>
        <w:t>de esos grupos indígenas o étnicos-- haya considerado la Corte los  derechos</w:t>
        <w:br/>
        <w:t>de los individuos, miembros de las comunidades o los grupos,  dentro  de  su</w:t>
        <w:br/>
        <w:t>marco necesario, característico, sustancial: los derechos colectivos de  las</w:t>
        <w:br/>
        <w:t>comunidades a las que aquéllos pertenecen, su  cultura  --que  les  confiere</w:t>
        <w:br/>
        <w:t>una “identidad cultural” a  la  que  tienen  derecho  y  que  incide  en  su</w:t>
        <w:br/>
        <w:t>individualidad y desarrollo personal y social--, sus costumbres y  usos  que</w:t>
        <w:br/>
        <w:t>concurren a integrar un punto de  referencia  que  la  Corte  necesita  para</w:t>
        <w:br/>
        <w:t>entender y resolver los casos  que  se  le  plantean.  Sería  infructuoso  y</w:t>
        <w:br/>
        <w:t>conduciría a conclusiones equivocadas extraer  los  casos  individuales  del</w:t>
        <w:br/>
        <w:t>contexto  en  el  que  se  presentan.  Analizar  aquéllos   en   su   propia</w:t>
        <w:br/>
        <w:t>circunstancia  --en  el  más  amplio  sentido  de  la  expresión;  actual  e</w:t>
        <w:br/>
        <w:t>histórica--  no   sólo   aporta   datos   de   hecho   para   entender   los</w:t>
        <w:br/>
        <w:t>acontecimientos, sino  datos  de  derecho  --a  través  de  las  referencias</w:t>
        <w:br/>
        <w:t>culturales-- para establecer su carácter jurídico y sus implicaciones de  la</w:t>
        <w:br/>
        <w:t>misma naturaleza.</w:t>
        <w:br/>
        <w:br/>
        <w:t>8.     La Corte ha debido examinar igualmente ciertos  temas  que  atañen  a</w:t>
        <w:br/>
        <w:t>otros grandes grupos humanos, también expuestos a violaciones  o  victimados</w:t>
        <w:br/>
        <w:t>por éstas, aun cuando los elementos para su identificación  social  no  sean</w:t>
        <w:br/>
        <w:t>los mismos que concurren en los casos contenciosos a los que he  aludido  en</w:t>
        <w:br/>
        <w:t>los párrafos anteriores. Así se ha hecho en  sendas  opiniones  consultivas,</w:t>
        <w:br/>
        <w:t>particularmente  las  de  fechas  más  recientes,  que  han  contribuido   a</w:t>
        <w:br/>
        <w:t>esclarecer el alcance de  los  derechos  humanos  de  personas  expuestas  a</w:t>
        <w:br/>
        <w:t>rechazo, abuso  o  marginación;  así,  los  detenidos  extranjeros,  en  los</w:t>
        <w:br/>
        <w:t>términos de la Opinión Consultiva OC-16; los niños o  menores  de  edad  que</w:t>
        <w:br/>
        <w:t>incurren en conductas ilícitas o se hallan sujetos a medidas  de  protección</w:t>
        <w:br/>
        <w:t>pública,  conforme  a  la  Opinión  Consultiva  OC-17,  y  los  trabajadores</w:t>
        <w:br/>
        <w:t>migrantes, principalmente los indocumentados, según  la  Opinión  Consultiva</w:t>
        <w:br/>
        <w:t>OC-18. He agregado Votos razonados a estas tres opiniones. Me  remito  a  lo</w:t>
        <w:br/>
        <w:t>que he dicho en ellos.</w:t>
        <w:br/>
        <w:br/>
        <w:t>9.    En otro orden de hechos, la Corte Interamericana también ha  examinado</w:t>
        <w:br/>
        <w:t>cuestiones que  penden  sobre  conjuntos  de  personas  unidas  por  ciertos</w:t>
        <w:br/>
        <w:t>vínculos  de  profesión,  ocupación  o  interés.  En  estos  casos  ha  sido</w:t>
        <w:br/>
        <w:t>necesario dictar medidas provisionales en los términos del artículo 63.2  de</w:t>
        <w:br/>
        <w:t>la Convención, para preservar derechos y mantener incólumes, por  lo  tanto,</w:t>
        <w:br/>
        <w:t>los bienes jurídicos protegidos por aquéllos.  En estas hipótesis, la  Corte</w:t>
        <w:br/>
        <w:t>ha ido más lejos, avance que se explica y justifica tomando  en  cuenta  las</w:t>
        <w:br/>
        <w:t>características propias de los casos planteados y  la  naturaleza  misma  de</w:t>
        <w:br/>
        <w:t>las medidas provisionales. Efectivamente, este Tribunal  se  ha  pronunciado</w:t>
        <w:br/>
        <w:t>sobre la protección inmediata, de  carácter  precautorio,  en  relación  con</w:t>
        <w:br/>
        <w:t>numerosas personas no identificadas, pero siempre  individualizables,  cuyos</w:t>
        <w:br/>
        <w:t>derechos se hallan en severo riesgo. No se trata de medidas sobre un  grupo,</w:t>
        <w:br/>
        <w:t>una corporación, una sociedad, un pueblo,  sino  sobre  los  integrantes  de</w:t>
        <w:br/>
        <w:t>éstos: personas físicas titulares de derechos en riesgo.</w:t>
        <w:br/>
        <w:br/>
        <w:t>10.   Este  nuevo  alcance  de  la  tutela  internacional,  producto  de  la</w:t>
        <w:br/>
        <w:t>evolución de la jurisprudencia interamericana --que aún podría  ir  adelante</w:t>
        <w:br/>
        <w:t>en la medida en que lo permita la interpretación razonable de la Convención-</w:t>
        <w:br/>
        <w:t>- se produjo a partir de la resolución sobre  medidas  provisionales  en  el</w:t>
        <w:br/>
        <w:t>Caso de la Comunidad de Paz de San José de Apartadó, como se observa  en  el</w:t>
        <w:br/>
        <w:t>Voto razonado conjunto que emitimos el  Juez  Alirio  Abreu  Burelli  y  yo,</w:t>
        <w:br/>
        <w:t>cinco  años  atrás,  en  ese   primer   asunto   abarcado   por   la   nueva</w:t>
        <w:br/>
        <w:t>jurisprudencia, adoptando un criterio en el que he insistido en otros  Votos</w:t>
        <w:br/>
        <w:t>razonados referentes a medidas provisionales que corren en  la  misma  línea</w:t>
        <w:br/>
        <w:t>abierta en el Caso de San José de Apartadó.</w:t>
        <w:br/>
        <w:br/>
        <w:br/>
        <w:t>B) Comunidades indígenas</w:t>
        <w:br/>
        <w:br/>
        <w:br/>
        <w:t>11.   En su LXVII Período Ordinario de Sesiones (13 a 30 de junio de  2005),</w:t>
        <w:br/>
        <w:t>la Corte Interamericana ha deliberado  y  dictado  sentencias  sobre  varios</w:t>
        <w:br/>
        <w:t>litigios a los que son aplicables las consideraciones que  expongo  en  este</w:t>
        <w:br/>
        <w:t>Voto agregado a la Sentencia del Caso YATAMA vs.  Nicaragua.  Me  refiero  a</w:t>
        <w:br/>
        <w:t>este mismo, desde luego, y a las resoluciones  finales  en  el  Caso  de  la</w:t>
        <w:br/>
        <w:t>Comunidad Moiwana vs. Surinam y en el Caso de la  Comunidad  Indígena  Yakye</w:t>
        <w:br/>
        <w:t>Axa vs. Paraguay, e igualmente, en alguna  medida,  a  la  resolución  sobre</w:t>
        <w:br/>
        <w:t>medidas  provisionales  en  el  Caso  del  Pueblo  Indígena   de   Sarayaku,</w:t>
        <w:br/>
        <w:t>correspondiente a Ecuador.</w:t>
        <w:br/>
        <w:br/>
        <w:t>12.    En aquellos tres casos contenciosos, que han culminado en  sentencias</w:t>
        <w:br/>
        <w:t>de fondo y reparaciones, se analizan puntos relacionados con cuestiones  que</w:t>
        <w:br/>
        <w:t>atañen a miembros de comunidades indígenas y étnicas, precisamente en  tanto</w:t>
        <w:br/>
        <w:t>tales --no por motivos estrictamente  personales  o  individuales--,  y  que</w:t>
        <w:br/>
        <w:t>tienen su  origen  o  desarrollo  en  la  relación  que  históricamente  han</w:t>
        <w:br/>
        <w:t>guardado y mantienen todavía esas  comunidades  con  otros  sectores  de  la</w:t>
        <w:br/>
        <w:t>sociedad y, en definitiva, con el Estado mismo,  relación  que  se  proyecta</w:t>
        <w:br/>
        <w:t>sobre los miembros de dichos grupos e incide  en  los  derechos  humanos  de</w:t>
        <w:br/>
        <w:t>éstos.  Obviamente,  no  se  trata  de  cuestiones  aisladas  o   contraídas</w:t>
        <w:br/>
        <w:t>exclusivamente a los Estados o las  sociedades  nacionales  en  cuyo  ámbito</w:t>
        <w:br/>
        <w:t>surgen los conflictos  examinados en estos casos, si bien las sentencias  se</w:t>
        <w:br/>
        <w:t>refieren --como es natural--  a esos conflictos y solamente a  ellos,  y  no</w:t>
        <w:br/>
        <w:t>pretenden --ni  podrían  pretender--  alcanzar  otros  litigios  actuales  o</w:t>
        <w:br/>
        <w:t>potenciales.</w:t>
        <w:br/>
        <w:br/>
        <w:t>13.   Para quien reflexiona sobre esta materia --y en todo caso  para  quien</w:t>
        <w:br/>
        <w:t>suscribe este Voto-- es interesante observar que también  en  otros  lugares</w:t>
        <w:br/>
        <w:t>del Continente Americano han surgido problemas como  los  examinados  ahora,</w:t>
        <w:br/>
        <w:t>que han llegado al conocimiento de  la  Corte  con  creciente  frecuencia  y</w:t>
        <w:br/>
        <w:t>determinado ciertos desarrollos jurisprudenciales. Estos, que obligan en  el</w:t>
        <w:br/>
        <w:t>ámbito propio de cada sentencia,   pudieran  interesar  en  un  espacio  más</w:t>
        <w:br/>
        <w:t>amplio --como he dicho supra--, tomando en cuenta la gran semejanza y  acaso</w:t>
        <w:br/>
        <w:t>identidad que existe entre las condiciones jurídicas, sociales y  culturales</w:t>
        <w:br/>
        <w:t>--históricas y actuales-- que se hallan en el origen  de  las  controversias</w:t>
        <w:br/>
        <w:t>que se observan en muy diversos territorios nacionales.</w:t>
        <w:br/>
        <w:br/>
        <w:t>14.   Conviene recordar, como referencia  útil  para  la  identificación  de</w:t>
        <w:br/>
        <w:t>determinadas categorías de litigios y la definición del  perfil  general  de</w:t>
        <w:br/>
        <w:t>nuestra jurisprudencia, algunos precedentes significativos. La  relación  se</w:t>
        <w:br/>
        <w:t>inicia, probablemente, con el Caso Aloeboetoe, uno de los  más  antiguos  en</w:t>
        <w:br/>
        <w:t>la historia  jurisdiccional  de  la  Corte  Interamericana,  en  el  que  se</w:t>
        <w:br/>
        <w:t>presentaron  cuestiones  asociadas  a  la  pertenencia  de  las  víctimas  a</w:t>
        <w:br/>
        <w:t>determinado  grupo  humano  minoritario.  Y  en  esa  misma   dirección   es</w:t>
        <w:br/>
        <w:t>indispensable destacar el Caso de la Comunidad Mayagna (Sumo)  Awas  Tingni,</w:t>
        <w:br/>
        <w:t>de Nicaragua, que posee relevancia especial  en  cuanto  suscitó  un  amplio</w:t>
        <w:br/>
        <w:t>examen sobre derechos de los integrantes  de  comunidades  indígenas  en  un</w:t>
        <w:br/>
        <w:t>país americano, a cuya sentencia también acompañé un  Voto  razonado  en  el</w:t>
        <w:br/>
        <w:t>que me refiero con alguna extensión a estas cuestiones.</w:t>
        <w:br/>
        <w:br/>
        <w:t>15.   Por supuesto, ha habido otros casos en los que también  han  venido  a</w:t>
        <w:br/>
        <w:t>cuentas los temas de pertenencia a comunidades  y  culturas  indígenas,  que</w:t>
        <w:br/>
        <w:t>ponen a la vista el derecho a la identidad y las diversas implicaciones  que</w:t>
        <w:br/>
        <w:t>éste  puede  tener  y  efectivamente  tiene  al  amparo  de  la   Convención</w:t>
        <w:br/>
        <w:t>Americana. Todo ello  invita  a  considerar  que  no  nos  encontramos  ante</w:t>
        <w:br/>
        <w:t>litigios ocasionales,  aislados,  circunscritos  a  un  solo  espacio,  como</w:t>
        <w:br/>
        <w:t>tampoco ante controversias ordinarias que deban ser analizadas  y  resueltas</w:t>
        <w:br/>
        <w:t>a partir de fórmulas abstractas, uniformes, desatentas a la  historia  y  al</w:t>
        <w:br/>
        <w:t>orden jurídico propio de los interesados, un orden jurídico que  concurre  a</w:t>
        <w:br/>
        <w:t>establecer el alcance --aquí y ahora: en espacios  y  tiempos  precisos,  no</w:t>
        <w:br/>
        <w:t>fuera de ellos--  de  los  conceptos  jurídicos  que  provee  la  Convención</w:t>
        <w:br/>
        <w:t>Americana.</w:t>
        <w:br/>
        <w:br/>
        <w:br/>
        <w:t>C) Eliminación. El Caso de la Comunidad Moiwana</w:t>
        <w:br/>
        <w:br/>
        <w:br/>
        <w:t>16.   En el Caso de la Comunidad Moiwana, la Corte  no  examinó  la  masacre</w:t>
        <w:br/>
        <w:t>ocurrida el 29 de noviembre de 1986, porque se trata de hechos anteriores  a</w:t>
        <w:br/>
        <w:t>la fecha en que es posible ejercer la  competencia,  ratione  temporis,  del</w:t>
        <w:br/>
        <w:t>Tribunal interamericano. Analiza, en cambio, violaciones que se  mantuvieron</w:t>
        <w:br/>
        <w:t>desde entonces --esto es, violaciones continuas o permanentes, concepto  que</w:t>
        <w:br/>
        <w:t>la  jurisprudencia  ha  puntualizado  en  otros  casos,  particularmente   a</w:t>
        <w:br/>
        <w:t>propósito  de  hipótesis  de  desaparición  forzada--  o  infracciones   más</w:t>
        <w:br/>
        <w:t>recientes a  la  Convención  Americana,  sobre  las  que  ciertamente  tiene</w:t>
        <w:br/>
        <w:t>competencia.  No  es  excesivo  observar  --porque  se  trata  de  un  hecho</w:t>
        <w:br/>
        <w:t>histórico--  que  si  debiéramos  buscar  un  punto  de  inicio   para   las</w:t>
        <w:br/>
        <w:t>tribulaciones de los  miembros  de  la  comunidad  Moiwana,  esa  referencia</w:t>
        <w:br/>
        <w:t>tampoco se hallaría en la fecha de la masacre, sino en el tiempo en que  sus</w:t>
        <w:br/>
        <w:t>antecesores se vieron forzados  a  salir  de  sus  territorios  africanos  y</w:t>
        <w:br/>
        <w:t>fueron trasladados a América en condición de esclavos, episodio que  integra</w:t>
        <w:br/>
        <w:t>una de las páginas más oscuras en la historia de la humanidad.</w:t>
        <w:br/>
        <w:br/>
        <w:t>17.    En este caso se ha producido --aunque la Corte no  emite  declaración</w:t>
        <w:br/>
        <w:t>o condena al respecto, por el dato de competencia temporal al que me  referí</w:t>
        <w:br/>
        <w:t>supra-- la acción  pública más  severa  que  pudiera  dirigirse  contra  los</w:t>
        <w:br/>
        <w:t>miembros de una comunidad: eliminación física. De ahí provino la  dispersión</w:t>
        <w:br/>
        <w:t>de los sobrevivientes, pero no la pérdida de derechos  de  los  miembros  de</w:t>
        <w:br/>
        <w:t>aquélla, ni la alteración de las características que esos derechos  pudieran</w:t>
        <w:br/>
        <w:t>revestir, ni la desaparición del deber del Estado de respetar  y  garantizar</w:t>
        <w:br/>
        <w:t>tales derechos precisamente en los términos  que  impone  la  naturaleza  de</w:t>
        <w:br/>
        <w:t>éstos, que se mantienen vigentes.</w:t>
        <w:br/>
        <w:br/>
        <w:t>18.   Todo esto se acoge en la sentencia de la Corte, en  la  que  destacan:</w:t>
        <w:br/>
        <w:t>a) la titularidad de derechos sobre el territorio ocupado  tradicionalmente,</w:t>
        <w:br/>
        <w:t>más allá de la falta de documentación que la acredite, habida cuenta de  que</w:t>
        <w:br/>
        <w:t>la formalidad documental no es elemento  constitutivo  de  la  propiedad  en</w:t>
        <w:br/>
        <w:t>estos casos, ni prueba única de la titularidad de  derechos  y  ni  siquiera</w:t>
        <w:br/>
        <w:t>medio idóneo para acreditarla; b) la naturaleza sui generis de  la  relación</w:t>
        <w:br/>
        <w:t>que los miembros de la comunidad, en el marco de esta misma, guardan con  el</w:t>
        <w:br/>
        <w:t>territorio que les pertenece,  relación  que  debe  ser  considerada  y  que</w:t>
        <w:br/>
        <w:t>influye sobre otro deber a cargo del Estado (que  tiene,  por  supuesto,  su</w:t>
        <w:br/>
        <w:t>propio fundamento): el deber de justicia penal, en  tanto  el  ejercicio  de</w:t>
        <w:br/>
        <w:t>ésta permite la “purificación” del territorio, que  a  su  vez  auspicia  el</w:t>
        <w:br/>
        <w:t>retorno  de  los  pobladores,  y  c)  la  intangibilidad   de   la   cultura</w:t>
        <w:br/>
        <w:t>comunitaria, que se proyecta sobre  los  miembros  del  grupo  a  título  de</w:t>
        <w:br/>
        <w:t>derecho a una identidad cultural, como lo demuestran las decisiones  que  la</w:t>
        <w:br/>
        <w:t>Corte construye precisamente a partir de los  elementos  característicos  de</w:t>
        <w:br/>
        <w:t>esa cultura.</w:t>
        <w:br/>
        <w:br/>
        <w:br/>
        <w:t>D) Exclusión. El Caso de la Comunidad Indígena Yakye Axa</w:t>
        <w:br/>
        <w:br/>
        <w:br/>
        <w:t>19.   El Caso de la Comunidad Indígena Yakye Axa trae al presente  problemas</w:t>
        <w:br/>
        <w:t>de antiguo origen: no sólo aquellos que principian con los  avatares  de  la</w:t>
        <w:br/>
        <w:t>primera conquista y colonización, comunes a  los  países  de  Latinoamérica,</w:t>
        <w:br/>
        <w:t>sino los que derivan de ciertos sucesos  menos  remotos,  pero  que  también</w:t>
        <w:br/>
        <w:t>produjeron, como se vio en  el  proceso,  consecuencias  adversas  para  los</w:t>
        <w:br/>
        <w:t>grupos indígenas. Me refiero  al  que  describe,  escuetamente,  un  párrafo</w:t>
        <w:br/>
        <w:t>revelador que figura en los hechos probados de la sentencia  respectiva:  “A</w:t>
        <w:br/>
        <w:t>finales del siglo XIX grandes extensiones  de  tierra  del  Chaco  paraguayo</w:t>
        <w:br/>
        <w:t>fueron vendidas a través de la bolsa de valores de  Londres”.  Este  segundo</w:t>
        <w:br/>
        <w:t>proceso de colonización, si se puede llamar así, determina un largo  proceso</w:t>
        <w:br/>
        <w:t>en el que se produjeron, por diversos  motivos,  varios  desplazamientos  de</w:t>
        <w:br/>
        <w:t>comunidades indígenas cuyos ancestros habían sido, alguna  vez,  señores  de</w:t>
        <w:br/>
        <w:t>esas tierras.</w:t>
        <w:br/>
        <w:br/>
        <w:t>20.   En la sentencia sobre este caso, la Corte  Interamericana  aborda  dos</w:t>
        <w:br/>
        <w:t>cuestiones muy relevantes, entre otras (a estas últimas  pertenece  el  tema</w:t>
        <w:br/>
        <w:t>del debido proceso, aplicado a la reivindicación territorial), a  saber:  a)</w:t>
        <w:br/>
        <w:t>la propiedad de la comunidad sobre sus tierras ancestrales, o más  que  eso:</w:t>
        <w:br/>
        <w:t>la relación --que es mucho más que  un  tradicional  derecho  de  propiedad,</w:t>
        <w:br/>
        <w:t>como indicaré infra-- que aquella tiene con el territorio  que  ha  ocupado,</w:t>
        <w:br/>
        <w:t>relación que se proyecta, obviamente, sobre los  individuos  integrantes  de</w:t>
        <w:br/>
        <w:t>la comunidad y contribuye específicamente al conjunto  de  los  derechos  de</w:t>
        <w:br/>
        <w:t>estos, y b) el derecho a la vida de los miembros de  la  comunidad,  en  los</w:t>
        <w:br/>
        <w:t>términos del artículo 4.1 de la Convención y en  conexión,  además,  con  lo</w:t>
        <w:br/>
        <w:t>que significa el derecho a la tenencia de la tierra y lo que deriva  de  las</w:t>
        <w:br/>
        <w:t>modalidades que ésta reviste.</w:t>
        <w:br/>
        <w:br/>
        <w:t>21.   Una vez más, la Corte fija el alcance de la propiedad cuando se  trata</w:t>
        <w:br/>
        <w:t>de integrantes de comunidades indígenas, o mejor dicho: una  vez  más  asume</w:t>
        <w:br/>
        <w:t>el alcance que aquélla tiene y que el Estado debe  respetar,  al  amparo  de</w:t>
        <w:br/>
        <w:t>una cultura ancestral en la que ese derecho hunde su raíz  y  del  que  toma</w:t>
        <w:br/>
        <w:t>sus  características  principales.  En  estos  casos,  la  propiedad   posee</w:t>
        <w:br/>
        <w:t>caracteres diferentes de los que tiene --válidamente también, desde  luego--</w:t>
        <w:br/>
        <w:t>en otros medios; implica una relación singular entre el titular del  derecho</w:t>
        <w:br/>
        <w:t>y el bien sobre el que éste se  despliega.  Es  más  que  un  derecho  real,</w:t>
        <w:br/>
        <w:t>conforme al sentido que se atribuye corrientemente a esta  expresión.  Atrae</w:t>
        <w:br/>
        <w:t>otros componentes, que también interesan  --o  que  sobremanera  interesan--</w:t>
        <w:br/>
        <w:t>para redefinir la propiedad a la luz de la cultura indígena  en  la  que  se</w:t>
        <w:br/>
        <w:t>ejerce la propiedad. En mi concepto, la Corte afirma con ello  la  relectura</w:t>
        <w:br/>
        <w:t>del artículo 21 de la Convención, a fin  de  que  bajo  éste  hallen  amparo</w:t>
        <w:br/>
        <w:t>tanto los derechos de propiedad en su versión clásica --que  los  principios</w:t>
        <w:br/>
        <w:t>liberales prevalecientes en el siglo XIX trasladaron a nuestro  Continente--</w:t>
        <w:br/>
        <w:t>, como los derechos de propiedad que subyacían y  finalmente  reaparecieron.</w:t>
        <w:br/>
        <w:t>La relectura se hace con la mirada con que debe practicarse.</w:t>
        <w:br/>
        <w:br/>
        <w:t>22.   La misma legislación paraguaya, tanto en la norma constitucional  como</w:t>
        <w:br/>
        <w:t>en  otras  disposiciones,  ha  reconocido  la  existencia  de  los   pueblos</w:t>
        <w:br/>
        <w:t>indígenas “como grupos de cultura anteriores a la formación  y  organización</w:t>
        <w:br/>
        <w:t>del Estado paraguayo”. Este enfático reconocimiento, no  sólo  de  un  hecho</w:t>
        <w:br/>
        <w:t>demográfico, sino de una realidad cultural, que trae  consigo  consecuencias</w:t>
        <w:br/>
        <w:t>jurídicas,  debe  proyectarse  en  el  respeto  a  formas  tradicionales  de</w:t>
        <w:br/>
        <w:t>tenencia de la tierra --anteriores a la formación y organización del Estado-</w:t>
        <w:br/>
        <w:t>- y en la seguridad de que los derechos  derivados  de  esa  tenencia  serán</w:t>
        <w:br/>
        <w:t>efectiva y eficazmente garantizados por el poder público  a  través  de  las</w:t>
        <w:br/>
        <w:t>funciones legislativa, ejecutiva y jurisdiccional.</w:t>
        <w:br/>
        <w:br/>
        <w:t>23.   Antes de ahora, la Corte ha examinado el derecho a la  vida.  En  este</w:t>
        <w:br/>
        <w:t>examen han quedado de manifiesto tanto las prohibiciones que  aquel  derecho</w:t>
        <w:br/>
        <w:t>entraña con respecto a la acción arbitraria del Estado, como  las  acciones,</w:t>
        <w:br/>
        <w:t>iniciativas, prestaciones o promociones que el propio Estado debe  asumir  y</w:t>
        <w:br/>
        <w:t>desarrollar para establecer o favorecer las condiciones de una  vida  digna.</w:t>
        <w:br/>
        <w:t>El primer sector de los deberes, absolutamente indispensable,  fue  aportado</w:t>
        <w:br/>
        <w:t>por la etapa anterior en el desarrollo del Derecho y en la provisión de  los</w:t>
        <w:br/>
        <w:t>derechos. El segundo sector, también necesario --para que el  derecho  a  la</w:t>
        <w:br/>
        <w:t>‘vida’, un concepto con vena moral, no se resuma en una simple  ‘posibilidad</w:t>
        <w:br/>
        <w:t>de existencia o subsistencia’, un dato biológico--, es característico de  la</w:t>
        <w:br/>
        <w:t>etapa actual. Este concepto ha ingresado con fuerza  en  la  jurisprudencial</w:t>
        <w:br/>
        <w:t>de la Corte.</w:t>
        <w:br/>
        <w:br/>
        <w:t>24.   Entiendo que la creación de  condiciones  para  una  vida  digna,  que</w:t>
        <w:br/>
        <w:t>significan desarrollo de las potencialidades  individuales  y  búsqueda  del</w:t>
        <w:br/>
        <w:t>propio destino, debe ocurrir conforme a las decisiones de  la  persona,  las</w:t>
        <w:br/>
        <w:t>convicciones que ésta tiene, la cultura que comparte. De ahí la  vinculación</w:t>
        <w:br/>
        <w:t>estrecha entre el derecho a la vida digna, por una parte, y el derecho a  la</w:t>
        <w:br/>
        <w:t>“relación del hombre con la tierra” --tenencia, propiedad en el sentido  más</w:t>
        <w:br/>
        <w:t>amplio--, que ha tomado en cuenta la sentencia. Es por todo  ello  que  hubo</w:t>
        <w:br/>
        <w:t>violación del derecho a  la  vida  consagrado  en  el  artículo  4.1  de  la</w:t>
        <w:br/>
        <w:t>Convención --con el alcance  que  hemos  precisado--  en  perjuicio  de  los</w:t>
        <w:br/>
        <w:t>miembros de la comunidad Yakye Axa. La carencia de prueba sobre  las  causas</w:t>
        <w:br/>
        <w:t>que produjeron la muerte de dieciséis miembros de la comunidad, que  explica</w:t>
        <w:br/>
        <w:t>el voto mayoritario en esta sentencia, no excluye o reduce los  términos  de</w:t>
        <w:br/>
        <w:t>la declaración formulada en  el  punto  resolutivo  3:  hubo  violación  del</w:t>
        <w:br/>
        <w:t>derecho a la vida y esta  violación  afectó  a  todos  los  miembros  de  la</w:t>
        <w:br/>
        <w:t>comunidad.</w:t>
        <w:br/>
        <w:br/>
        <w:br/>
        <w:t>E) Contención. El Caso YATAMA</w:t>
        <w:br/>
        <w:br/>
        <w:br/>
        <w:t>25.   En el Caso YATAMA se ha tenido a la vista otro  rango  de  violaciones</w:t>
        <w:br/>
        <w:t>que agravian a miembros de comunidades.  No se trata aquí de las  vertientes</w:t>
        <w:br/>
        <w:t>más  dramáticas  advertidas  en  los  casos  anteriores:  supresión  física,</w:t>
        <w:br/>
        <w:t>privación de territorios, afectación del derecho a  la  vida,  por  ejemplo.</w:t>
        <w:br/>
        <w:t>Las circunstancias en que se producen los hechos de este  caso  suponen  que</w:t>
        <w:br/>
        <w:t>la organización  YATAMA,  que  reúne  miembros  de  muchas  comunidades,  ha</w:t>
        <w:br/>
        <w:t>logrado, merced a una larga lucha que ya ha producido  avances  apreciables,</w:t>
        <w:br/>
        <w:t>un espacio propio en  la  vida  política  y  social,  que  le  confiere  una</w:t>
        <w:br/>
        <w:t>posición  relevante  y  aceptada   --no   sin   severas   reticencias,   con</w:t>
        <w:br/>
        <w:t>implicaciones jurídicas diversas-- y la pone a salvo de agresiones  con  las</w:t>
        <w:br/>
        <w:t>características que se observan en los otros  casos.  De  lo  que  ahora  se</w:t>
        <w:br/>
        <w:t>trata es de acciones u omisiones con las que se “contiene” el avance de  los</w:t>
        <w:br/>
        <w:t>integrantes de comunidades, en su calidad  de  tales.  Nos  hallamos,  pues,</w:t>
        <w:br/>
        <w:t>ante una situación distinta que acaso corresponde a una última etapa  en  la</w:t>
        <w:br/>
        <w:t>sucesión  de  resistencias  a  la  admisión  de  la   igualdad   y   la   no</w:t>
        <w:br/>
        <w:t>discriminación en favor de todas las personas, inclusive, por supuesto,  los</w:t>
        <w:br/>
        <w:t>miembros de estos grupos minoritarios.</w:t>
        <w:br/>
        <w:br/>
        <w:t>26.   Ahora las acciones y omisiones que lesionan derechos  reconocidos  por</w:t>
        <w:br/>
        <w:t>la Convención se concentran  en  la  actividad  política,  y  por  esta  vía</w:t>
        <w:br/>
        <w:t>afectan  la  posibilidad  de  que  los  miembros  de  comunidades  indígenas</w:t>
        <w:br/>
        <w:t>intervengan en pie de igualdad material con  sus  conciudadanos  integrantes</w:t>
        <w:br/>
        <w:t>de otros sectores sociales y participen con eficacia en las  decisiones  que</w:t>
        <w:br/>
        <w:t>les  atañen,  conjuntamente  con   aquéllos.   Esa   intervención   y   esta</w:t>
        <w:br/>
        <w:t>participación se producen a través del ejercicio de los derechos  políticos,</w:t>
        <w:br/>
        <w:t>entre otras vías.</w:t>
        <w:br/>
        <w:br/>
        <w:t>27.   Aquí me refiero, como he dicho,  a  una  igualdad  material  y  a  una</w:t>
        <w:br/>
        <w:t>efectiva no discriminación, no a la mera igualdad formal que deja intacta --</w:t>
        <w:br/>
        <w:t>o disimula apenas-- la marginación y mantiene a salvo la discriminación.  Se</w:t>
        <w:br/>
        <w:t>tiende a la obtención de aquella forma de igualdad por medio de  factores  o</w:t>
        <w:br/>
        <w:t>elementos de  compensación,  igualación,  desarrollo  o  protección  que  el</w:t>
        <w:br/>
        <w:t>Estado brinda a los integrantes de las comunidades, a través de  un  régimen</w:t>
        <w:br/>
        <w:t>jurídico que reconoce los datos provenientes de cierta formación cultural  y</w:t>
        <w:br/>
        <w:t>se  instala  sobre  el   genuino   reconocimiento   de   las   limitaciones,</w:t>
        <w:br/>
        <w:t>discriminaciones  o  restricciones  reales  y   contribuye   a   superarlas,</w:t>
        <w:br/>
        <w:t>suprimirlas  o  compensarlas  con  instrumentos  adecuados,  no  apenas  con</w:t>
        <w:br/>
        <w:t>declaraciones generales sobre una igualdad inexistente e  impracticable.  La</w:t>
        <w:br/>
        <w:t>igualdad no es un punto de partida, sino un punto de llegada  al  que  deben</w:t>
        <w:br/>
        <w:t>dirigirse los esfuerzos del  Estado.  En  palabras  de  Rubio  Llorente,  el</w:t>
        <w:br/>
        <w:t>“Derecho se  pretende  justo,  y  es  la  idea  de  justicia  la  que  lleva</w:t>
        <w:br/>
        <w:t>derechamente al principio de igualdad que, en  cierto  modo,  constituye  su</w:t>
        <w:br/>
        <w:t>contenido esencial”. Ahora bien, “la igualdad no es  un  punto  de  partida,</w:t>
        <w:br/>
        <w:t>sino una finalidad”.</w:t>
        <w:br/>
        <w:br/>
        <w:br/>
        <w:t>F) Participación y derechos políticos</w:t>
        <w:br/>
        <w:br/>
        <w:br/>
        <w:t>28.   No se sirve a estos designios --ni se atiende,  por  lo  tanto,  a  la</w:t>
        <w:br/>
        <w:t>igualdad  y  a  la  no  discriminación--  si  se  siembra  de  obstáculos  y</w:t>
        <w:br/>
        <w:t>exigencias, innecesarios y desproporcionados, el camino  de  quienes  pugnan</w:t>
        <w:br/>
        <w:t>por la participación política a través del ejercicio  de  los  derechos  que</w:t>
        <w:br/>
        <w:t>ésta  entraña,  entre  ellos  el  derecho  al  sufragio.   La  exigencia  de</w:t>
        <w:br/>
        <w:t>participar a través de partidos políticos, que hoy se eleva como natural  en</w:t>
        <w:br/>
        <w:t>las democracias de nuestra América,  debiera  aceptar  las  modalidades  que</w:t>
        <w:br/>
        <w:t>sugiere la organización tradicional de  las  comunidades  indígenas.  No  se</w:t>
        <w:br/>
        <w:t>trata, en lo absoluto, de minar el sistema de partidos, sino de atender,  en</w:t>
        <w:br/>
        <w:t>la  forma  y  términos  que  resulten  razonables  y  pertinentes,   a   las</w:t>
        <w:br/>
        <w:t>condiciones de vida, trabajo y gestión de aquéllas.  La  admisión  de  estas</w:t>
        <w:br/>
        <w:t>condiciones y de las respectivas modalidades de  participación  política  no</w:t>
        <w:br/>
        <w:t>se trasladan automáticamente a todos los medios ni van más  allá  del  marco</w:t>
        <w:br/>
        <w:t>territorial, social y temporal en el que se plantean y resuelven.  La  Corte</w:t>
        <w:br/>
        <w:t>dispone lo que estima procedente dentro de las circunstancias  que  tiene  a</w:t>
        <w:br/>
        <w:t>la vista.</w:t>
        <w:br/>
        <w:br/>
        <w:t>29.   Esta es la primera vez que incursiona la Corte en la  reflexión  sobre</w:t>
        <w:br/>
        <w:t>derechos políticos, a los que se refiere el artículo 23  del  Pacto  de  San</w:t>
        <w:br/>
        <w:t>José, que el Tribunal ha analizado en conexión con  otras  disposiciones  de</w:t>
        <w:br/>
        <w:t>alcance muy amplio:  artículos  1.1,  2  y  24  del  mismo  instrumento.  En</w:t>
        <w:br/>
        <w:t>concepto del Tribunal --conforme a mi  propia  apreciación--  esos  derechos</w:t>
        <w:br/>
        <w:t>deben abastecerse con las circunstancias en las que  sus  titulares  han  de</w:t>
        <w:br/>
        <w:t>asumirlos y  ejercerlos.  No  es  posible,  tampoco  ahora,  considerar  los</w:t>
        <w:br/>
        <w:t>derechos  en  abstracto,  como  fórmulas   vacías,   neutrales,   incoloras,</w:t>
        <w:br/>
        <w:t>provistas para conducir la vida de ciudadanos  imaginarios,  perfilados  por</w:t>
        <w:br/>
        <w:t>los textos y no por las condiciones de la realidad estricta.</w:t>
        <w:br/>
        <w:br/>
        <w:t>30.   De lo que se trata, en la especie, es de  favorecer  la  participación</w:t>
        <w:br/>
        <w:t>de las personas en la conducción de  sus  propias  vidas,  a  través  de  la</w:t>
        <w:br/>
        <w:t>actividad política. En consecuencia, es preciso ver  la  forma  en  que  ese</w:t>
        <w:br/>
        <w:t>favorecimiento debe presentarse, conforme a las condiciones  específicas  en</w:t>
        <w:br/>
        <w:t>que se hallan quienes son titulares en concreto de  derechos  que  no  deben</w:t>
        <w:br/>
        <w:t>analizarse en abstracto.  Para  este  fin,  es  preciso  remover  obstáculos</w:t>
        <w:br/>
        <w:t>específicos, considerar alternativas de organización,  proveer  medidas,  en</w:t>
        <w:br/>
        <w:t>suma, “crear  una  circunstancia”  que  permita  a  ciertos  individuos,  en</w:t>
        <w:br/>
        <w:t>determinada situación característica, alcanzar los objetivos  que  persiguen</w:t>
        <w:br/>
        <w:t>los derechos humanos en materia  política.  Suponer  que  las  declaraciones</w:t>
        <w:br/>
        <w:t>generales serán bastantes para facilitar el desempeño  de  personas  que  se</w:t>
        <w:br/>
        <w:t>hallan en una circunstancia distinta y distante de las  que  tuvieron  a  la</w:t>
        <w:br/>
        <w:t>vista los autores de esas  declaraciones,  es  rotular  a  la  ilusión  como</w:t>
        <w:br/>
        <w:t>realidad.</w:t>
        <w:br/>
        <w:br/>
        <w:t>31.    La Corte no ha fijado, ni tendría que hacerlo,  las  particularidades</w:t>
        <w:br/>
        <w:t>que debe revestir una legislación --y, en general, una acción  pública,  que</w:t>
        <w:br/>
        <w:t>es más que  normas  generales--  favorable  al  ejercicio  de  los  derechos</w:t>
        <w:br/>
        <w:t>políticos de los miembros de las comunidades indígenas, de manera que  éstos</w:t>
        <w:br/>
        <w:t>sean, en verdad, “tan ciudadanos  como  los  otros  ciudadanos”.  El  Estado</w:t>
        <w:br/>
        <w:t>deberá analizar las situaciones que tiene  al  frente  para  establecer  los</w:t>
        <w:br/>
        <w:t>medios que permitan el ejercicio, precisamente en esas situaciones,  de  los</w:t>
        <w:br/>
        <w:t>derechos universalmente asignados por la  Convención  Americana.  Que  éstos</w:t>
        <w:br/>
        <w:t>tengan  un  alcance  universal  no  significa  que  las  medidas  que  deban</w:t>
        <w:br/>
        <w:t>adoptarse  para asegurar el ejercicio de los derechos y las libertades  sean</w:t>
        <w:br/>
        <w:t>uniformes, genéricas, parejas, como si no hubiese diferencias, distancias  y</w:t>
        <w:br/>
        <w:t>contrastes entre sus titulares. Conviene leer con  atención  el  artículo  2</w:t>
        <w:br/>
        <w:t>del Pacto de San José: los Estados  deben  adoptar  las  medidas  necesarias</w:t>
        <w:br/>
        <w:t>para hacer efectivos los derechos y las libertades. La referencia a  medidas</w:t>
        <w:br/>
        <w:t>“necesarias” que “hagan efectivos” los derechos, remite a  la  consideración</w:t>
        <w:br/>
        <w:t>de especificidades y compensaciones.</w:t>
        <w:br/>
        <w:br/>
        <w:t>32.   Obviamente, no se ha agotado ahora el examen de la democracia, que  se</w:t>
        <w:br/>
        <w:t>halla en  el  cimiento  y  en  el  destino  de  la  participación  política,</w:t>
        <w:br/>
        <w:t>entendida a la luz de la Convención Americana.  Es  clara  la  necesidad  de</w:t>
        <w:br/>
        <w:t>contar con medios de participación en los órganos del  poder  público,  para</w:t>
        <w:br/>
        <w:t>intervenir en la orientación nacional y en la decisión comunitaria,  y  esto</w:t>
        <w:br/>
        <w:t>se vincula  con  el  derecho  al  sufragio  activo  y  pasivo,  entre  otros</w:t>
        <w:br/>
        <w:t>instrumentos participativos. Lograrlo significa un paso histórico  desde  la</w:t>
        <w:br/>
        <w:t>época  --que aún se instala en el presente, como hemos visto en otros  casos</w:t>
        <w:br/>
        <w:t>resueltos por la Corte Interamericana en el actual  período  de  sesiones  y</w:t>
        <w:br/>
        <w:t>mencionados en este Voto-- en que la lucha por  el  derecho  tenía  que  ver</w:t>
        <w:br/>
        <w:t>apenas con la subsistencia física, el patrimonio y  el  asentamiento  de  la</w:t>
        <w:br/>
        <w:t>comunidad.   Sin  embargo,  el  avance  en  el  camino  hacia  la  presencia</w:t>
        <w:br/>
        <w:t>electoral --un  avance  contenido,  enfrentado,  por  medidas  que  prohíjan</w:t>
        <w:br/>
        <w:t>desigualdad y discriminación--  no debe detener ni disuadir el acceso  a  la</w:t>
        <w:br/>
        <w:t>democracia integral, en la que se propicia el acceso  de  los  individuos  a</w:t>
        <w:br/>
        <w:t>los medios que propiciarán el desarrollo de sus potencialidades.</w:t>
        <w:br/>
        <w:br/>
        <w:t>33.   Como se observa, los casos contenciosos  que  menciono  en  este  Voto</w:t>
        <w:br/>
        <w:t>concurrente a las respectivas sentencias analizan cuestiones comunes  a  las</w:t>
        <w:br/>
        <w:t>comunidades indígenas y a los derechos de sus integrantes, aunque  lo  hagan</w:t>
        <w:br/>
        <w:t>frente a hechos diferentes y conforme a las  circunstancias  específicas  de</w:t>
        <w:br/>
        <w:t>cada caso. Estas decisiones se instalan sobre una misma  realidad  histórica</w:t>
        <w:br/>
        <w:t>y pretenden resolver las manifestaciones particulares que aquélla ha  traído</w:t>
        <w:br/>
        <w:t>hasta nuestro tiempo. De  ahí  que  alienten  la  aplicación  de  soluciones</w:t>
        <w:br/>
        <w:t>guiadas por un mismo objetivo  liberador  e  igualitario,  que  permitan  el</w:t>
        <w:br/>
        <w:t>despliegue de los derechos individuales de quienes son miembros  --y  tienen</w:t>
        <w:br/>
        <w:t>pleno derecho a seguirlo siendo-- de comunidades  étnicas  e  indígenas  que</w:t>
        <w:br/>
        <w:t>forman parte de las más amplias comunidades nacionales. Se trata, en fin  de</w:t>
        <w:br/>
        <w:t>cuentas, de resolver en el siglo  XXI  los  problemas  heredados  de  siglos</w:t>
        <w:br/>
        <w:t>precedentes. A esto puede contribuir la jurisprudencia específica, cada  vez</w:t>
        <w:br/>
        <w:t>más abundante y comprensiva, de la Corte Interamericana.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t xml:space="preserve">                 VOTO SEPARADO CONCURRENTE DEL JUEZ JACKMAN</w:t>
        <w:br/>
        <w:br/>
        <w:br/>
        <w:br/>
        <w:t>He votado a favor de esta sentencia porque estoy totalmente de  acuerdo  con</w:t>
        <w:br/>
        <w:t>las conclusiones a que  ha  llegado  la  Corte,  así  como  con  lo  que  ha</w:t>
        <w:br/>
        <w:t>ordenado.</w:t>
        <w:br/>
        <w:br/>
        <w:t>Sin embargo, me siento obligado a dejar constancia de  un  cierto  grado  de</w:t>
        <w:br/>
        <w:t>disconformidad con la ratio  decidendi  de  la  Corte  en  relación  con  la</w:t>
        <w:br/>
        <w:t>violación  por  el  Estado  de  Nicaragua  (“el  Estado”)  de  los  derechos</w:t>
        <w:br/>
        <w:t>consagrados en el artículo 23 de  la  Convención  Americana  sobre  Derechos</w:t>
        <w:br/>
        <w:t>Humanos (“la Convención”), en perjuicio de los candidatos de YATAMA.</w:t>
        <w:br/>
        <w:br/>
        <w:t>El enfoque particular de este voto es el análisis que realiza la Corte  (que</w:t>
        <w:br/>
        <w:t>se  encuentra  en  los  párrafos  214  a  229  de  esta  sentencia)  de   la</w:t>
        <w:br/>
        <w:t>responsabilidad del  Estado  en  relación  con  el  artículo  23.1.b  de  la</w:t>
        <w:br/>
        <w:t>Convención. Me propongo a considerar dicho análisis, tomando en  cuenta  las</w:t>
        <w:br/>
        <w:t>disposiciones del artículo 1.2 y del artículo 2.</w:t>
        <w:br/>
        <w:br/>
        <w:br/>
        <w:t>El artículo 1.2 establece lo siguiente:</w:t>
        <w:br/>
        <w:br/>
        <w:t xml:space="preserve">      2.    Para los efectos de esta Convención, persona es todo ser humano.</w:t>
        <w:br/>
        <w:br/>
        <w:br/>
        <w:br/>
        <w:t>El artículo 23.1.b establece lo siguiente:</w:t>
        <w:br/>
        <w:br/>
        <w:t xml:space="preserve">      1.    Todos los ciudadanos deben gozar de los  siguientes  derechos  y</w:t>
        <w:br/>
        <w:t xml:space="preserve">      oportunidades:</w:t>
        <w:br/>
        <w:t xml:space="preserve">      […]</w:t>
        <w:br/>
        <w:br/>
        <w:t xml:space="preserve">      b.    de votar y ser elegidos  en  elecciones  periódicas  auténticas,</w:t>
        <w:br/>
        <w:t xml:space="preserve">      realizadas por sufragio universal e  igual  y  por  voto  secreto  que</w:t>
        <w:br/>
        <w:t xml:space="preserve">      garantice la libre expresión de la voluntad de los electores.</w:t>
        <w:br/>
        <w:br/>
        <w:br/>
        <w:t>El artículo 2 dispone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Los  argumentos  principales  de  la  presente  sentencia  relativos  a   la</w:t>
        <w:br/>
        <w:t>violación cometida por el Estado de los Derechos Políticos (artículo  23)  y</w:t>
        <w:br/>
        <w:t>del Derecho a la Igualdad ante la Ley (artículo 24) pueden ser resumidos  de</w:t>
        <w:br/>
        <w:t>la siguiente manera:</w:t>
        <w:br/>
        <w:br/>
        <w:t>(1) La Ley Electoral de 2000 sólo permitió la participación en los  procesos</w:t>
        <w:br/>
        <w:t>electorales a través de partidos políticos, forma de  organización  ajena  a</w:t>
        <w:br/>
        <w:t>las costumbres, organización y  cultura  de  las  comunidades  “indígenas  y</w:t>
        <w:br/>
        <w:t>étnicas” de la Costa Atlántica (párr. 214).</w:t>
        <w:br/>
        <w:br/>
        <w:t>(2) No existe disposición en la Convención Americana  que  permita  sostener</w:t>
        <w:br/>
        <w:t>que los ciudadanos deben pertenecer a un partido  político  para  postularse</w:t>
        <w:br/>
        <w:t>como candidatos a un  cargo  electivo.  La  Convención  reconoce  que  otras</w:t>
        <w:br/>
        <w:t>formas de organización  para  fines  electorales  pueden  ser  apropiadas  e</w:t>
        <w:br/>
        <w:t>incluso necesarias, con miras  a  la  realización  de  fines  comunes,  para</w:t>
        <w:br/>
        <w:t>favorecer o asegurar la participación de grupos específicos (párr. 215).</w:t>
        <w:br/>
        <w:br/>
        <w:t>(3) De acuerdo a la legislación interna, el Estado está obligado a respetar</w:t>
        <w:br/>
        <w:t>las formas de organización de las comunidades de la Costa Atlántica. El</w:t>
        <w:br/>
        <w:t>Estado no ha demostrado la existencia de un interés público imperativo que</w:t>
        <w:br/>
        <w:t>pudiera justificar el requisito de que YATAMA deba constituirse en partido</w:t>
        <w:br/>
        <w:t>político para que sus miembros puedan participar como candidatos en las</w:t>
        <w:br/>
        <w:t>elecciones o de que éstos deban participar a través de partidos políticos</w:t>
        <w:br/>
        <w:t>(párr. 218).</w:t>
        <w:br/>
        <w:br/>
        <w:br/>
        <w:br/>
        <w:t>(4) Con base en las anteriores consideraciones (énfasis añadido), la</w:t>
        <w:br/>
        <w:t>restricción impuesta constituye una limitación indebida al ejercicio de un</w:t>
        <w:br/>
        <w:t>derecho político “tomando en cuenta las circunstancias del presente caso, a</w:t>
        <w:br/>
        <w:t>las que no son necesariamente asimilables todas las hipótesis de</w:t>
        <w:br/>
        <w:t>agrupaciones para fines políticos que pudieran presentarse en otras</w:t>
        <w:br/>
        <w:t>sociedades nacionales o sectores de una misma sociedad nacional” (párr.</w:t>
        <w:br/>
        <w:t>219). “[C]ualquier requisito para la participación política diseñado para</w:t>
        <w:br/>
        <w:t>partidos políticos, que no podrá ser cumplido por agrupaciones con</w:t>
        <w:br/>
        <w:t>diferente organización, es también contrario a los artículos 23 y 24 de la</w:t>
        <w:br/>
        <w:t>Convención Americana” (párr. 220).</w:t>
        <w:br/>
        <w:br/>
        <w:br/>
        <w:br/>
        <w:t>En mi entendimiento, la ratio expuesta en el punto (4) supra es una</w:t>
        <w:br/>
        <w:t>interpretación innecesariamente indirecta y potencialmente desorientadora</w:t>
        <w:br/>
        <w:t>de la naturaleza del derecho consagrado en el artículo 23.1.b, cuyos</w:t>
        <w:br/>
        <w:t>lenguaje y propósito no podrían ser más claros.  Un “ciudadano” -quien debe</w:t>
        <w:br/>
        <w:t>ser obviamente una “persona” y no un grupo, en los términos del artículo</w:t>
        <w:br/>
        <w:t>1.2– tiene un derecho absoluto “de votar y ser elegido” en elecciones</w:t>
        <w:br/>
        <w:t>democráticas, tal como lo establece el referido artículo. De ese modo,</w:t>
        <w:br/>
        <w:t>cualquier requisito de que un “ciudadano” deba ser miembro de un partido</w:t>
        <w:br/>
        <w:t>político o de cualquier otra forma de organización política para ejercer</w:t>
        <w:br/>
        <w:t>aquel derecho viola claramente tanto el espíritu como la letra de la norma</w:t>
        <w:br/>
        <w:t>en cuestión.</w:t>
        <w:br/>
        <w:br/>
        <w:br/>
        <w:br/>
        <w:t>Es completamente irrelevante si ese requisito puede o no ser “cumplido por</w:t>
        <w:br/>
        <w:t>agrupaciones con diferente organización”, como por ejemplo, en el presente</w:t>
        <w:br/>
        <w:t>caso, YATAMA. Es el derecho individual del “ciudadano” individual el que se</w:t>
        <w:br/>
        <w:t>encuentra proclamado y debe ser protegido por la Corte. Me preocupa que al</w:t>
        <w:br/>
        <w:t>incluir cuestiones de cultura, costumbre y formas tradicionales de</w:t>
        <w:br/>
        <w:t>organización en su decisión sobre este tema, la Corte está corriendo el</w:t>
        <w:br/>
        <w:t>riesgo de disminuir la protección que debe estar disponible a todo</w:t>
        <w:br/>
        <w:t>“ciudadano” bajo la jurisdicción de cada Estado, independientemente de la</w:t>
        <w:br/>
        <w:t>cultura, las costumbres o formas tradicionales de asociación del ciudadano.</w:t>
        <w:br/>
        <w:br/>
        <w:br/>
        <w:br/>
        <w:t>Por lo tanto, en mi opinión, al haber impuesto el requisito en discusión</w:t>
        <w:br/>
        <w:t>-sin más–, el Estado violó el derecho de los miembros de YATAMA de votar y</w:t>
        <w:br/>
        <w:t>ser elegidos.</w:t>
        <w:br/>
        <w:br/>
        <w:br/>
        <w:br/>
        <w:t>Mi opinión se encuentra respaldada por una lectura cuidadosa de las</w:t>
        <w:br/>
        <w:t>secciones relevantes de los trabajos preparatorios de la Convención. Surge</w:t>
        <w:br/>
        <w:t>de éstos que la conferencia que redactó y aprobó la Convención rechazó</w:t>
        <w:br/>
        <w:t>específicamente una propuesta que pudiera haber incluido en el actual</w:t>
        <w:br/>
        <w:t>artículo 23.1 un derecho a pertenecer a partidos políticos cuyas</w:t>
        <w:br/>
        <w:t>actividades serían “protegidas” por la ley.</w:t>
        <w:br/>
        <w:br/>
        <w:br/>
        <w:br/>
        <w:t>Sería una gran lástima si la presente sentencia de la Corte abriera ahora</w:t>
        <w:br/>
        <w:t>el camino a interpretaciones de ese importante artículo que los autores de</w:t>
        <w:br/>
        <w:t>la Convención, en su sabiduría, se esforzaron por excluir.</w:t>
        <w:br/>
        <w:br/>
        <w:br/>
        <w:br/>
        <w:br/>
        <w:br/>
        <w:br/>
        <w:br/>
        <w:br/>
        <w:br/>
        <w:br/>
        <w:br/>
        <w:t xml:space="preserve">                               Oliver Jackman</w:t>
        <w:br/>
        <w:t xml:space="preserve">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 xml:space="preserve">                VOTO RAZONADO DEL JUEZ A.A. CANÇADO TRINDADE</w:t>
        <w:br/>
        <w:br/>
        <w:br/>
        <w:br/>
        <w:t>1.    Al votar en favor de  la  adopción  por  la  Corte  Interamericana  de</w:t>
        <w:br/>
        <w:t>Derechos  Humanos  de  la  presente  Sentencia  en  el  caso  Yatama  versus</w:t>
        <w:br/>
        <w:t>Nicaragua, me veo en la obligación  de  agregar  este  Voto  Razonado,  para</w:t>
        <w:br/>
        <w:t>destacar dos puntos que me parecen  merecedores  de  atención  especial.  En</w:t>
        <w:br/>
        <w:t>primer lugar, lo decidido por la Corte, al desestimar la  tercera  excepción</w:t>
        <w:br/>
        <w:t>preliminar interpuesta por  el  Estado,  refleja  el  perfeccionamiento  del</w:t>
        <w:br/>
        <w:t>procedimiento ante el Tribunal en los últimos años, sobre todo a  partir  de</w:t>
        <w:br/>
        <w:t>la adopción de su actual Reglamento, aprobado el  24.11.2000,  y  vigente  a</w:t>
        <w:br/>
        <w:t>partir del 01.06.2001. Mediante la evolución plasmada en  dicho  Reglamento,</w:t>
        <w:br/>
        <w:t>el individuo se consolida como  sujeto  del  Derecho  Internacional  de  los</w:t>
        <w:br/>
        <w:t>Derechos Humanos dotado de plena capacidad jurídico-procesal  internacional,</w:t>
        <w:br/>
        <w:t>en particular en virtud del histórico cambio introducido por el artículo  23</w:t>
        <w:br/>
        <w:t>del Reglamento de la Corte, otorgándole locus standi  in  judicio  en  todas</w:t>
        <w:br/>
        <w:t>las etapas del procedimiento en materia contenciosa ante la Corte.</w:t>
        <w:br/>
        <w:br/>
        <w:br/>
        <w:t>2.    Además, el agregado de un nuevo párrafo introducido por  la  Corte  en</w:t>
        <w:br/>
        <w:t>el artículo 33 in fine del referido Reglamento  (párrafo  vigente  a  partir</w:t>
        <w:br/>
        <w:t>del 01.01.2004), en el sentido de que, en  caso  de  que  las  informaciones</w:t>
        <w:br/>
        <w:t>sobre los representantes de las presuntas víctimas y sus familiares no  sean</w:t>
        <w:br/>
        <w:t>presentadas en la demanda, la Comisión Interamericana de Derechos Humanos</w:t>
        <w:br/>
        <w:br/>
        <w:t xml:space="preserve">           "será la representante procesal de  aquéllas  como  garante  del</w:t>
        <w:br/>
        <w:t xml:space="preserve">      interés público bajo la Convención Americana,  de  modo  a  evitar  la</w:t>
        <w:br/>
        <w:t xml:space="preserve">      indefensión de las mismas",</w:t>
        <w:br/>
        <w:br/>
        <w:t>- vino a aclarar en definitiva todo el alcance  del  derecho  individual  de</w:t>
        <w:br/>
        <w:t>acceso a la instancia judicial suprema bajo la  Convención  Americana  sobre</w:t>
        <w:br/>
        <w:t>Derechos Humanos.</w:t>
        <w:br/>
        <w:br/>
        <w:t>3.    A mi juicio, esta notable evolución alcanzará su plenitud  el  día  en</w:t>
        <w:br/>
        <w:t>que se otorgue - como vengo sosteniendo  hace  tiempos  -  a  las  presuntas</w:t>
        <w:br/>
        <w:t>víctimas el jus standi ante la Corte[194].  De  todos  modos,  ya  no  puede</w:t>
        <w:br/>
        <w:t>haber duda de que no se puede  invocar  supuestas  lagunas  atinentes  a  la</w:t>
        <w:br/>
        <w:t>representación legal de las presuntas víctimas para intentar  restringir  su</w:t>
        <w:br/>
        <w:t>acceso a la Corte. El extraordinario salto cualitativo dado por la Corte  en</w:t>
        <w:br/>
        <w:t>el período noviembre 2000/enero 2004, en cuanto  a  la  capacidad  jurídico-</w:t>
        <w:br/>
        <w:t>procesal internacional de los individuos bajo la  Convención  Americana,  no</w:t>
        <w:br/>
        <w:t>admite retrocesos.</w:t>
        <w:br/>
        <w:br/>
        <w:br/>
        <w:t>4.    En el presente dominio, no hay vacatio legis, ni tampoco  puede  haber</w:t>
        <w:br/>
        <w:t>indefensión de las presuntas víctimas. En circunstancias como  las  del  cas</w:t>
        <w:br/>
        <w:t>d'espèce,  la  Corte  puede  y  debe  conocer  el  caso;  como  el  Tribunal</w:t>
        <w:br/>
        <w:t>correctamente  razonó  al  desestimar  la   tercera   excepción   preliminar</w:t>
        <w:br/>
        <w:t>interpuesta por el Estado,</w:t>
        <w:br/>
        <w:br/>
        <w:t xml:space="preserve">           "Si  no  se  admitiera  una  demanda   porque   se   carece   de</w:t>
        <w:br/>
        <w:t xml:space="preserve">      representación, se incurriría en una restricción indebida que privaría</w:t>
        <w:br/>
        <w:t xml:space="preserve">      a  la  presunta  víctima  de  la   posibilidad   de   acceder   a   la</w:t>
        <w:br/>
        <w:t xml:space="preserve">      justicia"[195].</w:t>
        <w:br/>
        <w:br/>
        <w:br/>
        <w:t>5.    En suma, el derecho de la persona humana a la  justicia  internacional</w:t>
        <w:br/>
        <w:t>bajo la Convención Americana encuéntrase hoy  salvaguardado  tanto  por  las</w:t>
        <w:br/>
        <w:t>normas convencionales relevantes como por  la  propia  determinación  de  la</w:t>
        <w:br/>
        <w:t>Corte, al haber perfeccionado notablemente su interna corporis  (sobre  todo</w:t>
        <w:br/>
        <w:t>en el período noviembre 2000/enero  2004)  y  al  no  admitir  restricciones</w:t>
        <w:br/>
        <w:t>indebidas a aquel derecho. Ésto contribuye, a mi  modo  de  ver,  al  actual</w:t>
        <w:br/>
        <w:t>proceso de humanización del Derecho Internacional, además de constituir  una</w:t>
        <w:br/>
        <w:t>conquista definitiva de la civilización contemporánea, en  el  marco  de  la</w:t>
        <w:br/>
        <w:t>Convención Americana.</w:t>
        <w:br/>
        <w:br/>
        <w:br/>
        <w:t>6.    El segundo  punto  que  me  permito  destacar,  en  el  presente  Voto</w:t>
        <w:br/>
        <w:t>Razonado en relación con ésta que  es  la  primera  Sentencia  de  la  Corte</w:t>
        <w:br/>
        <w:t>Interamericana   sobre   los   derechos   políticos    en    una    sociedad</w:t>
        <w:br/>
        <w:t>democrática[196], bajo el artículo 23 de  la  Convención  Americana,  es  la</w:t>
        <w:br/>
        <w:t>correcta vinculación efectuada por la Corte de los  derechos  políticos  con</w:t>
        <w:br/>
        <w:t>el derecho a la igualdad ante la ley, consagrado en el  artículo  24  de  la</w:t>
        <w:br/>
        <w:t>Convención Americana. Este último está conformado por  un  principio  básico</w:t>
        <w:br/>
        <w:t>que la propia Corte ha reconocido  pertenecer  al  dominio  del  jus  cogens</w:t>
        <w:br/>
        <w:t>internacional: el principio de la igualdad y no-discriminación.</w:t>
        <w:br/>
        <w:br/>
        <w:br/>
        <w:t>7.    En la presente Sentencia en el caso Yatama versus Nicaragua, la  Corte</w:t>
        <w:br/>
        <w:t>confirma  el  gran  avance  jurisprudencial  alcanzado  al  respecto  en  su</w:t>
        <w:br/>
        <w:t>histórica Opinión Consultiva n. 18 sobre la Condición  Jurídica  y  Derechos</w:t>
        <w:br/>
        <w:t>de los Migrantes Indocumentados (2003), al razonar (en los párrafos  184-186</w:t>
        <w:br/>
        <w:t>que</w:t>
        <w:br/>
        <w:br/>
        <w:t xml:space="preserve">           "El principio de la protección igualitaria y efectiva de la  ley</w:t>
        <w:br/>
        <w:t xml:space="preserve">      y de la no-discriminación  constituye  un  dato  sobresaliente  en  el</w:t>
        <w:br/>
        <w:t xml:space="preserve">      sistema  tutelar  de  los  derechos  humanos  consagrado   en   muchos</w:t>
        <w:br/>
        <w:t xml:space="preserve">      instrumentos  internacionales  y  desarrollado  por  la   doctrina   y</w:t>
        <w:br/>
        <w:t xml:space="preserve">      jurisprudencia internacionales. En la actual etapa de la evolución del</w:t>
        <w:br/>
        <w:t xml:space="preserve">      derecho internacional, el principio de igualdad y no-discriminación ha</w:t>
        <w:br/>
        <w:t xml:space="preserve">      ingresado en el dominio del jus cogens. Sobre él descansa el andamiaje</w:t>
        <w:br/>
        <w:t xml:space="preserve">      jurídico del orden público nacional e internacional y permea  todo  el</w:t>
        <w:br/>
        <w:t xml:space="preserve">      ordenamiento jurídico.</w:t>
        <w:br/>
        <w:t xml:space="preserve">           Ese principio posee carácter fundamental para la salvaguardia de</w:t>
        <w:br/>
        <w:t xml:space="preserve">      los derechos humanos tanto en el  derecho  internacional  como  en  el</w:t>
        <w:br/>
        <w:t xml:space="preserve">      interno;  se  trata  de  un  principio  de  derecho  imperativo.   Por</w:t>
        <w:br/>
        <w:t xml:space="preserve">      consiguiente, los Estados tienen la obligación de no introducir en  su</w:t>
        <w:br/>
        <w:t xml:space="preserve">      ordenamiento  jurídico  regulaciones  discriminatorias,  eliminar  las</w:t>
        <w:br/>
        <w:t xml:space="preserve">      regulaciones de carácter discriminatorio, combatir  las  prácticas  de</w:t>
        <w:br/>
        <w:t xml:space="preserve">      este carácter y establecer normas y otras  medidas  que  reconozcan  y</w:t>
        <w:br/>
        <w:t xml:space="preserve">      aseguren la efectiva igualdad ante la ley de todas  las  personas.  Es</w:t>
        <w:br/>
        <w:t xml:space="preserve">      discriminatoria una distinción que carezca de justificación objetiva y</w:t>
        <w:br/>
        <w:t xml:space="preserve">      razonable.</w:t>
        <w:br/>
        <w:t xml:space="preserve">           El  artículo  24  de  la   Convención   Americana   prohíbe   la</w:t>
        <w:br/>
        <w:t xml:space="preserve">      discriminación de derecho o de hecho, no sólo en cuanto a los derechos</w:t>
        <w:br/>
        <w:t xml:space="preserve">      consagrados en dicho tratado, sino en lo  que  respecta  a  todas  las</w:t>
        <w:br/>
        <w:t xml:space="preserve">      leyes que apruebe el Estado y a su aplicación. Es decir, no se  limita</w:t>
        <w:br/>
        <w:t xml:space="preserve">      a reiterar lo dispuesto en el artículo 1(1) de la misma,  respecto  de</w:t>
        <w:br/>
        <w:t xml:space="preserve">      la  obligación  de  los  Estados  de  respetar   y   garantizar,   sin</w:t>
        <w:br/>
        <w:t xml:space="preserve">      discriminación,  los  derechos  reconocidos  en  dicho  tratado,  sino</w:t>
        <w:br/>
        <w:t xml:space="preserve">      consagra un derecho que también  acarrea  obligaciones  al  Estado  de</w:t>
        <w:br/>
        <w:t xml:space="preserve">      respetar y garantizar el principio de igualdad y no-discriminación  en</w:t>
        <w:br/>
        <w:t xml:space="preserve">      la salvaguardia de otros derechos y en toda la legislación interna que</w:t>
        <w:br/>
        <w:t xml:space="preserve">      apruebe".</w:t>
        <w:br/>
        <w:br/>
        <w:br/>
        <w:t>8.    Sobre el amplio alcance del principio básico, propio del  jus  cogens,</w:t>
        <w:br/>
        <w:t>de la igualdad  y  no-discriminación,  ya  me  referí  en  mi  extenso  Voto</w:t>
        <w:br/>
        <w:t>Concurrente en la Opinión Consultiva n. 18 de la Corte, sobre  la  Condición</w:t>
        <w:br/>
        <w:t>Jurídica y Derechos de los Migrantes  Indocumentados,  al  cual  me  permito</w:t>
        <w:br/>
        <w:t>aquí referirme. En aquel Voto Concurrente señalé,  por  ejemplo,  que  dicho</w:t>
        <w:br/>
        <w:t>principio permea todo el corpus  juris  del  Derecho  Internacional  de  los</w:t>
        <w:br/>
        <w:t>Derechos Humanos (párr. 59), del cual es uno de los pilares[197], además  de</w:t>
        <w:br/>
        <w:t>elemento   integrante   del   propio   derecho   internacional   general   o</w:t>
        <w:br/>
        <w:t>consuetudinario,  por  cuanto  la  normativa  del  jus  gentium  debe,   por</w:t>
        <w:br/>
        <w:t>definición,  "ser  la  misma  para  todos  los  sujetos  de   la   comunidad</w:t>
        <w:br/>
        <w:t>internacional"[198] (párr. 60)[199]. Las obligaciones estatales de  respetar</w:t>
        <w:br/>
        <w:t>y garantizar el principio de  la  igualdad  y  no-discriminación  tienen  el</w:t>
        <w:br/>
        <w:t>carácter de verdaderas obligaciones erga omnes.</w:t>
        <w:br/>
        <w:br/>
        <w:br/>
        <w:t>9.    Lo que me permito aquí agregar, en el presente Voto Razonado,  es  que</w:t>
        <w:br/>
        <w:t>el reconocimiento judicial del carácter de jus cogens del  principio  básico</w:t>
        <w:br/>
        <w:t>de  la  igualdad  y  no-discriminación  se  manifiesta   hoy   día   en   la</w:t>
        <w:br/>
        <w:t>jurisprudencia no sólo en materia consultiva, sino también - como lo  atesta</w:t>
        <w:br/>
        <w:t>la presente Sentencia en el caso Yatama - en materia  contenciosa,  de  esta</w:t>
        <w:br/>
        <w:t>Corte, rindiendo así un aporte positivo y de  vanguardia  al  desarrollo  de</w:t>
        <w:br/>
        <w:t>las bases del propio Derecho Internacional de los Derechos Humanos.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t>Pablo Saavedra Alessandri</w:t>
        <w:br/>
        <w:t xml:space="preserve">       Secretario</w:t>
        <w:br/>
        <w:br/>
        <w:br/>
        <w:t xml:space="preserve">                VOTO CONCURRENTE DEL JUEZ DIEGO GARCÍA-SAYÁN</w:t>
        <w:br/>
        <w:br/>
        <w:br/>
        <w:br/>
        <w:t xml:space="preserve">   1. Este es el primer caso que conoce la Corte Interamericana de  Derechos</w:t>
        <w:br/>
        <w:t xml:space="preserve">      Humanos sobre  el  crucial  tema  de  los  derechos  políticos.  A  la</w:t>
        <w:br/>
        <w:t xml:space="preserve">      significación que esa sola circunstancia le da al caso,  se  añade  la</w:t>
        <w:br/>
        <w:t xml:space="preserve">      importancia que en si mismo tiene para la afirmación y  protección  de</w:t>
        <w:br/>
        <w:t xml:space="preserve">      dichos derechos en situaciones como la que en aquí se plantea.</w:t>
        <w:br/>
        <w:br/>
        <w:br/>
        <w:t xml:space="preserve">   2. Más allá del caso mismo, no cabe duda que la vigencia de los  derechos</w:t>
        <w:br/>
        <w:t xml:space="preserve">      políticos y de los componentes  fundamentales  de  la  democracia  son</w:t>
        <w:br/>
        <w:t xml:space="preserve">      delicados asuntos que en  el  pasado  y  en  el  presente  han  tocado</w:t>
        <w:br/>
        <w:t xml:space="preserve">      aspectos medulares de la vida de la población en la  región.  Quedaron</w:t>
        <w:br/>
        <w:t xml:space="preserve">      atrás los gobiernos surgidos de golpes militares pero la realidad  nos</w:t>
        <w:br/>
        <w:t xml:space="preserve">      da cuenta de una multiplicidad de amenazas a la  democracia  y  a  los</w:t>
        <w:br/>
        <w:t xml:space="preserve">      derechos políticos que plantea retos cotidianos a ser  enfrentados  en</w:t>
        <w:br/>
        <w:t xml:space="preserve">      casi todos los países de  la  región.  La  Corte  con  esta  sentencia</w:t>
        <w:br/>
        <w:t xml:space="preserve">      refuerza y desarrolla los aspectos medulares de los derechos políticos</w:t>
        <w:br/>
        <w:t xml:space="preserve">      estipulados en la Convención. Por todas estas razones  creo  necesario</w:t>
        <w:br/>
        <w:t xml:space="preserve">      emitir este voto  concurrente  que  busca  agregar  consideraciones  y</w:t>
        <w:br/>
        <w:t xml:space="preserve">      enfoques a los ya contenidos en la sentencia cuyo  contenido  comparto</w:t>
        <w:br/>
        <w:t xml:space="preserve">      en su integridad.</w:t>
        <w:br/>
        <w:br/>
        <w:br/>
        <w:t xml:space="preserve">   3. Como bien se señala en la sentencia, la democracia  representativa  es</w:t>
        <w:br/>
        <w:t xml:space="preserve">      determinante en todo el sistema del que la Convención Americana  sobre</w:t>
        <w:br/>
        <w:t xml:space="preserve">      Derechos Humanos forma  parte.  En  efecto,  desde  el  inicio  de  la</w:t>
        <w:br/>
        <w:t xml:space="preserve">      Organización  de  Estados  Americanos  (OEA)  fue  explícito  que   la</w:t>
        <w:br/>
        <w:t xml:space="preserve">      democracia y su promoción es uno de sus objetivos fundamentales de  la</w:t>
        <w:br/>
        <w:t xml:space="preserve">      organización. La Carta de la OEA proclamó  ya  en  1948  los  derechos</w:t>
        <w:br/>
        <w:t xml:space="preserve">      fundamentales de la persona, sin  distinción  de  raza,  nacionalidad,</w:t>
        <w:br/>
        <w:t xml:space="preserve">      credo o sexo y estipuló que respetar los derechos de la persona es uno</w:t>
        <w:br/>
        <w:t xml:space="preserve">      de los deberes fundamentales  de  los  Estados.  Entre  los  objetivos</w:t>
        <w:br/>
        <w:t xml:space="preserve">      primigenios de la OEA figuraba el  de  “...promover  y  consolidar  la</w:t>
        <w:br/>
        <w:t xml:space="preserve">      democracia representativa”.</w:t>
        <w:br/>
        <w:br/>
        <w:t xml:space="preserve">   4. Asimismo, desde los inicios de la OEA, la democracia y  el  respeto  a</w:t>
        <w:br/>
        <w:t xml:space="preserve">      los  derechos  esenciales  del  hombre  fueron  concebidos  de  manera</w:t>
        <w:br/>
        <w:t xml:space="preserve">      interdependiente. Esta vinculación está presente en el Preámbulo de la</w:t>
        <w:br/>
        <w:t xml:space="preserve">      Carta, en la Declaración Americana  de  los  Derechos  y  Deberes  del</w:t>
        <w:br/>
        <w:t xml:space="preserve">      Hombre y, particularmente, en la Convención Americana  sobre  Derechos</w:t>
        <w:br/>
        <w:t xml:space="preserve">      Humanos. La Declaración  de  Santiago  de  1959  precisó  esta  unidad</w:t>
        <w:br/>
        <w:t xml:space="preserve">      conceptual  entre  derechos  humanos  y  democracia,  al  definir  los</w:t>
        <w:br/>
        <w:t xml:space="preserve">      estándares democráticos interamericanos. Posteriormente la  Resolución</w:t>
        <w:br/>
        <w:t xml:space="preserve">      991, "Derechos y democracia", estableció que los miembros  de  la  OEA</w:t>
        <w:br/>
        <w:t xml:space="preserve">      deben afianzar sus sistemas democráticos a través del pleno respeto de</w:t>
        <w:br/>
        <w:t xml:space="preserve">      los derechos humanos.</w:t>
        <w:br/>
        <w:br/>
        <w:br/>
        <w:t xml:space="preserve">   5. Es ese el contexto en el que se insertan las disposiciones  contenidas</w:t>
        <w:br/>
        <w:t xml:space="preserve">      en el artículo 23º de la Convención acerca de los derechos  políticos.</w:t>
        <w:br/>
        <w:t xml:space="preserve">      Este es un significativo componente de un amplio proceso  normativo  y</w:t>
        <w:br/>
        <w:t xml:space="preserve">      de afirmación conceptual acerca de los  derechos  políticos  que,  por</w:t>
        <w:br/>
        <w:t xml:space="preserve">      cierto, no se agota en la letra de las disposiciones allí  contenidas.</w:t>
        <w:br/>
        <w:t xml:space="preserve">      Por los fundamentos y consideraciones que se exponen en la  sentencia,</w:t>
        <w:br/>
        <w:t xml:space="preserve">      la Corte considera correctamente que  este  es  uno  de  los  derechos</w:t>
        <w:br/>
        <w:t xml:space="preserve">      violados por el Estado de Nicaragua en este caso. El  sustento  de  la</w:t>
        <w:br/>
        <w:t xml:space="preserve">      violación de los derechos políticos en el caso  YATAMA  vs.  Nicaragua</w:t>
        <w:br/>
        <w:t xml:space="preserve">      hace  aconsejable  tomar  en   consideración   el   rico   acervo   de</w:t>
        <w:br/>
        <w:t xml:space="preserve">      razonamientos y enfoques  que  se  han  venido  dando  en  el  sistema</w:t>
        <w:br/>
        <w:t xml:space="preserve">      interamericano a lo largo de las últimas décadas en lo  que  atañe  al</w:t>
        <w:br/>
        <w:t xml:space="preserve">      ejercicio de los derechos políticos en la afirmación de la democracia,</w:t>
        <w:br/>
        <w:t xml:space="preserve">      uno de los  deberes  esenciales  de  los  Estados  parte  del  sistema</w:t>
        <w:br/>
        <w:t xml:space="preserve">      interamericano.</w:t>
        <w:br/>
        <w:br/>
        <w:t xml:space="preserve">   6. A lo largo de la década  del  90  se  reafirmaron  a  nivel  global  e</w:t>
        <w:br/>
        <w:t xml:space="preserve">      interamericano los valores democráticos.  En  el  ámbito  del  sistema</w:t>
        <w:br/>
        <w:t xml:space="preserve">      interamericano se adoptaron  importantes  decisiones  en  las  Cumbres</w:t>
        <w:br/>
        <w:t xml:space="preserve">      hemisféricas y en las Asambleas  Generales  de  la  OEA  orientadas  a</w:t>
        <w:br/>
        <w:t xml:space="preserve">      afianzar los principios democráticos dándose los primeros  pasos  para</w:t>
        <w:br/>
        <w:t xml:space="preserve">      la  generación  de  lo  que  después,   con   la   Carta   Democrática</w:t>
        <w:br/>
        <w:t xml:space="preserve">      Interamericana, se denominó  “defensa  colectiva  de  la  democracia”.</w:t>
        <w:br/>
        <w:t xml:space="preserve">      Destacan en ese devenir la Resolución 1080 de 1991,  el  Protocolo  de</w:t>
        <w:br/>
        <w:t xml:space="preserve">      Washington de 1992 y la Resolución 1753 de 2000 en  relación  al  caso</w:t>
        <w:br/>
        <w:t xml:space="preserve">      del Perú. En ese curso se ha consolidado gradualmente la concepción de</w:t>
        <w:br/>
        <w:t xml:space="preserve">      que no existe oposición entre el  principio  de  no  intervención,  la</w:t>
        <w:br/>
        <w:t xml:space="preserve">      defensa de la democracia y los derechos humanos, entre  otras  razones</w:t>
        <w:br/>
        <w:t xml:space="preserve">      porque los compromisos en materia de defensa de los derechos humanos y</w:t>
        <w:br/>
        <w:t xml:space="preserve">      de la democracia son contraídos por los países en el  libre  ejercicio</w:t>
        <w:br/>
        <w:t xml:space="preserve">      de su propia soberanía.</w:t>
        <w:br/>
        <w:br/>
        <w:t xml:space="preserve">   7. Es hecho conocido que el catálogo de los  derechos  humanos  nunca  ha</w:t>
        <w:br/>
        <w:t xml:space="preserve">      sido estático. Se ha ido definiendo y consagrando según el  desarrollo</w:t>
        <w:br/>
        <w:t xml:space="preserve">      histórico de la sociedad, de la organización del Estado y la evolución</w:t>
        <w:br/>
        <w:t xml:space="preserve">      de los regímenes políticos. Ello explica que actualmente asistamos  al</w:t>
        <w:br/>
        <w:t xml:space="preserve">      desarrollo y profundización de los derechos políticos identificándose,</w:t>
        <w:br/>
        <w:t xml:space="preserve">      incluso, lo que  algunos  han  denominado  el  “derecho  humano  a  la</w:t>
        <w:br/>
        <w:t xml:space="preserve">      democracia”.  Ese  desarrollo  se  expresa  en  la  Carta  Democrática</w:t>
        <w:br/>
        <w:t xml:space="preserve">      Interamericana, el instrumento jurídico que el sistema  interamericano</w:t>
        <w:br/>
        <w:t xml:space="preserve">      ha generado para fortalecer  la  democracia  y  los  derechos  a  ella</w:t>
        <w:br/>
        <w:t xml:space="preserve">      vinculados, en cuyo primer artículo se estipula que  “Los  pueblos  de</w:t>
        <w:br/>
        <w:t xml:space="preserve">      América tienen derecho a la democracia y sus gobiernos  la  obligación</w:t>
        <w:br/>
        <w:t xml:space="preserve">      de promoverla y defenderla”.</w:t>
        <w:br/>
        <w:br/>
        <w:t xml:space="preserve">   8. En esa misma lógica, el sistema interamericano  ha  ido  precisando  y</w:t>
        <w:br/>
        <w:t xml:space="preserve">      afinando el concepto de la democracia reforzando el sentido  evolutivo</w:t>
        <w:br/>
        <w:t xml:space="preserve">      de los derechos políticos más allá de la letra de lo estipulado en  el</w:t>
        <w:br/>
        <w:t xml:space="preserve">      artículo 23º de la Convención. Dicho desarrollo debe  ser  tomados  en</w:t>
        <w:br/>
        <w:t xml:space="preserve">      cuenta al momento de resolver un caso  contencioso  sobre  la  materia</w:t>
        <w:br/>
        <w:t xml:space="preserve">      como, en efecto, lo ha hecho la Corte en esta sentencia.</w:t>
        <w:br/>
        <w:br/>
        <w:t xml:space="preserve">   9. En este caso la Corte se pronuncia sobre la alegada  violación  a  los</w:t>
        <w:br/>
        <w:t xml:space="preserve">      derechos políticos (artículo 23º de la Convención)  y  a  la  igualdad</w:t>
        <w:br/>
        <w:t xml:space="preserve">      ante la ley (artículo 24º de la Convención), además de la violación  a</w:t>
        <w:br/>
        <w:t xml:space="preserve">      los artículos 8º y 25º. No cabe en este  voto  razonado  reiterar  las</w:t>
        <w:br/>
        <w:t xml:space="preserve">      consideraciones de  la  Corte  que  se  encuentran  contenidas  en  la</w:t>
        <w:br/>
        <w:t xml:space="preserve">      sentencia a propósito del caso YATAMA. Como lo he señalado al  inicio,</w:t>
        <w:br/>
        <w:t xml:space="preserve">      comparto plenamente el contenido de esta sentencia y a ella me remito.</w:t>
        <w:br/>
        <w:t xml:space="preserve">      La misma, sin embargo, motiva algunas reflexiones  de  índole  general</w:t>
        <w:br/>
        <w:t xml:space="preserve">      que se suscitan a partir de este caso específico en lo que concierne a</w:t>
        <w:br/>
        <w:t xml:space="preserve">      los derechos políticos.</w:t>
        <w:br/>
        <w:br/>
        <w:br/>
        <w:t xml:space="preserve">  10. La Convención Americana sobre Derechos Humanos estipula en su artículo</w:t>
        <w:br/>
        <w:t xml:space="preserve">      23º una serie de obligaciones de los Estados en  materia  de  derechos</w:t>
        <w:br/>
        <w:t xml:space="preserve">      políticos que se agrupan en tres componentes de derechos  que  tienen,</w:t>
        <w:br/>
        <w:t xml:space="preserve">      como contrapartida lógica, obligaciones a cargo  de  los  Estados:  1)</w:t>
        <w:br/>
        <w:t xml:space="preserve">      participar en la dirección de los asuntos públicos, directamente o por</w:t>
        <w:br/>
        <w:t xml:space="preserve">      medio de representantes libremente elegidos (art.  23.1  inc.  a);  2)</w:t>
        <w:br/>
        <w:t xml:space="preserve">      votar y ser elegidos en elecciones periódicas  auténticas,  realizadas</w:t>
        <w:br/>
        <w:t xml:space="preserve">      por sufragio universal e igual y por voto  secreto  que  garantice  la</w:t>
        <w:br/>
        <w:t xml:space="preserve">      libre expresión de la voluntad de los electores (art. 23.1 inc. b), y;</w:t>
        <w:br/>
        <w:t xml:space="preserve">      c) acceder, en condiciones generales  de  igualdad,  a  las  funciones</w:t>
        <w:br/>
        <w:t xml:space="preserve">      públicas de su país (art. 23.1 inc. c). En  esta  sentencia  la  Corte</w:t>
        <w:br/>
        <w:t xml:space="preserve">      declara violados los derechos consignados en el conjunto del  artículo</w:t>
        <w:br/>
        <w:t xml:space="preserve">      23.1.  En  lo  que  atañe  al  derecho  a  la  igualdad  y  a  la   no</w:t>
        <w:br/>
        <w:t xml:space="preserve">      discriminación, la  Corte  declara  violado  el  artículo  24º  de  la</w:t>
        <w:br/>
        <w:t xml:space="preserve">      Convención.</w:t>
        <w:br/>
        <w:br/>
        <w:t xml:space="preserve">  11. Una primera consideración de tipo general es  que  en  este  caso  los</w:t>
        <w:br/>
        <w:t xml:space="preserve">      derechos políticos que la Corte considera violados  por  Nicaragua  lo</w:t>
        <w:br/>
        <w:t xml:space="preserve">      son en un doble sentido.  De  un  lado  por  cuanto  los  dispositivos</w:t>
        <w:br/>
        <w:t xml:space="preserve">      contenidos en la Ley Electoral Nº 331 del año 2000 violan el  artículo</w:t>
        <w:br/>
        <w:t xml:space="preserve">      23º por  la  ambigüedad  de  varias  de  sus  disposiciones,  por  los</w:t>
        <w:br/>
        <w:t xml:space="preserve">      impedimentos  que  establece  para  la  participación   electoral   de</w:t>
        <w:br/>
        <w:t xml:space="preserve">      organizaciones  distintas  de  los  partidos  políticos  y   por   los</w:t>
        <w:br/>
        <w:t xml:space="preserve">      requisitos que establece de presentar candidatos al menos  en  80%  de</w:t>
        <w:br/>
        <w:t xml:space="preserve">      los municipios de la respectiva circunscripción y en el 80% del  total</w:t>
        <w:br/>
        <w:t xml:space="preserve">      de candidaturas. Por otro lado, por cuanto el Estado ha incumplido  su</w:t>
        <w:br/>
        <w:t xml:space="preserve">      deber, establecido en los  artículos  1.1  y  2  en  conexión  con  el</w:t>
        <w:br/>
        <w:t xml:space="preserve">      artículo 23º, de generar las condiciones y mecanismos apropiados  para</w:t>
        <w:br/>
        <w:t xml:space="preserve">      la participación en los asuntos públicos  de  quienes  pretendían  ser</w:t>
        <w:br/>
        <w:t xml:space="preserve">      candidatos en la Costa  Atlántica  de  Nicaragua  como  integrantes  o</w:t>
        <w:br/>
        <w:t xml:space="preserve">      representantes  de  la  organización  YATAMA  que  expresa  a  pueblos</w:t>
        <w:br/>
        <w:t xml:space="preserve">      indígenas de esa zona del país.</w:t>
        <w:br/>
        <w:br/>
        <w:t xml:space="preserve">  12. El derecho a participar en la dirección de los asuntos públicos,  como</w:t>
        <w:br/>
        <w:t xml:space="preserve">      todas las categorías jurídicas, ha evolucionado y se ha  recreado  con</w:t>
        <w:br/>
        <w:t xml:space="preserve">      la  marcha  histórica  y  social.   En   efecto,   entraña   hoy   una</w:t>
        <w:br/>
        <w:t xml:space="preserve">      conceptualización que se ha ido enriqueciendo en su  contenido  en  el</w:t>
        <w:br/>
        <w:t xml:space="preserve">      tiempo transcurrido desde la aprobación de  la  Convención  hace  casi</w:t>
        <w:br/>
        <w:t xml:space="preserve">      cuarenta años. Si bien en los instrumentos primigenios de la  OEA,  la</w:t>
        <w:br/>
        <w:t xml:space="preserve">      referencia a la democracia representativa  y  los  derechos  políticos</w:t>
        <w:br/>
        <w:t xml:space="preserve">      casi se agotaba en el derecho de votar y ser elegido, el texto  de  la</w:t>
        <w:br/>
        <w:t xml:space="preserve">      Convención ya fue un paso importante en el sentido  evolutivo  de  los</w:t>
        <w:br/>
        <w:t xml:space="preserve">      derechos políticos abarcando otros  componentes  importantes  como  la</w:t>
        <w:br/>
        <w:t xml:space="preserve">      naturaleza de las elecciones (“… periódicas auténticas, realizadas por</w:t>
        <w:br/>
        <w:t xml:space="preserve">      sufragio universal e igual y por voto secreto que garantice  la  libre</w:t>
        <w:br/>
        <w:t xml:space="preserve">      expresión de la voluntad de los electores…”; art. 23.1 b).</w:t>
        <w:br/>
        <w:br/>
        <w:t xml:space="preserve">  13. La evolución de los últimos lustros ha desarrollado sustantivamente el</w:t>
        <w:br/>
        <w:t xml:space="preserve">      concepto del derecho a la participación en la dirección de los asuntos</w:t>
        <w:br/>
        <w:t xml:space="preserve">      públicos que a estas alturas es un referente que incluye  un  espectro</w:t>
        <w:br/>
        <w:t xml:space="preserve">      muy amplio de ingredientes que puede ir desde el derecho a promover la</w:t>
        <w:br/>
        <w:t xml:space="preserve">      revocatoria de autoridades elegidas, fiscalizar  la  gestión  pública,</w:t>
        <w:br/>
        <w:t xml:space="preserve">      acceder  a  información  pública,   plantear   iniciativas,   expresar</w:t>
        <w:br/>
        <w:t xml:space="preserve">      opiniones, etc.  En efecto, la conceptualización amplia y general  del</w:t>
        <w:br/>
        <w:t xml:space="preserve">      derecho a “participar en la dirección de los  asuntos  públicos”,  tal</w:t>
        <w:br/>
        <w:t xml:space="preserve">      cual se encuentra literalmente  expresado  en  la  Convención,  se  ha</w:t>
        <w:br/>
        <w:t xml:space="preserve">      afinado y ampliado.</w:t>
        <w:br/>
        <w:br/>
        <w:t xml:space="preserve">  14.  A  inicios  del  siglo  XXI  los  países  integrantes   del   sistema</w:t>
        <w:br/>
        <w:t xml:space="preserve">      interamericano comparten una característica importante,  que  era  más</w:t>
        <w:br/>
        <w:t xml:space="preserve">      bien la excepción cuando  se  aprobó  la  Convención  Americana  sobre</w:t>
        <w:br/>
        <w:t xml:space="preserve">      Derechos Humanos en 1969: todos  los  gobiernos  son  democráticamente</w:t>
        <w:br/>
        <w:t xml:space="preserve">      elegidos.  El  actual  contexto,  resultante  de  complejos   procesos</w:t>
        <w:br/>
        <w:t xml:space="preserve">      políticos y sociales, han dado lugar a  nuevo  problemas  y  retos  en</w:t>
        <w:br/>
        <w:t xml:space="preserve">      materia de participación de los ciudadanos  en  la  dirección  de  los</w:t>
        <w:br/>
        <w:t xml:space="preserve">      asuntos públicos. Esto ha tenido su impacto en  las  disposiciones  de</w:t>
        <w:br/>
        <w:t xml:space="preserve">      los instrumentos jurídicos fundamentales del sistema interamericano.</w:t>
        <w:br/>
        <w:br/>
        <w:t xml:space="preserve">  15. Es en ese contexto que  surge  la  Carta  Democrática  Interamericana,</w:t>
        <w:br/>
        <w:t xml:space="preserve">      aprobada por consenso de todos los países del sistema en el 2001 luego</w:t>
        <w:br/>
        <w:t xml:space="preserve">      de un amplio proceso de consultas a la sociedad civil del  continente.</w:t>
        <w:br/>
        <w:t xml:space="preserve">      La Carta recogió en este y otros aspectos los desarrollos conceptuales</w:t>
        <w:br/>
        <w:t xml:space="preserve">      que a ese momento se habían ido  derivando  de  esta  nueva  situación</w:t>
        <w:br/>
        <w:t xml:space="preserve">      dándole formalmente una nueva dimensión  a  una  serie  de  categorías</w:t>
        <w:br/>
        <w:t xml:space="preserve">      jurídicas constituyéndose en  un  hito  trascendental  en  el  sistema</w:t>
        <w:br/>
        <w:t xml:space="preserve">      interamericano en lo que atañe al contenido evolutivo de los  derechos</w:t>
        <w:br/>
        <w:t xml:space="preserve">      políticos.  Entre  otros  aspectos,  en  la   Carta   Democrática   se</w:t>
        <w:br/>
        <w:t xml:space="preserve">      desarrollan el concepto del mencionado derecho a la  participación  en</w:t>
        <w:br/>
        <w:t xml:space="preserve">      la dirección de  los  asuntos  públicos  y,  como  contrapartida,  los</w:t>
        <w:br/>
        <w:t xml:space="preserve">      deberes del Estado en esa materia.</w:t>
        <w:br/>
        <w:br/>
        <w:t xml:space="preserve">  16. En la Carta Democrática Interamericana se enfatiza la  importancia  de</w:t>
        <w:br/>
        <w:t xml:space="preserve">      la participación ciudadana como un proceso permanente que  refuerza  a</w:t>
        <w:br/>
        <w:t xml:space="preserve">      la democracia.  Así,  se  declara  en  la  Carta  que  “La  democracia</w:t>
        <w:br/>
        <w:t xml:space="preserve">      representativa  se  refuerza  y  profundiza   con   la   participación</w:t>
        <w:br/>
        <w:t xml:space="preserve">      permanente, ética y responsable  de  la  ciudadanía  en  un  marco  de</w:t>
        <w:br/>
        <w:t xml:space="preserve">      legalidad conforme al respectivo orden constitucional” (artículo  2º).</w:t>
        <w:br/>
        <w:t xml:space="preserve">      Esta declaración general adquiere un sentido  teleológico  fundamental</w:t>
        <w:br/>
        <w:t xml:space="preserve">      para el desarrollo conceptual de los derechos políticos que la  propia</w:t>
        <w:br/>
        <w:t xml:space="preserve">      Carta produce en el artículo 4º de la  Carta  Democrática.  Todo  ello</w:t>
        <w:br/>
        <w:t xml:space="preserve">      configura un  enfoque  de  expresión  consensual  que  tiene  relación</w:t>
        <w:br/>
        <w:t xml:space="preserve">      directa con la interpretación y aplicación de una  disposición  amplia</w:t>
        <w:br/>
        <w:t xml:space="preserve">      como la contenida en el artículo 23º de la Convención Americana.</w:t>
        <w:br/>
        <w:br/>
        <w:t xml:space="preserve">  17. En efecto, en el artículo 4º de la Carta Democrática Interamericana se</w:t>
        <w:br/>
        <w:t xml:space="preserve">      enumera un conjunto de “componentes fundamentales” del ejercicio de la</w:t>
        <w:br/>
        <w:t xml:space="preserve">      democracia que expresan el desarrollo  conceptual  del  derecho  a  la</w:t>
        <w:br/>
        <w:t xml:space="preserve">      participación en  los  asuntos  públicos  que  se  condensan  en  este</w:t>
        <w:br/>
        <w:t xml:space="preserve">      instrumento interamericano. Se  pone allí de relieve  un  conjunto  de</w:t>
        <w:br/>
        <w:t xml:space="preserve">      deberes de los Estados, que no son otra cosa que la  contrapartida  de</w:t>
        <w:br/>
        <w:t xml:space="preserve">      derechos de los ciudadanos:  “…la  transparencia  de  las  actividades</w:t>
        <w:br/>
        <w:t xml:space="preserve">      gubernamentales, la probidad, la responsabilidad de los  gobiernos  en</w:t>
        <w:br/>
        <w:t xml:space="preserve">      la gestión pública, el respeto por los derechos sociales y la libertad</w:t>
        <w:br/>
        <w:t xml:space="preserve">      de expresión y de prensa”. De no avanzarse en precisiones  como  éstas</w:t>
        <w:br/>
        <w:t xml:space="preserve">      que  la  comunidad  americana  consensualmente  ha  adoptado,  resulta</w:t>
        <w:br/>
        <w:t xml:space="preserve">      evidente que el mencionado derecho a la participación en  los  asuntos</w:t>
        <w:br/>
        <w:t xml:space="preserve">      públicos  se  estaría  congelando  en  el  tiempo  sin  expresar   los</w:t>
        <w:br/>
        <w:t xml:space="preserve">      cambiantes requerimientos de las democracias en nuestra región.</w:t>
        <w:br/>
        <w:br/>
        <w:t xml:space="preserve">  18.  El  segundo  componente  de  los  derechos  políticos,  conforme   se</w:t>
        <w:br/>
        <w:t xml:space="preserve">      encuentran expresados en el artículo 23º de la Convención,  es  el  de</w:t>
        <w:br/>
        <w:t xml:space="preserve">      “votar y ser elegidos en elecciones periódicas auténticas,  realizadas</w:t>
        <w:br/>
        <w:t xml:space="preserve">      por sufragio universal e igual y por voto  secreto  que  garantice  la</w:t>
        <w:br/>
        <w:t xml:space="preserve">      libre expresión de la voluntad de los electores” (subrayado  añadido).</w:t>
        <w:br/>
        <w:t xml:space="preserve">      Esta disposición nos remite a uno de los requisitos  fundamentales  de</w:t>
        <w:br/>
        <w:t xml:space="preserve">      la democracia representativa que inspira la normativa y propósitos del</w:t>
        <w:br/>
        <w:t xml:space="preserve">      sistema  interamericano  desde  sus  inicios.  Se  destaca   allí   la</w:t>
        <w:br/>
        <w:t xml:space="preserve">      periodicidad  y  autenticidad  de  las   elecciones   así   como   las</w:t>
        <w:br/>
        <w:t xml:space="preserve">      características del sufragio: universal, igual y  secreto.  Ello  para</w:t>
        <w:br/>
        <w:t xml:space="preserve">      cumplir un requerimiento que se expresa también en el  mismo  artículo</w:t>
        <w:br/>
        <w:t xml:space="preserve">      23º: garantizar la libre expresión de la voluntad de los electores. Es</w:t>
        <w:br/>
        <w:t xml:space="preserve">      evidente que sin el cumplimiento de este ingrediente  fundamental,  se</w:t>
        <w:br/>
        <w:t xml:space="preserve">      debilitarían otras formas de participación que no encontrarían  en  el</w:t>
        <w:br/>
        <w:t xml:space="preserve">      sufragio una forma de construir fuentes democráticas para la  asunción</w:t>
        <w:br/>
        <w:t xml:space="preserve">      y ejercicio de la función pública.</w:t>
        <w:br/>
        <w:br/>
        <w:t xml:space="preserve">  19. Con claridad la Corte ha puesto de manifiesto en  esta  sentencia  las</w:t>
        <w:br/>
        <w:t xml:space="preserve">      consideraciones que la han llevado a concluir  que  en  este  caso  el</w:t>
        <w:br/>
        <w:t xml:space="preserve">      Estado de  Nicaragua  ha  violado   la  norma  citada  en  el  párrafo</w:t>
        <w:br/>
        <w:t xml:space="preserve">      anterior. A ese razonamiento  y  conclusiones,  pues,  me  remito.  El</w:t>
        <w:br/>
        <w:t xml:space="preserve">      artículo 23º tiene en este aspecto una formulación  muy  clara  y  los</w:t>
        <w:br/>
        <w:t xml:space="preserve">      hechos probados dan cuenta que esa violación se produjo. Sin  embargo,</w:t>
        <w:br/>
        <w:t xml:space="preserve">      no puede desconocerse teniendo en  cuenta  las  complejidades  de  los</w:t>
        <w:br/>
        <w:t xml:space="preserve">      procesos políticos en  general,  y  de  los  procesos  electorales  en</w:t>
        <w:br/>
        <w:t xml:space="preserve">      particular, los componentes establecidos en  la  referida  disposición</w:t>
        <w:br/>
        <w:t xml:space="preserve">      del artículo 23º resultan a estas alturas  de  la  evolución  jurídica</w:t>
        <w:br/>
        <w:t xml:space="preserve">      insuficientes y así lo  han  entendido,  en  efecto,  los  países  del</w:t>
        <w:br/>
        <w:t xml:space="preserve">      sistema interamericano.</w:t>
        <w:br/>
        <w:br/>
        <w:t xml:space="preserve">  20. La riqueza de los procesos políticos, sociales y jurídicos vividos  en</w:t>
        <w:br/>
        <w:t xml:space="preserve">      la región se ha ido expresando en un paralelo proceso  de  afinamiento</w:t>
        <w:br/>
        <w:t xml:space="preserve">      de las características fundamentales  que  deben  tener  los  procesos</w:t>
        <w:br/>
        <w:t xml:space="preserve">      electorales  y  el  voto  de  los  ciudadanos.  El  curso  variado   y</w:t>
        <w:br/>
        <w:t xml:space="preserve">      accidentado de los procesos políticos fue poniendo de  manifiesto  que</w:t>
        <w:br/>
        <w:t xml:space="preserve">      para garantizar “la libre expresión de la voluntad de los  electores”,</w:t>
        <w:br/>
        <w:t xml:space="preserve">      el componente del “sufragio universal e igual y por voto secreto”  era</w:t>
        <w:br/>
        <w:t xml:space="preserve">      esencial pero, a la vez, insuficiente dadas las muy distintas amenazas</w:t>
        <w:br/>
        <w:t xml:space="preserve">      y dificultades que la realidad iba planteando. Así, las dificultades –</w:t>
        <w:br/>
        <w:t xml:space="preserve">      o facilidades – para el acceso  a  los  medios  de  comunicación,  las</w:t>
        <w:br/>
        <w:t xml:space="preserve">      complejidades   para   la   inscripción   de   candidaturas   o    las</w:t>
        <w:br/>
        <w:t xml:space="preserve">      características del padrón de electores,  se  fueron  planteando  como</w:t>
        <w:br/>
        <w:t xml:space="preserve">      serios problemas en un contexto en el  que  ya  no  parecía  estar  en</w:t>
        <w:br/>
        <w:t xml:space="preserve">      cuestión, por el nuevo contexto político,  el  “sufragio  universal  e</w:t>
        <w:br/>
        <w:t xml:space="preserve">      igual y por voto secreto”.</w:t>
        <w:br/>
        <w:br/>
        <w:t xml:space="preserve">  21. Así, pues,  como  en  otros  componentes  de  los  derechos  políticos</w:t>
        <w:br/>
        <w:t xml:space="preserve">      expresados  en  el  artículo  23.1  de  la  Convención,  el   concepto</w:t>
        <w:br/>
        <w:t xml:space="preserve">      fundamental de “libre expresión de la voluntad de los electores” se ha</w:t>
        <w:br/>
        <w:t xml:space="preserve">      ido enriqueciendo al calor de importantes evoluciones  institucionales</w:t>
        <w:br/>
        <w:t xml:space="preserve">      en el derecho interno y en el propio sistema interamericano a  la  luz</w:t>
        <w:br/>
        <w:t xml:space="preserve">      de las cuales tiene que ser interpretada y aplicada  esta  disposición</w:t>
        <w:br/>
        <w:t xml:space="preserve">      general de la Convención, tanto en lo que respecta a los  derechos  de</w:t>
        <w:br/>
        <w:t xml:space="preserve">      los ciudadanos como a los deberes del Estado.   En  lo  que  atañe  al</w:t>
        <w:br/>
        <w:t xml:space="preserve">      derecho  a  la  participación  en  los  asuntos  públicos,  la   Carta</w:t>
        <w:br/>
        <w:t xml:space="preserve">      Democrática  Interamericana  ha  condensado  y  expresado  el   estado</w:t>
        <w:br/>
        <w:t xml:space="preserve">      consensual vigente en el sistema interamericano en lo que  respecta  a</w:t>
        <w:br/>
        <w:t xml:space="preserve">      la “libre expresión de la voluntad de los electores”.</w:t>
        <w:br/>
        <w:br/>
        <w:t xml:space="preserve">  22. En efecto, en la Carta se reitera principios gruesamente  coincidentes</w:t>
        <w:br/>
        <w:t xml:space="preserve">      con los  contenidos  en  la  Convención  cuando  se  señala  que  “Son</w:t>
        <w:br/>
        <w:t xml:space="preserve">      elementos esenciales de la democracia representativa, entre otros,  el</w:t>
        <w:br/>
        <w:t xml:space="preserve">      respeto a los derechos humanos  y  las  libertades  fundamentales;  el</w:t>
        <w:br/>
        <w:t xml:space="preserve">      acceso al poder y su ejercicio con sujeción al estado de  derecho;  la</w:t>
        <w:br/>
        <w:t xml:space="preserve">      celebración de elecciones periódicas, libres, justas y basadas  en  el</w:t>
        <w:br/>
        <w:t xml:space="preserve">      sufragio universal y  secreto  como  expresión  de  la  soberanía  del</w:t>
        <w:br/>
        <w:t xml:space="preserve">      pueblo; el régimen plural de partidos y organizaciones políticas; y la</w:t>
        <w:br/>
        <w:t xml:space="preserve">      separación e independencia de los poderes públicos” (artículo 3º).</w:t>
        <w:br/>
        <w:br/>
        <w:t xml:space="preserve">  23. Como se ve, los requisitos ya  contenidos  en  la  Convención,  fueron</w:t>
        <w:br/>
        <w:t xml:space="preserve">      precisados y desarrollados por la Carta Democrática Interamericano  al</w:t>
        <w:br/>
        <w:t xml:space="preserve">      menos en dos aspectos importantes: a) no sólo el acceso al poder  sino</w:t>
        <w:br/>
        <w:t xml:space="preserve">      su ejercicio debe sujetarse al Estado de Derecho; se agrega,  así,  la</w:t>
        <w:br/>
        <w:t xml:space="preserve">      “legitimidad de ejercicio”  como  principio  interamericano  a  la  ya</w:t>
        <w:br/>
        <w:t xml:space="preserve">      reconocida “legitimidad de origen”; b) el régimen plural de partidos y</w:t>
        <w:br/>
        <w:t xml:space="preserve">      organizaciones  políticas.  Los  partidos  políticos,  por  su  parte,</w:t>
        <w:br/>
        <w:t xml:space="preserve">      merecen una consideración específica adicional en la Carta ya  que  se</w:t>
        <w:br/>
        <w:t xml:space="preserve">      estipula  que  “El  fortalecimiento  de  los  partidos  y   de   otras</w:t>
        <w:br/>
        <w:t xml:space="preserve">      organizaciones políticas es prioritario para la democracia. Se  deberá</w:t>
        <w:br/>
        <w:t xml:space="preserve">      prestar atención especial a la  problemática  derivada  de  los  altos</w:t>
        <w:br/>
        <w:t xml:space="preserve">      costos de las campañas electorales y al establecimiento de un  régimen</w:t>
        <w:br/>
        <w:t xml:space="preserve">      equilibrado  y  transparente  de  financiación  de  sus   actividades”</w:t>
        <w:br/>
        <w:t xml:space="preserve">      (artículo 5º, subrayado añadido).  Leída la Convención Americana a  la</w:t>
        <w:br/>
        <w:t xml:space="preserve">      luz de estas evoluciones conceptuales que el  consenso  interamericano</w:t>
        <w:br/>
        <w:t xml:space="preserve">      ha expresado en la Carta  Democrática  resulta,  pues,  que  la  libre</w:t>
        <w:br/>
        <w:t xml:space="preserve">      expresión de la  voluntad  de  los  electores  se  vería  afectada  si</w:t>
        <w:br/>
        <w:t xml:space="preserve">      autoridades elegidas conforme al Estado  de  Derecho  (legitimidad  de</w:t>
        <w:br/>
        <w:t xml:space="preserve">      origen) ejercen sus funciones en contravención al Estado de Derecho.</w:t>
        <w:br/>
        <w:br/>
        <w:t xml:space="preserve">  24. En cuanto a los partidos y organizaciones políticas, este es un asunto</w:t>
        <w:br/>
        <w:t xml:space="preserve">      absolutamente medular que tiene directa repercusión en  la  afectación</w:t>
        <w:br/>
        <w:t xml:space="preserve">      de  los  derechos  de  quienes   pretendieron   infructuosamente   ser</w:t>
        <w:br/>
        <w:t xml:space="preserve">      candidatos por YATAMA en la Costa Atlántica de Nicaragua.  Este  tema,</w:t>
        <w:br/>
        <w:t xml:space="preserve">      curiosamente, no aparece mencionado explícitamente en la Carta  de  la</w:t>
        <w:br/>
        <w:t xml:space="preserve">      OEA ni en la Convención Americana.  Sin  embargo,  la  propia  esencia</w:t>
        <w:br/>
        <w:t xml:space="preserve">      conceptual de la democracia representativa  supone  y  exige  vías  de</w:t>
        <w:br/>
        <w:t xml:space="preserve">      representación que, a la luz de lo estipulado en la Carta Democrática,</w:t>
        <w:br/>
        <w:t xml:space="preserve">      serían los partidos y “otras organizaciones políticas” a  los  que  se</w:t>
        <w:br/>
        <w:t xml:space="preserve">      trata no sólo de proteger sino de fortalecer conforme se  estipula  en</w:t>
        <w:br/>
        <w:t xml:space="preserve">      el artículo 5º.</w:t>
        <w:br/>
        <w:br/>
        <w:br/>
        <w:t xml:space="preserve">  25.  A  propósito  de  los  partidos  políticos  y  “otras  organizaciones</w:t>
        <w:br/>
        <w:t xml:space="preserve">      políticas”, un primer asunto a mencionar es que  al  ser  considerados</w:t>
        <w:br/>
        <w:t xml:space="preserve">      ingredientes esenciales para  canalizar  la  libre  expresión  de  los</w:t>
        <w:br/>
        <w:t xml:space="preserve">      electores, resulta un deber del Estado generar las condiciones para el</w:t>
        <w:br/>
        <w:t xml:space="preserve">      fortalecimiento de estas vías  de   representación;  contrario  sensu,</w:t>
        <w:br/>
        <w:t xml:space="preserve">      abstenerse de adoptar medidas  que  pudieren  debilitarlos.  La  Carta</w:t>
        <w:br/>
        <w:t xml:space="preserve">      Democrática menciona explícitamente el tema de la financiación de  las</w:t>
        <w:br/>
        <w:t xml:space="preserve">      campañas electorales como un asunto a poner atención así como enfatiza</w:t>
        <w:br/>
        <w:t xml:space="preserve">      la necesidad de asegurar “un régimen  equilibrado  y  transparente  de</w:t>
        <w:br/>
        <w:t xml:space="preserve">      financiación de sus actividades”. Sin mencionarlo la Carta Democrática</w:t>
        <w:br/>
        <w:t xml:space="preserve">      está   expresando   que   frente   a   eventuales   desequilibrios   o</w:t>
        <w:br/>
        <w:t xml:space="preserve">      desigualdades, se debe procurar un régimen que contrapese ello con  lo</w:t>
        <w:br/>
        <w:t xml:space="preserve">      que se lograría la igualdad deseada. De suyo  se  desprende  que  ello</w:t>
        <w:br/>
        <w:t xml:space="preserve">      supondría acciones efectivas orientadas preferentemente  en  beneficio</w:t>
        <w:br/>
        <w:t xml:space="preserve">      de los afectados por tales equilibrios y desigualdades.</w:t>
        <w:br/>
        <w:br/>
        <w:br/>
        <w:t xml:space="preserve">  26. En este caso resulta probado que la forma de organización  que  YATAMA</w:t>
        <w:br/>
        <w:t xml:space="preserve">      tenía para  participar  en  el  proceso  electoral  de  2000  encontró</w:t>
        <w:br/>
        <w:t xml:space="preserve">      impedimentos en la ley electoral Nº 331 de ese mismo año. Con ello  se</w:t>
        <w:br/>
        <w:t xml:space="preserve">      violó los derechos de quienes pretendían ser candidatos y se afectó el</w:t>
        <w:br/>
        <w:t xml:space="preserve">      principio  de  poder  organizarse  en  modalidades  distintas  de  los</w:t>
        <w:br/>
        <w:t xml:space="preserve">      partidos políticos para ejercer el derecho  de  participación  en  los</w:t>
        <w:br/>
        <w:t xml:space="preserve">      asuntos públicos, en este caso perjudicando  a  una  organización  que</w:t>
        <w:br/>
        <w:t xml:space="preserve">      expresaba a pueblos indígenas de esa zona  de  Nicaragua.  El  Estado,</w:t>
        <w:br/>
        <w:t xml:space="preserve">      pues, no solo dificultó  la  participación  sino  que  no  adoptó  las</w:t>
        <w:br/>
        <w:t xml:space="preserve">      medidas necesarias para facilitar la participación de una organización</w:t>
        <w:br/>
        <w:t xml:space="preserve">      como YATAMA.</w:t>
        <w:br/>
        <w:br/>
        <w:br/>
        <w:t xml:space="preserve">  27. En  ese  orden  de  razonamiento,  debe  entenderse  que  otorgar  las</w:t>
        <w:br/>
        <w:t xml:space="preserve">      facilidades que sean  necesarias  a  las  denominadas  “organizaciones</w:t>
        <w:br/>
        <w:t xml:space="preserve">      políticas” va en  la  perspectiva  de  generar  las  condiciones  para</w:t>
        <w:br/>
        <w:t xml:space="preserve">      ampliar  y  consolidar  la  participación  de  los  ciudadanos  en  la</w:t>
        <w:br/>
        <w:t xml:space="preserve">      dirección de los asuntos públicos. Esto no  debe  entenderse  como  un</w:t>
        <w:br/>
        <w:t xml:space="preserve">      camino  opuesto  sino   complementario   al   de   la   existencia   y</w:t>
        <w:br/>
        <w:t xml:space="preserve">      fortalecimiento  de  los  partidos  políticos,  medios  necesarios  de</w:t>
        <w:br/>
        <w:t xml:space="preserve">      representación y participación en una  sociedad  democrática.  En  tal</w:t>
        <w:br/>
        <w:t xml:space="preserve">      perspectiva, es perfectamente legítimo y concordante con  la  letra  y</w:t>
        <w:br/>
        <w:t xml:space="preserve">      espíritu de la Convención que en el orden  jurídico  nacional  existan</w:t>
        <w:br/>
        <w:t xml:space="preserve">      normas homogéneas  que  hagan  énfasis  en  la  participación  de  los</w:t>
        <w:br/>
        <w:t xml:space="preserve">      partidos políticos en los procesos electorales así  como  regulaciones</w:t>
        <w:br/>
        <w:t xml:space="preserve">      orientadas a fortalecer el carácter representativo  y  democrático  de</w:t>
        <w:br/>
        <w:t xml:space="preserve">      los mismos, sin desmedro de su  independencia   respecto  del  Estado.</w:t>
        <w:br/>
        <w:t xml:space="preserve">      Adicionalmente, resulta legítimo que en  el  derecho  interno  existan</w:t>
        <w:br/>
        <w:t xml:space="preserve">      disposiciones legales sobre las “otras  organizaciones  políticas”  en</w:t>
        <w:br/>
        <w:t xml:space="preserve">      procura de facilitar la participación de sectores  específicos  de  la</w:t>
        <w:br/>
        <w:t xml:space="preserve">      sociedad, como puede ser el caso de los pueblos indígenas.</w:t>
        <w:br/>
        <w:br/>
        <w:br/>
        <w:t xml:space="preserve">  28. En el tercer componente de los derechos políticos  protegidos  por  el</w:t>
        <w:br/>
        <w:t xml:space="preserve">      artículo 23º de la Convención se estipula  que  todos  los  ciudadanos</w:t>
        <w:br/>
        <w:t xml:space="preserve">      deben “… tener acceso, en condiciones generales  de  igualdad,  a  las</w:t>
        <w:br/>
        <w:t xml:space="preserve">      funciones públicas de su país” (subrayado añadido).  Este  aspecto  de</w:t>
        <w:br/>
        <w:t xml:space="preserve">      los derechos políticos tiene que ser entendido de  manera  sistemática</w:t>
        <w:br/>
        <w:t xml:space="preserve">      tanto en  relación  con  los  demás  ingredientes  explícitos  de  los</w:t>
        <w:br/>
        <w:t xml:space="preserve">      derechos políticos contenidos en el artículo 23.1 como con el resto de</w:t>
        <w:br/>
        <w:t xml:space="preserve">      la Convención y el ordenamiento interamericano, en particular  con  el</w:t>
        <w:br/>
        <w:t xml:space="preserve">      artículo 24º de la Convención referido al derecho a la igualdad y a la</w:t>
        <w:br/>
        <w:t xml:space="preserve">      no discriminación.</w:t>
        <w:br/>
        <w:br/>
        <w:br/>
        <w:t xml:space="preserve">  29. En ese sentido, al tratar esta  norma  del  artículo  23º  sobre   las</w:t>
        <w:br/>
        <w:t xml:space="preserve">      “condiciones generales de igualdad”  ello  debe  ser  referido  a  dos</w:t>
        <w:br/>
        <w:t xml:space="preserve">      aspectos que pueden y deben ser entendidos  de  manera  concurrente  y</w:t>
        <w:br/>
        <w:t xml:space="preserve">      simultánea. Primero, la norma establece que se debe garantizar a todos</w:t>
        <w:br/>
        <w:t xml:space="preserve">      el acceso a  las  funciones  públicas  “en  condiciones  generales  de</w:t>
        <w:br/>
        <w:t xml:space="preserve">      igualdad”. Esto significa que para facilitar el acceso  a  la  función</w:t>
        <w:br/>
        <w:t xml:space="preserve">      pública de  sectores  de  la  población  que  podrían  encontrarse  en</w:t>
        <w:br/>
        <w:t xml:space="preserve">      particular desventaja y, por ende, desigualdad –  como  puede  ser  el</w:t>
        <w:br/>
        <w:t xml:space="preserve">      caso de los pueblos indígenas – debería dictarse  medidas  específicas</w:t>
        <w:br/>
        <w:t xml:space="preserve">      orientadas a facilitar dicho acceso. En este caso ha  quedado  probado</w:t>
        <w:br/>
        <w:t xml:space="preserve">      que Nicaragua no adoptó  dichas  medidas;  por  el  contrario  la  ley</w:t>
        <w:br/>
        <w:t xml:space="preserve">      electoral de 2000 generaba dificultades para ese acceso.</w:t>
        <w:br/>
        <w:br/>
        <w:br/>
        <w:t xml:space="preserve">  30. En segundo lugar, que esta disposición de  índole  genérico  sobre  el</w:t>
        <w:br/>
        <w:t xml:space="preserve">      acceso a la función pública, en coherencia con el artículo 29º  de  la</w:t>
        <w:br/>
        <w:t xml:space="preserve">      Convención  debe  ser  interpretada  no  sólo  en   relación   a   las</w:t>
        <w:br/>
        <w:t xml:space="preserve">      designaciones o nombramientos por  la  autoridad  sino  como  referida</w:t>
        <w:br/>
        <w:t xml:space="preserve">      también a las funciones públicas que se ejerzan por elección  popular.</w:t>
        <w:br/>
        <w:t xml:space="preserve">      Es decir,  para  la  Corte  no  cabe  una  interpretación  restrictiva</w:t>
        <w:br/>
        <w:t xml:space="preserve">      referida  sólo  a  los  cargos  o  funciones  públicas  derivadas   de</w:t>
        <w:br/>
        <w:t xml:space="preserve">      nombramientos o designaciones. Ese es, sin duda, el  sentido  de  esta</w:t>
        <w:br/>
        <w:t xml:space="preserve">      norma que busca, precisamente, enfatizar el principio de  igualdad  en</w:t>
        <w:br/>
        <w:t xml:space="preserve">      el ámbito específico del acceso a la función pública.</w:t>
        <w:br/>
        <w:br/>
        <w:br/>
        <w:t xml:space="preserve">  31. Lo anterior debe ser leído e interpretado en estrecha conexión con  lo</w:t>
        <w:br/>
        <w:t xml:space="preserve">      establecido en el artículo 24º de la Convención en lo que atañe  a  la</w:t>
        <w:br/>
        <w:t xml:space="preserve">      igualdad y a la no discriminación. Como se señala en la sentencia,  en</w:t>
        <w:br/>
        <w:t xml:space="preserve">      el artículo 24º de la Convención se prohíbe la discriminación de hecho</w:t>
        <w:br/>
        <w:t xml:space="preserve">      y derecho con las obligaciones que ello  entraña  para  el  Estado  de</w:t>
        <w:br/>
        <w:t xml:space="preserve">      respetar el referido principio de igualdad y  no  discriminación  para</w:t>
        <w:br/>
        <w:t xml:space="preserve">      todos  los  derechos  consagrados  en  la  Convención  y  en  toda  la</w:t>
        <w:br/>
        <w:t xml:space="preserve">      legislación interna que apruebe. Lo estipulado en el artículo 23.1 c),</w:t>
        <w:br/>
        <w:t xml:space="preserve">      en ese orden de ideas, se orienta enfatizar la significación que  para</w:t>
        <w:br/>
        <w:t xml:space="preserve">      la Convención tiene el principio de igualdad y no discriminación en el</w:t>
        <w:br/>
        <w:t xml:space="preserve">      derecho a la participación en los asuntos públicos.</w:t>
        <w:br/>
        <w:br/>
        <w:br/>
        <w:t xml:space="preserve">  32. En consecuencia, vistos los hechos probados en este caso a la  luz  de</w:t>
        <w:br/>
        <w:t xml:space="preserve">      los razonamientos derivados de lo estipulado en el artículo  23.1.  c)</w:t>
        <w:br/>
        <w:t xml:space="preserve">      en cuanto a las condiciones generales de igualdad y en el artículo 24º</w:t>
        <w:br/>
        <w:t xml:space="preserve">      en lo que atañe a la igualdad y no discriminación,  resulta  clara  la</w:t>
        <w:br/>
        <w:t xml:space="preserve">      obligación del Estado de no tolerar prácticas o  normas  que  pudieren</w:t>
        <w:br/>
        <w:t xml:space="preserve">      tener un efecto discriminatorio. Ello no debe entenderse como  opuesto</w:t>
        <w:br/>
        <w:t xml:space="preserve">      a reglas y condiciones homogéneas para toda la sociedad  y  ciudadanos</w:t>
        <w:br/>
        <w:t xml:space="preserve">      en lo que atañe al pleno ejercicio de lo derechos políticos.</w:t>
        <w:br/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de enero de 2004.</w:t>
        <w:br/>
        <w:t>[2]   El 9 de febrero de 2004 el Estado remitió un escrito mediante el  cual</w:t>
        <w:br/>
        <w:t>informó que nombró a  la  señora  María  Cecilia  Contreras  Benavides  como</w:t>
        <w:br/>
        <w:t>Agente  Alterna,  y  el  29  de  abril  de  2005  el  Estado   remitió   una</w:t>
        <w:br/>
        <w:t>comunicación, en la que indicó que nombró como asistente a la  señora  Karla</w:t>
        <w:br/>
        <w:t>Elaine Carcache Hernández.</w:t>
        <w:br/>
        <w:t>[3]   Este artículo fue  modificado  por  la  Corte  durante  su  Sexagésimo</w:t>
        <w:br/>
        <w:t>Primero  Período  Ordinario  de  Sesiones,  el  25  de  noviembre  de  2003,</w:t>
        <w:br/>
        <w:t>adicionándosele un inciso tercero. Esa adición entró en vigor a  partir  del</w:t>
        <w:br/>
        <w:t>1 de enero de 2004.  La demanda en este caso fue presentada por la  Comisión</w:t>
        <w:br/>
        <w:t>el 17 de junio de 2003.</w:t>
        <w:br/>
        <w:t>[4]    Cfr.  Caso  Castillo  Petruzzi  y  otros.  Excepciones  Preliminares.</w:t>
        <w:br/>
        <w:t>Sentencia de 4 de septiembre de 1998. Serie C No. 41, párr. 77.</w:t>
        <w:br/>
        <w:br/>
        <w:t>[5]   Cfr. Caso Ricardo Canese. Sentencia de 31 de agosto de 2004.  Serie  C</w:t>
        <w:br/>
        <w:t>No. 111, párr. 178; Caso 19 Comerciantes. Sentencia de 5 de julio  de  2004.</w:t>
        <w:br/>
        <w:t>Serie C No. 109, párr. 173; y  Caso  Baena  Ricardo  y  otros.  Competencia.</w:t>
        <w:br/>
        <w:t>Sentencia de 28 de noviembre de 2003. Serie C No. 104, párr. 100.</w:t>
        <w:br/>
        <w:br/>
        <w:t>[6]   Cfr. Caso de las  Hermanas  Serrano  Cruz.  Excepciones  Preliminares.</w:t>
        <w:br/>
        <w:t>Sentencia de 23 de noviembre de 2004. Serie C No. 118, párr. 69; Caso  Baena</w:t>
        <w:br/>
        <w:t>Ricardo y otros. Competencia, supra nota 5, párrs. 66,  67  y  100;  y  Caso</w:t>
        <w:br/>
        <w:t>Constantine y otros. Excepciones Preliminares. Sentencia de 1 de  septiembre</w:t>
        <w:br/>
        <w:t>de 2001. Serie C No. 82, párr. 74.</w:t>
        <w:br/>
        <w:br/>
        <w:t>[7]   Cfr. Caso Castillo Páez. Reparaciones (art. 63.1 Convención  Americana</w:t>
        <w:br/>
        <w:t>sobre Derechos Humanos). Sentencia de 27 de noviembre de 1998. Serie  C  No.</w:t>
        <w:br/>
        <w:t>43,  párrs.  65  y  66;  y  Caso  Loayza  Tamayo.  Reparaciones  (art.  63.1</w:t>
        <w:br/>
        <w:t>Convención Americana sobre Derechos Humanos). Sentencia de 27  de  noviembre</w:t>
        <w:br/>
        <w:t>de 1998. Serie C No. 42, párrs. 97, 98 y 99.</w:t>
        <w:br/>
        <w:br/>
        <w:t>[8]   Cfr. Caso Castillo Páez. Reparaciones, supra nota 7, párrs. 65  y  66;</w:t>
        <w:br/>
        <w:t>y Caso Loayza Tamayo. Reparaciones, supra nota 7, párrs. 97 y 99.</w:t>
        <w:br/>
        <w:br/>
        <w:t>[9]   Cfr. Caso Cesti Hurtado. Excepciones Preliminares. Sentencia de 26  de</w:t>
        <w:br/>
        <w:t>enero de 1999. Serie C No. 49, párr. 47.</w:t>
        <w:br/>
        <w:br/>
        <w:t>[10]  Cfr. Caso de las Hermanas Serrano Cruz. Sentencia de  1  de  marzo  de</w:t>
        <w:br/>
        <w:t>2005. Serie C No. 120, párr. 54; Caso  de  los  Hermanos  Gómez  Paquiyauri.</w:t>
        <w:br/>
        <w:t>Sentencia de 8 de julio de 2004. Serie C  No.  110,  párr.  73;  y  Caso  19</w:t>
        <w:br/>
        <w:t>Comerciantes, supra nota 5, párr. 181.</w:t>
        <w:br/>
        <w:br/>
        <w:t>[11]  Cfr. Caso Caesar. Sentencia de 11 de marzo de 2005. Serie C  No.  123,</w:t>
        <w:br/>
        <w:t>párr. 31; Caso de las Hermanas Serrano Cruz, supra  nota  10,  párr.  31;  y</w:t>
        <w:br/>
        <w:t>Caso Lori Berenson Mejía. Sentencia de 25 de noviembre de 2004. Serie C  No.</w:t>
        <w:br/>
        <w:t>119, párr. 62.</w:t>
        <w:br/>
        <w:br/>
        <w:t>[12]  Cfr. Caso de las Hermanas Serrano Cruz, supra nota 10, párr. 32;  Caso</w:t>
        <w:br/>
        <w:t>Lori Berenson Mejía, supra nota  11,  párr.  63;  y  Caso  Molina  Theissen.</w:t>
        <w:br/>
        <w:t>Reparaciones  (art.  63.1  Convención  Americana  sobre  Derechos  Humanos).</w:t>
        <w:br/>
        <w:t>Sentencia de 3 de julio de 2004. Serie C No. 108, párr. 22.</w:t>
        <w:br/>
        <w:br/>
        <w:t>[13]  Cfr. Caso Caesar, supra nota  11,  párr.  42;  Caso  de  las  Hermanas</w:t>
        <w:br/>
        <w:t>Serrano Cruz, supra nota 10, párr. 33; y Caso  Lori  Berenson  Mejía,  supra</w:t>
        <w:br/>
        <w:t>nota 11, párr. 64.</w:t>
        <w:br/>
        <w:t>[14]  Cfr. Caso Caesar, supra nota  11,  párr.  46;  Caso  de  las  Hermanas</w:t>
        <w:br/>
        <w:t>Serrano Cruz, supra nota 10, párr. 37; y Caso  Lori  Berenson  Mejía,  supra</w:t>
        <w:br/>
        <w:t>nota 11, párr. 77.</w:t>
        <w:br/>
        <w:br/>
        <w:t>[15]  Cfr. Caso de las Hermanas Serrano Cruz, supra nota 10, párr. 37;  Caso</w:t>
        <w:br/>
        <w:t>De la Cruz Flores. Sentencia de 18 de noviembre de 2004. Serie  C  No.  115,</w:t>
        <w:br/>
        <w:t>párr. 58; y Caso de los Hermanos Gómez Paquiyauri, supra nota 10, párr. 50.</w:t>
        <w:br/>
        <w:br/>
        <w:t>[16]  Cfr. Caso de las Hermanas Serrano Cruz, supra nota 10, párr. 42.</w:t>
        <w:br/>
        <w:br/>
        <w:t>[17]  Cfr. Caso de las Hermanas Serrano Cruz, supra nota 10, párr. 39;  Caso</w:t>
        <w:br/>
        <w:t>Lori Berenson Mejía, supra nota 11, párr. 82; y Caso de los  Hermanos  Gómez</w:t>
        <w:br/>
        <w:t>Paquiyauri, supra nota 10, párr. 58.</w:t>
        <w:br/>
        <w:br/>
        <w:t>[18]  Cfr. Caso de las Hermanas Serrano Cruz, supra nota 10, párr. 40;  Caso</w:t>
        <w:br/>
        <w:t>Lori Berenson Mejía, supra nota 11,  párr.  78;  y  Caso  Carpio  Nicolle  y</w:t>
        <w:br/>
        <w:t>otros. Sentencia de 22 de noviembre de 2004. Serie C No. 117, párr. 71.</w:t>
        <w:br/>
        <w:br/>
        <w:t>[19]  Cfr. Caso de las Hermanas Serrano Cruz, supra nota 10, párr. 43;  Caso</w:t>
        <w:br/>
        <w:t>Lori Berenson Mejía, supra nota 11, párr. 80; y  Caso  De  la  Cruz  Flores,</w:t>
        <w:br/>
        <w:t>supra nota 15, párr. 70.</w:t>
        <w:br/>
        <w:br/>
        <w:t>[20]  Cfr. Caso Caesar, supra nota  11,  párr.  47;  Caso  de  las  Hermanas</w:t>
        <w:br/>
        <w:t>Serrano Cruz, supra nota 10, párr. 45; y Caso  Lori  Berenson  Mejía,  supra</w:t>
        <w:br/>
        <w:t>nota 11, párr. 78.</w:t>
        <w:br/>
        <w:br/>
        <w:t>[21]  Cfr. Desarrollo humano  en  la  Costa  Caribe  de 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470);</w:t>
        <w:br/>
        <w:t>artículo 5 de la Constitución Política de la República de Nicaragua de  1987</w:t>
        <w:br/>
        <w:t>con las reformas constitucionales. Publicación  oficial  de  la  Presidencia</w:t>
        <w:br/>
        <w:t>(anexos al escrito de excepciones preliminares, contestación a la demanda  y</w:t>
        <w:br/>
        <w:t>observaciones al escrito de solicitudes y argumentos, anexo C); Ley  No.  28</w:t>
        <w:br/>
        <w:t>de 30 de octubre de 1987 denominada “Estatuto de Autonomía de  las  Regiones</w:t>
        <w:br/>
        <w:t>de la Costa Atlántica de Nicaragua”; y mapa  titulado  “Nicaragua,  un  país</w:t>
        <w:br/>
        <w:t>multilingüe, multiétnico y multicultural” (expediente de anexos  al  escrito</w:t>
        <w:br/>
        <w:t>de solicitudes y argumentos, anexo 4, folio 913).</w:t>
        <w:br/>
        <w:br/>
        <w:t>[22]  Cfr. Constitución Política de la República de Nicaragua  de  1987  con</w:t>
        <w:br/>
        <w:t>las  reformas  constitucionales.  Publicación  oficial  de  la   Presidencia</w:t>
        <w:br/>
        <w:t>(anexos al escrito de excepciones preliminares, contestación a la demanda  y</w:t>
        <w:br/>
        <w:t>observaciones al escrito de solicitudes y argumentos, anexo C).</w:t>
        <w:br/>
        <w:br/>
        <w:t>[23]  Cfr. Ley No. 28 de 30 de  octubre  de  1987  denominada  “Estatuto  de</w:t>
        <w:br/>
        <w:t>Autonomía de las Regiones  de  la  Costa  Atlántica  de  Nicaragua”  (prueba</w:t>
        <w:br/>
        <w:t>incorporada de oficio por la Corte de conformidad con el  artículo  45.1  de</w:t>
        <w:br/>
        <w:t>su Reglamento).</w:t>
        <w:br/>
        <w:br/>
        <w:t>[24]  Cfr. Ley No. 28 de 30 de  octubre  de  1987  denominada  “Estatuto  de</w:t>
        <w:br/>
        <w:t>Autonomía de las Regiones  de  la  Costa  Atlántica  de  Nicaragua”  (prueba</w:t>
        <w:br/>
        <w:t>incorporada de oficio por la Corte de conformidad con el  artículo  45.1  de</w:t>
        <w:br/>
        <w:t>su Reglamento); y Decreto No. 3584  de  2  de  octubre  de  2003  denominado</w:t>
        <w:br/>
        <w:t>Reglamento a la Ley No. 28 “Estatuto de Autonomía  de  las  Regiones  de  la</w:t>
        <w:br/>
        <w:t>Costa  Atlántica  de  Nicaragua”   (anexos   al   escrito   de   excepciones</w:t>
        <w:br/>
        <w:t>preliminares, contestación a  la  demanda  y  observaciones  al  escrito  de</w:t>
        <w:br/>
        <w:t>solicitudes  y   argumentos,   anexo   F,   expediente   sobre   excepciones</w:t>
        <w:br/>
        <w:t>preliminares, fondo y reparaciones, tomo II, folios 404-410).</w:t>
        <w:br/>
        <w:br/>
        <w:t>[25]  Cfr. Desarrollo humano  en  la  Costa  Caribe  de 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502);</w:t>
        <w:br/>
        <w:t>e informe denominado “Población total por área de residencia y  sexo,  según</w:t>
        <w:br/>
        <w:t>departamento y grupos de edades, años 2002 y 2003”.  Instituto  Nacional  de</w:t>
        <w:br/>
        <w:t>Estadísticas y  Censos  de  Nicaragua  (INEC),  en  www.inec.gob.ni  (prueba</w:t>
        <w:br/>
        <w:t>incorporada de oficio por la Corte de conformidad con el  artículo  45.1  de</w:t>
        <w:br/>
        <w:t>su Reglamento).</w:t>
        <w:br/>
        <w:br/>
        <w:t>[26]  Cfr. Desarrollo humano  en  la  Costa  Caribe  de 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470);</w:t>
        <w:br/>
        <w:t>y Ley No. 28 de 30 de octubre de 1987 denominada “Estatuto de  Autonomía  de</w:t>
        <w:br/>
        <w:t>las Regiones de la Costa Atlántica  de  Nicaragua”  (prueba  incorporada  de</w:t>
        <w:br/>
        <w:t>oficio por la Corte de conformidad con el artículo 45.1 de su Reglamento).</w:t>
        <w:br/>
        <w:br/>
        <w:t>[27]  Cfr. Desarrollo humano  en  la  Costa  Caribe  de 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470);</w:t>
        <w:br/>
        <w:t>e informe denominado Población total por área de residencia  y  sexo,  según</w:t>
        <w:br/>
        <w:t>departamento y grupos de edades, años 2002 y  2003.  Instituto  Nacional  de</w:t>
        <w:br/>
        <w:t>Estadísticas y  Censos  de  Nicaragua  (INEC),  en  www.inec.gob.ni  (prueba</w:t>
        <w:br/>
        <w:t>incorporada de oficio por la Corte de conformidad con el  artículo  45.1  de</w:t>
        <w:br/>
        <w:t>su Reglamento).</w:t>
        <w:br/>
        <w:br/>
        <w:t>[28]  Cfr. artículo 3 del Decreto 3584 de 2 de octubre  de  2003  denominado</w:t>
        <w:br/>
        <w:t>Reglamento a la Ley No. 28 “Estatuto de Autonomía  de  las  Regiones  de  la</w:t>
        <w:br/>
        <w:t>Costa  Atlántica  de  Nicaragua”   (anexos   al   escrito   de   excepciones</w:t>
        <w:br/>
        <w:t>preliminares, contestación a  la  demanda  y  observaciones  al  escrito  de</w:t>
        <w:br/>
        <w:t>solicitudes  y   argumentos,   anexo   F,   expediente   sobre   excepciones</w:t>
        <w:br/>
        <w:t>preliminares, fondo y reparaciones, tomo II, folios 404 y  405);  testimonio</w:t>
        <w:br/>
        <w:t>del señor  Brooklin  Rivera  Bryan  rendido  ante  la  Corte  Interamericana</w:t>
        <w:br/>
        <w:t>durante la audiencia pública celebrada el 9 de marzo de 2005;  e  Indigenous</w:t>
        <w:br/>
        <w:t>people and poverty: The cases of Bolivia, Guatemala, Honduras and  Nicaragua</w:t>
        <w:br/>
        <w:t>(expediente de anexos al escrito de solicitudes y argumentos, tomo I,  anexo</w:t>
        <w:br/>
        <w:t>13, folio 376).</w:t>
        <w:br/>
        <w:br/>
        <w:t>[29]  Cfr. Caracterización Fisiogeográfica y Demográfica  de   las  Regiones</w:t>
        <w:br/>
        <w:t>Autónomas   del  Caribe  de   Nicaragua.  Investigación  del  señor  Alfonso</w:t>
        <w:br/>
        <w:t>Navarrete.  Fundación  para  la  Autonomía  y  el  Desarrollo  de  la  Costa</w:t>
        <w:br/>
        <w:t>Atlántica          de           Nicaragua           (FADCANIC),           en</w:t>
        <w:br/>
        <w:t>www.fadcanic.org/investigacion/investigacion1.htm  (prueba  incorporada   de</w:t>
        <w:br/>
        <w:t>oficio por la Corte de conformidad con el artículo 45.1 de su Reglamento).</w:t>
        <w:br/>
        <w:br/>
        <w:t>[30]  Cfr. testimonio del señor John Alex Delio Bans rendido ante  la  Corte</w:t>
        <w:br/>
        <w:t>Interamericana durante la audiencia pública  celebrada  el  9  de  marzo  de</w:t>
        <w:br/>
        <w:t>2005; Desarrollo humano en la Costa Caribe de  Nicaragua.  Consejo  Nacional</w:t>
        <w:br/>
        <w:t>de Planificación Económica  Social  (CONPES)  (expediente  de  anexos  a  la</w:t>
        <w:br/>
        <w:t>demanda, tomo II, anexo 7, folio 470); y Caracterización  Fisiogeográfica  y</w:t>
        <w:br/>
        <w:t>Demográfica  de   las  Regiones  Autónomas   del   Caribe   de    Nicaragua.</w:t>
        <w:br/>
        <w:t>Investigación del señor Alfonso Navarrete. Fundación para la Autonomía y  el</w:t>
        <w:br/>
        <w:t>Desarrollo   de   la   Costa   Atlántica   de   Nicaragua   (FADCANIC),   en</w:t>
        <w:br/>
        <w:t>www.fadcanic.org/investigacion/investigacion1.htm  (prueba  incorporada   de</w:t>
        <w:br/>
        <w:t>oficio por la Corte de conformidad con el artículo 45.1 de su Reglamento).</w:t>
        <w:br/>
        <w:br/>
        <w:t>[31]  Cfr. Caracterización Fisiogeográfica y Demográfica  de   las  Regiones</w:t>
        <w:br/>
        <w:t>Autónomas   del  Caribe  de   Nicaragua.  Investigación  del  señor  Alfonso</w:t>
        <w:br/>
        <w:t>Navarrete.  Fundación  para  la  Autonomía  y  el  Desarrollo  de  la  Costa</w:t>
        <w:br/>
        <w:t>Atlántica          de           Nicaragua           (FADCANIC),           en</w:t>
        <w:br/>
        <w:t>www.fadcanic.org/investigacion/investigacion1.htm  (prueba  incorporada   de</w:t>
        <w:br/>
        <w:t>oficio por la Corte de conformidad con el artículo 45.1 de su Reglamento).</w:t>
        <w:br/>
        <w:br/>
        <w:t>[32]  Cfr. declaración jurada escrita de la señora Hazel Law Blanco  rendida</w:t>
        <w:br/>
        <w:t>ante fedatario público (affidávit) el 14  de  febrero  de  2005  (expediente</w:t>
        <w:br/>
        <w:t>sobre excepciones preliminares, fondo y reparaciones, tomo III, folio  905);</w:t>
        <w:br/>
        <w:t>declaración jurada escrita del señor Centuriano Knight Andrews rendida  ante</w:t>
        <w:br/>
        <w:t>fedatario público (affidávit)  el 14 de febrero de  2005  (expediente  sobre</w:t>
        <w:br/>
        <w:t>excepciones preliminares, fondo y reparaciones,  tomo  III,  folio  891);  y</w:t>
        <w:br/>
        <w:t>artículo periodístico  titulado  “Yapti  Tasba  Masraka  nani  Aslatakanka”,</w:t>
        <w:br/>
        <w:t>publicado en  la  página  web:  www.miskito-nicaragua.de/miskito/yatama2.htm</w:t>
        <w:br/>
        <w:t>(expediente de  anexos  al  escrito  de  solicitudes  y  argumentos  de  los</w:t>
        <w:br/>
        <w:t>representantes, anexo 1, folio 906).</w:t>
        <w:br/>
        <w:br/>
        <w:t>[33]  Cfr. declaración jurada escrita del señor 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 xml:space="preserve"> folio 891).</w:t>
        <w:br/>
        <w:br/>
        <w:t>[34]  Cfr. declaración jurada escrita del señor 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>folio  891);  artículo  periodístico  titulado  “Yatama,  una  historia   de</w:t>
        <w:br/>
        <w:t>resistencia”,    publicado    en     la     página     web:     www.miskito-</w:t>
        <w:br/>
        <w:t>nicaragua.de/miskito/yatama2.htm  (expediente  de  anexos  al   escrito   de</w:t>
        <w:br/>
        <w:t>solicitudes y argumentos, anexo  1,  folio  889);  y  artículo  periodístico</w:t>
        <w:br/>
        <w:t>titulado “Yapti Tasba Masraka nani  Aslatakanka”,  publicado  en  la  página</w:t>
        <w:br/>
        <w:t>web: www.miskito-nicaragua.de/miskito/yatama2.htm (expediente de  anexos  al</w:t>
        <w:br/>
        <w:t>escrito de solicitudes y argumentos, anexo 1, folio 909).</w:t>
        <w:br/>
        <w:br/>
        <w:t>[35]  Cfr. declaración jurada escrita del señor 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>folio  891);  artículo  periodístico  titulado  “Yatama,  una  historia   de</w:t>
        <w:br/>
        <w:t>resistencia”,    publicado    en     la     página     web:     www.miskito-</w:t>
        <w:br/>
        <w:t>nicaragua.de/miskito/yatama2.htm  (expediente  de  anexos  al   escrito   de</w:t>
        <w:br/>
        <w:t>solicitudes y argumentos, anexo  1,  folio  889);  y  artículo  periodístico</w:t>
        <w:br/>
        <w:t>titulado “”Yapti Tasba Masraka nani Aslatakanka”,  publicado  en  la  página</w:t>
        <w:br/>
        <w:t>web: www.miskito-nicaragua.de/miskito/yatama2.htm (expediente de  anexos  al</w:t>
        <w:br/>
        <w:t>escrito de solicitudes y argumentos, anexo 1, folio 909).</w:t>
        <w:br/>
        <w:br/>
        <w:t>[36]   Cfr.  artículo  periodístico  titulado  “Yapti  Tasba  Masraka   nani</w:t>
        <w:br/>
        <w:t>Aslatakanka”,    publicado    en     la     página     web:     www.miskito-</w:t>
        <w:br/>
        <w:t>nicaragua.de/miskito/yatama2.htm  (expediente  de  anexos  al   escrito   de</w:t>
        <w:br/>
        <w:t>solicitudes y argumentos, anexo 1, folio 910); testimonio  del  señor  Jorge</w:t>
        <w:br/>
        <w:t>Teytom Fedrick rendido ante la Corte  Interamericana  durante  la  audiencia</w:t>
        <w:br/>
        <w:t>pública celebrada el 9 de marzo de 2005; y declaración  jurada  escrita  del</w:t>
        <w:br/>
        <w:t>señor Centuriano Knight Andrews rendida ante fedatario  público  (affidávit)</w:t>
        <w:br/>
        <w:t>el 14 de febrero de 2005 (expediente sobre excepciones  preliminares,  fondo</w:t>
        <w:br/>
        <w:t>y reparaciones, tomo III, folio 891).</w:t>
        <w:br/>
        <w:br/>
        <w:t>[37]  Cfr. declaración jurada escrita del señor 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>folio 891); dictamen pericial de la  señora  María  Luisa  Acosta  Castellón</w:t>
        <w:br/>
        <w:t>rendido ante  fedatario  público  (affidávit)  el  14  de  febrero  de  2005</w:t>
        <w:br/>
        <w:t>(expediente sobre excepciones preliminares, fondo y reparaciones, tomo  III,</w:t>
        <w:br/>
        <w:t>folio 874); y artículo 6 del Estatuto de YATAMA  de  20  de  marzo  de  2000</w:t>
        <w:br/>
        <w:t>(expediente de anexos a la demanda, tomo II, anexo 9, folio 560).</w:t>
        <w:br/>
        <w:br/>
        <w:t>[38]  Cfr. dictamen pericial de  la  señora  María  Luisa  Acosta  Castellón</w:t>
        <w:br/>
        <w:t>rendido ante  fedatario  público  (affidávit)  el  14  de  febrero  de  2005</w:t>
        <w:br/>
        <w:t>(expediente sobre excepciones preliminares, fondo y reparaciones, tomo  III,</w:t>
        <w:br/>
        <w:t>folio 874).</w:t>
        <w:br/>
        <w:br/>
        <w:t>[39]  Cfr. dictamen pericial de  la  señora  María  Luisa  Acosta  Castellón</w:t>
        <w:br/>
        <w:t>rendido ante  fedatario  público  (affidávit)  el  14  de  febrero  de  2005</w:t>
        <w:br/>
        <w:t>(expediente sobre excepciones preliminares, fondo y reparaciones, tomo  III,</w:t>
        <w:br/>
        <w:t>folio 874); y artículo 2 del Estatuto de YATAMA  de  20  de  marzo  de  2000</w:t>
        <w:br/>
        <w:t>(expediente de anexos a la demanda, tomo II, anexo 9, folio 560).</w:t>
        <w:br/>
        <w:br/>
        <w:t>[40]  Cfr. artículo 6 del  Estatuto  de  YATAMA  de  20  de  marzo  de  2000</w:t>
        <w:br/>
        <w:t>(expediente de anexos a la demanda, tomo II, anexo 9, folio 560).</w:t>
        <w:br/>
        <w:br/>
        <w:t>[41]  Cfr. testimonio del señor Brooklin Rivera Bryan rendido ante la  Corte</w:t>
        <w:br/>
        <w:t>Interamericana durante la audiencia pública  celebrada  el  9  de  marzo  de</w:t>
        <w:br/>
        <w:t>2005.</w:t>
        <w:br/>
        <w:br/>
        <w:t>[42]  Cfr. artículo 16 del Estatuto  de  YATAMA  de  20  de  marzo  de  2000</w:t>
        <w:br/>
        <w:t>(expediente  de  anexos  a  la  demanda,  tomo  II,  anexo  9,  folio  560);</w:t>
        <w:br/>
        <w:t>testimonio  del  señor  Brooklyn  Rivera  Bryan  rendido   ante   la   Corte</w:t>
        <w:br/>
        <w:t>Interamericana durante la audiencia pública  celebrada  el  9  de  marzo  de</w:t>
        <w:br/>
        <w:t>2005; y testimonio de la señora Anicia Matamoros de Marly  rendido  ante  la</w:t>
        <w:br/>
        <w:t>Corte Interamericana durante la audiencia pública celebrada el  9  de  marzo</w:t>
        <w:br/>
        <w:t>de 2005.</w:t>
        <w:br/>
        <w:br/>
        <w:t>[43]  Cfr. artículos 17 y 18 del Estatuto de YATAMA de 20 de marzo  de  2000</w:t>
        <w:br/>
        <w:t>(expediente de anexos a la demanda, tomo II, anexo 9, folio 560).</w:t>
        <w:br/>
        <w:br/>
        <w:t>[44]  Cfr. artículo 20 del Estatuto  de  YATAMA  de  20  de  marzo  de  2000</w:t>
        <w:br/>
        <w:t>(expediente  de  anexos  a  la  demanda,  tomo  II,  anexo  9,  folio  565);</w:t>
        <w:br/>
        <w:t>testimonio de la señora Anicia Matamoros de  Marly  rendido  ante  la  Corte</w:t>
        <w:br/>
        <w:t>Interamericana durante la audiencia pública  celebrada  el  9  de  marzo  de</w:t>
        <w:br/>
        <w:t>2005; y testimonio del señor Brooklyn Rivera Bryan  rendido  ante  la  Corte</w:t>
        <w:br/>
        <w:t>Interamericana durante la audiencia pública  celebrada  el  9  de  marzo  de</w:t>
        <w:br/>
        <w:t>2005.</w:t>
        <w:br/>
        <w:br/>
        <w:t>[45]  Cfr. testimonio de la señora Anicia Matamoros de  Marly  rendido  ante</w:t>
        <w:br/>
        <w:t>la Corte Interamericana durante la  audiencia  pública  celebrada  el  9  de</w:t>
        <w:br/>
        <w:t>marzo de 2005; testimonio del señor Brooklyn Rivera Bryan  rendido  ante  la</w:t>
        <w:br/>
        <w:t>Corte Interamericana durante la audiencia pública celebrada el  9  de  marzo</w:t>
        <w:br/>
        <w:t>de 2005; y. declaración jurada escrita del señor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>folio 894).</w:t>
        <w:br/>
        <w:br/>
        <w:t>[46]  Cfr. artículo 21 del Estatuto  de  YATAMA  de  20  de  marzo  de  2000</w:t>
        <w:br/>
        <w:t>(expediente de anexos a la demanda, tomo II, anexo 9, folio 565).</w:t>
        <w:br/>
        <w:br/>
        <w:t>[47]  Cfr. artículo 39 del Estatuto  de  YATAMA  de  20  de  marzo  de  2000</w:t>
        <w:br/>
        <w:t>(expediente de anexos a la demanda, tomo II, anexo 9, folio 565).</w:t>
        <w:br/>
        <w:br/>
        <w:t>[48]  Cfr. declaración jurada escrita del señor 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>folio 892).</w:t>
        <w:br/>
        <w:br/>
        <w:t>[49]  Cfr. recurso de amparo presentado por los  representantes  legales  de</w:t>
        <w:br/>
        <w:t>YATAMA ante la Sala de lo Civil y Laboral del Tribunal de Apelaciones de  la</w:t>
        <w:br/>
        <w:t>Circunscripción Atlántico Norte, Puerto Cabezas (expediente de anexos  a  la</w:t>
        <w:br/>
        <w:t>demanda, tomo II, anexo 8.1, folio 528).</w:t>
        <w:br/>
        <w:br/>
        <w:t>[50]  Cfr. declaración jurada escrita del señor  Centuriano  Knight  Andrews</w:t>
        <w:br/>
        <w:t>rendida ante  fedatario  público  (affidávit)  el  14  de  febrero  de  2005</w:t>
        <w:br/>
        <w:t>(expediente sobre excepciones preliminares, fondo y reparaciones, tomo  III,</w:t>
        <w:br/>
        <w:t>folio 892); recurso de amparo presentado por los representantes  legales  de</w:t>
        <w:br/>
        <w:t>YATAMA ante la Sala de lo Civil y Laboral del Tribunal de Apelaciones de  la</w:t>
        <w:br/>
        <w:t>Circunscripción Atlántico Norte, Puerto Cabezas (expediente de anexos  a  la</w:t>
        <w:br/>
        <w:t>demanda, tomo II, anexo 8.1, folios 528);  Desarrollo  humano  en  la  Costa</w:t>
        <w:br/>
        <w:t>Caribe de Nicaragua. Informe elaborado por el Programa Nacional de  Asesoría</w:t>
        <w:br/>
        <w:t>para  la  Formulación  de  Políticas  con  apoyo  del  Consejo  Nacional  de</w:t>
        <w:br/>
        <w:t>Planificación Económica Social (CONPES) (expediente de anexos a la  demanda,</w:t>
        <w:br/>
        <w:t>tomo II, anexo 7, folios 512 y 513); y artículos  1,  81  y  82  de  la  Ley</w:t>
        <w:br/>
        <w:t>Electoral No. 211 de 8 de enero de 1996 (prueba incorporada  de  oficio  por</w:t>
        <w:br/>
        <w:t>la Corte de conformidad con el artículo 45.1 de su Reglamento).</w:t>
        <w:br/>
        <w:br/>
        <w:t>[51]  Cfr. Desarrollo humano  en  la  Costa  Caribe  de 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471);</w:t>
        <w:br/>
        <w:t>y dictamen pericial de la señora María Luisa Acosta Castellón  rendido  ante</w:t>
        <w:br/>
        <w:t>fedatario público (affidávit) el 14 de febrero  de  2005  (expediente  sobre</w:t>
        <w:br/>
        <w:t>excepciones preliminares, fondo y reparaciones, tomo III, folio 880).</w:t>
        <w:br/>
        <w:br/>
        <w:t>[52]  Cfr. dictamen pericial de  la  señora  María  Luisa  Acosta  Castellón</w:t>
        <w:br/>
        <w:t>rendido ante  fedatario  público  (affidávit)  el  14  de  febrero  de  2005</w:t>
        <w:br/>
        <w:t>(expediente sobre excepciones preliminares, fondo y reparaciones, tomo  III,</w:t>
        <w:br/>
        <w:t>folio 874); y dictamen pericial de la señora María  Dolores  Álvarez  Arzate</w:t>
        <w:br/>
        <w:t>rendido ante la Corte Interamericana durante la audiencia pública  celebrada</w:t>
        <w:br/>
        <w:t>el 9 de marzo de 2005.</w:t>
        <w:br/>
        <w:br/>
        <w:t>[53]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II); Desarrollo humano en la  Costa</w:t>
        <w:br/>
        <w:t>Caribe de Nicaragua. Informe elaborado por el Programa Nacional de  Asesoría</w:t>
        <w:br/>
        <w:t>para  la  Formulación  de  Políticas  con  apoyo  del  Consejo  Nacional  de</w:t>
        <w:br/>
        <w:t>Planificación Económica Social (CONPES) (expediente de anexos a la  demanda,</w:t>
        <w:br/>
        <w:t>tomo II, anexo 7, folio 513).</w:t>
        <w:br/>
        <w:br/>
        <w:t>[54]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II); y declaración  jurada  escrita</w:t>
        <w:br/>
        <w:t>del  señor  Centuriano  Knight  Andrews  rendida  ante   fedatario   público</w:t>
        <w:br/>
        <w:t>(affidávit)  el  14  de  febrero  de  2005  (expediente  sobre   excepciones</w:t>
        <w:br/>
        <w:t>preliminares, fondo y reparaciones, tomo III, folio 893).</w:t>
        <w:br/>
        <w:br/>
        <w:t>[55]  Cfr. testimonio del señor Brooklyn Rivera Bryan rendido ante la  Corte</w:t>
        <w:br/>
        <w:t>durante la audiencia pública celebrada el 9 de  marzo  de  2005;  testimonio</w:t>
        <w:br/>
        <w:t>del señor John Alex Delio Bans rendido ante la Corte Interamericana  durante</w:t>
        <w:br/>
        <w:t>la audiencia pública celebrada el 9 de marzo de 2005;  y  dictamen  pericial</w:t>
        <w:br/>
        <w:t>de  la  señora  María  Dolores  Álvarez  Arzate  rendido   ante   la   Corte</w:t>
        <w:br/>
        <w:t>Interamericana durante la audiencia pública  celebrada  el  9  de  marzo  de</w:t>
        <w:br/>
        <w:t>2005.</w:t>
        <w:br/>
        <w:br/>
        <w:t>[56]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II); Desarrollo humano en la  Costa</w:t>
        <w:br/>
        <w:t>Caribe de Nicaragua. Informe elaborado por el Programa Nacional de  Asesoría</w:t>
        <w:br/>
        <w:t>para  la  Formulación  de  Políticas  con  apoyo  del  Consejo  Nacional  de</w:t>
        <w:br/>
        <w:t>Planificación Económica Social (CONPES) (expediente de anexos a la  demanda,</w:t>
        <w:br/>
        <w:t>tomo II, anexo 7, folio 513).</w:t>
        <w:br/>
        <w:br/>
        <w:t>[57]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II).</w:t>
        <w:br/>
        <w:br/>
        <w:t>[58]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II).</w:t>
        <w:br/>
        <w:br/>
        <w:t>[59]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II).</w:t>
        <w:br/>
        <w:br/>
        <w:t>[60]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II, folio 36);  recurso  de  amparo</w:t>
        <w:br/>
        <w:t>presentado por los representantes de YATAMA ante  la  Sala  de  lo  Civil  y</w:t>
        <w:br/>
        <w:t>Laboral del Tribunal de Apelaciones de la Circunscripción  Atlántico  Norte,</w:t>
        <w:br/>
        <w:t>Puerto Cabezas (expediente de anexos a  la  demanda,  tomo  II,  anexo  8.1,</w:t>
        <w:br/>
        <w:t>folio 530); y resolución emitida por el Consejo Supremo Electoral el  15  de</w:t>
        <w:br/>
        <w:t>agosto de 2000 (expediente de anexos a la  demanda,  tomo  II,  anexo  15.2,</w:t>
        <w:br/>
        <w:t>folio 599).</w:t>
        <w:br/>
        <w:br/>
        <w:t>[61]  Cfr. escritura pública de 8 de marzo de 2000 (expediente de  anexos  a</w:t>
        <w:br/>
        <w:t>la demanda, tomo II, anexo 9, folio 556).</w:t>
        <w:br/>
        <w:br/>
        <w:t>[62]  Cfr. artículo 3.a) del Estatuto de YATAMA  de  20  de  marzo  de  2000</w:t>
        <w:br/>
        <w:t>(expediente de anexos a la demanda, tomo II, anexo 9, folios 560).</w:t>
        <w:br/>
        <w:br/>
        <w:t>[63]  Cfr. resolución emitida por el Consejo Supremo Electoral el 4 de  mayo</w:t>
        <w:br/>
        <w:t>de 2000 (expediente de anexos a la demanda, tomo II, anexo 10, folio 573).</w:t>
        <w:br/>
        <w:br/>
        <w:t>[64]  Cfr. calendario electoral del Consejo  Supremo  Electoral  (expediente</w:t>
        <w:br/>
        <w:t>de anexos a la demanda, tomo II, anexo 11, folio 577).</w:t>
        <w:br/>
        <w:br/>
        <w:t>[65]  Cfr. calendario electoral del Consejo  Supremo  Electoral  (expediente</w:t>
        <w:br/>
        <w:t>de anexos a la demanda, tomo II, anexo 11, folio 580).</w:t>
        <w:br/>
        <w:br/>
        <w:t>[66]  Cfr. escrito de 15 de julio de 2000 del representante de YATAMA en  la</w:t>
        <w:br/>
        <w:t>RAAN (expediente sobre excepciones preliminares, fondo y reparaciones,  tomo</w:t>
        <w:br/>
        <w:t>III, folio 955); recibo de  15  de  julio  de  2000  del  Consejo  Electoral</w:t>
        <w:br/>
        <w:t>Regional de la RAAN (expediente  sobre  excepciones  preliminares,  fondo  y</w:t>
        <w:br/>
        <w:t>reparaciones, tomo III, folio 954); y acta de entrega  de  la  documentación</w:t>
        <w:br/>
        <w:t>original de candidatos  de  16  de  julio  de  2000  del  Consejo  Electoral</w:t>
        <w:br/>
        <w:t>Regional de la RAAN (expediente  sobre  excepciones  preliminares,  fondo  y</w:t>
        <w:br/>
        <w:t>reparaciones, tomo III, folio 942).</w:t>
        <w:br/>
        <w:br/>
        <w:t>[67]  Cfr. escrito de 18 de julio de 2000 dirigido  por  el  Presidente  del</w:t>
        <w:br/>
        <w:t>Consejo Electoral Regional de la RAAN al  Director  General  de  Atención  a</w:t>
        <w:br/>
        <w:t>Partidos Políticos del Consejo Supremo Electoral (expediente de anexos a  la</w:t>
        <w:br/>
        <w:t>demanda, tomo II, anexo 12, folios 582 y 583);  y  acta  de  entrega  de  la</w:t>
        <w:br/>
        <w:t>documentación original de Candidatos (as) Sustitutos Municipales a  Alcalde,</w:t>
        <w:br/>
        <w:t>Vice-Alcalde y Concejales de los municipios del Atlántico Norte  (expediente</w:t>
        <w:br/>
        <w:t>de anexos a la demanda, tomo II, anexo 12, folio 584).</w:t>
        <w:br/>
        <w:br/>
        <w:t>[68]  Cfr. recurso de amparo presentado por los  representantes  legales  de</w:t>
        <w:br/>
        <w:t>YATAMA ante la Sala de lo Civil y Laboral del Tribunal de Apelaciones de  la</w:t>
        <w:br/>
        <w:t>Circunscripción Atlántico Norte, Puerto Cabezas (expediente de anexos  a  la</w:t>
        <w:br/>
        <w:t>demanda, tomo II, anexo 8.1, folio 530); y  testimonio  del  señor  Brooklyn</w:t>
        <w:br/>
        <w:t>Rivera Bryan rendido ante  la  Corte  Interamericana  durante  la  audiencia</w:t>
        <w:br/>
        <w:t>pública celebrada el 9 de marzo de 2005.</w:t>
        <w:br/>
        <w:br/>
        <w:t>[69]  Cfr. testimonio notarial de la escritura pública de  13  de  junio  de</w:t>
        <w:br/>
        <w:t>2000 sobre la constitución  de  la  alianza  de  partidos  políticos  UNIDAD</w:t>
        <w:br/>
        <w:t>PIM/YATAMA/PPC (expediente de anexos  a  la  demanda,  tomo  II,  anexo  14,</w:t>
        <w:br/>
        <w:t>folios 589).</w:t>
        <w:br/>
        <w:br/>
        <w:t>[70]  Cfr. resolución emitida por el Consejo Supremo Electoral el 4 de  mayo</w:t>
        <w:br/>
        <w:t>de 2000 (expediente de anexos a la demanda, tomo II, anexo 10,  folio  590);</w:t>
        <w:br/>
        <w:t>testimonio notarial de la escritura pública de 13 de junio de 2000 sobre  la</w:t>
        <w:br/>
        <w:t>constitución de la  alianza  de  partidos  políticos  UNIDAD  PIM/YATAMA/PPC</w:t>
        <w:br/>
        <w:t>(expediente de anexos a la demanda,  tomo  II,  anexo  14,  folios  588);  y</w:t>
        <w:br/>
        <w:t>constancias emitidas  el  13  de  junio  de  2000  por  el  Consejo  Supremo</w:t>
        <w:br/>
        <w:t>Electoral sobre la personalidad jurídica del PPC y  del  PIM  como  partidos</w:t>
        <w:br/>
        <w:t>políticos (expediente sobre excepciones preliminares, fondo y  reparaciones,</w:t>
        <w:br/>
        <w:t>tomo III, folios 950 y 951).</w:t>
        <w:br/>
        <w:br/>
        <w:t>[71]  Cfr. artículos 65 y 77 de la Ley Electoral No. 331 de 24 de  enero  de</w:t>
        <w:br/>
        <w:t>2000 (anexos al escrito  de  excepciones  preliminares,  contestación  a  la</w:t>
        <w:br/>
        <w:t>demanda y observaciones al escrito de solicitudes  y  argumentos,  anexo  D,</w:t>
        <w:br/>
        <w:t>expediente sobre excepciones preliminares, fondo y  reparaciones,  tomo  II,</w:t>
        <w:br/>
        <w:t>folios 30 y 33).</w:t>
        <w:br/>
        <w:br/>
        <w:t>[72]  Cfr. testimonio notarial de la escritura pública de  13  de  junio  de</w:t>
        <w:br/>
        <w:t>2000 sobre la constitución  de  la  alianza  de  partidos  políticos  UNIDAD</w:t>
        <w:br/>
        <w:t>PIM/YATAMA/PPC (expediente de anexos a la demanda, tomo II, anexo 14,  folio</w:t>
        <w:br/>
        <w:t>588).</w:t>
        <w:br/>
        <w:br/>
        <w:t>[73]  Cfr. resolución emitida por el Consejo  Supremo  Electoral  el  15  de</w:t>
        <w:br/>
        <w:t>agosto de 2000 (expediente de anexos a la  demanda,  tomo  II,  anexo  15.2,</w:t>
        <w:br/>
        <w:t>folio 598).</w:t>
        <w:br/>
        <w:br/>
        <w:t>[74]  Cfr. Ley Electoral No. 331 de 24 de enero de 2000 (anexos  al  escrito</w:t>
        <w:br/>
        <w:t>de excepciones preliminares, contestación a la demanda  y  observaciones  al</w:t>
        <w:br/>
        <w:t>escrito de solicitudes y argumentos, anexo D, expediente  sobre  excepciones</w:t>
        <w:br/>
        <w:t>preliminares, fondo y reparaciones, tomo II).</w:t>
        <w:br/>
        <w:br/>
        <w:t>[75]  Cfr. escrito de 5 de julio  de  2000  dirigido  por  el  representante</w:t>
        <w:br/>
        <w:t>legal  nacional  de  la  Alianza  PIM  al  Presidente  del  Consejo  Supremo</w:t>
        <w:br/>
        <w:t>Electoral (expediente sobre excepciones preliminares, fondo y  reparaciones,</w:t>
        <w:br/>
        <w:t>tomo III, folio 948); y escritura pública de aclaración al  Consejo  Supremo</w:t>
        <w:br/>
        <w:t>Electoral de 4 de julio de 2000 (expediente sobre excepciones  preliminares,</w:t>
        <w:br/>
        <w:t>fondo y reparaciones, tomo III, folio 952).</w:t>
        <w:br/>
        <w:br/>
        <w:t>[76]   Cfr. escrito de 11 de julio de 2000  dirigido  por  el  representante</w:t>
        <w:br/>
        <w:t>legal de YATAMA en la RAAS  al  Presidente  del  Consejo  Supremo  Electoral</w:t>
        <w:br/>
        <w:t>(expediente sobre excepciones preliminares, fondo y reparaciones, tomo  III,</w:t>
        <w:br/>
        <w:t>folio 936); y escrito de 17 de julio de 2000 dirigido por  el  representante</w:t>
        <w:br/>
        <w:t>legal del PIM al Presidente del Consejo Supremo Electoral (expediente  sobre</w:t>
        <w:br/>
        <w:t>excepciones preliminares, fondo y reparaciones, tomo III, folio 947).</w:t>
        <w:br/>
        <w:br/>
        <w:t>[77]  Cfr. escrito de 14 de julio de 2000 dirigido  por  los  representantes</w:t>
        <w:br/>
        <w:t>legales de YATAMA y del PPC al  Presidente  del  Consejo  Supremo  Electoral</w:t>
        <w:br/>
        <w:t>(expediente sobre excepciones preliminares, fondo y reparaciones, tomo  III,</w:t>
        <w:br/>
        <w:t>folios 938 y 939); y certificación emitida el 3  de  mayo  de  2005  por  el</w:t>
        <w:br/>
        <w:t>Director General de  Atención  a  Partidos  Políticos  del  Consejo  Supremo</w:t>
        <w:br/>
        <w:t>Electoral (expediente sobre excepciones preliminares, fondo y  reparaciones,</w:t>
        <w:br/>
        <w:t>tomo V, folio 1735).</w:t>
        <w:br/>
        <w:br/>
        <w:t>[78]  Cfr. escrito de 17 de julio de  2000  dirigido  por  el  representante</w:t>
        <w:br/>
        <w:t>legal del PIM al Presidente del Consejo Supremo Electoral (expediente  sobre</w:t>
        <w:br/>
        <w:t>excepciones preliminares, fondo y reparaciones, tomo III, folio 947).</w:t>
        <w:br/>
        <w:br/>
        <w:t>[79]  Cfr. resolución emitida por el Consejo  Supremo  Electoral  el  15  de</w:t>
        <w:br/>
        <w:t>agosto de 2000 (expediente de anexos a la  demanda,  tomo  II,  anexo  15.2,</w:t>
        <w:br/>
        <w:t>folios 599).</w:t>
        <w:br/>
        <w:br/>
        <w:t>[80]  Cfr. escrito de 17 de julio de  2000  dirigido  por  el  representante</w:t>
        <w:br/>
        <w:t>legal de la Alianza del PPC y YATAMA (denominada Alianza PPC) al  Presidente</w:t>
        <w:br/>
        <w:t>del Consejo Supremo Electoral (expediente  sobre  excepciones  preliminares,</w:t>
        <w:br/>
        <w:t>fondo y reparaciones, tomo III, folio 937).</w:t>
        <w:br/>
        <w:br/>
        <w:t>[81]  Cfr. escrito de 17 de julio de  2000  dirigido  por  el  representante</w:t>
        <w:br/>
        <w:t>legal de la Alianza del PPC y YATAMA (denominada Alianza PPC) al  Presidente</w:t>
        <w:br/>
        <w:t>del Consejo Supremo Electoral (expediente  sobre  excepciones  preliminares,</w:t>
        <w:br/>
        <w:t>fondo y reparaciones, tomo III, folio 937).</w:t>
        <w:br/>
        <w:br/>
        <w:t>[82]  Cfr. resolución emitida por el Consejo  Supremo  Electoral  el  15  de</w:t>
        <w:br/>
        <w:t>agosto de 2000 (expediente de anexos a la  demanda,  tomo  II,  anexo  15.2,</w:t>
        <w:br/>
        <w:t>folio 599).</w:t>
        <w:br/>
        <w:br/>
        <w:t>[83]  Cfr. Ley Electoral No. 331 de 24 de enero de 2000 (anexos  al  escrito</w:t>
        <w:br/>
        <w:t>de excepciones preliminares, contestación a la demanda  y  observaciones  al</w:t>
        <w:br/>
        <w:t>escrito de solicitudes y argumentos, anexo D).</w:t>
        <w:br/>
        <w:br/>
        <w:t>[84]  Cfr. certificación de 20 de abril de  2005  emitida  por  el  Director</w:t>
        <w:br/>
        <w:t>General de Atención a  Partidos  Políticos  del  Consejo  Supremo  Electoral</w:t>
        <w:br/>
        <w:t>(expediente sobre excepciones preliminares, fondo y  reparaciones,  tomo  V,</w:t>
        <w:br/>
        <w:t>folio 1701).</w:t>
        <w:br/>
        <w:br/>
        <w:t>[85]  Cfr. certificación de 3 de  mayo  de  2005  emitida  por  el  Director</w:t>
        <w:br/>
        <w:t>General de Atención a  Partidos  Políticos  del  Consejo  Supremo  Electoral</w:t>
        <w:br/>
        <w:t>(expediente sobre excepciones preliminares, fondo y  reparaciones,  tomo  V,</w:t>
        <w:br/>
        <w:t>folio 1735).</w:t>
        <w:br/>
        <w:br/>
        <w:t>[86]  Cfr. Constitución Política de la República de Nicaragua  de  1987  con</w:t>
        <w:br/>
        <w:t>las reformas constitucionales. Publicación oficial de la Presidencia  y  Ley</w:t>
        <w:br/>
        <w:t>Electoral No. 331 de 24 de enero de 2000 (anexos al escrito  de  excepciones</w:t>
        <w:br/>
        <w:t>preliminares, contestación a  la  demanda  y  observaciones  al  escrito  de</w:t>
        <w:br/>
        <w:t>solicitudes y  argumentos,  anexos  C  y  D,  expediente  sobre  excepciones</w:t>
        <w:br/>
        <w:t>preliminares, fondo  y  reparaciones,  tomo  II,  folio  5);  y  Observación</w:t>
        <w:br/>
        <w:t>Electoral  en  Nicaragua:  elecciones  municipales   2000/Unidad   para   la</w:t>
        <w:br/>
        <w:t>Promoción de la Democracia, Serie Américas, No. 27,  Secretaría  General  de</w:t>
        <w:br/>
        <w:t>la Organización de  los  Estados  Americanos  (expediente  de  anexos  a  la</w:t>
        <w:br/>
        <w:t>demanda, tomo II, anexo 19, folios 624 y 625).</w:t>
        <w:br/>
        <w:br/>
        <w:t>[87]   Cfr. resolución emitida por el Consejo Supremo  Electoral  el  18  de</w:t>
        <w:br/>
        <w:t>julio de 2000 (expediente de anexos a  la  demanda,  tomo  II,  anexo  15.1,</w:t>
        <w:br/>
        <w:t>folio 596); y Ley Electoral No. 331 de  24  de  enero  de  2000  (anexos  al</w:t>
        <w:br/>
        <w:t>escrito  de  excepciones  preliminares,  contestación   a   la   demanda   y</w:t>
        <w:br/>
        <w:t>observaciones al escrito de solicitudes y argumentos,  anexo  D,  expediente</w:t>
        <w:br/>
        <w:t>sobre excepciones preliminares, fondo y reparaciones, tomo II, folio 34).</w:t>
        <w:br/>
        <w:br/>
        <w:t>[88]  Cfr. resolución emitida por el Consejo  Supremo  Electoral  el  18  de</w:t>
        <w:br/>
        <w:t>julio de 2000 (expediente de anexos a  la  demanda,  tomo  II,  anexo  15.1,</w:t>
        <w:br/>
        <w:t>folio 596).</w:t>
        <w:br/>
        <w:br/>
        <w:t>[89]  Cfr. resolución emitida por el Consejo  Supremo  Electoral  el  18  de</w:t>
        <w:br/>
        <w:t>julio de 2000 (expediente de anexos a  la  demanda,  tomo  II,  anexo  15.1,</w:t>
        <w:br/>
        <w:t>folio 596).</w:t>
        <w:br/>
        <w:br/>
        <w:t>[90]  Cfr. resolución emitida por el Consejo  Supremo  Electoral  el  18  de</w:t>
        <w:br/>
        <w:t>julio de 2000 (expediente de anexos a  la  demanda,  tomo  II,  anexo  15.1,</w:t>
        <w:br/>
        <w:t>folio 594).</w:t>
        <w:br/>
        <w:br/>
        <w:t>[91]  Cfr. resolución emitida por el Consejo  Supremo  Electoral  el  18  de</w:t>
        <w:br/>
        <w:t>julio de 2000 (expediente de anexos a  la  demanda,  tomo  II,  anexo  15.1,</w:t>
        <w:br/>
        <w:t>folio 592).</w:t>
        <w:br/>
        <w:br/>
        <w:t>[92]  Cfr. testimonio del señor Brooklyn Rivera Bryan rendido ante la  Corte</w:t>
        <w:br/>
        <w:t>Interamericana durante la audiencia pública  celebrada  el  9  de  marzo  de</w:t>
        <w:br/>
        <w:t>2005; y testimonio del señor John Alex Delio  Bans  rendido  ante  la  Corte</w:t>
        <w:br/>
        <w:t>Interamericana durante la audiencia pública  celebrada  el  9  de  marzo  de</w:t>
        <w:br/>
        <w:t>2005.</w:t>
        <w:br/>
        <w:br/>
        <w:t>[93]  Cfr. escrito de 31 de julio de  2000  dirigido  por  el  representante</w:t>
        <w:br/>
        <w:t>legal de YATAMA al Presidente del Consejo Supremo Electoral  (expediente  de</w:t>
        <w:br/>
        <w:t>anexos a la demanda, tomo II, anexo 16.1, folios 600).</w:t>
        <w:br/>
        <w:br/>
        <w:t>[94]  Cfr. recurso de revisión de 18 de agosto de 2000  presentado  ante  el</w:t>
        <w:br/>
        <w:t>Consejo  Supremo  Electoral  por  los  representantes  legales   de   YATAMA</w:t>
        <w:br/>
        <w:t>(expediente de anexos a la  demanda,  tomo  II,  anexo  18,  folio  605);  y</w:t>
        <w:br/>
        <w:t>recurso de amparo presentado por los representantes de YATAMA ante  la  Sala</w:t>
        <w:br/>
        <w:t>de lo Civil y Laboral del Tribunal  de  Apelaciones  de  la  Circunscripción</w:t>
        <w:br/>
        <w:t>Atlántico Norte, Puerto Cabezas (expediente de anexos  a  la  demanda,  tomo</w:t>
        <w:br/>
        <w:t>II, anexo 8.1, folio 528).</w:t>
        <w:br/>
        <w:br/>
        <w:t>[95]  Cfr. escrito de 31 de julio de  2000  dirigido  por  el  representante</w:t>
        <w:br/>
        <w:t>legal de YATAMA al Presidente del Consejo Supremo Electoral  (expediente  de</w:t>
        <w:br/>
        <w:t>anexos a la demanda, tomo II, anexo 16.1,  folio  600);  recurso  de  amparo</w:t>
        <w:br/>
        <w:t>presentado por los representantes legales de  YATAMA  ante  la  Sala  de  lo</w:t>
        <w:br/>
        <w:t>Civil y Laboral del Tribunal de Apelaciones de la Circunscripción  Atlántico</w:t>
        <w:br/>
        <w:t>Norte, Puerto Cabezas (expediente de anexos a la  demanda,  tomo  II,  anexo</w:t>
        <w:br/>
        <w:t>8.1, folio 529).</w:t>
        <w:br/>
        <w:br/>
        <w:t>[96]  Cfr. escrito de 11 de agosto de 2000  dirigido  por  el  representante</w:t>
        <w:br/>
        <w:t>legal de YATAMA al Presidente del Consejo Supremo Electoral  (expediente  de</w:t>
        <w:br/>
        <w:t>anexos a la demanda, tomo II, anexo 16.2, folio 601).</w:t>
        <w:br/>
        <w:br/>
        <w:t>[97]  Cfr. escrito de 11 de agosto de 2000  dirigido  por  el  representante</w:t>
        <w:br/>
        <w:t>legal de YATAMA al Presidente del Consejo Supremo Electoral  (expediente  de</w:t>
        <w:br/>
        <w:t>anexos a la demanda, tomo II, anexo 16.3, folio 602).</w:t>
        <w:br/>
        <w:br/>
        <w:t>[98]  Cfr. resolución emitida por el Consejo  Supremo  Electoral  el  15  de</w:t>
        <w:br/>
        <w:t>agosto de 2000 (expediente de anexos a la  demanda,  tomo  II,  anexo  15.2,</w:t>
        <w:br/>
        <w:t>folio 599).</w:t>
        <w:br/>
        <w:t>[99]  Cfr. resolución emitida por el Consejo  Supremo  Electoral  el  15  de</w:t>
        <w:br/>
        <w:t>agosto de 2000 (expediente de anexos a la  demanda,  tomo  II,  anexo  15.2,</w:t>
        <w:br/>
        <w:t>folio 599); y recurso de amparo presentado por  los  representantes  legales</w:t>
        <w:br/>
        <w:t>de YATAMA ante la Sala de lo Civil y Laboral del Tribunal de Apelaciones  de</w:t>
        <w:br/>
        <w:t>la Circunscripción Atlántico Norte, Puerto Cabezas (expediente de  anexos  a</w:t>
        <w:br/>
        <w:t>la demanda, tomo II, anexo 8.1, folio 529).</w:t>
        <w:br/>
        <w:br/>
        <w:t>[100]       Cfr. escrito de 17 de agosto de 2000 dirigido por el  Presidente</w:t>
        <w:br/>
        <w:t>del Consejo Electoral Regional de la RAAN al presidente, al  vice-presidente</w:t>
        <w:br/>
        <w:t>y a un magistrado del  Consejo  Supremo  Electoral  (anexos  al  escrito  de</w:t>
        <w:br/>
        <w:t>excepciones preliminares, contestación  a  la  demanda  y  observaciones  al</w:t>
        <w:br/>
        <w:t>escrito de solicitudes y argumentos, anexo A, expediente  sobre  excepciones</w:t>
        <w:br/>
        <w:t>preliminares, fondo y reparaciones, tomo II, folio 338).</w:t>
        <w:br/>
        <w:br/>
        <w:t>[101]       Cfr. recurso de revisión de 18  de  agosto  de  2000  presentado</w:t>
        <w:br/>
        <w:t>ante el Consejo Supremo Electoral por los representantes legales  de  YATAMA</w:t>
        <w:br/>
        <w:t>(expediente de anexos a la demanda, tomo II, anexo 18, folio 605).</w:t>
        <w:br/>
        <w:br/>
        <w:t>[102]       Cfr. recurso de amparo  presentado  por  los  representantes  de</w:t>
        <w:br/>
        <w:t>YATAMA ante la Sala de lo Civil y Laboral del Tribunal de Apelaciones de  la</w:t>
        <w:br/>
        <w:t>Circunscripción Atlántico Norte, Puerto Cabezas (expediente de anexos  a  la</w:t>
        <w:br/>
        <w:t>demanda, tomo II, anexo 8.1, folio 530).</w:t>
        <w:br/>
        <w:t>[103]       Cfr. recurso de amparo  presentado  por  los  representantes  de</w:t>
        <w:br/>
        <w:t>YATAMA ante la Sala de lo Civil y Laboral del Tribunal de Apelaciones de  la</w:t>
        <w:br/>
        <w:t>Circunscripción Atlántico Norte, Puerto Cabezas (expediente de anexos  a  la</w:t>
        <w:br/>
        <w:t>demanda, tomo II, anexo 8.1, folio 530).</w:t>
        <w:br/>
        <w:br/>
        <w:t>[104]        Cfr.  calendario  electoral  del  Consejo   Supremo   Electoral</w:t>
        <w:br/>
        <w:t>(expediente de anexos a la demanda, tomo II, anexo 9, folio 580).</w:t>
        <w:br/>
        <w:br/>
        <w:t>[105]       Cfr. resolución  de  11  de  octubre  de  2000  emitida  por  el</w:t>
        <w:br/>
        <w:t>Tribunal de Apelaciones de la Circunscripción Atlántico Norte,  Sala  de  lo</w:t>
        <w:br/>
        <w:t>Civil y Laboral, en Puerto Cabezas (expediente de anexos a la demanda,  tomo</w:t>
        <w:br/>
        <w:t>II, anexo 8.2, folio 536).</w:t>
        <w:br/>
        <w:br/>
        <w:t>[106]       Cfr. recurso de reposición interpuesto por  el  Consejo  Supremo</w:t>
        <w:br/>
        <w:t>Electoral ante la Sala de lo Civil y Laboral del Tribunal de Apelaciones  de</w:t>
        <w:br/>
        <w:t>la Circunscripción Atlántico Norte, Puerto Cabezas (expediente de  anexos  a</w:t>
        <w:br/>
        <w:t>la demanda, tomo II, anexo 8.2, folio 538).</w:t>
        <w:br/>
        <w:br/>
        <w:t>[107]       Cfr. escrito de  23  de  octubre  de  2000  presentado  por  los</w:t>
        <w:br/>
        <w:t>representantes de YATAMA ante la Sala de lo Civil y Laboral del Tribunal  de</w:t>
        <w:br/>
        <w:t>Apelaciones  de  la  Circunscripción   Atlántico   Norte,   Puerto   Cabezas</w:t>
        <w:br/>
        <w:t>(expediente de anexos a la demanda, tomo II, anexo 8.4, folio 542).</w:t>
        <w:br/>
        <w:br/>
        <w:t>[108]       Cfr. resolución de 24 de octubre de 2000 emitida por la Sala  de</w:t>
        <w:br/>
        <w:t>lo Civil y  Laboral  del  Tribunal  de  Apelaciones  de  la  Circunscripción</w:t>
        <w:br/>
        <w:t>Atlántico Norte, Puerto Cabezas (expediente de anexos  a  la  demanda,  tomo</w:t>
        <w:br/>
        <w:t>II, anexo 8.5, folio 545).</w:t>
        <w:br/>
        <w:br/>
        <w:t>[109]       Cfr. sentencia No. 205 de 25 de octubre de 2000 emitida  por  la</w:t>
        <w:br/>
        <w:t>Sala de lo Constitucional de la  Corte  Suprema  de  Justicia  de  Nicaragua</w:t>
        <w:br/>
        <w:t>(anexos al escrito de excepciones preliminares, contestación a la demanda  y</w:t>
        <w:br/>
        <w:t>observaciones al escrito de solicitudes y argumentos,  anexo  A,  expediente</w:t>
        <w:br/>
        <w:t>sobre excepciones preliminares, fondo y reparaciones, tomo II, folio 384).</w:t>
        <w:br/>
        <w:br/>
        <w:t>[110]       Cfr. comunicado de 30 de octubre de 2000 emitido por el  Consejo</w:t>
        <w:br/>
        <w:t>Supremo Electoral (expediente de anexos a la demanda,  tomo  II,  anexo  17,</w:t>
        <w:br/>
        <w:t>folio 604).</w:t>
        <w:br/>
        <w:br/>
        <w:t>[111]       Cfr. declaración  jurada  escrita  del  señor  Roberto  Courtney</w:t>
        <w:br/>
        <w:t>rendida  el  21  de  febrero   de   2005   (expediente   sobre   excepciones</w:t>
        <w:br/>
        <w:t>preliminares, fondo y reparaciones, tomo  III,  folio  843);  Informe  final</w:t>
        <w:br/>
        <w:t>sobre las elecciones municipales 2000. Grupo Cívico Ética  y  Transparencia.</w:t>
        <w:br/>
        <w:t>Diciembre de 2000 (expediente de anexos a la demanda,  tomo  II,  anexo  21,</w:t>
        <w:br/>
        <w:t>folio 741);  Observación  Electoral  en  Nicaragua:  elecciones  municipales</w:t>
        <w:br/>
        <w:t>2000/Unidad para la Promoción de la  Democracia,  Serie  Américas,  No.  27,</w:t>
        <w:br/>
        <w:t>Secretaría General de la Organización de los Estados Americanos  (expediente</w:t>
        <w:br/>
        <w:t>de anexos  a  la  demanda,  tomo  II,  anexo  19,  folio  650);  y  artículo</w:t>
        <w:br/>
        <w:t>periodístico titulado “Procurador de D.H. aconseja suspender  elecciones  en</w:t>
        <w:br/>
        <w:t>la RAAN. CSE no debe medir fuerzas  con  YATAMA”,  publicado  en  “El  Nuevo</w:t>
        <w:br/>
        <w:t>Diario” el 3 de noviembre de 2000 (expediente de anexos a la  demanda,  tomo</w:t>
        <w:br/>
        <w:t>II, anexo 22, folio 808).</w:t>
        <w:br/>
        <w:br/>
        <w:t>[112]       Cfr. artículo periodístico titulado “CSE persiste en  jugar  con</w:t>
        <w:br/>
        <w:t>fuego. Mantienen elecciones sin YATAMA”, publicado en “El Nuevo  Diario”  el</w:t>
        <w:br/>
        <w:t>4 de noviembre de 2000 (expediente de anexos a la demanda,  tomo  II,  anexo</w:t>
        <w:br/>
        <w:t>22, folio 816); y Second Report.  The  Carter  Center  Mission  to  Evaluate</w:t>
        <w:br/>
        <w:t>Electoral Conditions in Nicaragua, November 1-8, 2000 (expediente de  anexos</w:t>
        <w:br/>
        <w:t>a la demanda, tomo II, anexo 20, folio 731).</w:t>
        <w:br/>
        <w:br/>
        <w:t>[113]        Cfr.  resolución  de  3  de  marzo  de  2005  emitida  por   la</w:t>
        <w:br/>
        <w:t>Procuraduría para la Defensa  de  los  Derechos  Humanos  (expediente  sobre</w:t>
        <w:br/>
        <w:t>excepciones preliminares, fondo y  reparaciones,  tomo  IV,  folio  985);  y</w:t>
        <w:br/>
        <w:t>artículo  periodístico  titulado  “Procurador  de  D.H.  aconseja  suspender</w:t>
        <w:br/>
        <w:t>elecciones en la RAAN. CSE no debe medir fuerzas con YATAMA”,  publicado  en</w:t>
        <w:br/>
        <w:t>“El Nuevo Diario” el 3 de noviembre de  2000  (expediente  de  anexos  a  la</w:t>
        <w:br/>
        <w:t>demanda, tomo II, anexo 22, folio 808).</w:t>
        <w:br/>
        <w:br/>
        <w:t>[114] Cfr. resolución de 3 de marzo de  2005  emitida  por  la  Procuraduría</w:t>
        <w:br/>
        <w:t>para la Defensa  de  los  Derechos  Humanos  (expediente  sobre  excepciones</w:t>
        <w:br/>
        <w:t>preliminares, fondo y reparaciones, tomo IV, folio 992).</w:t>
        <w:br/>
        <w:br/>
        <w:t>[115]       Cfr. Observación Electoral en Nicaragua: elecciones  municipales</w:t>
        <w:br/>
        <w:t>2000/Unidad para la Promoción de la  Democracia,  Serie  Américas,  No.  27,</w:t>
        <w:br/>
        <w:t>Secretaría General de la Organización de los Estados Americanos  (expediente</w:t>
        <w:br/>
        <w:t>de anexos a la demanda, tomo II, anexo 19, folio 620).</w:t>
        <w:br/>
        <w:br/>
        <w:t>[116]       Cfr. Observación Electoral en Nicaragua: elecciones  municipales</w:t>
        <w:br/>
        <w:t>2000/ Unidad para la Promoción de la Democracia,  Serie  Américas,  No.  27,</w:t>
        <w:br/>
        <w:t>Secretaría General de la Organización de los Estados  Americanos,  y  Second</w:t>
        <w:br/>
        <w:t>Report. The Carter  Center  Mission  to  Evaluate  Electoral  Conditions  in</w:t>
        <w:br/>
        <w:t>Nicaragua, November 1-8, 2000 (expediente de anexos a la demanda,  tomo  II,</w:t>
        <w:br/>
        <w:t>anexos 19 y 20, folios 649, 656 y 715); artículos  periodísticos  publicados</w:t>
        <w:br/>
        <w:t>en “El Nuevo Diario” titulados “Fraude Consumado” de 19 de  julio  de  2000,</w:t>
        <w:br/>
        <w:t>“YATAMA afuera” de 27 de octubre de 2000, “YATAMA preocupa a la OEA”  de  28</w:t>
        <w:br/>
        <w:t>de octubre de 2000 y “Policía cree que puede controlar a los Yatama”  de  31</w:t>
        <w:br/>
        <w:t>de octubre de 2000 (expediente de anexos a la demanda, tomo  II,  anexo  22,</w:t>
        <w:br/>
        <w:t>folios 773, 796, 798 y 802); y solicitud de nulidad de las elecciones en  la</w:t>
        <w:br/>
        <w:t>RAAN presentada el 8 de noviembre de 2000 ante el Consejo Supremo  Electoral</w:t>
        <w:br/>
        <w:t>por el Partido Frente Sandinista de  Liberación  Nacional  (PFSLN),  Partido</w:t>
        <w:br/>
        <w:t>Liberal  Constitucional  (PLC),  Partido   Movimiento  de   Unidad   Costeña</w:t>
        <w:br/>
        <w:t>(PAMUC), el Partido Indígena Multiétnico (PIM), el Partido Camino  Cristiano</w:t>
        <w:br/>
        <w:t>Nicaragüense (CCN) y el Partido Conservador de Nicaragua  (PCN)  (expediente</w:t>
        <w:br/>
        <w:t>de anexos a la demanda, tomo II, anexo 22, folio 846).</w:t>
        <w:br/>
        <w:br/>
        <w:t>[117]       Cfr. declaración jurada  escrita  del  señor  Centuriano  Knight</w:t>
        <w:br/>
        <w:t>Andrews rendida ante fedatario público (affidávit) el 14 de febrero de  2005</w:t>
        <w:br/>
        <w:t>(expediente sobre excepciones preliminares, fondo y reparaciones, tomo  III,</w:t>
        <w:br/>
        <w:t>folio 895); Second Report. The Carter Center Mission to  Evaluate  Electoral</w:t>
        <w:br/>
        <w:t>Conditions in Nicaragua, November 1-8,  2000  (expediente  de  anexos  a  la</w:t>
        <w:br/>
        <w:t>demanda, tomo II, anexo 20, folio 715); artículos  periodísticos  publicados</w:t>
        <w:br/>
        <w:t>en “El Nuevo Diario” titulados “YATAMA afuera” de 27  de  octubre  de  2000,</w:t>
        <w:br/>
        <w:t>“YATAMA preocupa a la OEA” de 28 de octubre de  2000  y  “Policía  cree  que</w:t>
        <w:br/>
        <w:t>puede controlar a los Yatama” de  31  de  octubre  de  2000  (expediente  de</w:t>
        <w:br/>
        <w:t>anexos a la demanda, tomo II, anexo 22, folios 796, 798 y 802); y  solicitud</w:t>
        <w:br/>
        <w:t>de nulidad de las elecciones en la RAAN presentada  el  8  de  noviembre  de</w:t>
        <w:br/>
        <w:t>2000 ante el Consejo Supremo Electoral por el Partido Frente  Sandinista  de</w:t>
        <w:br/>
        <w:t>Liberación Nacional (PFSLN), Partido Liberal Constitucional  (PLC),  Partido</w:t>
        <w:br/>
        <w:t>Movimiento de  Unidad  Costeña  (PAMUC),  el  Partido  Indígena  Multiétnico</w:t>
        <w:br/>
        <w:t>(PIM),  el  Partido  Camino  Cristiano  Nicaragüense  (CCN)  y  el   Partido</w:t>
        <w:br/>
        <w:t>Conservador de Nicaragua (PCN), de 8 de noviembre de 2000,  presentada  ante</w:t>
        <w:br/>
        <w:t>el Consejo Supremo Electoral (expediente de anexos a la  demanda,  tomo  II,</w:t>
        <w:br/>
        <w:t>anexo 22, folio 846).</w:t>
        <w:br/>
        <w:br/>
        <w:t>[118]       Cfr. Desarrollo humano en la Costa Caribe de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513);</w:t>
        <w:br/>
        <w:t>Observación Electoral en Nicaragua: elecciones municipales 2000/Unidad  para</w:t>
        <w:br/>
        <w:t>la Promoción de la Democracia, Serie Américas, No.  27,  Secretaría  General</w:t>
        <w:br/>
        <w:t>de la Organización de los Estados Americanos  (expediente  de  anexos  a  la</w:t>
        <w:br/>
        <w:t>demanda, tomo II, anexo 19, folio 649);  y  artículo  periodístico  titulado</w:t>
        <w:br/>
        <w:t>“Fraude Consumado”, publicado en “El Nuevo Diario” el 19 de  julio  de  2000</w:t>
        <w:br/>
        <w:t>(expediente de anexos a la demanda, tomo II, anexo 22, folio 773).</w:t>
        <w:br/>
        <w:br/>
        <w:t>[119] Cfr. Second Report. The Carter Center Mission  to  Evaluate  Electoral</w:t>
        <w:br/>
        <w:t>Conditions in Nicaragua, November 1-8,  2000  (expediente  de  anexos  a  la</w:t>
        <w:br/>
        <w:t>demanda, tomo II, anexo 20, folio 715); artículos  periodísticos  publicados</w:t>
        <w:br/>
        <w:t>en “El Nuevo Diario” titulados “YATAMA afuera” de 27  de  octubre  de  2000,</w:t>
        <w:br/>
        <w:t>“YATAMA preocupa a la OEA” de 28 de octubre de  2000  y  “Policía  cree  que</w:t>
        <w:br/>
        <w:t>puede controlar a los Yatama” de  31  de  octubre  de  2000  (expediente  de</w:t>
        <w:br/>
        <w:t>anexos a la demanda, tomo II, anexo 22, folios 796, 798 y 802); y  solicitud</w:t>
        <w:br/>
        <w:t>de nulidad de las elecciones en la RAAN presentada  el  8  de  noviembre  de</w:t>
        <w:br/>
        <w:t>2000 ante el Consejo Supremo Electoral por el Partido Frente  Sandinista  de</w:t>
        <w:br/>
        <w:t>Liberación Nacional (PFSLN), Partido Liberal Constitucional  (PLC),  Partido</w:t>
        <w:br/>
        <w:t>Movimiento de  Unidad  Costeña  (PAMUC),  el  Partido  Indígena  Multiétnico</w:t>
        <w:br/>
        <w:t>(PIM),  el  Partido  Camino  Cristiano  Nicaragüense  (CCN)  y  el   Partido</w:t>
        <w:br/>
        <w:t>Conservador de Nicaragua (PCN) (expediente de anexos a la demanda, tomo  II,</w:t>
        <w:br/>
        <w:t>anexo 22, folio 846).</w:t>
        <w:br/>
        <w:br/>
        <w:t>[120]       Cfr. Desarrollo humano en la Costa Caribe de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513);</w:t>
        <w:br/>
        <w:t>Observación Electoral en Nicaragua: elecciones municipales 2000/Unidad  para</w:t>
        <w:br/>
        <w:t>la Promoción de la Democracia, Serie Américas, No.  27,  Secretaría  General</w:t>
        <w:br/>
        <w:t>de la Organización de los Estados Americanos  (expediente  de  anexos  a  la</w:t>
        <w:br/>
        <w:t>demanda, tomo II, anexo 19, folios 649); y  artículo  periodístico  titulado</w:t>
        <w:br/>
        <w:t>“Fraude Consumado”, publicado en “El Nuevo Diario” el 19 de  julio  de  2000</w:t>
        <w:br/>
        <w:t>(expediente de anexos a la demanda, tomo II, anexo 22, folio 773).</w:t>
        <w:br/>
        <w:br/>
        <w:t>[121]       Cfr. Desarrollo humano en la Costa Caribe de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7,  folio  513);</w:t>
        <w:br/>
        <w:t>Observación Electoral en Nicaragua: elecciones municipales 2000/Unidad  para</w:t>
        <w:br/>
        <w:t>la Promoción de la Democracia, Serie Américas, No.  27,  Secretaría  General</w:t>
        <w:br/>
        <w:t>de la Organización de los Estados Americanos  (expediente  de  anexos  a  la</w:t>
        <w:br/>
        <w:t>demanda, tomo II, anexo 19, folios 649); y  artículo  periodístico  titulado</w:t>
        <w:br/>
        <w:t>“Fraude Consumado”, publicado en “El Nuevo Diario” el 19 de  julio  de  2000</w:t>
        <w:br/>
        <w:t>(expediente de anexos a la demanda, tomo II, anexo 22, folio 773).</w:t>
        <w:br/>
        <w:br/>
        <w:t>[122]       Cfr. Observación Electoral en Nicaragua: elecciones  municipales</w:t>
        <w:br/>
        <w:t>2000/Unidad para la Promoción de la  Democracia,  Serie  Américas,  No.  27,</w:t>
        <w:br/>
        <w:t>Secretaría General de la Organización de los  Estados  Americanos  y  Second</w:t>
        <w:br/>
        <w:t>Report. The Carter  Center  Mission  to  Evaluate  Electoral  Conditions  in</w:t>
        <w:br/>
        <w:t>Nicaragua, November 1-8, 2000 (expediente de anexos a la demanda,  tomo  II,</w:t>
        <w:br/>
        <w:t>anexos 19 y 20, folios 651 y 715).</w:t>
        <w:br/>
        <w:br/>
        <w:t>[123]  Cfr.  Observación  Electoral  en  Nicaragua:  elecciones  municipales</w:t>
        <w:br/>
        <w:t>2000/Unidad para la Promoción de la  Democracia,  Serie  Américas,  No.  27,</w:t>
        <w:br/>
        <w:t>Secretaría General de la Organización de los Estados  Americanos,  y  Second</w:t>
        <w:br/>
        <w:t>Report. The Carter  Center  Mission  to  Evaluate  Electoral  Conditions  in</w:t>
        <w:br/>
        <w:t>Nicaragua, November 1-8, 2000 (expediente de anexos a la demanda,  tomo  II,</w:t>
        <w:br/>
        <w:t>anexos 19 y 20, folios 644 y 715);  artículos  periodisticos  publicados  en</w:t>
        <w:br/>
        <w:t>“El Nuevo Diario” titulados “YATAMA  afuera”  de  27  de  octubre  de  2000,</w:t>
        <w:br/>
        <w:t>“YATAMA preocupa a la OEA” de 28 de octubre de  2000  y  “Policía  cree  que</w:t>
        <w:br/>
        <w:t>puede controlar a los Yatama” de  31  de  octubre  de  2000  (expediente  de</w:t>
        <w:br/>
        <w:t>anexos a la demanda, tomo II, anexo 22, folios 796, 798 y 802); y  solicitud</w:t>
        <w:br/>
        <w:t>de nulidad de las elecciones en la RAAN presentada  el  8  de  noviembre  de</w:t>
        <w:br/>
        <w:t>2000 ante el Consejo Supremo Electoral por el Partido Frente  Sandinista  de</w:t>
        <w:br/>
        <w:t>Liberación Nacional (PFSLN), Partido Liberal Constitucional  (PLC),  Partido</w:t>
        <w:br/>
        <w:t>Movimiento de  Unidad  Costeña  (PAMUC),  el  Partido  Indígena  Multiétnico</w:t>
        <w:br/>
        <w:t>(PIM),  el  Partido  Camino  Cristiano  Nicaragüense  (CCN)  y  el   Partido</w:t>
        <w:br/>
        <w:t>Conservador de Nicaragua (PCN) (expediente de anexos a la demanda, tomo  II,</w:t>
        <w:br/>
        <w:t>anexo 22, folio 846).</w:t>
        <w:br/>
        <w:br/>
        <w:t>[124]        Cfr.  solicitud  de  nulidad  de  las  elecciones  en  la  RAAN</w:t>
        <w:br/>
        <w:t>presentada el 8 de noviembre de 2000 ante el Consejo Supremo  Electoral  por</w:t>
        <w:br/>
        <w:t>el  Partido  Frente  Sandinista  de  Liberación  Nacional  (PFSLN),  Partido</w:t>
        <w:br/>
        <w:t>Liberal  Constitucional  (PLC),  Partido   Movimiento  de   Unidad   Costeña</w:t>
        <w:br/>
        <w:t>(PAMUC), el Partido Indígena Multiétnico (PIM), el Partido Camino  Cristiano</w:t>
        <w:br/>
        <w:t>Nicaragüense (CCN) y el Partido Conservador de Nicaragua  (PCN)  (expediente</w:t>
        <w:br/>
        <w:t>de anexos a la demanda, tomo II, anexo 22, folio 846).</w:t>
        <w:br/>
        <w:br/>
        <w:t>[125]       Cfr. testimonio del señor John Alex Delio Bans rendido  ante  la</w:t>
        <w:br/>
        <w:t>Corte Interamericana durante la audiencia pública celebrada el  9  de  marzo</w:t>
        <w:br/>
        <w:t>de 2005; y declaración jurada escrita de la señora Cristina  Póveda  Montiel</w:t>
        <w:br/>
        <w:t>rendida ante  fedatario  público  (affidávit)  el  14  de  febrero  de  2005</w:t>
        <w:br/>
        <w:t>(expediente sobre excepciones preliminares, fondo y reparaciones, tomo  III,</w:t>
        <w:br/>
        <w:t>folio 903).</w:t>
        <w:br/>
        <w:br/>
        <w:t>[126]       Cfr. certificación emitida por el Consejo Supremo  Electoral  el</w:t>
        <w:br/>
        <w:t>30 de noviembre de 2004, mediante la cual hace  constar  el  nombre  de  los</w:t>
        <w:br/>
        <w:t>candidatos electos en las elecciones municipales de 7 de noviembre  de  2004</w:t>
        <w:br/>
        <w:t>(expediente de excepciones preliminares, fondo  y  reparaciones,  tomo  III,</w:t>
        <w:br/>
        <w:t>folios 713 a 720); declaración jurada escrita del  señor  Centuriano  Knight</w:t>
        <w:br/>
        <w:t>Andrews rendida ante fedatario público (affidávit) el 14 de febrero de  2005</w:t>
        <w:br/>
        <w:t>(expediente sobre excepciones preliminares, fondo y reparaciones, tomo  III,</w:t>
        <w:br/>
        <w:t>folio 896); y declaración jurada escrita  de  la  señora  Hazel  Law  Blanco</w:t>
        <w:br/>
        <w:t>rendida ante  fedatario  público  (affidávit)  el  14  de  febrero  de  2005</w:t>
        <w:br/>
        <w:t>(expediente sobre excepciones preliminares, fondo y reparaciones, tomo  III,</w:t>
        <w:br/>
        <w:t>folio 911).</w:t>
        <w:br/>
        <w:br/>
        <w:t>[127]       Cfr. declaración jurada  escrita  del  señor  Centuriano  Knight</w:t>
        <w:br/>
        <w:t>Andrews rendida ante fedatario público (affidávit) el 14 de febrero de  2005</w:t>
        <w:br/>
        <w:t>(expediente sobre excepciones preliminares, fondo y reparaciones, tomo  III,</w:t>
        <w:br/>
        <w:t>folio 894); acta emitida por el Consejo Electoral Regional de la RAAN el  16</w:t>
        <w:br/>
        <w:t>de julio de 2000  relativa  a  las  inscripciones  de  los  candidatos  para</w:t>
        <w:br/>
        <w:t>elecciones municipales  de  cinco  municipios  de  la  RAAN  (expediente  de</w:t>
        <w:br/>
        <w:t>excepciones preliminares, fondo y  reparaciones,  tomo  III,  folios  942  a</w:t>
        <w:br/>
        <w:t>946); acta de entrega emitida por el Consejo Electoral Regional de  la  RAAN</w:t>
        <w:br/>
        <w:t>el 18 de julio de 2000 relativa a la “documentación original  de  Candidatos</w:t>
        <w:br/>
        <w:t>Sustitutos  Municipales  a  Alcalde,  Vicealcalde  y   Concejales   de   los</w:t>
        <w:br/>
        <w:t>municipios del Atlántico Norte” remitida al Director General de  Atención  a</w:t>
        <w:br/>
        <w:t>Partidos Políticos del Consejo Supremo Electoral (expediente de anexos a  la</w:t>
        <w:br/>
        <w:t>demanda, tomo II, anexo 13, folios 584 a 587);  constancia  emitida  por  el</w:t>
        <w:br/>
        <w:t>Director General de  Atención  a  Partidos  Políticos  del  Consejo  Supremo</w:t>
        <w:br/>
        <w:t>Electoral el 3 de mayo de 2005 relativa a los candidatos propuestos por  “la</w:t>
        <w:br/>
        <w:t>Alianza Partido de los Pueblos Costeños (PPC)”  (expediente  de  excepciones</w:t>
        <w:br/>
        <w:t>preliminares, fondo y reparaciones, tomo V,  folio  1735);  y  certificación</w:t>
        <w:br/>
        <w:t>emitida por el  Consejo  Supremo  Electoral  el  30  de  noviembre  de  2004</w:t>
        <w:br/>
        <w:t>relativa a los candidatos electos en las  elecciones  municipales  de  7  de</w:t>
        <w:br/>
        <w:t>noviembre  de  2004  (expediente  de  excepciones  preliminares,   fondo   y</w:t>
        <w:br/>
        <w:t>reparaciones, tomo III, folios 713 a 720).</w:t>
        <w:br/>
        <w:br/>
        <w:t>[128]       Cfr. Desarrollo humano en la Costa Caribe de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 (expediente de anexos a la demanda, tomo II, anexo  7);  e  informe</w:t>
        <w:br/>
        <w:t>denominado  Población  total  por  área  de   residencia   y   sexo,   según</w:t>
        <w:br/>
        <w:t>departamento y grupos de edades, años 2002 y  2003.  Instituto  Nacional  de</w:t>
        <w:br/>
        <w:t>Estadísticas y Censos de Nicaragua (INEC), en www.inec.gob.ni.</w:t>
        <w:br/>
        <w:br/>
        <w:t>[129]       Cfr. declaración jurada  escrita  del  señor  Centuriano  Knight</w:t>
        <w:br/>
        <w:t>Andrews rendida ante fedatario público (affidávit) el 14 de febrero de  2005</w:t>
        <w:br/>
        <w:t>(expediente sobre excepciones preliminares, fondo y reparaciones, tomo  III,</w:t>
        <w:br/>
        <w:t>folio 897).</w:t>
        <w:br/>
        <w:br/>
        <w:t>[130]       Cfr. sentencia No. 103 de 8 de noviembre de 2002 emitida por  la</w:t>
        <w:br/>
        <w:t>Corte Suprema de Justicia de Nicaragua (expediente de anexos a  la  demanda,</w:t>
        <w:br/>
        <w:t>tomo I, anexo 6, folio 425).</w:t>
        <w:br/>
        <w:br/>
        <w:t>[131]       Cfr. sentencia No. 103 de 8 de noviembre de 2002 emitida por  la</w:t>
        <w:br/>
        <w:t>Corte Suprema de Justicia de Nicaragua (expediente de anexos a  la  demanda,</w:t>
        <w:br/>
        <w:t>tomo I, anexo 6, folio 425).</w:t>
        <w:br/>
        <w:br/>
        <w:t>[132]        Cfr.  Propuesta  de  Plan  Nacional  de  Desarrollo  del  Poder</w:t>
        <w:br/>
        <w:t>Ejecutivo de Nicaragua  (anexos  al  escrito  de  excepciones  preliminares,</w:t>
        <w:br/>
        <w:t>contestación a la demanda  y  observaciones  al  escrito  de  solicitudes  y</w:t>
        <w:br/>
        <w:t>argumentos, anexo X, expediente  sobre  excepciones  preliminares,  fondo  y</w:t>
        <w:br/>
        <w:t>reparaciones, tomo II, folio 347).</w:t>
        <w:br/>
        <w:br/>
        <w:t>[133]       Cfr. testimonios notariales de  los  poderes  de  representación</w:t>
        <w:br/>
        <w:t>ante  la  Comisión  y  Corte  Interamericanas  otorgados  por  34  presuntas</w:t>
        <w:br/>
        <w:t>víctimas a favor de abogados de CENIDH y CEJIL (expediente de  anexos  a  la</w:t>
        <w:br/>
        <w:t>demanda, tomo II, anexo 24); poderes de representación ante  la  Comisión  y</w:t>
        <w:br/>
        <w:t>Corte Interamericanas otorgados por 25  personas  a  favor  de  abogados  de</w:t>
        <w:br/>
        <w:t>CENIDH y CEJIL (expediente de anexos a  la  demanda,  tomo  II,  anexo  24);</w:t>
        <w:br/>
        <w:t>testimonio notarial del poder de representación ante  la  Comisión  y  Corte</w:t>
        <w:br/>
        <w:t>Interamericanas otorgados por 7 presuntas víctimas a favor  de  abogados  de</w:t>
        <w:br/>
        <w:t>CENIDH  y  CEJIL  (expediente  sobre  excepciones  preliminares,   fondo   y</w:t>
        <w:br/>
        <w:t>reparaciones, tomo III, anexo al escrito de  los  representantes  de  17  de</w:t>
        <w:br/>
        <w:t>febrero de 2005, folios 780-783); testimonios notariales de los  poderes  de</w:t>
        <w:br/>
        <w:t>representación ante la Comisión y Corte  Interamericanas  otorgados  por  79</w:t>
        <w:br/>
        <w:t>presuntas víctimas a favor de abogados de CENIDH y CEJIL (sobre  excepciones</w:t>
        <w:br/>
        <w:t>preliminares, fondo  y  reparaciones,  tomo  III,  anexo  I  al  escrito  de</w:t>
        <w:br/>
        <w:t>alegatos finales de los representantes 11 de abril  de  2005,  folios  1484-</w:t>
        <w:br/>
        <w:t>1614);  facturas  y  recibos  presentados  como  respaldo  de   los   gastos</w:t>
        <w:br/>
        <w:t>realizados  por  YATAMA,  CENIDH  y  CEJIL  (expediente  sobre   excepciones</w:t>
        <w:br/>
        <w:t>preliminares, fondo y reparaciones, tomo V, anexos a  los  alegatos  finales</w:t>
        <w:br/>
        <w:t>escritos de los representantes de 17 de febrero  de  2005,  anexos  4  y  5,</w:t>
        <w:br/>
        <w:t>folios 1647 a 1686).</w:t>
        <w:br/>
        <w:br/>
        <w:t>[134]  En  cuanto  a  las  personas  propuestas  para  ser  inscritas   como</w:t>
        <w:br/>
        <w:t>candidatos en la RAAS, la Corte nota que en la constancia emitida  el  3  de</w:t>
        <w:br/>
        <w:t>mayo de 2005 por el Director de Atención a Partidos  Políticos  del  Consejo</w:t>
        <w:br/>
        <w:t>Supremo Electoral respecto de la RAAS (supra párr. 49),  se  encuentran  los</w:t>
        <w:br/>
        <w:t>nombres de quienes fueron propuestos por la alianza de los  partidos  PPC  y</w:t>
        <w:br/>
        <w:t>YATAMA, sin que sea posible distinguir quiénes pertenecían  a  cada  uno  de</w:t>
        <w:br/>
        <w:t>dichos partidos.  Aunque la Comisión no incluyó como hecho violatorio de  la</w:t>
        <w:br/>
        <w:t>Convención la forma como  fueron  excluidos  de  participar  el  PPC  y  sus</w:t>
        <w:br/>
        <w:t>candidatos en las elecciones municipales de 2000, sí incluyó como  presuntas</w:t>
        <w:br/>
        <w:t>víctimas a todas las personas que fueron propuestas por la  alianza  y  que,</w:t>
        <w:br/>
        <w:t>posteriormente, al ser excluido el PPC, YATAMA solicitó al  Consejo  Supremo</w:t>
        <w:br/>
        <w:t>Electoral que fueron tomados como candidatos de YATAMA.</w:t>
        <w:br/>
        <w:br/>
        <w:t>[135]       Cfr. Caso Tibi. Sentencia de 7 de septiembre de  2004.  Serie  C</w:t>
        <w:br/>
        <w:t>No. 114, párr. 83; Caso “Instituto de Reeducación del Menor”.  Sentencia  de</w:t>
        <w:br/>
        <w:t>2 de septiembre de 2004. Serie C No. 112, párr. 93; y Caso 19  Comerciantes,</w:t>
        <w:br/>
        <w:t>supra nota 5, párr. 77.</w:t>
        <w:br/>
        <w:br/>
        <w:t>[136]       Cfr. Caso Tibi, supra nota 135, párr. 83; Caso 19  Comerciantes,</w:t>
        <w:br/>
        <w:t>supra nota 5, párr. 77; y Caso Juan Humberto Sánchez. Interpretación  de  la</w:t>
        <w:br/>
        <w:t>Sentencia sobre Excepciones Preliminares, Fondo  y  Reparaciones.  (art.  67</w:t>
        <w:br/>
        <w:t>Convención Americana sobre Derechos Humanos). Sentencia de 26  de  noviembre</w:t>
        <w:br/>
        <w:t>de 2003. Serie C No. 102, párr. 47.</w:t>
        <w:br/>
        <w:br/>
        <w:t>[137]       La Corte ha notado que hay 20 personas que fueron  incluidas  en</w:t>
        <w:br/>
        <w:t>sus listas por los representantes, pero cuyos  nombres  no  aparecen  en  la</w:t>
        <w:br/>
        <w:t>demanda ni en las listas oficiales del Estado. Al explicar esta  diferencia,</w:t>
        <w:br/>
        <w:t>los representantes indicaron, en su escrito de  13  de  mayo  de  2005,  que</w:t>
        <w:br/>
        <w:t>posteriormente a la “disolución de la  alianza  PPC/YATAMA”  solicitaron  la</w:t>
        <w:br/>
        <w:t>inscripción de tales personas como candidatos y solicitaron a la  Corte  que</w:t>
        <w:br/>
        <w:t>sean tenidos como presuntas víctimas.   La  Corte  no  considerará  a  tales</w:t>
        <w:br/>
        <w:t>personas como presuntas víctimas pues no consta su  presentación  en  ningún</w:t>
        <w:br/>
        <w:t>documento oficial, no fueron  incluidos  en  la  lista  presentada  por  los</w:t>
        <w:br/>
        <w:t>peticionarios en el trámite ante la  Comisión  ni  fueron  incluidos  en  la</w:t>
        <w:br/>
        <w:t>demanda por la Comisión, de forma tal que el Estado no tuvo  la  posibilidad</w:t>
        <w:br/>
        <w:t>de conocer al respecto.</w:t>
        <w:br/>
        <w:br/>
        <w:t>[138]        En   el   escrito   de   aclaraciones   y   explicaciones   los</w:t>
        <w:br/>
        <w:t>representantes reconocieron que dos personas que habían sido incluidas  como</w:t>
        <w:br/>
        <w:t>presuntas víctimas en su lista final de candidatos de la RAAN,  habían  sido</w:t>
        <w:br/>
        <w:t>sustituidos,  por  lo  que  no  serían  candidatos  propuestos  por  YATAMA.</w:t>
        <w:br/>
        <w:t>Asimismo, los representantes reconocieron que incluyeron a  cuatro  personas</w:t>
        <w:br/>
        <w:t>en sus listas de candidatos de la RAAS que deberían  ser  considerados  como</w:t>
        <w:br/>
        <w:t>“víctima[s] en su calidad de elector[es]” y no como candidatos.</w:t>
        <w:br/>
        <w:t>[139]       La Corte observa que en la lista  de  la  demanda  aparece  como</w:t>
        <w:br/>
        <w:t>presunta  víctima  la  señora  “Catalina  Hamphuys”,  en   el   escrito   de</w:t>
        <w:br/>
        <w:t>solicitudes y argumentos aparece como presunta víctima  una  señora  con  el</w:t>
        <w:br/>
        <w:t>nombre de “Clarinda Catalina Hamphys  Moses”,  en  la  lista  final  de  los</w:t>
        <w:br/>
        <w:t>representantes  aparecen  ambos  nombres  como  si   fueran   dos   personas</w:t>
        <w:br/>
        <w:t>distintas, es decir,  tanto  “Catalina  Hamphuys”  como  “Clarinda  Catalina</w:t>
        <w:br/>
        <w:t>Hamphys  Moses”.   Ante  la  Corte  los   representantes   presentaron   dos</w:t>
        <w:br/>
        <w:t>testimonios notariales  de  poderes  otorgados  por  las  señoras  “Catalina</w:t>
        <w:br/>
        <w:t>Hamphuys”  y  “Clarinda  Catalina  Hamphys  Moses”.  Sin  embargo,   en   la</w:t>
        <w:br/>
        <w:t>constancia emitida el 3 de mayo de 2005 por el Director General de  Atención</w:t>
        <w:br/>
        <w:t>a Partidos Políticos del Consejo  Supremo  Electoral  respecto  de  la  RAAS</w:t>
        <w:br/>
        <w:t>(supra párr. 49) solamente aparece  la  señora  “Clarinda  Catalina  Hamphys</w:t>
        <w:br/>
        <w:t>Moses”.  La Corte tomará como presunta víctima a la persona que  tenga  este</w:t>
        <w:br/>
        <w:t>último nombre, ya que es  el  nombre  que  se  encuentra  consignado  en  la</w:t>
        <w:br/>
        <w:t>referida constancia emitida por el Director General de Atención  a  Partidos</w:t>
        <w:br/>
        <w:t>Políticos del Consejo Supremo Electoral respecto de la  RAAS,  la  cual  fue</w:t>
        <w:br/>
        <w:t>transmitida a los representantes y a la Comisión, y se les solicitó  que  al</w:t>
        <w:br/>
        <w:t>presentar sus observaciones también incluyeran  una  explicación  sobre  las</w:t>
        <w:br/>
        <w:t>diferencias que pudieran surgir de la comparación de  las  distintas  listas</w:t>
        <w:br/>
        <w:t>de presuntas víctimas en la RAAS con  la  lista  presentada  por  el  Estado</w:t>
        <w:br/>
        <w:t>dentro de dicha certificación,  y  ni  la  Comisión  ni  los  representantes</w:t>
        <w:br/>
        <w:t>dieron explicación alguna respecto de que en dicha  certificación  solamente</w:t>
        <w:br/>
        <w:t>se encontraba el nombre de “Clarinda Catalina Hamphys Moses”.</w:t>
        <w:br/>
        <w:br/>
        <w:t>[140]       En  cuanto  al  señor  William  Martin,  cuya  inscripción  como</w:t>
        <w:br/>
        <w:t>candidato habría  sido  solicitada  con  posterioridad  a  la  decisión  del</w:t>
        <w:br/>
        <w:t>Consejo Supremo Electoral que excluyó al PPC, según  lo  expresado  por  los</w:t>
        <w:br/>
        <w:t>representantes, quien no aparece en la constancia emitida el 3  de  mayo  de</w:t>
        <w:br/>
        <w:t>2005 por el Director de Atención a Partidos Políticos  del  Consejo  Supremo</w:t>
        <w:br/>
        <w:t>Electoral respecto de la RAAS (supra párr.  49),  la  Corte  lo  considerará</w:t>
        <w:br/>
        <w:t>como presunta víctima debido a que se encuentra en la lista  de  la  demanda</w:t>
        <w:br/>
        <w:t>presentada por la Comisión y en la lista que los  peticionarios  presentaron</w:t>
        <w:br/>
        <w:t>en el procedimiento ante dicho órgano, la cual consta en el anexo  6  de  la</w:t>
        <w:br/>
        <w:t>demanda.</w:t>
        <w:br/>
        <w:br/>
        <w:t>[141]       Cfr. Caso Ivcher Bronstein. Sentencia de 6 de febrero  de  2001.</w:t>
        <w:br/>
        <w:t>Serie C No. 74, párr. 102; Caso Baena Ricardo y otros.  Sentencia  de  2  de</w:t>
        <w:br/>
        <w:t>febrero  de  2001.  Serie  C  No.  72,  párr.   124;   Caso   del   Tribunal</w:t>
        <w:br/>
        <w:t>Constitucional. Sentencia de 31 de enero de 2001. Serie C No. 71, párr.  69;</w:t>
        <w:br/>
        <w:t>y Garantías Judiciales  en  Estados  de  Emergencia  (arts.  27.2,  25  y  8</w:t>
        <w:br/>
        <w:t>Convención Americana sobre Derechos  Humanos).  Opinión  Consultiva  OC-9/87</w:t>
        <w:br/>
        <w:t>del 6 de octubre de 1987. Serie A No. 9, párr. 27.</w:t>
        <w:br/>
        <w:br/>
        <w:t>[142]       Cfr. Caso Ivcher Bronstein, supra nota 141, párr.  104;  y  Caso</w:t>
        <w:br/>
        <w:t>del Tribunal Constitucional, supra nota 141, párr. 71.</w:t>
        <w:br/>
        <w:br/>
        <w:t>[143]       Cfr. Caso Ivcher Bronstein, supra nota 141, párr.  105;  y  Caso</w:t>
        <w:br/>
        <w:t>del Tribunal Constitucional, supra nota 141, párr. 71.</w:t>
        <w:br/>
        <w:br/>
        <w:t>[144]       Cfr. García Ruiz v. Spain [GC], no. 30544/96, § 26,  ECHR  1999-</w:t>
        <w:br/>
        <w:t>I; y Eur. Court H.R., Case of H. v. Belgium, Judgment of 30  November  1987,</w:t>
        <w:br/>
        <w:t>Series A no. 127-B, para. 53.</w:t>
        <w:br/>
        <w:br/>
        <w:t>[145]        Cfr.  Caso  Tibi,  supra  nota  135,  párr.  130;  Caso  “Cinco</w:t>
        <w:br/>
        <w:t>Pensionistas”. Sentencia de 28 de febrero de 2003. Serie  C  No.  98,  párr.</w:t>
        <w:br/>
        <w:t>126; y Caso del Tribunal Constitucional, supra nota 141, párr. 89.</w:t>
        <w:br/>
        <w:br/>
        <w:t>[146]       Cfr.  Caso  Tibi,  supra  nota  135,  párr.  130;  Caso  Cantos.</w:t>
        <w:br/>
        <w:t>Sentencia de 28 de noviembre de 2002. Serie C No. 97, párr. 52; Caso  de  la</w:t>
        <w:br/>
        <w:t>Comunidad Mayagna (Sumo) Awas Tingni. Sentencia de 31  de  agosto  de  2001.</w:t>
        <w:br/>
        <w:t>Serie C No. 79, párr. 111; y Garantías Judiciales en Estados de  Emergencia,</w:t>
        <w:br/>
        <w:t>supra nota 141, párr. 23.</w:t>
        <w:br/>
        <w:br/>
        <w:t>[147]       Cfr. Caso de la Comunidad  Mayagna  (Sumo)  Awas  Tingni,  supra</w:t>
        <w:br/>
        <w:t>nota 146, párr. 113; Caso Ivcher Bronstein, supra nota  141,  párr.  136;  y</w:t>
        <w:br/>
        <w:t>Caso del Tribunal Constitucional, supra nota 141, párr. 89.</w:t>
        <w:br/>
        <w:br/>
        <w:t>[148]       Cfr.  Caso  Tibi,  supra  nota  135,  párr.  131;  Caso  Maritza</w:t>
        <w:br/>
        <w:t>Urrutia. Sentencia de 27 de noviembre de 2003. Serie C No. 103,  párr.  117;</w:t>
        <w:br/>
        <w:t>y Caso Juan Humberto Sánchez. Sentencia de 7 de junio de 2003. Serie  C  No.</w:t>
        <w:br/>
        <w:t>99, párr. 121.</w:t>
        <w:br/>
        <w:br/>
        <w:t>[149]       Cfr. Caso de las Hermanas Serrano Cruz,  supra  nota  10,  párr.</w:t>
        <w:br/>
        <w:t>75; Caso Tibi, supra nota 135, párr. 131;  y  Caso  19  Comerciantes,  supra</w:t>
        <w:br/>
        <w:t>nota 5, párr. 193.</w:t>
        <w:br/>
        <w:br/>
        <w:t>[150]       Cfr. Caso Caesar, supra nota 11, párr. 91;  Caso  Lori  Berenson</w:t>
        <w:br/>
        <w:t>Mejía, supra nota 11, párr. 219; Caso “Instituto de Reeducación del  Menor”,</w:t>
        <w:br/>
        <w:t>supra nota 135, párr. 206; y Condición Jurídica y Derechos de los  Migrantes</w:t>
        <w:br/>
        <w:t>Indocumentados. Opinión Consultiva OC-18/03 de 17 de  septiembre   de  2003.</w:t>
        <w:br/>
        <w:t>Serie A No. 18, párr. 78.</w:t>
        <w:br/>
        <w:br/>
        <w:t>[151]       Cfr. Caso Lori Berenson Mejía, supra nota 11,  párr.  220;  Caso</w:t>
        <w:br/>
        <w:t>“Instituto de Reeducación del Menor”, supra nota  135,  párr.  205;  y  Caso</w:t>
        <w:br/>
        <w:t>Bulacio. Sentencia de 18 de septiembre de 2003. Serie C No. 100, párr. 142.</w:t>
        <w:br/>
        <w:br/>
        <w:t>[152]       El Estado no presentó  alegatos  independientes  para  referirse</w:t>
        <w:br/>
        <w:t>específicamente a la alegada violación del artículo 23 de la Convención.</w:t>
        <w:br/>
        <w:br/>
        <w:t>[153]       Cfr. Caso De la Cruz Flores, supra  nota  15,  párr.  122;  Caso</w:t>
        <w:br/>
        <w:t>“Instituto de Reeducación del Menor”, supra nota 135, párr. 125; y  Caso  de</w:t>
        <w:br/>
        <w:t>los Hermanos Gómez Paquiyauri, supra nota 10, párr. 179.</w:t>
        <w:br/>
        <w:br/>
        <w:t>[154]       Algunos de estos instrumentos internacionales son: Carta  de  la</w:t>
        <w:br/>
        <w:t>OEA (artículo 3.l); Convención Americana sobre Derechos  Humanos  (artículos</w:t>
        <w:br/>
        <w:t>1 y 24);  Declaración  Americana  de  los  Derechos  y  Deberes  del  Hombre</w:t>
        <w:br/>
        <w:t>(artículo II); Protocolo Adicional a la Convención Americana sobre  Derechos</w:t>
        <w:br/>
        <w:t>Humanos  en  Materia  de  Derechos  Económicos,   Sociales   y   Culturales,</w:t>
        <w:br/>
        <w:t>“Protocolo de San Salvador” (artículo  3);  Convención  Interamericana  para</w:t>
        <w:br/>
        <w:t>Prevenir, Sancionar y Erradicar la  Violencia  contra  la  Mujer  (artículos</w:t>
        <w:br/>
        <w:t>4.f, 6 y 8.b); Convención Interamericana para la Eliminación  de  Todas  las</w:t>
        <w:br/>
        <w:t>Formas de Discriminación contra las  Personas  con  Discapacidad  (artículos</w:t>
        <w:br/>
        <w:t>I.2.a, II, III, IV y V);  Carta  de  las  Naciones  Unidas  (artículo  1.3);</w:t>
        <w:br/>
        <w:t>Declaración  Universal  de  Derechos  Humanos  (artículos  2  y  7);   Pacto</w:t>
        <w:br/>
        <w:t>Internacional de Derechos Económicos, Sociales y Culturales  (artículos  2.2</w:t>
        <w:br/>
        <w:t>y 3); Pacto Internacional de Derechos Civiles y Políticos (artículos  2.1  y</w:t>
        <w:br/>
        <w:t>26); Convención Internacional sobre la Eliminación de todas  las  Formas  de</w:t>
        <w:br/>
        <w:t>Discriminación Racial (artículo 2); Convención sobre los Derechos  del  Niño</w:t>
        <w:br/>
        <w:t>(artículo  2);  Declaración  de  los  Derechos  del  Niño   (Principio   1);</w:t>
        <w:br/>
        <w:t>Convención Internacional sobre la Protección de los Derechos  de  Todos  los</w:t>
        <w:br/>
        <w:t>Trabajadores Migratorios y de sus Familiares (artículos 1.1,  7,  18.1,  25,</w:t>
        <w:br/>
        <w:t>27, 28, 43.1, 43.2, 45.1, 48, 55 y 70); Convención sobre la  Eliminación  de</w:t>
        <w:br/>
        <w:t>Todas las Formas de Discriminación contra la Mujer (artículos 2, 3, 5,  7  a</w:t>
        <w:br/>
        <w:t>16); Declaración sobre la Eliminación de Todas las Formas de Intolerancia  y</w:t>
        <w:br/>
        <w:t>Discriminación Fundadas en la Religión o las  Convicciones  (artículos  2  y</w:t>
        <w:br/>
        <w:t>4); Declaración de la Organización Internacional del Trabajo (OIT)  relativa</w:t>
        <w:br/>
        <w:t>a los Principios y Derechos Fundamentales en el  Trabajo  y  su  Seguimiento</w:t>
        <w:br/>
        <w:t>(2.d); Convenio No. 97 de la Organización Internacional  del  Trabajo  (OIT)</w:t>
        <w:br/>
        <w:t>sobre los Trabajadores Migrantes (revisado) (artículo 6); Convenio  No.  111</w:t>
        <w:br/>
        <w:t>de  la  Organización  Internacional  del  Trabajo  (OIT)   relativo   a   la</w:t>
        <w:br/>
        <w:t>Discriminación en Materia de Empleo y Ocupación (artículos 1 a 3);  Convenio</w:t>
        <w:br/>
        <w:t>No. 143 de  la  Organización  Internacional  del  Trabajo  (OIT)  sobre  los</w:t>
        <w:br/>
        <w:t>Trabajadores Migrantes (disposiciones complementarias) (artículos 8  y  10);</w:t>
        <w:br/>
        <w:t>Convenio No. 168 de la Organización Internacional del  Trabajo  (OIT)  sobre</w:t>
        <w:br/>
        <w:t>el Fomento del Empleo y la Protección  contra  el  Desempleo  (artículo  6);</w:t>
        <w:br/>
        <w:t>Proclamación de Teherán, Conferencia Internacional de  Derechos  Humanos  de</w:t>
        <w:br/>
        <w:t>Teherán, 13 de mayo de 1968  (párrs.  1,  2,  5,  8  y  11);  Declaración  y</w:t>
        <w:br/>
        <w:t>Programa de Acción de Viena, Conferencia Mundial de Derechos Humanos,  14  a</w:t>
        <w:br/>
        <w:t>25 de junio de 1993 (I.15; I.19; I.27; I.30;  II.B.1,  artículos  19  a  24;</w:t>
        <w:br/>
        <w:t>II.B.2, artículos 25 a 27); Declaración sobre los Derechos de  las  Personas</w:t>
        <w:br/>
        <w:t>Pertenecientes a Minorías Nacionales o Étnicas,  Religiosas  y  Lingüísticas</w:t>
        <w:br/>
        <w:t>(artículos 2, 3, 4.1  y  5);  Conferencia  Mundial  contra  el  Racismo,  la</w:t>
        <w:br/>
        <w:t>Discriminación Racial, la Xenofobia y las Formas  Conexas  de  Intolerancia,</w:t>
        <w:br/>
        <w:t>Declaración y Programa de Acción, (párrafos de la Declaración: 1, 2,  7,  9,</w:t>
        <w:br/>
        <w:t>10, 16, 25, 38, 47, 48, 51, 66  y  104);  Convención  Relativa  a  la  Lucha</w:t>
        <w:br/>
        <w:t>contra las Discriminaciones en la Esfera de la Enseñanza (artículos 1,  3  y</w:t>
        <w:br/>
        <w:t>4); Declaración sobre la Raza y los Prejuicios Raciales (artículos 1, 2,  3,</w:t>
        <w:br/>
        <w:t>4, 5, 6,  7,  8  y  9);  Declaración  sobre  los  Derechos  Humanos  de  los</w:t>
        <w:br/>
        <w:t>Individuos que no son Nacionales de País en  que  Viven  (artículo  5.1.b  y</w:t>
        <w:br/>
        <w:t>5.1.c); Carta de los Derechos Fundamentales de la Unión  Europea  (artículos</w:t>
        <w:br/>
        <w:t>20 y 21); Convenio Europeo para la Protección de los Derechos Humanos  y  de</w:t>
        <w:br/>
        <w:t>las Libertades Fundamentales (artículo 14); Carta Social  Europea  (artículo</w:t>
        <w:br/>
        <w:t>19.4, 19.5 y 19.7); Protocolo No.12 al Convenio Europeo para  la  Protección</w:t>
        <w:br/>
        <w:t>de los Derechos Humanos y de  las  Libertades  Fundamentales  (artículo  1);</w:t>
        <w:br/>
        <w:t>Carta Africana de los Derechos Humanos y de los Pueblos  “Carta  de  Banjul”</w:t>
        <w:br/>
        <w:t>(artículos 2 y 3); Carta  Árabe  sobre  Derechos  Humanos  (artículo  2);  y</w:t>
        <w:br/>
        <w:t>Declaración de El Cairo sobre Derechos Humanos en el Islam (artículo 1).</w:t>
        <w:br/>
        <w:br/>
        <w:t>[155]        Cfr.  Condición  Jurídica   y   Derechos   de   los   Migrantes</w:t>
        <w:br/>
        <w:t>Indocumentados, supra nota 150, párr. 101.</w:t>
        <w:br/>
        <w:br/>
        <w:t>[156]        Cfr.  Condición  Jurídica   y   Derechos   de   los   Migrantes</w:t>
        <w:br/>
        <w:t>Indocumentados, supra nota 150, párr.  88;  Condición  Jurídica  y  Derechos</w:t>
        <w:br/>
        <w:t>Humanos del Niño. Opinión Consultiva OC-17/02  de  28  de  agosto  de  2002.</w:t>
        <w:br/>
        <w:t>Serie A No. 17, párr. 44; y Propuesta  de  Modificación  a  la  Constitución</w:t>
        <w:br/>
        <w:t>Política  de  Costa  Rica  Relacionada  con   la   Naturalización.   Opinión</w:t>
        <w:br/>
        <w:t>Consultiva OC-4/84 del 19 de enero de 1984. Serie A No. 4, párr. 54.</w:t>
        <w:br/>
        <w:br/>
        <w:t>[157]        Cfr.  Condición  Jurídica   y   Derechos   de   los   Migrantes</w:t>
        <w:br/>
        <w:t>Indocumentados, supra nota 150, párr.  89;  Condición  jurídica  y  derechos</w:t>
        <w:br/>
        <w:t>humanos del niño, supra nota 156, párr. 46; y Propuesta  de  Modificación  a</w:t>
        <w:br/>
        <w:t>la Constitución Política de Costa Rica Relacionada  con  la  Naturalización,</w:t>
        <w:br/>
        <w:t>supra nota 156, párr. 56. Cfr. también Eur. Court H.R., Case  of  Willis  v.</w:t>
        <w:br/>
        <w:t>The United Kingdom, Jugdment of 11 June 2002, para.  39;  Eur.  Court  H.R.,</w:t>
        <w:br/>
        <w:t>Case of Wessels-Bergervoet v. The Netherlands, Jugdment of  4th  June  2002,</w:t>
        <w:br/>
        <w:t>para. 46; Eur. Court H.R., Case of Petrovic v.  Austria,  Judgment  of  27th</w:t>
        <w:br/>
        <w:t>March 1998,  Reports  1998-II,  para.  30;  y  O.N.U.,  Comité  de  Derechos</w:t>
        <w:br/>
        <w:t>Humanos, Joseph Frank Adam c. República checa, (586/1994),  dictamen  de  25</w:t>
        <w:br/>
        <w:t>de julio de 1996, párr. 12.4.</w:t>
        <w:br/>
        <w:br/>
        <w:t>[158]       Cfr. Caso Caesar, supra nota 11, párr. 91;  Caso  Lori  Berenson</w:t>
        <w:br/>
        <w:t>Mejía, supra nota 11, párr. 219; Caso “Instituto de Reeducación del  Menor”,</w:t>
        <w:br/>
        <w:t>supra nota 135, párr. 206; y Condición Jurídica y Derechos de los  Migrantes</w:t>
        <w:br/>
        <w:t>Indocumentados, supra nota 150, párr. 78.</w:t>
        <w:br/>
        <w:br/>
        <w:t>[159]       Cfr. Condición Jurídica y Derechos Humanos del Niño, supra  nota</w:t>
        <w:br/>
        <w:t>156, párr.  92;  Ciertas  Atribuciones  de  la  Comisión  Interamericana  de</w:t>
        <w:br/>
        <w:t>Derechos Humanos (arts. 41, 42, 44, 46, 47, 50  y  51  Convención  Americana</w:t>
        <w:br/>
        <w:t>sobre Derechos Humanos). Opinión Consultiva OC-13/93  del  16  de  julio  de</w:t>
        <w:br/>
        <w:t>1993. Serie  A  No.  13,  párr.  31;  Garantías  Judiciales  en  Estados  de</w:t>
        <w:br/>
        <w:t>Emergencia, supra nota 141, párr. 35; y El Hábeas Corpus Bajo Suspensión  de</w:t>
        <w:br/>
        <w:t>Garantías (arts. 27.2,  25.1  y  7.6  Convención  Americana  sobre  Derechos</w:t>
        <w:br/>
        <w:t>Humanos). Opinión Consultiva OC-8/87 del 30 de enero de 1987.  Serie  A  No.</w:t>
        <w:br/>
        <w:t>8, párr. 26.</w:t>
        <w:br/>
        <w:br/>
        <w:t>[160]       Cfr. La Expresión "Leyes" en el Artículo  30  de  la  Convención</w:t>
        <w:br/>
        <w:t>Americana sobre Derechos Humanos. Opinión Consultiva OC-6/86 del 9  de  mayo</w:t>
        <w:br/>
        <w:t>de 1986. Serie A No. 6, párr. 34.</w:t>
        <w:br/>
        <w:br/>
        <w:t>[161]       Cfr. La Expresión "Leyes" en el Artículo  30  de  la  Convención</w:t>
        <w:br/>
        <w:t>Americana sobre Derechos Humanos, supra nota 160, párr. 34.</w:t>
        <w:br/>
        <w:br/>
        <w:t>[162]        Algunos  de  estos  instrumentos  internacionales  son:   Carta</w:t>
        <w:br/>
        <w:t>Democrática Interamericana (artículos 2, 3 y 6); Convención Americana  sobre</w:t>
        <w:br/>
        <w:t>Derechos Humanos (artículo 23); Declaración  Americana  de  los  Derechos  y</w:t>
        <w:br/>
        <w:t>Deberes del Hombre (artículo XX); Declaración Universal de Derechos  Humanos</w:t>
        <w:br/>
        <w:t>(artículo  21);  Pacto  Internacional  de  Derechos  Civiles   y   Políticos</w:t>
        <w:br/>
        <w:t>(artículo 25); Convención Internacional sobre la Eliminación  de  todas  las</w:t>
        <w:br/>
        <w:t>Formas de Discriminación Racial  (artículo  5.c);  Convención  Internacional</w:t>
        <w:br/>
        <w:t>sobre la Protección de los Derechos de Todos los Trabajadores Migratorios  y</w:t>
        <w:br/>
        <w:t>de sus Familiares (artículo 42); Convención sobre la  Eliminación  de  Todas</w:t>
        <w:br/>
        <w:t>las Formas de Discriminación contra la Mujer (artículo 7); Convención  sobre</w:t>
        <w:br/>
        <w:t>los Derechos Políticos de la Mujer (artículos I, II y III);  Declaración  de</w:t>
        <w:br/>
        <w:t>las  Naciones  Unidas  sobre  la  Eliminación  de  Todas   las   Formas   de</w:t>
        <w:br/>
        <w:t>Discriminación Racial (artículo 6); Declaración sobre los  Derechos  de  las</w:t>
        <w:br/>
        <w:t>Personas Pertenecientes  a  Minorías  Nacionales  o  Étnicas,  Religiosas  y</w:t>
        <w:br/>
        <w:t>Lingüísticas (artículos  2  y  3);  Convenio  No.  169  de  la  Organización</w:t>
        <w:br/>
        <w:t>Internacional  del  Trabajo  (OIT)  sobre  Pueblos  Indígenas   y   Tribales</w:t>
        <w:br/>
        <w:t>(artículo  6);  Proclamación  de  Teherán,  Conferencia   Internacional   de</w:t>
        <w:br/>
        <w:t>Derechos Humanos de Teherán, 13 de mayo de 1968  (párr.  5);  Declaración  y</w:t>
        <w:br/>
        <w:t>Programa de Acción de Viena, Conferencia Mundial de Derechos Humanos,  14  a</w:t>
        <w:br/>
        <w:t>25 de junio de 1993  (I.8,  I.18,  I.20,  II.B.2.27);  Protocolo  No.  1  al</w:t>
        <w:br/>
        <w:t>Convenio Europeo para la  Protección  de  los  Derechos  Humanos  y  de  las</w:t>
        <w:br/>
        <w:t>Libertades Fundamentales (artículo 3); y  Carta  Africana  de  los  Derechos</w:t>
        <w:br/>
        <w:t>Humanos y de los Pueblos “Carta de Banjul” (artículo 13).</w:t>
        <w:br/>
        <w:br/>
        <w:t>[163]       Carta Democrática Interamericana. Aprobada en la primera  sesión</w:t>
        <w:br/>
        <w:t>plenaria de la Asamblea General de la OEA, celebrada el 11 de septiembre  de</w:t>
        <w:br/>
        <w:t>2001, artículo 3.</w:t>
        <w:br/>
        <w:br/>
        <w:t>[164] Establece que  “[l]os  ciudadanos  tienen  derecho  de  participar  en</w:t>
        <w:br/>
        <w:t>igualdad de condiciones en [los] asuntos públicos y en la  gestión  estatal.</w:t>
        <w:br/>
        <w:t>Por medio de la ley se garantizará, nacional y localmente, la  participación</w:t>
        <w:br/>
        <w:t>efectiva del pueblo”.</w:t>
        <w:br/>
        <w:br/>
        <w:t>[165]        Cfr.  Condición  Jurídica   y   Derechos   de   los   Migrantes</w:t>
        <w:br/>
        <w:t>Indocumentados, supra nota 150, párr. 89; y Condición  Jurídica  y  Derechos</w:t>
        <w:br/>
        <w:t>Humanos del Niño, supra nota 156, párr. 46.</w:t>
        <w:br/>
        <w:br/>
        <w:t>[166]       Desarrollo humano en  la  Costa  Caribe  de  Nicaragua.  Informe</w:t>
        <w:br/>
        <w:t>elaborado por el Programa  Nacional  de  Asesoría  para  la  Formulación  de</w:t>
        <w:br/>
        <w:t>Políticas con apoyo del Consejo Nacional de Planificación  Económica  Social</w:t>
        <w:br/>
        <w:t>(CONPES). En este estudio se indica que:  según  el  Instituto  Nacional  de</w:t>
        <w:br/>
        <w:t>Estadísticas y Censos de Nicaragua  (INEC)  “entre  los  25  municipios  más</w:t>
        <w:br/>
        <w:t>pobres  de  Nicaragua,  12  corresponden  a  municipios  de   las   regiones</w:t>
        <w:br/>
        <w:t>autónomas”; “[u]na de las principales brechas de equidad a  destacar  en  la</w:t>
        <w:br/>
        <w:t>Costa Caribe es la baja dotación  de  infraestructura  que  existe  en  esta</w:t>
        <w:br/>
        <w:t>región del país[, lo  cual]  coloca  a  la  población  en  una  posición  de</w:t>
        <w:br/>
        <w:t>desventaja con relación a su capacidad de acceso a los servicios  y  mayores</w:t>
        <w:br/>
        <w:t>dificultades para el transporte y la  comunicación”;  y  “[s]egún  datos  de</w:t>
        <w:br/>
        <w:t>1999 la Costa Caribe, con el 46% del territorio nacional[,] solo cuenta  con</w:t>
        <w:br/>
        <w:t>el 8.26% de las vías de acceso”. Asimismo,  el  perito  Rodolfo  Stavenhagen</w:t>
        <w:br/>
        <w:t>Gruenbaum, cuyo dictamen fue incorporado al acervo probatorio de  este  caso</w:t>
        <w:br/>
        <w:t>(supra párr. 123),  indicó  que  “los  pueblos  de  la  Costa  Atlántica  de</w:t>
        <w:br/>
        <w:t>Nicaragua […] han estado tradicionalmente marginados  del  poder  central  y</w:t>
        <w:br/>
        <w:t>vinculados a algunos intereses de tipo económico o internacional,  pero  muy</w:t>
        <w:br/>
        <w:t>concientes de su identidad cultural, de su  autopercepción  social,  al  ser</w:t>
        <w:br/>
        <w:t>grupos sociales con una continuidad histórica, vinculación  con  la  tierra,</w:t>
        <w:br/>
        <w:t>actividades de tipo económicas y formas de organización propias que los  han</w:t>
        <w:br/>
        <w:t>distinguido del resto de la población de Nicaragua”.</w:t>
        <w:br/>
        <w:br/>
        <w:t>[167]       “El Estado reconoce la existencia de los pueblos indígenas,  que</w:t>
        <w:br/>
        <w:t>gozan de los derechos, deberes y garantías consignados en la Constitución  y</w:t>
        <w:br/>
        <w:t>en especial los de mantener y desarrollar su identidad y cultura, tener  sus</w:t>
        <w:br/>
        <w:t>propias formas de organización social y administrar sus asuntos locales[.]”</w:t>
        <w:br/>
        <w:br/>
        <w:t>[168] “En Nicaragua tienen derecho de  constituir  organizaciones  […],  las</w:t>
        <w:br/>
        <w:t>comunidades  de  la  Costa  Atlántica  y  los  pobladores  en  general,  sin</w:t>
        <w:br/>
        <w:t>discriminación  alguna,  con  el  fin  de  lograr  la  realización  de   sus</w:t>
        <w:br/>
        <w:t>aspiraciones según sus propios intereses y participar en la construcción  de</w:t>
        <w:br/>
        <w:t>una nueva sociedad.</w:t>
        <w:br/>
        <w:br/>
        <w:t>Estas organizaciones se formarán de acuerdo a la  voluntad  participativa  y</w:t>
        <w:br/>
        <w:t>electiva de los ciudadanos, tendrán una función social y podrán o  no  tener</w:t>
        <w:br/>
        <w:t>carácter partidario, según su naturaleza y fines.”</w:t>
        <w:br/>
        <w:br/>
        <w:t>[169]       “Las comunidades de la Costa  Atlántica  tienen  el  derecho  de</w:t>
        <w:br/>
        <w:t>preservar y  desarrollar  su  identidad  cultural  en  la  unidad  nacional;</w:t>
        <w:br/>
        <w:t>dotarse de sus propias formas  de  organización  social  y  administrar  sus</w:t>
        <w:br/>
        <w:t>asuntos locales conforme a sus tradiciones.”</w:t>
        <w:br/>
        <w:br/>
        <w:t>[170]  “Las comunidades de la Costa Atlántica tienen el derecho de  vivir  y</w:t>
        <w:br/>
        <w:t>desarrollarse bajo las formas de organización social que corresponden a  sus</w:t>
        <w:br/>
        <w:t>tradiciones históricas y culturales.”</w:t>
        <w:br/>
        <w:br/>
        <w:t>[171]       “Los habitantes de las Comunidades de  la  Costa  Atla[pic]ntica</w:t>
        <w:br/>
        <w:t>tienen derecho a   [e]legir  y  ser  elegidos  autoridades  propias  de  las</w:t>
        <w:br/>
        <w:t>Regiones Auto[pic]nomas .</w:t>
        <w:br/>
        <w:br/>
        <w:t>[172]       lántica tienen derecho a “[e]legir y  ser  elegidos  autoridades</w:t>
        <w:br/>
        <w:t>propias de las Regiones Autónomas”.</w:t>
        <w:br/>
        <w:br/>
        <w:t>[173]       Cfr. Case of Hirst v. the United Kingdom (no. 2), no. 74025/01,</w:t>
        <w:br/>
        <w:t>§ 36, ECHR-2004.</w:t>
        <w:br/>
        <w:br/>
        <w:t>[174]       Cfr. Caso Ricardo Canese, supra nota 5, párrs. 96  y  133;  Caso</w:t>
        <w:br/>
        <w:t>Herrera Ulloa. Sentencia de 2 de julio de 2004. Serie C No. 107, párrs.  121</w:t>
        <w:br/>
        <w:t>y  123;  y  La  colegiación  obligatoria  de  periodistas  (arts.  13  y  29</w:t>
        <w:br/>
        <w:t>Convención Americana sobre Derechos  Humanos).  Opinión  Consultiva  OC-5/85</w:t>
        <w:br/>
        <w:t>del 13 de noviembre de 1985. Serie A No. 5, párr. 46.   Asimismo  cfr.  Eur.</w:t>
        <w:br/>
        <w:t>Court H.R., Case of Barthold v. Germany, Judgment of 25 March  1985,  Series</w:t>
        <w:br/>
        <w:t>A no. 90, para. 58;  Eur.  Court  H.R.,  Case  of  Sunday  Times  v.  United</w:t>
        <w:br/>
        <w:t>Kingdom, Judgment of 26 April 1979, Series  A  no.  30,  para.  59;  O.N.U.,</w:t>
        <w:br/>
        <w:t>Comité  de  Derechos  Humanos,  Observación  general  Nº  27,  Libertad   de</w:t>
        <w:br/>
        <w:t>circulación (art. 12) de 2 de noviembre de 1999, párrs. 14 y 15;  y  O.N.U.,</w:t>
        <w:br/>
        <w:t>Comité de Derechos Humanos, Observación general Nº 25, Derecho a  participar</w:t>
        <w:br/>
        <w:t>en  los  asuntos  públicos,  derecho  a  votar  y  derecho  al  acceso,   en</w:t>
        <w:br/>
        <w:t>condiciones de igualdad a las funciones públicas (art. 25) de  12  de  julio</w:t>
        <w:br/>
        <w:t>de 1996, párrs. 11, 14, 15 y 16.</w:t>
        <w:br/>
        <w:br/>
        <w:t>[175]       O.N.U., Comité de Derechos Humanos, Observación general  Nº  25,</w:t>
        <w:br/>
        <w:t>supra nota 173, párr. 17.</w:t>
        <w:br/>
        <w:br/>
        <w:t>[176]       Cfr. Caso Ricardo Canese, supra nota 5, párr.  125;  Caso  Baena</w:t>
        <w:br/>
        <w:t>Ricardo y otros,  supra  nota  141,  párrs.  108  y  115;  y  Caso  Cantoral</w:t>
        <w:br/>
        <w:t>Benavides. Sentencia de 18 de agosto de 2000. Serie C No. 69, párr. 157.</w:t>
        <w:br/>
        <w:br/>
        <w:t>[177]       Cfr. Refah Partisi (the Welfare  Party)  and  Others  v.  Turkey</w:t>
        <w:br/>
        <w:t>[GC], nos. 41340/98, 41342/98, 41343/98 and 41344/98, §  87,  ECHR  2003-II;</w:t>
        <w:br/>
        <w:t>Case of Yazar and Others v. Turkey, nos. 22723/93, 22724/93 and 22725/93,  §</w:t>
        <w:br/>
        <w:t>32, ECHR 2002-II; y Eur. Court H.R., Case of Socialist Party and  Others  v.</w:t>
        <w:br/>
        <w:t>Turkey, Jugdment of 25 May 1998, Reports of Judgments  and  Decisions  1998-</w:t>
        <w:br/>
        <w:t>III, para. 29.</w:t>
        <w:br/>
        <w:br/>
        <w:t>[178]       Carta Democrática Interamericana. Aprobada en la primera  sesión</w:t>
        <w:br/>
        <w:t>plenaria de la Asamblea General de la OEA, celebrada el 11 de septiembre  de</w:t>
        <w:br/>
        <w:t>2001, artículo 5.</w:t>
        <w:br/>
        <w:br/>
        <w:t>[179] Cfr. Caso Caesar,  supra  nota  11,  párr.  120;  Caso  Huilca  Tecse.</w:t>
        <w:br/>
        <w:t>Sentencia de 3 de marzo de 2005. Serie C No. 121, párr. 86; y  Caso  de  las</w:t>
        <w:br/>
        <w:t>Hermanas Serrano Cruz, supra nota 10, párr. 133.</w:t>
        <w:br/>
        <w:br/>
        <w:t>[180] Cfr. Caso Caesar, supra nota 11, párr. 121;  Caso Huilca Tecse,  supra</w:t>
        <w:br/>
        <w:t>nota 178, párr. 87; y Caso de las Hermanas  Serrano  Cruz,  supra  nota  10,</w:t>
        <w:br/>
        <w:t>párr. 134.</w:t>
        <w:br/>
        <w:br/>
        <w:t>[181]       Cfr. Caso Caesar, supra nota 11, párr. 122; Caso  Huilca  Tecse,</w:t>
        <w:br/>
        <w:t>supra nota 178, párr. 88; y Caso de las Hermanas Serrano  Cruz,  supra  nota</w:t>
        <w:br/>
        <w:t>10, párr. 135.</w:t>
        <w:br/>
        <w:br/>
        <w:t>[182]       Cfr. Caso de las Hermanas Serrano Cruz,  supra  nota  10,  párr.</w:t>
        <w:br/>
        <w:t>135; Caso Carpio Nicolle y otros, supra nota 18, párr. 88;  y  Caso  Masacre</w:t>
        <w:br/>
        <w:t>Plan  de  Sánchez.  Reparaciones  (art.  63.1  Convención  Americana   sobre</w:t>
        <w:br/>
        <w:t>Derechos Humanos). Sentencia de 19 de noviembre de 2004. Serie  C  No.  116,</w:t>
        <w:br/>
        <w:t>párr. 54.</w:t>
        <w:br/>
        <w:br/>
        <w:t>[183]       Cfr. Caso Caesar, supra nota 11, párr. 122; Caso  Huilca  Tecse,</w:t>
        <w:br/>
        <w:t>supra nota 178, párr. 88; y Caso de las Hermanas Serrano  Cruz,  supra  nota</w:t>
        <w:br/>
        <w:t>10, párr. 135.</w:t>
        <w:br/>
        <w:br/>
        <w:t>[184]       Cfr. Caso Caesar, supra nota 11, párr. 123; Caso  Huilca  Tecse,</w:t>
        <w:br/>
        <w:t>supra nota 178, párr. 89; y Caso de las Hermanas Serrano  Cruz,  supra  nota</w:t>
        <w:br/>
        <w:t>10, párr. 136.</w:t>
        <w:br/>
        <w:br/>
        <w:t>[185]       Cfr. Caso Huilca Tecse, supra nota 178, párr. 93;  Caso  de  las</w:t>
        <w:br/>
        <w:t>Hermanas Serrano Cruz, supra nota  10,  párr.  150;  y  Caso  “Instituto  de</w:t>
        <w:br/>
        <w:t>Reeducación del Menor”, supra nota 135, párr. 283.</w:t>
        <w:br/>
        <w:br/>
        <w:t>[186] Cfr. Caso Caesar, supra nota 11, párr. 125;  Caso Huilca Tecse,  supra</w:t>
        <w:br/>
        <w:t>nota 178, párr. 96; y Caso de las Hermanas  Serrano  Cruz,  supra  nota  10,</w:t>
        <w:br/>
        <w:t>párr. 156.</w:t>
        <w:br/>
        <w:br/>
        <w:br/>
        <w:t>[187]       Cfr. Caso Huilca Tecse, supra nota 178, párr. 112; Caso  de  las</w:t>
        <w:br/>
        <w:t>Hermanas Serrano Cruz, supra nota  10,  párr.  195;  y  Caso  Lori  Berenson</w:t>
        <w:br/>
        <w:t>Mejía, supra nota 11, párr. 240.</w:t>
        <w:br/>
        <w:br/>
        <w:t>[188]       Cfr. Caso  Caesar,  supra  nota  11,  párr.  133;  Caso  Ricardo</w:t>
        <w:br/>
        <w:t>Canese, supra nota 5, párr. 148; Caso Baena Ricardo  y  otros.  Competencia,</w:t>
        <w:br/>
        <w:t>supra nota 5, párr. 61; y Condición Jurídica y  Derechos  de  los  Migrantes</w:t>
        <w:br/>
        <w:t>Indocumentados, supra nota 150, párr. 165.</w:t>
        <w:br/>
        <w:br/>
        <w:t>[189]       Cfr. Caso Caesar, supra nota 11, párr. 126; Caso  Huilca  Tecse,</w:t>
        <w:br/>
        <w:t>supra nota 178, párr. 97; y Caso de las Hermanas Serrano  Cruz,  supra  nota</w:t>
        <w:br/>
        <w:t>10, párrs. 157 y 201.</w:t>
        <w:br/>
        <w:br/>
        <w:t>[190]       La descripción de las costas y gastos en que incurrió  YATAMA  y</w:t>
        <w:br/>
        <w:t>los  recibos  y  documentos  presentados  en  respaldo  de  esos  gastos  se</w:t>
        <w:br/>
        <w:t>encuentran   en:   expediente   de   excepciones   preliminares,   fondo   y</w:t>
        <w:br/>
        <w:t>reparaciones, tomo  I,  folio  200;  expediente  de  anexos  al  escrito  de</w:t>
        <w:br/>
        <w:t>solicitudes y argumentos, anexo 16, folios 1108  a  1153;  y  anexos  a  los</w:t>
        <w:br/>
        <w:t>alegatos finales escritos de los  representantes,  anexo  4,  expediente  de</w:t>
        <w:br/>
        <w:t>excepciones preliminares, fondo y reparaciones, tomo V, folios 1647 a 1650.</w:t>
        <w:br/>
        <w:br/>
        <w:t>[191]        La descripción de las costas y gastos en que incurrió CENIDH  y</w:t>
        <w:br/>
        <w:t>los  recibos  y  documentos  presentados  en  respaldo  de  esos  gastos  se</w:t>
        <w:br/>
        <w:t>encuentran   en:   expediente   de   excepciones   preliminares,   fondo   y</w:t>
        <w:br/>
        <w:t>reparaciones, tomo  I,  folio  201;  expediente  de  anexos  al  escrito  de</w:t>
        <w:br/>
        <w:t>solicitudes y argumentos, anexo 17, folios 1154  a  1167;  y  anexos  a  los</w:t>
        <w:br/>
        <w:t>alegatos finales escritos de los  representantes,  anexo  5,  expediente  de</w:t>
        <w:br/>
        <w:t>excepciones preliminares, fondo y reparaciones, tomo V, folios 1651 a 1669.</w:t>
        <w:br/>
        <w:br/>
        <w:t>[192]       La descripción de las costas y gastos en que  incurrió  CEJIL  y</w:t>
        <w:br/>
        <w:t>los  recibos  y  documentos  presentados  en  respaldo  de  esos  gastos  se</w:t>
        <w:br/>
        <w:t>encuentran   en:   expediente   de   excepciones   preliminares,   fondo   y</w:t>
        <w:br/>
        <w:t>reparaciones, tomo I, folio 201 y 202; expediente de anexos  al  escrito  de</w:t>
        <w:br/>
        <w:t>solicitudes y argumentos, anexo 14, folios  998  a  1042;  y  anexos  a  los</w:t>
        <w:br/>
        <w:t>alegatos finales escritos de los  representantes,  anexo  6,  expediente  de</w:t>
        <w:br/>
        <w:t>excepciones preliminares, fondo y reparaciones, tomo V, folios 1670 a 1686.</w:t>
        <w:br/>
        <w:br/>
        <w:t>[193]       Cfr. Caso de las Hermanas Serrano Cruz,  supra  nota  10,  párr.</w:t>
        <w:br/>
        <w:t>205; Caso Carpio Nicolle y otros, supra nota 18, párr. 143; y  Caso  Masacre</w:t>
        <w:br/>
        <w:t>Plan de Sánchez. Reparaciones, supra nota 181, párr. 115.</w:t>
        <w:br/>
        <w:br/>
        <w:t>[194]       Cfr. Caso de las Hermanas Serrano Cruz,  supra  nota  10,  párr.</w:t>
        <w:br/>
        <w:t>205; Caso Lori Berenson Mejía, supra nota  11,  párr.  242;  y  Caso  Carpio</w:t>
        <w:br/>
        <w:t>Nicolle y otros, supra nota 18, párr. 143.</w:t>
        <w:br/>
        <w:br/>
        <w:t>[195].      A.A. Cançado Trindade, Bases para un Proyecto de Protocolo a  la</w:t>
        <w:br/>
        <w:t>Convención Americana sobre Derechos Humanos, para  Fortalecer  Su  Mecanismo</w:t>
        <w:br/>
        <w:t>de Protección, 1a. edición, San José de Costa Rica, Corte Interamericana  de</w:t>
        <w:br/>
        <w:t>Derechos Humanos, 2001, pp. 1-669 (y 2a. edición, 2003, pp. 1-750).</w:t>
        <w:br/>
        <w:br/>
        <w:t>[196].      Párrafo 86, y cf. párrs. 95-96.</w:t>
        <w:br/>
        <w:br/>
        <w:t>[197].      Y, en el presente caso Yatama, como reconoce la Sentencia de  la</w:t>
        <w:br/>
        <w:t>Corte, la vigencia de los derechos políticos crece en importancia por  tener</w:t>
        <w:br/>
        <w:t>incidencia directa en la necesidad de preservar el derecho  a  la  identidad</w:t>
        <w:br/>
        <w:t>cultural, y  el  derecho  de  participación  en  la  vida  pública,  de  las</w:t>
        <w:br/>
        <w:t>comunidades indígenas de la costa atlántica de Nicaragua (párrs. 226-228).</w:t>
        <w:br/>
        <w:br/>
        <w:t>[198].      A. Eide y T.  Opsahl,  Equality  and  Non-Discrimination,  Oslo,</w:t>
        <w:br/>
        <w:t>Norwegian Institute of Human Rights (publ. n. 1), 1990, p. 4, y cf.  pp.  1-</w:t>
        <w:br/>
        <w:t>44 (estudio reproducido in T. Opsahl, Law and Equality -  Selected  Articles</w:t>
        <w:br/>
        <w:t>on Human Rights, Oslo, Notam Gyldendal, 1996, pp. 165-206).</w:t>
        <w:br/>
        <w:br/>
        <w:t>[199].      H. Mosler, "To What Extent Does the Variety of Legal Systems  of</w:t>
        <w:br/>
        <w:t>the World Influence the Application of the General Principles of Law  within</w:t>
        <w:br/>
        <w:t>the Meaning of Article 38(1)(c) of the Statute of  the  International  Court</w:t>
        <w:br/>
        <w:t>of  Justice?",  in  International  Law  and  the  Grotian  Heritage   (Hague</w:t>
        <w:br/>
        <w:t>Commemorative Colloquium of 1983 on the Occasion of the Fourth Centenary  of</w:t>
        <w:br/>
        <w:t>the Birth of Hugo Grotius), The Hague,  T.M.C.  Asser  Instituut,  1985,  p.</w:t>
        <w:br/>
        <w:t>184.</w:t>
        <w:br/>
        <w:br/>
        <w:t>[200].      Y cf. párrs. 61-64.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