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t xml:space="preserve">                      Caso Lori Berenson Mejía Vs. Perú</w:t>
        <w:br/>
        <w:br/>
        <w:t xml:space="preserve">                      Sentencia de 23 de junio de 2005</w:t>
        <w:br/>
        <w:t xml:space="preserve"> (Demanda de Interpretación de la Sentencia de Fondo, Reparaciones y Costas)</w:t>
        <w:br/>
        <w:br/>
        <w:br/>
        <w:t>En el caso Lori Berenson Mejía,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 y</w:t>
        <w:br/>
        <w:t xml:space="preserve">      Manuel E. Ventura Robles, Juez.</w:t>
        <w:br/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Adjunta,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la  demanda  de  interpretación  de   la   Sentencia   de   fondo,</w:t>
        <w:br/>
        <w:t>reparaciones y costas emitida por la Corte el 25 de noviembre de 2004 en  el</w:t>
        <w:br/>
        <w:t>Caso Lori Berenson Mejía  (en  adelante  “la  demanda  de  interpretación”),</w:t>
        <w:br/>
        <w:t>presentada por los  representantes  de  la  víctima  y  sus  familiares  (en</w:t>
        <w:br/>
        <w:t>adelante “los representantes”) el 2 de marzo de 2005.</w:t>
        <w:br/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El artículo 67 de la Convención establece que</w:t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sus fallos y, para el examen de la  demanda  de  interpretación,</w:t>
        <w:br/>
        <w:t>debe tener, si es posible, la misma  composición  que  tenía  al  dictar  la</w:t>
        <w:br/>
        <w:t>Sentencia respectiva (artículo 59.3 del Reglamento).  En  esta  ocasión,  la</w:t>
        <w:br/>
        <w:t>Corte  se  integra  con  los  jueces  que   dictaron   la   Sentencia   cuya</w:t>
        <w:br/>
        <w:t>interpretación ha sido solicitada por los representantes.</w:t>
        <w:br/>
        <w:br/>
        <w:br/>
        <w:br/>
        <w:t xml:space="preserve">                                     II</w:t>
        <w:br/>
        <w:br/>
        <w:t xml:space="preserve">          introducción de la demanda de interpretación y su objeto</w:t>
        <w:br/>
        <w:br/>
        <w:t>2.     El  2  de  marzo  de  2005  los  representantes   interpusieron,   de</w:t>
        <w:br/>
        <w:t>conformidad con los artículos 67 de la Convención y 59 del  Reglamento,  una</w:t>
        <w:br/>
        <w:t>demanda, en idioma inglés, de  interpretación  de  la  Sentencia  de  fondo,</w:t>
        <w:br/>
        <w:t>reparaciones  y  costas.   El  11  de  marzo  de  2005  los   representantes</w:t>
        <w:br/>
        <w:t>presentaron la traducción al español de la referida demanda.</w:t>
        <w:br/>
        <w:br/>
        <w:t>3.    En la demanda de interpretación, los representantes señalaron que:</w:t>
        <w:br/>
        <w:br/>
        <w:t xml:space="preserve">     a)      en cuanto a  la  presunta  violación  del  artículo  9  de  la</w:t>
        <w:br/>
        <w:t xml:space="preserve">     Convención, “la Corte concluy[ó] por mayoría que la  formulación  de[l</w:t>
        <w:br/>
        <w:t xml:space="preserve">     delito de] colaboración con el terrorismo no presenta las deficiencias</w:t>
        <w:br/>
        <w:t xml:space="preserve">     observadas respecto al delito de traición a la  patria,  pero  […]  no</w:t>
        <w:br/>
        <w:t xml:space="preserve">     indic[ó] la razón para  esta  conclusión”,  por  lo  cual  solicitaron</w:t>
        <w:br/>
        <w:t xml:space="preserve">     “saber si la Sentencia afirma que la prueba de una descripción  típica</w:t>
        <w:br/>
        <w:t xml:space="preserve">     de terrorismo basta para sustentar una condena por colaboración con el</w:t>
        <w:br/>
        <w:t xml:space="preserve">     terrorismo, o si la descripción  establecida  en  el  Artículo  2  del</w:t>
        <w:br/>
        <w:t xml:space="preserve">     Decreto Ley 25.475 representa la definición de terrorismo”;</w:t>
        <w:br/>
        <w:br/>
        <w:t xml:space="preserve">     b)    a la luz de la decisión de la Corte en el  caso  Loayza  Tamayo,</w:t>
        <w:br/>
        <w:t xml:space="preserve">     “[el] segundo juicio que, tras la absolución del  Consejo  Supremo  de</w:t>
        <w:br/>
        <w:t xml:space="preserve">     Justicia Militar, tuvo lugar [contra la señora Lori Berenson] ante  la</w:t>
        <w:br/>
        <w:t xml:space="preserve">     Sala Civil Antiterrorista sobre los mismos hechos, violó  el  Artículo</w:t>
        <w:br/>
        <w:t xml:space="preserve">     8.4 de la Convención”;</w:t>
        <w:br/>
        <w:br/>
        <w:t xml:space="preserve">     c)    el Tribunal debería aclarar si “la determinación de la Corte […]</w:t>
        <w:br/>
        <w:t xml:space="preserve">     de que la petición formal de [la señora] Lori Berenson para recusar  a</w:t>
        <w:br/>
        <w:t xml:space="preserve">     [un juez por su presunta imparcialidad en el caso], presentada durante</w:t>
        <w:br/>
        <w:t xml:space="preserve">     el juicio [civil], viol[ó] la ley procesal del [Ilustrado Estado  del]</w:t>
        <w:br/>
        <w:t xml:space="preserve">     Perú [(en adelante “el Estado” o “Perú”)] que exig[ía] la presentación</w:t>
        <w:br/>
        <w:t xml:space="preserve">     de dichas  peticiones  antes  del  juicio,  significa  que  las  leyes</w:t>
        <w:br/>
        <w:t xml:space="preserve">     procesales peruanas pueden anular [el derecho a ser oído por  un  juez</w:t>
        <w:br/>
        <w:t xml:space="preserve">     independiente e imparcial] garantizad[o] por el  Artículo  8.1  de  la</w:t>
        <w:br/>
        <w:t xml:space="preserve">     Convención”;</w:t>
        <w:br/>
        <w:br/>
        <w:br/>
        <w:t xml:space="preserve">     d)    en cuanto a la presunta violación  del  derecho  a  un  tribunal</w:t>
        <w:br/>
        <w:t xml:space="preserve">     competente según el artículo 8.1 de la Convención, “[la  señora]  Lori</w:t>
        <w:br/>
        <w:t xml:space="preserve">     Berenson fue juzgada  por  un  tribunal  especial  ad  hoc”,  lo  cual</w:t>
        <w:br/>
        <w:t xml:space="preserve">     requiere que  la  Corte  aclare  si,  de  acuerdo  con  los  criterios</w:t>
        <w:br/>
        <w:t xml:space="preserve">     establecidos  en  la  Sentencia,  “debe  entenderse  que  los  juicios</w:t>
        <w:br/>
        <w:t xml:space="preserve">     realizados por tribunales especiales ad  hoc  de  conformidad  con  el</w:t>
        <w:br/>
        <w:t xml:space="preserve">     Decreto Ley 25.475 corresponden a un  juicio  ordinario  con  un  juez</w:t>
        <w:br/>
        <w:t xml:space="preserve">     natural y que las leyes, los jueces y  los  procedimientos  judiciales</w:t>
        <w:br/>
        <w:t xml:space="preserve">     son competentes por derecho para realizar juicios penales y condenar a</w:t>
        <w:br/>
        <w:t xml:space="preserve">     personas acusadas ante ellos”;</w:t>
        <w:br/>
        <w:br/>
        <w:t xml:space="preserve">     e)    en cuanto a  la  supuesta  violación  del  artículo  8.2  de  la</w:t>
        <w:br/>
        <w:t xml:space="preserve">     Convención, “[a]unque la Corte aceptó el hecho de que  la  Sala  Civil</w:t>
        <w:br/>
        <w:t xml:space="preserve">     Antiterrorista se basó únicamente en la evidencia proveniente  de  los</w:t>
        <w:br/>
        <w:t xml:space="preserve">     actos realizados directamente bajo la competencia  de  la  Sala  Civil</w:t>
        <w:br/>
        <w:t xml:space="preserve">     Antiterrorista al  decidir  su  sentencia,  no  tiene  capacidad  para</w:t>
        <w:br/>
        <w:t xml:space="preserve">     corroborarlo puesto que es imposible determinar en la Sentencia de  la</w:t>
        <w:br/>
        <w:t xml:space="preserve">     Sala Civil Antiterrorista qué evidencia se tuvo en cuenta, si acaso se</w:t>
        <w:br/>
        <w:t xml:space="preserve">     tuvo en cuenta alguna evidencia, al declarar la  culpabilidad  de  [la</w:t>
        <w:br/>
        <w:t xml:space="preserve">     señora] Lori Berenson”. En este sentido la Corte debería aclarar si la</w:t>
        <w:br/>
        <w:t xml:space="preserve">     Sentencia “indica que el tribunal de un Estado que ha condenado  a  un</w:t>
        <w:br/>
        <w:t xml:space="preserve">     acusado y ha admitido claramente la existencia de evidencia ilegal  en</w:t>
        <w:br/>
        <w:t xml:space="preserve">     el expediente puede evitar su  responsabilidad  de  haber  violado  el</w:t>
        <w:br/>
        <w:t xml:space="preserve">     Artículo 8.2 de la Convención, con  simplemente  declarar  que  no  se</w:t>
        <w:br/>
        <w:t xml:space="preserve">     fundamentó en evidencia ilegal alguna  y  que  evaluó  serenamente  la</w:t>
        <w:br/>
        <w:t xml:space="preserve">     evidencia que era ligeramente defectuosa, sin aclarar en qué evidencia</w:t>
        <w:br/>
        <w:t xml:space="preserve">     basó la condena”;</w:t>
        <w:br/>
        <w:br/>
        <w:br/>
        <w:t xml:space="preserve">     f)    “[p]areciera que la Sentencia suprime toda necesidad de  que  el</w:t>
        <w:br/>
        <w:t xml:space="preserve">     Perú cumpla con el Artículo 2 de la Convención y de que se ajusten las</w:t>
        <w:br/>
        <w:t xml:space="preserve">     disposiciones del Decreto Ley 25.475, incluido  el  Artículo  4,  para</w:t>
        <w:br/>
        <w:t xml:space="preserve">     observar los requisitos del Artículo 9 de la  Convención  mediante  la</w:t>
        <w:br/>
        <w:t xml:space="preserve">     definición adecuada del terrorismo o los  actos  terroristas  con  los</w:t>
        <w:br/>
        <w:t xml:space="preserve">     cuales se prohíbe colaborar[, por lo que] Perú no tendrá necesidad  de</w:t>
        <w:br/>
        <w:t xml:space="preserve">     cumplir, salvo que se aclare el significado y alcance de la  Sentencia</w:t>
        <w:br/>
        <w:t xml:space="preserve">     y que la interpretación cambie la impresión creada”;</w:t>
        <w:br/>
        <w:br/>
        <w:br/>
        <w:t xml:space="preserve">     g)     “[l]a  Corte  se  rehusó  a  considerar  muchas  [pretensiones]</w:t>
        <w:br/>
        <w:t xml:space="preserve">      realizadas por la [señora Lori] Berenson en este caso”, por lo que “da</w:t>
        <w:br/>
        <w:t xml:space="preserve">      muestra del favoritismo de la Corte hacia el Estado, a  menos  que  se</w:t>
        <w:br/>
        <w:t xml:space="preserve">      aclare el significado de estas decisiones de la Corte y se cambie esta</w:t>
        <w:br/>
        <w:t xml:space="preserve">      impresión”; y</w:t>
        <w:br/>
        <w:br/>
        <w:br/>
        <w:t xml:space="preserve">     h)    “queda la impresión generalizada  de  que,  debido  a  presiones</w:t>
        <w:br/>
        <w:t xml:space="preserve">      políticas, la Corte  cambió  su  opinión  en  uno  de  los  casos  más</w:t>
        <w:br/>
        <w:t xml:space="preserve">      publicitados y politizados en los que debió fallar[, por lo  cual]  la</w:t>
        <w:br/>
        <w:t xml:space="preserve">      Corte debe aclarar las medidas tomadas y así  modificar  la  idea  que</w:t>
        <w:br/>
        <w:t xml:space="preserve">      crearon los informes de los medios de comunicación respecto a  que  la</w:t>
        <w:br/>
        <w:t xml:space="preserve">      Corte cambió su decisión a  causa  de  la  presión  política.   De  lo</w:t>
        <w:br/>
        <w:t xml:space="preserve">      contrario, la Corte debe anular la Sentencia y determinar que  se  han</w:t>
        <w:br/>
        <w:t xml:space="preserve">      violado una o más de las disposiciones de la Convención, tal  como  lo</w:t>
        <w:br/>
        <w:t xml:space="preserve">      determinara  la  Comisión  [Interamericana  de  Derechos  Humanos  (en</w:t>
        <w:br/>
        <w:t xml:space="preserve">      adelante “la Comisión” o “la Comisión Interamericana”)]”.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4.    El 16 de marzo de 2005, conforme al artículo 59.2 del Reglamento,   la</w:t>
        <w:br/>
        <w:t>Secretaría de la Corte transmitió copia de la demanda  de  interpretación  a</w:t>
        <w:br/>
        <w:t>la Comisión Interamericana y al Perú y les otorgó,  siguiendo  instrucciones</w:t>
        <w:br/>
        <w:t>del Presidente de la Corte (en adelante “el Presidente”), un  plazo  de  dos</w:t>
        <w:br/>
        <w:t>meses, contado a partir de la recepción de la misma, para que la Comisión  y</w:t>
        <w:br/>
        <w:t>el Estado presentaran los alegatos escritos que estimaran pertinentes.</w:t>
        <w:br/>
        <w:br/>
        <w:t>5.    El 16 de mayo de 2005 la Comisión presentó sus alegatos  escritos,  en</w:t>
        <w:br/>
        <w:t>los que consideró que:</w:t>
        <w:br/>
        <w:br/>
        <w:t xml:space="preserve">      a)    había presentado “sus argumentos de hecho y  de  derecho  en  el</w:t>
        <w:br/>
        <w:t xml:space="preserve">      caso, en relación con los cuales la  […]  Corte  se  pronunció  en  su</w:t>
        <w:br/>
        <w:t xml:space="preserve">      [S]entencia”;</w:t>
        <w:br/>
        <w:br/>
        <w:br/>
        <w:t xml:space="preserve">      b)    “[e]n tal  [S]entencia,  así  como  en  los  votos  disidente  y</w:t>
        <w:br/>
        <w:t xml:space="preserve">      separado  concurrente  respectivos,  se  acogieron  algunos   de   los</w:t>
        <w:br/>
        <w:t xml:space="preserve">      argumentos de la  Comisión,  y  se  desecharon  otros,  en  fallo  que</w:t>
        <w:br/>
        <w:t xml:space="preserve">      conforme a lo establecido en el artículo 67 de la Convención Americana</w:t>
        <w:br/>
        <w:t xml:space="preserve">      […] es ‘definitivo e inapelable’”; y</w:t>
        <w:br/>
        <w:br/>
        <w:br/>
        <w:t xml:space="preserve">      c)    “la demanda de interpretación interpuesta por los representantes</w:t>
        <w:br/>
        <w:t xml:space="preserve">      de la víctima no cumple con los extremos que la […] Corte ha requerido</w:t>
        <w:br/>
        <w:t xml:space="preserve">      hasta ahora en su jurisprudencia para la procedencia  de  demandas  de</w:t>
        <w:br/>
        <w:t xml:space="preserve">      interpretación”.</w:t>
        <w:br/>
        <w:br/>
        <w:t>6.    El 17 de mayo de 2005 el Perú presentó sus alegatos escritos,  en  los</w:t>
        <w:br/>
        <w:t>que:</w:t>
        <w:br/>
        <w:br/>
        <w:t xml:space="preserve">     a)    señaló que los representantes, “bajo el nombre de una demanda de</w:t>
        <w:br/>
        <w:t xml:space="preserve">     interpretación[,] presenta[ron] […] un escrito  que  contiene,  en  el</w:t>
        <w:br/>
        <w:t xml:space="preserve">     fondo,  un  recurso  encubierto  de  impugnación  no  previsto  en  el</w:t>
        <w:br/>
        <w:t xml:space="preserve">     ordenamiento jurídico de la Corte”;</w:t>
        <w:br/>
        <w:br/>
        <w:br/>
        <w:t xml:space="preserve">      b)   “protest[ó]  por  los  términos  empleados  en  [la  demanda  de</w:t>
        <w:br/>
        <w:t xml:space="preserve">     interpretación] por considerarlos ofensivos a la investidura de la […]</w:t>
        <w:br/>
        <w:t xml:space="preserve">     Corte”; y</w:t>
        <w:br/>
        <w:br/>
        <w:br/>
        <w:t xml:space="preserve">     c)    solicitó que  la  Corte  declarara  “infundada  la  demanda  [de</w:t>
        <w:br/>
        <w:t xml:space="preserve">     interpretación], porque las preguntas que contiene no  corresponden  a</w:t>
        <w:br/>
        <w:t xml:space="preserve">     la naturaleza de los procedimientos de interpretación de sentencias”.</w:t>
        <w:br/>
        <w:t xml:space="preserve">                                     IV</w:t>
        <w:br/>
        <w:t xml:space="preserve">                                admisibilidad</w:t>
        <w:br/>
        <w:br/>
        <w:t>7.    Corresponde a la Corte verificar si los  términos  de  la  demanda  de</w:t>
        <w:br/>
        <w:t>interpretación cumplen con las normas aplicables.</w:t>
        <w:br/>
        <w:br/>
        <w:t>8.    El artículo 67 de la Convención establece que</w:t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9.    El artículo 59 del Reglamento establece, en lo conducente, que:</w:t>
        <w:br/>
        <w:br/>
        <w:t xml:space="preserve">      1.    [l]a demanda de interpretación a que se refiere el  artículo  67</w:t>
        <w:br/>
        <w:t xml:space="preserve">      de la Convención podrá promoverse en relación con  las  sentencias  de</w:t>
        <w:br/>
        <w:t xml:space="preserve">      fondo o de reparaciones y se presentará en la Secretaría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10.   El artículo 29.3 del Reglamento estable que “[c]ontra  las  sentencias</w:t>
        <w:br/>
        <w:t>y resoluciones de la Corte no procede ningún medio de impugnación”.</w:t>
        <w:br/>
        <w:br/>
        <w:t>11.   Al examinar los argumentos de los  representantes  (supra,  párr.  3),</w:t>
        <w:br/>
        <w:t>esta  Corte  advierte  que,  bajo  la   apariencia   de   una   demanda   de</w:t>
        <w:br/>
        <w:t>interpretación, se pretende  la  modificación  de  la  Sentencia  de  fondo,</w:t>
        <w:br/>
        <w:t>reparaciones y costas pronunciada por este Tribunal el 25  de  noviembre  de</w:t>
        <w:br/>
        <w:t>2004 en el caso Lori Berenson Mejía, ya que los representantes se limitan  a</w:t>
        <w:br/>
        <w:t>someter nuevamente a la Corte cuestiones  de  hecho  y  de  derecho  que  ya</w:t>
        <w:br/>
        <w:t>fueron planteadas en  su  oportunidad  procesal  y  sobre  las  cuales  este</w:t>
        <w:br/>
        <w:t>Tribunal ya adoptó decisión.</w:t>
        <w:br/>
        <w:br/>
        <w:t>12.   Tal y como lo ha señalado anteriormente este Tribunal, una demanda  de</w:t>
        <w:br/>
        <w:t>interpretación de  una  sentencia  no  debe  utilizarse  como  un  medio  de</w:t>
        <w:br/>
        <w:t>impugnación sino únicamente debe tener como objeto  desentrañar  el  sentido</w:t>
        <w:br/>
        <w:t>de un fallo cuando una de las partes sostiene que el  texto  de  sus  puntos</w:t>
        <w:br/>
        <w:t>resolutivos o  de  sus  consideraciones  carece  de  claridad  o  precisión,</w:t>
        <w:br/>
        <w:t>siempre y cuando esas consideraciones incidan en dicha parte  resolutiva  y,</w:t>
        <w:br/>
        <w:t>por tanto, no se puede pedir la modificación o  anulación  de  la  sentencia</w:t>
        <w:br/>
        <w:t>respectiva a través de una demanda de interpretación[1].</w:t>
        <w:br/>
        <w:br/>
        <w:t>13.   Asimismo, este Tribunal ha expresado anteriormente que el análisis  de</w:t>
        <w:br/>
        <w:t>sus sentencias y  resoluciones,  así  como  el  estudio  comparativo  de  su</w:t>
        <w:br/>
        <w:t>jurisprudencia, es una tarea eminentemente académica, ajena a las  funciones</w:t>
        <w:br/>
        <w:t>de esta Corte y a lo previsto en el artículo 67 de la Convención[2].</w:t>
        <w:br/>
        <w:br/>
        <w:t>14.    En  razón  de  todo  lo  anteriormente  expuesto,   la   demanda   de</w:t>
        <w:br/>
        <w:t>interpretación debe ser desestimada  toda  vez  que  no  se  adecua  en  sus</w:t>
        <w:br/>
        <w:t>términos a lo previsto  en  el  artículo  67  de  la  Convención  y  en  los</w:t>
        <w:br/>
        <w:t>artículos 29.3 y 59 del Reglamento.</w:t>
        <w:br/>
        <w:br/>
        <w:t>Por las razones expuestas,</w:t>
        <w:br/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 de la Corte  Interamericana</w:t>
        <w:br/>
        <w:t>de Derechos Humanos</w:t>
        <w:br/>
        <w:br/>
        <w:br/>
        <w:t>DECIDE:</w:t>
        <w:br/>
        <w:br/>
        <w:t>Por unanimidad,</w:t>
        <w:br/>
        <w:br/>
        <w:t>1.    Desestimar  por  improcedente  la  demanda  de  interpretación  de  la</w:t>
        <w:br/>
        <w:t>Sentencia de fondo, reparaciones y costas de 25 de noviembre de 2004  en  el</w:t>
        <w:br/>
        <w:t>Caso Lori Berenson Mejía, interpuesta por los representantes de  la  víctima</w:t>
        <w:br/>
        <w:t>y sus familiares.</w:t>
        <w:br/>
        <w:br/>
        <w:t>2.    Continuar la supervisión del cumplimiento de la  Sentencia  de  fondo,</w:t>
        <w:br/>
        <w:t>reparaciones y costas de 25 de noviembre de 2004 en el  Caso  Lori  Berenson</w:t>
        <w:br/>
        <w:t>Mejía, en los términos establecidos en el párrafo 247 de dicho fallo.</w:t>
        <w:br/>
        <w:br/>
        <w:t>Redactada en español e inglés, haciendo fe  el  texto  en  español,  en  San</w:t>
        <w:br/>
        <w:t>José, Costa Rica, el 23 de junio de 2005.</w:t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Abreu Burelli                                                  Oliver</w:t>
        <w:br/>
        <w:t>Jackman</w:t>
        <w:br/>
        <w:br/>
        <w:br/>
        <w:br/>
        <w:br/>
        <w:t>Antônio A. Cançado Trindade                         Cecilia Medina Quiroga</w:t>
        <w:br/>
        <w:br/>
        <w:br/>
        <w:br/>
        <w:br/>
        <w:t xml:space="preserve">                          Manuel E. Ventura Robles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*     El Juez Diego García-Sayán, de  nacionalidad  peruana,  se  excusó  de</w:t>
        <w:br/>
        <w:t>conocer el  presente  caso,  de  conformidad  con  los  artículos  19.2  del</w:t>
        <w:br/>
        <w:t>Estatuto y 19 del Reglamento de la Corte, y además por haber sido  designado</w:t>
        <w:br/>
        <w:t>un juez ad hoc desde octubre de 2002. Asimismo, si bien el Juez ad hoc  Juan</w:t>
        <w:br/>
        <w:t>Federico D. Monroy  Gálvez no participó en la deliberación  de  la  presente</w:t>
        <w:br/>
        <w:t>Sentencia en la sede del Tribunal en San José, Costa  Rica,  fue  consultado</w:t>
        <w:br/>
        <w:t>por la Corte sobre el criterio de ésta y estuvo de acuerdo con  la  decisión</w:t>
        <w:br/>
        <w:t>del Tribunal.</w:t>
        <w:br/>
        <w:t>[1]   Cfr. Caso Juan Humberto Sánchez. Interpretación de la Sentencia  sobre</w:t>
        <w:br/>
        <w:t>Excepciones  Preliminares,  Fondo  y  Reparaciones.  (art.   67   Convención</w:t>
        <w:br/>
        <w:t>Americana sobre Derechos Humanos). Sentencia de 26  de  noviembre  de  2003.</w:t>
        <w:br/>
        <w:t>Serie C  No.  102,  párr.  14; Caso  Cesti  Hurtado.  Interpretación  de  la</w:t>
        <w:br/>
        <w:t>Sentencia de Reparaciones. (art.  67  Convención  Americana  sobre  Derechos</w:t>
        <w:br/>
        <w:t>Humanos). Sentencia de 27 de noviembre de 2001. Serie C No.  86,  párr.  31;</w:t>
        <w:br/>
        <w:t>en sentido parecido, Caso Ivcher Bronstein. Interpretación de  la  Sentencia</w:t>
        <w:br/>
        <w:t>de Fondo. (art. 67 Convención Americana sobre Derechos  Humanos).  Sentencia</w:t>
        <w:br/>
        <w:t>de 4 de septiembre de 2001. Serie C No.  84,  párr.  19;  Eur.  Court  H.R.,</w:t>
        <w:br/>
        <w:t>Hentrich v. France, (interpretation), Judgment of 3 July 1997),  Reports  of</w:t>
        <w:br/>
        <w:t>Judgments and Decisions 1997-IV, para.  16;  Eur.  Court  H.R.,  Allenet  de</w:t>
        <w:br/>
        <w:t>Ribemont v. France, (interpretation), judgment of 7 August 1996, Reports  of</w:t>
        <w:br/>
        <w:t>Judgments and Decisions 1996-III, paras. 17 and 23; and Eur.  Court  H.  R.,</w:t>
        <w:br/>
        <w:t>Ringeisen v. Austria, (interpretation), Judgment of 23 June 1973, Series  A,</w:t>
        <w:br/>
        <w:t>Vol. 16, para 13.</w:t>
        <w:br/>
        <w:br/>
        <w:t>[2]   Cfr. Caso Cesti Hurtado. Interpretación  de  la  Sentencia  de  Fondo.</w:t>
        <w:br/>
        <w:t>(art. 67 Convención Americana sobre Derechos Humanos). Sentencia  de  29  de</w:t>
        <w:br/>
        <w:t>enero de 2000. Serie C No. 65, párr. 30.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