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Caso Gangaram Panday Vs. Surinam</w:t>
        <w:br/>
        <w:br/>
        <w:br/>
        <w:br/>
        <w:t xml:space="preserve">                     Sentencia de 4 de diciembre de 1991</w:t>
        <w:br/>
        <w:t xml:space="preserve">                         (Excepciones Preliminares)</w:t>
        <w:br/>
        <w:br/>
        <w:br/>
        <w:t>En el caso Gangaram Panday,</w:t>
        <w:br/>
        <w:br/>
        <w:br/>
        <w:t>la Corte Interamericana de Derechos Humanos, integrada  por  los  siguientes</w:t>
        <w:br/>
        <w:t>jueces:</w:t>
        <w:br/>
        <w:br/>
        <w:br/>
        <w:t xml:space="preserve">      Héctor Fix-Zamudio, Presidente</w:t>
        <w:br/>
        <w:t xml:space="preserve">      Thomas Buergenthal, Juez</w:t>
        <w:br/>
        <w:t xml:space="preserve">      Rafael Nieto Navia, Juez</w:t>
        <w:br/>
        <w:t xml:space="preserve">      Sonia Picado Sotela, Juez</w:t>
        <w:br/>
        <w:t xml:space="preserve">      Julio A. Barberis, Juez</w:t>
        <w:br/>
        <w:t xml:space="preserve">      Antônio A. Cançado Trindade, Juez ad hoc;</w:t>
        <w:br/>
        <w:br/>
        <w:t>presentes, además,</w:t>
        <w:br/>
        <w:br/>
        <w:t xml:space="preserve">      Manuel E. Ventura Robles, Secretario y</w:t>
        <w:br/>
        <w:t xml:space="preserve">      Ana María Reina, Secretaria adjunta</w:t>
        <w:br/>
        <w:br/>
        <w:t>de acuerdo con el artículo 27.4 del  Reglamento  vigente  para  los  asuntos</w:t>
        <w:br/>
        <w:t>sometidos a su consideración antes del 31 de julio de 1991 (en adelante  “el</w:t>
        <w:br/>
        <w:t>Reglamento”),  dicta  la   siguiente   sentencia   sobre   las   excepciones</w:t>
        <w:br/>
        <w:t>preliminares interpuestas por el  Gobierno  de  Suriname  (en  adelante  “el</w:t>
        <w:br/>
        <w:t>Gobierno” o “Suriname”).</w:t>
        <w:br/>
        <w:br/>
        <w:br/>
        <w:t xml:space="preserve">                                      I</w:t>
        <w:br/>
        <w:br/>
        <w:t>1.    Este caso fue sometido a la Corte Interamericana de  Derechos  Humanos</w:t>
        <w:br/>
        <w:t>(en adelante “la Corte”) por la Comisión Interamericana de Derechos  Humanos</w:t>
        <w:br/>
        <w:t>(en adelante “la Comisión”) el 27 de agosto de  1990.   Se  originó  en  una</w:t>
        <w:br/>
        <w:t>denuncia (Nº 10.274)  contra  Suriname  recibida  en  la  Secretaría  de  la</w:t>
        <w:br/>
        <w:t>Comisión el 17 de diciembre de 1988.</w:t>
        <w:br/>
        <w:br/>
        <w:t>2.    Al presentar el caso, la Comisión invocó los artículos 51 y 61  de  la</w:t>
        <w:br/>
        <w:t>Convención Americana sobre Derechos Humanos (en adelante “la  Convención”  o</w:t>
        <w:br/>
        <w:t>“la Convención Americana”) y el artículo 50 de su Reglamento.   La  Comisión</w:t>
        <w:br/>
        <w:t>sometió este caso con el fin de que la Corte decida si hubo  violación,  por</w:t>
        <w:br/>
        <w:t>parte del Gobierno involucrado, de los artículos 1 (Obligación  de  respetar</w:t>
        <w:br/>
        <w:t>los derechos), 2 (Deber de adoptar  disposiciones  de  derecho  interno),  4</w:t>
        <w:br/>
        <w:t>(Derecho a la vida), 5 (Derecho a la integridad personal), 7 (Derecho  a  la</w:t>
        <w:br/>
        <w:t>libertad personal) y 25 (Protección judicial) de la Convención en  perjuicio</w:t>
        <w:br/>
        <w:t>del señor Choeramoenipersad Gangaram Panday, llamado también  Asok  Gangaram</w:t>
        <w:br/>
        <w:t>Panday, y solicitó que la Corte “decida  sobre  este  caso  conforme  a  las</w:t>
        <w:br/>
        <w:t>disposiciones de la Convención, que  determine  la  responsabilidad  por  la</w:t>
        <w:br/>
        <w:t>violación señalada y que otorgue una justa compensación a los familiares  de</w:t>
        <w:br/>
        <w:t>la víctima”. Designó como sus delegados para que la representen a Oliver  H.</w:t>
        <w:br/>
        <w:t>Jackman, miembro; Edith Márquez Rodríguez, Secretaria ejecutiva y  David  J.</w:t>
        <w:br/>
        <w:t>Padilla, Secretario ejecutivo adjunto.</w:t>
        <w:br/>
        <w:br/>
        <w:t>3.    La petición formulada por la  Comisión,  junto  con  sus  anexos,  fue</w:t>
        <w:br/>
        <w:t>remitida al Gobierno por la Secretaría de la Corte el 17  de  septiembre  de</w:t>
        <w:br/>
        <w:t>1990.</w:t>
        <w:br/>
        <w:br/>
        <w:t>4.    Mediante facsímile de 6 de noviembre de 1990 el Gobierno  de  Suriname</w:t>
        <w:br/>
        <w:t>designó como agente al Licenciado Carlos Vargas Pizarro, de San José,  Costa</w:t>
        <w:br/>
        <w:t>Rica.</w:t>
        <w:br/>
        <w:br/>
        <w:t>5.    El Presidente de la Corte, mediante resolución de 12 de  noviembre  de</w:t>
        <w:br/>
        <w:t>1990, de común acuerdo con el agente de  Suriname  y  los  delegados  de  la</w:t>
        <w:br/>
        <w:t>Comisión y en consulta con la Comisión Permanente de la Corte, señaló el  29</w:t>
        <w:br/>
        <w:t>de marzo de 1991 como fecha  límite  para  que  la  Comisión  presentara  la</w:t>
        <w:br/>
        <w:t>memoria a que se refiere el artículo 29 del Reglamento y el 28 de  junio  de</w:t>
        <w:br/>
        <w:t>1991 como fecha límite para que el Gobierno presentara la  contra-memoria  a</w:t>
        <w:br/>
        <w:t>que se refiere el mismo artículo.</w:t>
        <w:br/>
        <w:br/>
        <w:t>6.    Por nota de  12  de  noviembre  de  1990  el  Presidente  solicitó  al</w:t>
        <w:br/>
        <w:t>Gobierno designar Juez ad hoc  para este caso.  En  comunicación  de  13  de</w:t>
        <w:br/>
        <w:t>diciembre de 1990, el agente informó a la Corte que el Gobierno nombró  Juez</w:t>
        <w:br/>
        <w:t>ad hoc  al profesor Antônio A. Cançado Trindade, de Brasilia, Brasil.</w:t>
        <w:br/>
        <w:br/>
        <w:t>7.    Por nota de 7 de febrero de 1991,  la  Comisión  designó  al  profesor</w:t>
        <w:br/>
        <w:t>Claudio Grossman como asesor legal para el presente caso.</w:t>
        <w:br/>
        <w:br/>
        <w:t>8.    El agente, por escrito de 28 de junio de 1991,  interpuso  excepciones</w:t>
        <w:br/>
        <w:t>preliminares al amparo de lo dispuesto en el  artículo  27  del  Reglamento.</w:t>
        <w:br/>
        <w:t>El Presidente de la Corte fijó el día 31 de julio de 1991 como fecha  límite</w:t>
        <w:br/>
        <w:t>para  que  la  Comisión  presentara  una  exposición   escrita   sobre   las</w:t>
        <w:br/>
        <w:t>excepciones preliminares.</w:t>
        <w:br/>
        <w:br/>
        <w:t>9.    El Presidente,  por  resolución  de  3  de  agosto  de  1991,  dispuso</w:t>
        <w:br/>
        <w:t>convocar a una audiencia pública en la sede de la Corte para  el  día  2  de</w:t>
        <w:br/>
        <w:t>diciembre de 1991, a las 15:00 horas, con el fin de oír la posición  de  las</w:t>
        <w:br/>
        <w:t>partes sobre las excepciones preliminares presentadas.  En dicha  resolución</w:t>
        <w:br/>
        <w:t>también citó a declarar, por solicitud del  Gobierno,  como  testigos  sobre</w:t>
        <w:br/>
        <w:t>las excepciones  preliminares  a  Ramón  de  Freitas,  Auditor  Militar  del</w:t>
        <w:br/>
        <w:t>Gobierno de  Suriname  y  al  doctor  A.  Vrede,  patólogo  del  Laboratorio</w:t>
        <w:br/>
        <w:t>Anatómico del Hospital de Paramaribo.  El Gobierno  renunció  posteriormente</w:t>
        <w:br/>
        <w:t>a que dichas personas comparecieran como testigos.  En  comunicación  de  28</w:t>
        <w:br/>
        <w:t>de noviembre de 1991 el agente informó a la Corte que los señores  Ramón  de</w:t>
        <w:br/>
        <w:t>Freitas, Albert Vrede y  Fred  M.  Reid  comparecerían  “como  parte  de  la</w:t>
        <w:br/>
        <w:t>delegación de Suriname”  y los presentó como Procurador de la  República  de</w:t>
        <w:br/>
        <w:t>Suriname, patólogo y experto y Tercer Secretario de Embajada del  Ministerio</w:t>
        <w:br/>
        <w:t>de Relaciones Exteriores de Suriname, respectivamente.</w:t>
        <w:br/>
        <w:br/>
        <w:t>10.   La audiencia pública tuvo lugar en la sede de la Corte  el  día  2  de</w:t>
        <w:br/>
        <w:t>diciembre de 1991.</w:t>
        <w:br/>
        <w:br/>
        <w:t>Comparecieron ante la Corte</w:t>
        <w:br/>
        <w:br/>
        <w:t>por el Gobierno de Suriname:</w:t>
        <w:br/>
        <w:br/>
        <w:t xml:space="preserve">      Carlos Vargas Pizarro, agente</w:t>
        <w:br/>
        <w:t xml:space="preserve">      Ramón de Freitas</w:t>
        <w:br/>
        <w:br/>
        <w:t xml:space="preserve">      Albert Vrede</w:t>
        <w:br/>
        <w:br/>
        <w:t xml:space="preserve">      Fred M. Reid;</w:t>
        <w:br/>
        <w:br/>
        <w:t>por la Comisión Interamericana de Derechos Humanos:</w:t>
        <w:br/>
        <w:br/>
        <w:t xml:space="preserve">      Oliver H. Jackman, delegado</w:t>
        <w:br/>
        <w:br/>
        <w:t xml:space="preserve">      David J. Padilla, delegado.</w:t>
        <w:br/>
        <w:br/>
        <w:br/>
        <w:t xml:space="preserve">                                     II</w:t>
        <w:br/>
        <w:br/>
        <w:t>11.   La denuncia presentada ante la Comisión el 17 de diciembre de 1988  se</w:t>
        <w:br/>
        <w:t>refiere a la detención y posterior muerte del señor Asok Gangaram Panday  en</w:t>
        <w:br/>
        <w:t>Suriname.  Dicha denuncia fue  hecha  por  el  señor  Leo  Gangaram  Panday,</w:t>
        <w:br/>
        <w:t>hermano del muerto.</w:t>
        <w:br/>
        <w:br/>
        <w:t>12.   Según el denunciante, el señor Asok Gangaram Panday fue  detenido  por</w:t>
        <w:br/>
        <w:t>la Policía Militar  cuando  llegó  al  Aeropuerto  Zanderij  en  Paramaribo.</w:t>
        <w:br/>
        <w:t>Posteriormente la Policía  Militar  de  Fort  Zeelandia,  donde  se  hallaba</w:t>
        <w:br/>
        <w:t>detenido, informó que se había ahorcado.</w:t>
        <w:br/>
        <w:br/>
        <w:t>13.    El  21  de  diciembre  de  1988  la  Comisión  solicitó  al  Gobierno</w:t>
        <w:br/>
        <w:t>información acerca de las  circunstancias  que  rodearon  la  muerte  de  la</w:t>
        <w:br/>
        <w:t>presunta víctima.  El 2 de mayo  de  1989  el  Gobierno  informó  sobre  las</w:t>
        <w:br/>
        <w:t>gestiones realizadas para investigar las  circunstancias  de  la  detención.</w:t>
        <w:br/>
        <w:t>Agregó que efectivamente Asok Gangaram Panday, según la autopsia,  se  había</w:t>
        <w:br/>
        <w:t>suicidado.</w:t>
        <w:br/>
        <w:br/>
        <w:t>14.   De acuerdo con el artículo 50 de la Convención la Comisión adoptó,  el</w:t>
        <w:br/>
        <w:t>15 de mayo de 1990, el informe Nº 04/90 en el cual resolvió:</w:t>
        <w:br/>
        <w:br/>
        <w:t xml:space="preserve">            1. Declarar admisible el presente caso.</w:t>
        <w:br/>
        <w:br/>
        <w:br/>
        <w:t xml:space="preserve">            2. Declarar que las partes no pudieron  concretizar  un  arreglo</w:t>
        <w:br/>
        <w:t xml:space="preserve">      amistoso.</w:t>
        <w:br/>
        <w:br/>
        <w:br/>
        <w:t xml:space="preserve">            3. Declarar que el Gobierno de Suriname  faltó  a  su  deber  de</w:t>
        <w:br/>
        <w:t xml:space="preserve">      proteger  los  derechos  y  libertades  contenidas  en  la  Convención</w:t>
        <w:br/>
        <w:t xml:space="preserve">      Americana sobre Derechos Humanos y asegurar el goce de éstos, tal como</w:t>
        <w:br/>
        <w:t xml:space="preserve">      lo prevéen (sic) los artículos 1 y 2 del instrumento mencionado.</w:t>
        <w:br/>
        <w:br/>
        <w:br/>
        <w:t xml:space="preserve">            4. Declarar que el Gobierno de Suriname ha violado los  derechos</w:t>
        <w:br/>
        <w:t xml:space="preserve">      humanos de la persona a que se refiere este caso, tal como lo  proveen</w:t>
        <w:br/>
        <w:t xml:space="preserve">      los artículos 1, 2, 4(01) (sic), 5(1), 5(2), 7(1), 7(2), 7(3), 25(1) y</w:t>
        <w:br/>
        <w:t xml:space="preserve">      25(2) de la Convención Americana sobre Derechos Humanos.</w:t>
        <w:br/>
        <w:br/>
        <w:br/>
        <w:t xml:space="preserve">            5. Recomendar al Gobierno de Suriname que  tome  las  siguientes</w:t>
        <w:br/>
        <w:t xml:space="preserve">      medidas:</w:t>
        <w:br/>
        <w:br/>
        <w:br/>
        <w:t xml:space="preserve">           a.    De (sic)  cumplimiento  a  los  artículos  1  y  2  de  la</w:t>
        <w:br/>
        <w:t xml:space="preserve">                 Convención, asegurando el respeto y goce  de  los  derechos</w:t>
        <w:br/>
        <w:t xml:space="preserve">                 contenidos en ella.</w:t>
        <w:br/>
        <w:br/>
        <w:br/>
        <w:t xml:space="preserve">           b.      Realice   una   investigación    sobre    los     hechos</w:t>
        <w:br/>
        <w:t xml:space="preserve">                 denunciados,  a  fin  de  procesar  y   sancionar   a   los</w:t>
        <w:br/>
        <w:t xml:space="preserve">                 responsables.</w:t>
        <w:br/>
        <w:br/>
        <w:br/>
        <w:t xml:space="preserve">           c.    Adopte  las  medidas  necesarias para evitar  la  comisión</w:t>
        <w:br/>
        <w:t xml:space="preserve">                 de hechos similares en lo sucesivo.</w:t>
        <w:br/>
        <w:br/>
        <w:br/>
        <w:t xml:space="preserve">           d.    Pague una justa indemnización a las partes lesionadas.</w:t>
        <w:br/>
        <w:br/>
        <w:br/>
        <w:t xml:space="preserve">            6. Transmitir el presente informe al Gobierno de  Suriname  para</w:t>
        <w:br/>
        <w:t xml:space="preserve">      que éste se pronuncie sobre las medidas adoptadas para cumplir con las</w:t>
        <w:br/>
        <w:t xml:space="preserve">      recomendaciones contenidas en este informe, dentro  del  plazo  de  90</w:t>
        <w:br/>
        <w:t xml:space="preserve">      días contados a partir de la fecha de remisión.  El Gobierno  no  está</w:t>
        <w:br/>
        <w:t xml:space="preserve">      facultado para publicar el presente informe, conforme a lo  estipulado</w:t>
        <w:br/>
        <w:t xml:space="preserve">      en el artículo 47.6 del Reglamento de la Comisión.</w:t>
        <w:br/>
        <w:br/>
        <w:br/>
        <w:t xml:space="preserve">            7. Someter el presente  caso  a  la  jurisdicción  de  la  Corte</w:t>
        <w:br/>
        <w:t xml:space="preserve">      Interamericana de Derechos Humanos,  si  el  Gobierno  no  cumple  las</w:t>
        <w:br/>
        <w:t xml:space="preserve">      recomendaciones señaladas en el inciso 5.</w:t>
        <w:br/>
        <w:br/>
        <w:t>15.   El 27 de agosto de 1990 la Comisión sometió el  caso  a  consideración</w:t>
        <w:br/>
        <w:t>de la Corte.</w:t>
        <w:br/>
        <w:br/>
        <w:br/>
        <w:t xml:space="preserve">                                     III</w:t>
        <w:br/>
        <w:br/>
        <w:t>16.   La Corte es competente para conocer del presente  caso.   Suriname  es</w:t>
        <w:br/>
        <w:t>Estado Parte de la Convención desde el 12 de noviembre de 1987 y  aceptó  la</w:t>
        <w:br/>
        <w:t>competencia contenciosa de la Corte a que se refiere el artículo  62  de  la</w:t>
        <w:br/>
        <w:t>Convención en la misma fecha.</w:t>
        <w:br/>
        <w:br/>
        <w:br/>
        <w:t xml:space="preserve">                                     IV</w:t>
        <w:br/>
        <w:br/>
        <w:t>17.   En su escrito de 28 de junio de 1991 el Gobierno se refiere a  algunos</w:t>
        <w:br/>
        <w:t>aspectos de forma aunque sin calificarlos de excepciones  preliminares.   En</w:t>
        <w:br/>
        <w:t>la audiencia el agente manifestó expresamente que no lo eran.  No  obstante,</w:t>
        <w:br/>
        <w:t>como de una manera u otra  esos  “aspectos  de  forma”  podrían  afectar  la</w:t>
        <w:br/>
        <w:t>admisibilidad y en el escrito se solicitó expresamente a  la  Corte  que  se</w:t>
        <w:br/>
        <w:t>pronuncie sobre ellos, el tribunal  se  referirá  a  ellos  a  continuación.</w:t>
        <w:br/>
        <w:t>Dichos aspectos son la  falta  de  firma  en  memorial  ante  la  Corte,  la</w:t>
        <w:br/>
        <w:t>representación de la Comisión en este caso contencioso y  la  presencia  del</w:t>
        <w:br/>
        <w:t>representante de la víctima en la delegación de la Comisión.</w:t>
        <w:br/>
        <w:br/>
        <w:t>18.   La Corte ya ha dicho que</w:t>
        <w:br/>
        <w:br/>
        <w:t>en la jurisdicción internacional, la inobservancia de  ciertas  formalidades</w:t>
        <w:br/>
        <w:t>no  siempre  es  relevante,  pues  lo  esencial  es  que  se  preserven  las</w:t>
        <w:br/>
        <w:t>condiciones necesarias para que los derechos procesales  de  las  partes  no</w:t>
        <w:br/>
        <w:t>sean disminuidos o desequilibrados, y para que se alcancen  los  fines  para</w:t>
        <w:br/>
        <w:t>los cuales han sido diseñados los distintos procedimientos  (Caso  Velásquez</w:t>
        <w:br/>
        <w:t>Rodríguez, Excepciones Preliminares, Sentencia  de  26  de  junio  de  1987.</w:t>
        <w:br/>
        <w:t>Serie C No. 1, párr. 33; Caso Fairén Garbi  y  Solís  Corrales,  Excepciones</w:t>
        <w:br/>
        <w:t>Preliminares, Sentencia de 26 de junio de 1987.  Serie C No. 2, párr.  38  y</w:t>
        <w:br/>
        <w:t>Caso Godínez Cruz, Excepciones Preliminares, Sentencia de  26  de  junio  de</w:t>
        <w:br/>
        <w:t>1987.  Serie C No. 3, párr. 36).</w:t>
        <w:br/>
        <w:br/>
        <w:t>19.    El  Gobierno  planteó  en  primer  término,   que   “los   Memoriales</w:t>
        <w:br/>
        <w:t>instaurando procedimientos internacionales en materia  de  derechos  humanos</w:t>
        <w:br/>
        <w:t>[. . .] deberán de cumplir con el requisito formal de venir firmados por  la</w:t>
        <w:br/>
        <w:t>parte que somete el caso”, lo cual no fue cumplido por la Comisión.</w:t>
        <w:br/>
        <w:br/>
        <w:t>20.   La Comisión  sostuvo  que  el  hecho  de  haber  remitido  la  memoria</w:t>
        <w:br/>
        <w:t>mediante facsímile acompañado de una  hoja  de  transmisión  en  la  que  se</w:t>
        <w:br/>
        <w:t>indicaba que se remitía por esa vía, no dejaba duda a la Corte o a  terceros</w:t>
        <w:br/>
        <w:t>de la autenticidad de dicho documento.</w:t>
        <w:br/>
        <w:br/>
        <w:t>21.   El artículo  25.2  del  Reglamento  establece  lo  siguiente:  “Si  la</w:t>
        <w:br/>
        <w:t>Comisión desease introducir un caso ante la Corte, conforme a  lo  dispuesto</w:t>
        <w:br/>
        <w:t>en el Artículo 61 de la Convención, entregará conjuntamente con  su  informe</w:t>
        <w:br/>
        <w:t>en veinte ejemplares, una demanda debidamente firmada en  la  cual  indicará</w:t>
        <w:br/>
        <w:t>su objeto, los derechos involucrados y el nombre de sus delegados”.</w:t>
        <w:br/>
        <w:br/>
        <w:t>22.   El artículo 30.3 del Reglamento estipula que:  “La  memoria  contendrá</w:t>
        <w:br/>
        <w:t>una exposición de los hechos sobre los que se  fundamenta  la  demanda;  una</w:t>
        <w:br/>
        <w:t>exposición de derecho y las conclusiones”.</w:t>
        <w:br/>
        <w:br/>
        <w:t>23.   La introducción de  la  instancia  fue  llevada  a  cabo  mediante  el</w:t>
        <w:br/>
        <w:t>escrito de demanda de la Comisión de fecha 27 de  agosto  de  1990,  que  se</w:t>
        <w:br/>
        <w:t>encuentra debidamente firmado por la Secretaria ejecutiva  de  la  Comisión.</w:t>
        <w:br/>
        <w:t>De acuerdo con el Reglamento la memoria no es el documento que introduce  el</w:t>
        <w:br/>
        <w:t>caso ante la Corte sino el primer acto procesal que inicia la etapa  escrita</w:t>
        <w:br/>
        <w:t>del procedimiento ante la Corte.</w:t>
        <w:br/>
        <w:br/>
        <w:t>24.   La Corte considera que,  de  conformidad  con  las  normas  procesales</w:t>
        <w:br/>
        <w:t>aplicables al caso, no existe como formalidad  ni  como  requisito  para  la</w:t>
        <w:br/>
        <w:t>presentación de la memoria  que  ella  deba  estar  firmada.   Esta  es  una</w:t>
        <w:br/>
        <w:t>condición que se sobreentiende debe  tener  todo  escrito  presentado  a  la</w:t>
        <w:br/>
        <w:t>Corte y así debió haber actuado la Comisión, pero su omisión  no  constituye</w:t>
        <w:br/>
        <w:t>incumplimiento de un requisito, ya que no lo exige  el  Reglamento.   Además</w:t>
        <w:br/>
        <w:t>existe en el presente caso una constancia de que la memoria fue enviada  por</w:t>
        <w:br/>
        <w:t>la Comisión, lo que no permite dudar de su autenticidad.</w:t>
        <w:br/>
        <w:br/>
        <w:t>25.   El Gobierno, basándose en los artículos 2.1 y 3.1 del Estatuto y  71.4</w:t>
        <w:br/>
        <w:t>del Reglamento de la Comisión y 21 del Reglamento  de  la  Corte  afirmó  en</w:t>
        <w:br/>
        <w:t>segundo lugar, que la Comisión incumplió  los  preceptos  antes  citados  al</w:t>
        <w:br/>
        <w:t>designar como delegados a la Secretaria ejecutiva y al Secretario  ejecutivo</w:t>
        <w:br/>
        <w:t>adjunto que, si bien son personal de la Comisión, no son miembros de ésta.</w:t>
        <w:br/>
        <w:br/>
        <w:t>26.   A ello la Comisión  contestó  que  “[l]os  delegados  de  la  Comisión</w:t>
        <w:br/>
        <w:t>fueron debidamente elegidos por la Comisión misma a su debido tiempo, y  ese</w:t>
        <w:br/>
        <w:t>hecho fue comunicado al Gobierno”.  Alegó que, para obrar con  flexibilidad,</w:t>
        <w:br/>
        <w:t>designó a un equipo de varios delegados formado por uno de sus miembros,  la</w:t>
        <w:br/>
        <w:t>Secretaria ejecutiva y el Secretario ejecutivo  adjunto  y  que  un  enfoque</w:t>
        <w:br/>
        <w:t>similar se ha seguido en otros casos resueltos por esta Corte.</w:t>
        <w:br/>
        <w:br/>
        <w:t>27.   Dado que el Reglamento en su artículo 21 estipula que  “[l]a  Comisión</w:t>
        <w:br/>
        <w:t>será representada por los delegados que al efecto designe.  Estos  delegados</w:t>
        <w:br/>
        <w:t>podrán, si lo desean,  hacerse  asistir  por  cualesquiera  personas  de  su</w:t>
        <w:br/>
        <w:t>elección”, la Corte considera que la Comisión  cumplió  ante  ella  con  los</w:t>
        <w:br/>
        <w:t>requisitos establecidos por esta norma.</w:t>
        <w:br/>
        <w:br/>
        <w:t>El mismo argumento es válido respecto de la designación del  abogado  de  la</w:t>
        <w:br/>
        <w:t>víctima como parte de la delegación de la Comisión.</w:t>
        <w:br/>
        <w:br/>
        <w:br/>
        <w:t xml:space="preserve">                                      V</w:t>
        <w:br/>
        <w:br/>
        <w:t>28.   El Gobierno alegó como excepciones preliminares las siguientes:</w:t>
        <w:br/>
        <w:br/>
        <w:t xml:space="preserve">      a.    “Abuso de los Derechos (sic) que le confiere la Convención” a la</w:t>
        <w:br/>
        <w:t xml:space="preserve">           Comisión,</w:t>
        <w:br/>
        <w:br/>
        <w:br/>
        <w:t xml:space="preserve">      b.    no agotamiento de los recursos de la jurisdicción interna y</w:t>
        <w:br/>
        <w:br/>
        <w:br/>
        <w:t xml:space="preserve">      c.    incumplimiento de lo establecido en los artículos 47 a 51 de  la</w:t>
        <w:br/>
        <w:t xml:space="preserve">           Convención.</w:t>
        <w:br/>
        <w:br/>
        <w:t>29.   En la primera de las excepciones preliminares, el  Gobierno  considera</w:t>
        <w:br/>
        <w:t>que la Comisión incurrió en “abuso de los derechos”:  1)  por  arrogarse  el</w:t>
        <w:br/>
        <w:t>derecho de declarar responsable a un  Estado  por  violaciones  de  derechos</w:t>
        <w:br/>
        <w:t>humanos; 2) por romper “la regla de la confidencialidad”;  3) por  la  forma</w:t>
        <w:br/>
        <w:t>de determinar la prueba ante la Corte; y  4) porque “en razón de los  abusos</w:t>
        <w:br/>
        <w:t>cometidos y falta de pruebas” la Comisión incurrió en “abuso de  derecho  de</w:t>
        <w:br/>
        <w:t>petición” al remitir el caso a la Corte.</w:t>
        <w:br/>
        <w:br/>
        <w:t>30.   La Corte entra ahora a considerar los  planteamientos  enunciados  por</w:t>
        <w:br/>
        <w:t>el Gobierno, sin que ello implique pronunciarse sobre si  existe  o  no  una</w:t>
        <w:br/>
        <w:t>excepción preliminar tal como la que  el  Gobierno  califica  de  “abuso  de</w:t>
        <w:br/>
        <w:t>derecho”.</w:t>
        <w:br/>
        <w:br/>
        <w:t>31.   En relación con el primer punto la Corte estima que el artículo 50  de</w:t>
        <w:br/>
        <w:t>la Convención es claro al establecer que “[d]e no llegarse a  una  solución,</w:t>
        <w:br/>
        <w:t>y dentro del plazo que fije el Estatuto de la Comisión,  ésta  redactará  un</w:t>
        <w:br/>
        <w:t>informe en el que expondrá los hechos y sus conclusiones [. .  .]”.   Cuando</w:t>
        <w:br/>
        <w:t>la Comisión hace esto, como  en el informe N° 04/90 de 15 de mayo  de  1990,</w:t>
        <w:br/>
        <w:t>está cumpliendo con las funciones que le asigna la Convención.</w:t>
        <w:br/>
        <w:br/>
        <w:t>32.   En segundo lugar, el Gobierno consideró  que  la  Comisión  rompió  la</w:t>
        <w:br/>
        <w:t>regla  de  la  confidencialidad  establecida  en  los  artículos  46.3   del</w:t>
        <w:br/>
        <w:t>Reglamento de la Corte y 74 del Reglamento de la Comisión  al  haber  “hecho</w:t>
        <w:br/>
        <w:t>del conocimiento público hechos referidos al caso y aun  más,  haya  emitido</w:t>
        <w:br/>
        <w:t>juicios  valorativos  previos  respecto  del  caso  en  examen   [.   .   .]</w:t>
        <w:br/>
        <w:t>pretendiendo de Mala Fide una doble sanción no prevista en  la  Convención”.</w:t>
        <w:br/>
        <w:t>Presumiblemente el Gobierno se refiere a  la  información  sobre  este  caso</w:t>
        <w:br/>
        <w:t>consignada en el Informe Anual de la Comisión 1990-1991.  La  Comisión  negó</w:t>
        <w:br/>
        <w:t>haber aplicado una doble sanción, pues en la parte  pertinente  del  Informe</w:t>
        <w:br/>
        <w:t>Anual a la Asamblea General se limitó a referencias  sobre  el  caso  y  los</w:t>
        <w:br/>
        <w:t>informes a que se refieren los artículos 50 y 51 de la Convención no  fueron</w:t>
        <w:br/>
        <w:t>publicados.</w:t>
        <w:br/>
        <w:br/>
        <w:t>33.   La Corte observa que el  aludido  Informe  Anual  de  la  Comisión  se</w:t>
        <w:br/>
        <w:t>refiere al caso pero sin reproducir el informe del  artículo  50  y  que  el</w:t>
        <w:br/>
        <w:t>caso ya había sido  remitido  a  la  Corte  cuando  tal  Informe  Anual  fue</w:t>
        <w:br/>
        <w:t>publicado.  No  puede  hablarse,  por  consiguiente,  de  violación  por  la</w:t>
        <w:br/>
        <w:t>Comisión del artículo 74 de su Reglamento y, menos  aún,  de  violación  del</w:t>
        <w:br/>
        <w:t>artículo 46.3 del Reglamento de la Corte, que se  refiere  a  una  situación</w:t>
        <w:br/>
        <w:t>muy distinta.</w:t>
        <w:br/>
        <w:br/>
        <w:t>34.   El Gobierno planteó “abuso de derecho por la forma  de  determinar  la</w:t>
        <w:br/>
        <w:t>prueba ante la Corte” y afirmó que “aunque la  Comisión  no  lo  haya  dicho</w:t>
        <w:br/>
        <w:t>expresamente ésta  en  el  presente  caso  ha  hecho  uso  de  la  irregular</w:t>
        <w:br/>
        <w:t>presunción  de  hechos  ciertos  establecida  en  el  artículo  42   de   su</w:t>
        <w:br/>
        <w:t>Reglamento, a pesar de que, de los  elementos  probatorios  presentados  por</w:t>
        <w:br/>
        <w:t>Suriname a la Comisión, resultare una conclusión diversa”.   Por  su  parte,</w:t>
        <w:br/>
        <w:t>la Comisión afirmó  que  sus  conclusiones  se  basan  en  la  investigación</w:t>
        <w:br/>
        <w:t>realizada y en las pruebas obtenidas y  que  no  aplicó  la  presunción  del</w:t>
        <w:br/>
        <w:t>artículo 42 de su Reglamento, según el cual “[s]e presumirán verdaderos  los</w:t>
        <w:br/>
        <w:t>hechos relatados en la petición [. .  .]  si  [.  .  .]  dicho  Gobierno  no</w:t>
        <w:br/>
        <w:t>suministrare la información correspondiente”.</w:t>
        <w:br/>
        <w:br/>
        <w:t>35.   La Corte no encontró en el  expediente  evidencia  alguna  de  que  la</w:t>
        <w:br/>
        <w:t>Comisión haya hecho uso de la presunción a que se refiere el artículo 42  de</w:t>
        <w:br/>
        <w:t>su Reglamento.</w:t>
        <w:br/>
        <w:br/>
        <w:t>36.   Como el Gobierno no sustentó ni en el escrito ni en  la  audiencia  la</w:t>
        <w:br/>
        <w:t>forma como supone que  la  Comisión  podría  llegar  a  cometer  “abuso  del</w:t>
        <w:br/>
        <w:t>derecho de petición” al demandar ante la Corte, el tribunal,  en  aplicación</w:t>
        <w:br/>
        <w:t>de lo dispuesto en el artículo 27.2 del  Reglamento,  según  el  cual  “[e]l</w:t>
        <w:br/>
        <w:t>escrito mediante el cual se oponga la excepción contendrá la  exposición  de</w:t>
        <w:br/>
        <w:t>hecho y de derecho, y sobre esta fundamentación se basará la  excepción”  no</w:t>
        <w:br/>
        <w:t>la considera.</w:t>
        <w:br/>
        <w:br/>
        <w:t>37.   La Corte pasa ahora a examinar la excepción de no agotamiento  de  los</w:t>
        <w:br/>
        <w:t>recursos internos a que se refiere el  artículo  46.1.a  de  la  Convención.</w:t>
        <w:br/>
        <w:t>Este artículo dispone que:</w:t>
        <w:br/>
        <w:br/>
        <w:t xml:space="preserve">                                 Artículo 46</w:t>
        <w:br/>
        <w:br/>
        <w:t xml:space="preserve">            1. Para que una petición o comunicación  presentada  conforme  a</w:t>
        <w:br/>
        <w:t xml:space="preserve">      los artículos 44 ó 45 sea admitida por la Comisión, se requerirá:</w:t>
        <w:br/>
        <w:br/>
        <w:br/>
        <w:t xml:space="preserve">            a)    que  se  hayan  interpuesto  y  agotado  los  recursos  de</w:t>
        <w:br/>
        <w:t xml:space="preserve">      jurisdicción  interna,  conforme  a   los   principios   del   Derecho</w:t>
        <w:br/>
        <w:t xml:space="preserve">      Internacional generalmente reconocidos;</w:t>
        <w:br/>
        <w:br/>
        <w:br/>
        <w:t xml:space="preserve">            [. . .]</w:t>
        <w:br/>
        <w:br/>
        <w:t>38.   El sentido de este requisito es que</w:t>
        <w:br/>
        <w:br/>
        <w:t xml:space="preserve">      permite al Estado resolver el problema según su derecho interno  antes</w:t>
        <w:br/>
        <w:t xml:space="preserve">      de  verse  enfrentado  a  un  proceso  internacional,   lo   cual   es</w:t>
        <w:br/>
        <w:t xml:space="preserve">      especialmente válido en la jurisdicción internacional de los  derechos</w:t>
        <w:br/>
        <w:t xml:space="preserve">      humanos, por ser ésta ‘coadyuvante o  complementaria’  de  la  interna</w:t>
        <w:br/>
        <w:t xml:space="preserve">      (Convención Americana, Preámbulo) (Caso Velásquez Rodríguez, Sentencia</w:t>
        <w:br/>
        <w:t xml:space="preserve">      de 29 de julio de 1988.  Serie C  No. 4, párr. 61; Caso Godínez  Cruz,</w:t>
        <w:br/>
        <w:t xml:space="preserve">      Sentencia de 20 de enero de 1989.  Serie C No.  5,  párr.  64  y  Caso</w:t>
        <w:br/>
        <w:t xml:space="preserve">      Fairén Garbi y Solís Corrales, Sentencia  de  15  de  marzo  de  1989.</w:t>
        <w:br/>
        <w:t xml:space="preserve">      Serie C No. 6, párr. 85).</w:t>
        <w:br/>
        <w:br/>
        <w:t>La Corte ha expresado que</w:t>
        <w:br/>
        <w:br/>
        <w:t xml:space="preserve">      [d]e los principios de derecho internacional generalmente  reconocidos</w:t>
        <w:br/>
        <w:t xml:space="preserve">      resulta, en primer lugar, que se trata de una  regla  cuya  invocación</w:t>
        <w:br/>
        <w:t xml:space="preserve">      puede ser renunciada en forma expresa o tácita por el Estado que tiene</w:t>
        <w:br/>
        <w:t xml:space="preserve">      derecho a invocarla, lo que ya ha sido  reconocido  por  la  Corte  en</w:t>
        <w:br/>
        <w:t xml:space="preserve">      anterior oportunidad (v. Asunto de Viviana Gallardo y otras,  Decisión</w:t>
        <w:br/>
        <w:t xml:space="preserve">      del 13 de noviembre de 1981, No. G 101/81.  Serie A,  párr.  26).   En</w:t>
        <w:br/>
        <w:t xml:space="preserve">      segundo lugar, que la excepción de  no  agotamiento  de  los  recursos</w:t>
        <w:br/>
        <w:t xml:space="preserve">      internos, para ser oportuna, debe plantearse en  las  primeras  etapas</w:t>
        <w:br/>
        <w:t xml:space="preserve">      del procedimiento, a falta de lo cual  podrá  presumirse  la  renuncia</w:t>
        <w:br/>
        <w:t xml:space="preserve">      tácita a valerse de la misma por  parte  del  Estado  interesado.   En</w:t>
        <w:br/>
        <w:t xml:space="preserve">      tercer lugar, que el Estado que alega el no  agotamiento  tiene  a  su</w:t>
        <w:br/>
        <w:t xml:space="preserve">      cargo el señalamiento de los recursos internos que deben agotarse y de</w:t>
        <w:br/>
        <w:t xml:space="preserve">      su efectividad (Caso Velásquez  Rodríguez,  Excepciones  Preliminares,</w:t>
        <w:br/>
        <w:t xml:space="preserve">      supra 18, párr. 88; Caso Fairén Garbi y  Solís  Corrales,  Excepciones</w:t>
        <w:br/>
        <w:t xml:space="preserve">      Preliminares, supra 18, párr. 87  y  Caso  Godínez  Cruz,  Excepciones</w:t>
        <w:br/>
        <w:t xml:space="preserve">      Preliminares, supra 18,  párr.  90;  ver  también  Asunto  de  Viviana</w:t>
        <w:br/>
        <w:t xml:space="preserve">      Gallardo y Otras, No. G 101/81.  Serie A).</w:t>
        <w:br/>
        <w:br/>
        <w:br/>
        <w:t xml:space="preserve">      La regla  del  previo  agotamiento  es  un  requisito  establecido  en</w:t>
        <w:br/>
        <w:t xml:space="preserve">      provecho del Estado, el cual puede renunciar a hacerlo valer,  aun  de</w:t>
        <w:br/>
        <w:t xml:space="preserve">      modo  tácito,  lo  que  ocurre  inter  alia  cuando  no  se  interpone</w:t>
        <w:br/>
        <w:t xml:space="preserve">      oportunamente para fundamentar  la  inadmisibilidad  de  una  denuncia</w:t>
        <w:br/>
        <w:t xml:space="preserve">      (Caso Fairén Garbi y Solís Corrales, Ibid., párr. 109).</w:t>
        <w:br/>
        <w:br/>
        <w:t>39.   La Corte observa que el Gobierno no hizo valer  ante  la  Comisión  la</w:t>
        <w:br/>
        <w:t>excepción de  no  agotamiento  de  los  recursos  internos  —hecho  que  fue</w:t>
        <w:br/>
        <w:t>expresamente confirmado por el agente en  la  audiencia  pública  del  2  de</w:t>
        <w:br/>
        <w:t>diciembre de 1991— lo que constituye una renuncia  tácita  a  la  excepción.</w:t>
        <w:br/>
        <w:t>Además el Gobierno tampoco señaló a su debido tiempo los  recursos  internos</w:t>
        <w:br/>
        <w:t>que en su opinión debieron agotarse y su efectividad.</w:t>
        <w:br/>
        <w:br/>
        <w:t>40.   Por consiguiente, la Corte  considera  extemporáneo  que  el  Gobierno</w:t>
        <w:br/>
        <w:t>invoque ante el tribunal la excepción de  no  agotamiento  de  los  recursos</w:t>
        <w:br/>
        <w:t>internos que debió plantear ante la Comisión y no lo hizo.</w:t>
        <w:br/>
        <w:br/>
        <w:t>41.   Finalmente la tercera de  las  excepciones  preliminares  interpuestas</w:t>
        <w:br/>
        <w:t>por el Gobierno, según la cual la Comisión no cumplió  a  cabalidad  con  lo</w:t>
        <w:br/>
        <w:t>establecido en los artículos 47 a 51 de la Convención, no  fue  fundamentada</w:t>
        <w:br/>
        <w:t>por el Gobierno en  el  escrito  ni  en  la  audiencia.   En  virtud  de  lo</w:t>
        <w:br/>
        <w:t>dispuesto en el artículo 27.2 del Reglamento (supra 36), la Corte  no  entra</w:t>
        <w:br/>
        <w:t>a considerarla.</w:t>
        <w:br/>
        <w:br/>
        <w:br/>
        <w:t xml:space="preserve">                                     VI</w:t>
        <w:br/>
        <w:br/>
        <w:br/>
        <w:t>42.   La Corte resolverá junto con la  cuestión  de  fondo  las  solicitudes</w:t>
        <w:br/>
        <w:t>escritas y verbales de las partes sobre costas en esta etapa del proceso.</w:t>
        <w:br/>
        <w:br/>
        <w:t>Por tanto,</w:t>
        <w:br/>
        <w:br/>
        <w:t>LA CORTE,</w:t>
        <w:br/>
        <w:br/>
        <w:t>por unanimidad,</w:t>
        <w:br/>
        <w:br/>
        <w:t>1.    Desestima las excepciones preliminares opuestas  por  el  Gobierno  de</w:t>
        <w:br/>
        <w:t>Suriname.</w:t>
        <w:br/>
        <w:br/>
        <w:t>por unanimidad,</w:t>
        <w:br/>
        <w:br/>
        <w:t>2.    Continúa con el conocimiento del presente caso.</w:t>
        <w:br/>
        <w:br/>
        <w:t>por unanimidad,</w:t>
        <w:br/>
        <w:br/>
        <w:t>3.     Reserva  el  pronunciamiento  sobre  costas  para  decidirlo  con  la</w:t>
        <w:br/>
        <w:t>cuestión de fondo.</w:t>
        <w:br/>
        <w:br/>
        <w:t>El Juez Cançado Trindade  hizo  conocer  de  la  Corte  su  voto  individual</w:t>
        <w:br/>
        <w:t>concordante, el cual acompañará a esta sentencia.</w:t>
        <w:br/>
        <w:br/>
        <w:br/>
        <w:t>Redactada en castellano e inglés, haciendo fe el  texto  en  castellano,  en</w:t>
        <w:br/>
        <w:t>San José, Costa Rica, el día 4 de diciembre de 1991.</w:t>
        <w:br/>
        <w:br/>
        <w:br/>
        <w:br/>
        <w:t>Héctor Fix-Zamudio</w:t>
        <w:br/>
        <w:t>Presidente</w:t>
        <w:br/>
        <w:br/>
        <w:br/>
        <w:t>Thomas Buergenthal</w:t>
        <w:br/>
        <w:br/>
        <w:br/>
        <w:t>Rafael Nieto Navia</w:t>
        <w:br/>
        <w:br/>
        <w:br/>
        <w:t>Sonia Picado Sotela</w:t>
        <w:br/>
        <w:br/>
        <w:br/>
        <w:t>Julio A. Barberis</w:t>
        <w:br/>
        <w:br/>
        <w:br/>
        <w:t>Antônio A. Cançado Trindade</w:t>
        <w:br/>
        <w:br/>
        <w:br/>
        <w:br/>
        <w:t>Manuel E. Ventura Robles</w:t>
        <w:br/>
        <w:t>Secretario</w:t>
        <w:br/>
        <w:br/>
        <w:t>Leída en sesión pública en la sede de la Corte en San José,  Costa  Rica  el</w:t>
        <w:br/>
        <w:t>día 6 de diciembre de 1991.</w:t>
        <w:br/>
        <w:br/>
        <w:t>Comuníquese y ejecútese,</w:t>
        <w:br/>
        <w:br/>
        <w:br/>
        <w:t>Héctor Fix-Zamudio</w:t>
        <w:br/>
        <w:t>Presidente</w:t>
        <w:br/>
        <w:br/>
        <w:t>Manuel E. Ventura Robles</w:t>
        <w:br/>
        <w:t>Secretario</w:t>
        <w:br/>
        <w:br/>
        <w:t xml:space="preserve">                VOTO RAZONADO DEL JUEZ A. A. CANÇADO TRINDADE</w:t>
        <w:br/>
        <w:br/>
        <w:br/>
        <w:t>1.    Concuerdo con la decisión de la Corte de  desestimar  las  excepciones</w:t>
        <w:br/>
        <w:t>preliminares interpuestas por el Gobierno demandado,  de  proseguir  con  el</w:t>
        <w:br/>
        <w:t>conocimiento del presente caso,  y  de  reservar  el  pronunciamiento  sobre</w:t>
        <w:br/>
        <w:t>costas para decidirlo con la cuestión de  fondo.   Sin  embargo,  me  siento</w:t>
        <w:br/>
        <w:t>obligado a adjuntar este Voto  Razonado  para  explicar  y  desarrollar  las</w:t>
        <w:br/>
        <w:t>razones por las cuales estoy plenamente de acuerdo con  el  rechazo  por  la</w:t>
        <w:br/>
        <w:t>Corte de una de las excepciones preliminares en particular, a saber, la  del</w:t>
        <w:br/>
        <w:t>no agotamiento de los recursos internos, y mi enfoque sobre la cuestión  del</w:t>
        <w:br/>
        <w:t>no agotamiento con relación al tema de la estructura interna  del  organismo</w:t>
        <w:br/>
        <w:t>jurisdiccional internacional (es decir, de la atribución de  competencias  a</w:t>
        <w:br/>
        <w:t>la Comisión y a la Corte Interamericana de Derechos Humanos).</w:t>
        <w:br/>
        <w:br/>
        <w:t>2.     Deseo  abordar  la  cuestión  específica  de  la  excepción   de   no</w:t>
        <w:br/>
        <w:t>agotamiento de  los  recursos  internos  invocada  ante  la  Corte,  en  dos</w:t>
        <w:br/>
        <w:t>circunstancias:  cuando no se la ha opuesto previamente  ante  la  Comisión,</w:t>
        <w:br/>
        <w:t>como en el presente caso, y cuando se la ha invocado anteriormente  ante  la</w:t>
        <w:br/>
        <w:t>Comisión.  En el  primer  caso,  no  se  puede  dudar  de  que  el  Gobierno</w:t>
        <w:br/>
        <w:t>demandado se encuentra impedido de levantar la objeción  de  no  agotamiento</w:t>
        <w:br/>
        <w:t>al no haberla opuesto previamente ante la Comisión(1) .  La Corte,  como  se</w:t>
        <w:br/>
        <w:t>puede recordar, ha considerado la excepción de no  agotamiento  renunciable,</w:t>
        <w:br/>
        <w:t>aún tácitamente, y ha estimado que la cuestión del cumplimiento o no de  los</w:t>
        <w:br/>
        <w:t>requisitos de admisibilidad ante la Comisión (artículos 46-47) se  relaciona</w:t>
        <w:br/>
        <w:t>con la interpretación o la  aplicación  de  la  Convención  Americana  y  se</w:t>
        <w:br/>
        <w:t>encuentra, de  esta  manera,  ratione  materiæ,  dentro  del  ámbito  de  la</w:t>
        <w:br/>
        <w:t>competencia de la Corte.  Sin embargo, como se trataba de  un  requisito  de</w:t>
        <w:br/>
        <w:t>admisibilidad de una petición o comunicación  ante  la  Comisión,  la  Corte</w:t>
        <w:br/>
        <w:t>sostuvo en el “Asunto de Viviana Gallardo  et  al.”  (1981,  §§  26-27)  que</w:t>
        <w:br/>
        <w:t>incumbía primero a la Comisión decidir sobre la  materia,  y  que  solamente</w:t>
        <w:br/>
        <w:t>después de dicha decisión podría la Corte aceptar o rechazar la  opinión  de</w:t>
        <w:br/>
        <w:t>la Comisión; como en aquel caso la cuestión  no  se  había  tratado  por  la</w:t>
        <w:br/>
        <w:t>Comisión, la Corte decidió que no podía en aquella etapa pronunciarse  sobre</w:t>
        <w:br/>
        <w:t>una renuncia por el Gobierno del requisito del  previo  agotamiento  de  los</w:t>
        <w:br/>
        <w:t>recursos internos.</w:t>
        <w:br/>
        <w:br/>
        <w:t>3.     De  hecho,  constituye  un  requisito  de  sentido   común,   de   la</w:t>
        <w:br/>
        <w:t>administración correcta de la justicia y de la  estabilidad  jurídica,  como</w:t>
        <w:br/>
        <w:t>lo revela el propio  plan  general  de  la  Convención  Americana,  que  una</w:t>
        <w:br/>
        <w:t>objeción a la admisibilidad basada en el  no  agotamiento  de  los  recursos</w:t>
        <w:br/>
        <w:t>internos se presente solamente in limine litis,  en  la  medida  en  que  lo</w:t>
        <w:br/>
        <w:t>permitan las circunstancias del caso.   Si  dicha  objeción,  que  beneficia</w:t>
        <w:br/>
        <w:t>primariamente al Estado demandado, no se presenta por  éste  en  el  momento</w:t>
        <w:br/>
        <w:t>oportuno,  es  decir,  en  el  procedimiento  sobre  admisibilidad  ante  la</w:t>
        <w:br/>
        <w:t>Comisión,  se  presume  que  el  Gobierno  demandado  ha   renunciado,   aun</w:t>
        <w:br/>
        <w:t>tácitamente, a dicha objeción.  No hay  nada  que  impida  que  el  Gobierno</w:t>
        <w:br/>
        <w:t>demandado renuncie, en forma expresa o tácita, al beneficio de la regla  del</w:t>
        <w:br/>
        <w:t>agotamiento de los  recursos  internos,  la  cual  pretende  privilegiar  su</w:t>
        <w:br/>
        <w:t>propio ordenamiento jurídico interno.  De ello resulta que si  tal  renuncia</w:t>
        <w:br/>
        <w:t>ha ocurrido en el procedimiento ante la Comisión, como en el presente  caso,</w:t>
        <w:br/>
        <w:t>no se puede concebir que el Gobierno demandado pueda libremente retirar  esa</w:t>
        <w:br/>
        <w:t>renuncia en el procedimiento subsecuente ante  la  Corte.   Tal  oportunidad</w:t>
        <w:br/>
        <w:t>“ampliada” e injustificada,  reivindicada  por  el  Gobierno  demandado  —de</w:t>
        <w:br/>
        <w:t>hecho  una  doble  oportunidad—,  para  invocar  una  objeción  que   existe</w:t>
        <w:br/>
        <w:t>primariamente en su propio  beneficio,  parece  militar  en  contra  de  los</w:t>
        <w:br/>
        <w:t>fundamentos  del  sistema  de  protección  internacional  de  los   derechos</w:t>
        <w:br/>
        <w:t>humanos; parece que, al contrario, hay aquí la posibilidad de, a un  tiempo,</w:t>
        <w:br/>
        <w:t>equilibrar la balanza de la justicia en una forma  equitativa  en  favor  de</w:t>
        <w:br/>
        <w:t>las presuntas víctimas,  y  fortalecer  la  administración  correcta  de  la</w:t>
        <w:br/>
        <w:t>justicia y el mecanismo de protección de la Convención.</w:t>
        <w:br/>
        <w:br/>
        <w:t>4.    El segundo caso, es decir, la  reconsideración  por  la  Corte  de  la</w:t>
        <w:br/>
        <w:t>regla del  agotamiento previamente invocada ante la  Comisión,  requiere  de</w:t>
        <w:br/>
        <w:t>mayor  reflexión.   La  Corte  examinó  esta  cuestión  en  los  tres  casos</w:t>
        <w:br/>
        <w:t>hondureños (Excepciones Preliminares,  1987)  en  los  cuales  la  Corte  no</w:t>
        <w:br/>
        <w:t>aceptó el argumento de la Comisión de que la Corte no  podía  revisar  todos</w:t>
        <w:br/>
        <w:t>los aspectos relativos a las reglas de admisibilidad  de  las  peticiones  o</w:t>
        <w:br/>
        <w:t>comunicaciones.  La Corte consideró que la materia en  cuestión  se  hallaba</w:t>
        <w:br/>
        <w:t>dentro de su competencia (contenciosa)  en  cuanto  se  relacionaba  con  la</w:t>
        <w:br/>
        <w:t>interpretación o la aplicación de la Convención; luego decidió, a su  propio</w:t>
        <w:br/>
        <w:t>criterio, juntar la cuestión del no agotamiento al fondo, dada  la  estrecha</w:t>
        <w:br/>
        <w:t>relación entre  la  cuestión  de  los   recursos  internos  y  la  violación</w:t>
        <w:br/>
        <w:t>propiamente dicha de los derechos humanos (casos:“Velásquez  Rodríguez”,  §§</w:t>
        <w:br/>
        <w:t>28, 84 y 94-96; “Godínez Cruz”, §§ 31, 86 y 96-98;  “Fairén  Garbi  y  Solís</w:t>
        <w:br/>
        <w:t>Corrales”, §§ 33, 83 y 93-95).  En dichos casos, parece que a  la  Corte  le</w:t>
        <w:br/>
        <w:t>fue posible decidir  de  esa  manera  debido  al  hecho  de  que  la  propia</w:t>
        <w:br/>
        <w:t>Comisión de algún modo argumentó que  la  materia  del  agotamiento  de  los</w:t>
        <w:br/>
        <w:t>recursos internos se vinculaba inseparablemente al fondo y  debía  decidirse</w:t>
        <w:br/>
        <w:t>juntamente con este último (casos: “Velásquez  Rodríguez”,  §  83;  “Godínez</w:t>
        <w:br/>
        <w:t>Cruz”, § 85; “Fairén Garbi y Solís Corrales”, § 82)(2) .</w:t>
        <w:br/>
        <w:br/>
        <w:t>5.     La  Corte  justificó  que,  en  el  ejercicio  de   su   jurisdicción</w:t>
        <w:br/>
        <w:t>contenciosa, era competente para decidir todas las materias relativas  a  la</w:t>
        <w:br/>
        <w:t>interpretación o la aplicación  de  la  Convención  Americana,  y  que  esas</w:t>
        <w:br/>
        <w:t>materias  comprendían  tanto  la  determinación  de  una  violación  de  los</w:t>
        <w:br/>
        <w:t>derechos  garantizados  y  la  adopción  de  medidas  apropiadas   como   la</w:t>
        <w:br/>
        <w:t>interpretación de reglas procesales y la verificación  de  su  cumplimiento.</w:t>
        <w:br/>
        <w:t>Al ejercer esos poderes, la Corte no se consideraba obligada o limitada  por</w:t>
        <w:br/>
        <w:t>las decisiones previas de la Comisión; la Corte añadió que no  actuaba  como</w:t>
        <w:br/>
        <w:t>una corte de revisión o apelación de las decisiones de la Comisión sobre  la</w:t>
        <w:br/>
        <w:t>admisibilidad, sino que esos poderes derivaban de su naturaleza como  órgano</w:t>
        <w:br/>
        <w:t>judicial único en materias relativas a la Convención, y además aseguraban  a</w:t>
        <w:br/>
        <w:t>los Estados Partes que  aceptaran  la  jurisdicción  de  la  Corte  que  las</w:t>
        <w:br/>
        <w:t>disposiciones  de  la  Convención  se  observarían   estrictamente   (casos:</w:t>
        <w:br/>
        <w:t>“Velásquez Rodríguez”, § 29; “Godínez Cruz”, § 32;  “Fairén  Garbi  y  Solís</w:t>
        <w:br/>
        <w:t>Corrales”, § 34).  Al contrario de lo que podría suponerse,  tal  afirmación</w:t>
        <w:br/>
        <w:t>tan celosa de la Corte de sus poderes también con relación  a  los  aspectos</w:t>
        <w:br/>
        <w:t>atinentes a la excepción preliminar a  la  admisibilidad  basada  en  el  no</w:t>
        <w:br/>
        <w:t>agotamiento de los recursos internos no  siempre  necesariamente  asegura  o</w:t>
        <w:br/>
        <w:t>conduce a una protección mayor de los derechos humanos garantizados.</w:t>
        <w:br/>
        <w:br/>
        <w:t>6.    En realidad, hay fuertes razones  que  militan  en  favor  de  asumir,</w:t>
        <w:br/>
        <w:t>sobre este punto en  particular,  una  posición  distinta,  más  conforme  y</w:t>
        <w:br/>
        <w:t>conducente a  la  realización  del  objeto  y  propósito  de  la  Convención</w:t>
        <w:br/>
        <w:t>Americana,  en  lo  que   concierne  al   manejo   de   esta   cuestión   de</w:t>
        <w:br/>
        <w:t>procedimiento.  Primeramente, bajo la Convención Americana, los dos  órganos</w:t>
        <w:br/>
        <w:t>de supervisión, la Comisión y la Corte, tienen poderes definidos, aquel  con</w:t>
        <w:br/>
        <w:t>la competencia de  decidir  sobre  la  admisibilidad  de  las  peticiones  o</w:t>
        <w:br/>
        <w:t>comunicaciones (artículos 46-47),  y  éste  con  la  competencia  (en  casos</w:t>
        <w:br/>
        <w:t>contenciosos) de determinar si ha habido  una  violación  de  la  Convención</w:t>
        <w:br/>
        <w:t>(artículos  62.1  y   62.3).    La   cuestión   preliminar   (procesal)   de</w:t>
        <w:br/>
        <w:t>admisibilidad es una e indivisible:  así como se  consideran  definitivas  e</w:t>
        <w:br/>
        <w:t>inapelables las decisiones de la Comisión de inadmisibilidad  de  peticiones</w:t>
        <w:br/>
        <w:t>o comunicaciones,  el  rechazo  por  la  Comisión  de  una  objeción  de  no</w:t>
        <w:br/>
        <w:t>agotamiento de recursos internos debería asimismo considerarse definitiva  y</w:t>
        <w:br/>
        <w:t>no susceptible de plantearse de  nuevo  por  el  Gobierno  demandado  en  el</w:t>
        <w:br/>
        <w:t>procedimiento subsecuente ante la Corte.  (Esto presupone  naturalmente  que</w:t>
        <w:br/>
        <w:t>las decisiones sobre la admisibilidad se basen  en  un  examen  cuidadoso  y</w:t>
        <w:br/>
        <w:t>completo de los hechos de  los  casos  por  parte  de  la  Comisión).   Esta</w:t>
        <w:br/>
        <w:t>posición ayudaría a disminuir la desigualdad factual  de  status  entre  las</w:t>
        <w:br/>
        <w:t>presuntas víctimas y los Gobiernos demandados en el  procedimiento  ante  la</w:t>
        <w:br/>
        <w:t>Corte, y parecería cumplir con los  requisitos  de  pura  lógica  (dadas  la</w:t>
        <w:br/>
        <w:t>unidad  e  indivisibilidad  de  jurisdicción)  y  del  plan  general  de  la</w:t>
        <w:br/>
        <w:t>Convención (en virtud del cual un caso  puede  someterse  a  la  Corte  sólo</w:t>
        <w:br/>
        <w:t>después de ser primero examinado por la Comisión).  Nunca hubo la  intención</w:t>
        <w:br/>
        <w:t>de que, en el mismo caso, se pudiera recurrir dos veces a la  regla  de  los</w:t>
        <w:br/>
        <w:t>recursos  internos,  como  objeción  preliminar  a   la   admisibilidad   de</w:t>
        <w:br/>
        <w:t>peticiones  o  comunicaciones,  es  decir,  de  que  el  Gobierno  demandado</w:t>
        <w:br/>
        <w:t>invocara  o  se  aprovechara  dos  veces   de   dicha   objeción,   en   los</w:t>
        <w:br/>
        <w:t>procedimientos primero ante la Comisión y luego ante la Corte.</w:t>
        <w:br/>
        <w:br/>
        <w:t>7.    En segundo lugar, el proceder de otra manera equivaldría a cambiar  el</w:t>
        <w:br/>
        <w:t>énfasis, de la preocupación principal en asegurar una protección más  eficaz</w:t>
        <w:br/>
        <w:t>de  las víctimas de presuntas  violaciones  de  derechos  humanos  hacia  la</w:t>
        <w:br/>
        <w:t>preocupación más  circunscrita  con  la  estructura  interna  apropiada  del</w:t>
        <w:br/>
        <w:t>organismo jurisdiccional internacional.  No debería pasar desapercibido  que</w:t>
        <w:br/>
        <w:t>la regla de los recursos internos no se ocupa de la estructura  interna  del</w:t>
        <w:br/>
        <w:t>organismo  jurisdiccional  internacional,  sino  que  su  propósito  es   de</w:t>
        <w:br/>
        <w:t>naturaleza distinta:   como  una  excepción  preliminar,  a  presentarse  in</w:t>
        <w:br/>
        <w:t>limine litis, su objeto es ofrecer al Estado una oportunidad  en  esa  etapa</w:t>
        <w:br/>
        <w:t>de remediar la presunta violación antes de que el  órgano  internacional  en</w:t>
        <w:br/>
        <w:t>cuestión pueda decidir sobre el mérito de la denuncia.  Así que no se  trata</w:t>
        <w:br/>
        <w:t>de “restringir” los poderes de la Corte sobre el  punto  en  cuestión,  sino</w:t>
        <w:br/>
        <w:t>más bien de fortalecer el sistema de protección como un todo, de una  manera</w:t>
        <w:br/>
        <w:t>benéfica para las  presuntas  víctimas,  en  la  realización  del  objeto  y</w:t>
        <w:br/>
        <w:t>propósito de los tratados sobre derechos humanos.</w:t>
        <w:br/>
        <w:br/>
        <w:t>8.    En tercer lugar, en respaldo adicional a  esta  tesis,  que  la  Corte</w:t>
        <w:br/>
        <w:t>asuma una competencia de revisión en cuestiones  de  admisibilidad  como  la</w:t>
        <w:br/>
        <w:t>regla  de  los  recursos  internos  parecería  atentar  contra  la  igualdad</w:t>
        <w:br/>
        <w:t>procesal y crear una disparidad entre  las  partes.   Aunque  el  reclamante</w:t>
        <w:br/>
        <w:t>hubiera ganado su caso ante la Comisión, estaría rodeado  de  incertidumbres</w:t>
        <w:br/>
        <w:t>en cuanto al resultado del caso, y  después  de  un  litigio  prolongado  la</w:t>
        <w:br/>
        <w:t>Corte podría denegarle una sentencia  sobre  el  mérito.   ¿Por  qué  se  le</w:t>
        <w:br/>
        <w:t>permitiría al Gobierno demandado impugnar ante la Corte el  rechazo  por  la</w:t>
        <w:br/>
        <w:t>Comisión de una objeción de no agotamiento, si a la presunta víctima  no  se</w:t>
        <w:br/>
        <w:t>le permitiría impugnar ante la Corte el sostenimiento  por  la  Comisión  de</w:t>
        <w:br/>
        <w:t>una objeción de no  agotamiento?   Esto  parece  constituir  una  injusticia</w:t>
        <w:br/>
        <w:t>considerable, en detrimento de la presunta víctima.</w:t>
        <w:br/>
        <w:br/>
        <w:t>9.    En cuarto lugar, habría además razón para evitar una labor  repetitiva</w:t>
        <w:br/>
        <w:t>y lenta de la Corte, no sólo  en  el  procedimiento  sobre  el  fondo,  sino</w:t>
        <w:br/>
        <w:t>también en el manejo de las pruebas:  no sería,  en  absoluto,  aconsejable,</w:t>
        <w:br/>
        <w:t>extender tal repetición regularmente también a cuestiones de  admisibilidad,</w:t>
        <w:br/>
        <w:t>sin ningún efecto tangible o  real  sobre  la  protección  de  los  derechos</w:t>
        <w:br/>
        <w:t>humanos.  Las reglas de naturaleza procesal, tales  como  la  regla  de  los</w:t>
        <w:br/>
        <w:t>recursos internos  en  el  contexto  específico  de  la  protección  de  los</w:t>
        <w:br/>
        <w:t>derechos humanos, incorporada  en  el  tratado  sobre  derechos  humanos  en</w:t>
        <w:br/>
        <w:t>cuestión para el propósito de seleccionar las reclamaciones, mal se  podrían</w:t>
        <w:br/>
        <w:t>equiparar con  las  normas  sobre  los  propios  derechos  garantizados,  la</w:t>
        <w:br/>
        <w:t>garantía de la  observancia  de  las  cuales  merece   aún   más  atraer  la</w:t>
        <w:br/>
        <w:t>atención de la Corte.  Si se considerara que la  Corte tuviera el  poder  de</w:t>
        <w:br/>
        <w:t>revisar las decisiones de la Comisión sobre admisibilidad, si ambos  órganos</w:t>
        <w:br/>
        <w:t>se  pronunciaran  sobre  la  objeción  del  no  agotamiento,   esto   podría</w:t>
        <w:br/>
        <w:t>desafortunadamente abrir camino para decisiones divergentes  o  conflictivas</w:t>
        <w:br/>
        <w:t>de  los  dos  órganos  sobre  el  punto  en  cuestión(3)  ;  tal   resultado</w:t>
        <w:br/>
        <w:t>difícilmente  parecería  conducente   al   fortalecimiento   del   mecanismo</w:t>
        <w:br/>
        <w:t>internacional de protección de los derechos humanos en cuestión.</w:t>
        <w:br/>
        <w:br/>
        <w:t>10.   En el presente caso, la Corte correctamente dictamina que el  Gobierno</w:t>
        <w:br/>
        <w:t>demandado  está  claramente  impedido  de  apoyarse  en  esta  etapa  en  la</w:t>
        <w:br/>
        <w:t>excepción de no agotamiento en  razón  de  su  renuncia  tácita  de  aquella</w:t>
        <w:br/>
        <w:t>objeción,  al  no  haberla  interpuesto  en  el   procedimiento   sobre   la</w:t>
        <w:br/>
        <w:t>admisibilidad de la petición o comunicación ante la Comisión.  Aún  más,  se</w:t>
        <w:br/>
        <w:t>puede argumentar que, aunque el  Gobierno  demandado  haya  interpuesto  esa</w:t>
        <w:br/>
        <w:t>objeción en la etapa preliminar de  admisibilidad  y  la  Comisión  la  haya</w:t>
        <w:br/>
        <w:t>rechazado, el Gobierno ya no puede más apoyarse  en  esa  objeción  ante  la</w:t>
        <w:br/>
        <w:t>Corte; dicha decisión de  la  Comisión  se  debe  considerar  definitiva  en</w:t>
        <w:br/>
        <w:t>cuanto a la regla  del  agotamiento  de  los  recursos  internos.   Esto  le</w:t>
        <w:br/>
        <w:t>impediría a la Corte incluso considerar tal objeción,  una  vez  que  no  ha</w:t>
        <w:br/>
        <w:t>sido interpuesta ante la Comisión, como en el  presente  caso,  o,  habiendo</w:t>
        <w:br/>
        <w:t>sido interpuesta, ha sido rechazada por  la  Comisión:   simplemente  no  se</w:t>
        <w:br/>
        <w:t>podría apoyar en la objeción ante la  Corte.   Tal  fundamento  y  nada  más</w:t>
        <w:br/>
        <w:t>sería así suficiente para rechazar esa objeción, en las  dos  circunstancias</w:t>
        <w:br/>
        <w:t>aquí consideradas. Este enfoque, apropiadamente aplicado, además  disuadiría</w:t>
        <w:br/>
        <w:t>a la Corte a no considerar juntar al fondo la materia  del  agotamiento,  lo</w:t>
        <w:br/>
        <w:t>cual invariablemente perjudicaría a las presuntas  víctimas,  o  no  tendría</w:t>
        <w:br/>
        <w:t>ningún impacto concreto  sobre  la  protección  de  sus  derechos,  por  las</w:t>
        <w:br/>
        <w:t>razones arriba expuestas.  El rechazo  por  la  Comisión  de  una  excepción</w:t>
        <w:br/>
        <w:t>preliminar de  no  agotamiento  es  como  tal   indivisible,  cubriendo  las</w:t>
        <w:br/>
        <w:t>condiciones de aplicación de la regla  de  los  recursos  internos  bajo  la</w:t>
        <w:br/>
        <w:t>Convención, es decir, tanto la incidencia de la regla como sus  excepciones.</w:t>
        <w:br/>
        <w:t xml:space="preserve"> Esto parece conforme al  rationale  de  la  regla  en  el  contexto  de  la</w:t>
        <w:br/>
        <w:t>protección internacional de los derechos humanos.</w:t>
        <w:br/>
        <w:br/>
        <w:t>11.    La  especificidad  o  el  carácter  especial  de   los   tratados   e</w:t>
        <w:br/>
        <w:t>instrumentos sobre derechos humanos, la naturaleza y la gravedad de  ciertas</w:t>
        <w:br/>
        <w:t>violaciones de los derechos humanos y los imperativos de  protección  de  la</w:t>
        <w:br/>
        <w:t>persona humana enfatizan la necesidad de evitar consecuencias injustas y  de</w:t>
        <w:br/>
        <w:t>asegurar con este propósito  una  aplicación  necesariamente  distinta  (más</w:t>
        <w:br/>
        <w:t>flexible y equitativa) de la regla de los recursos internos en  el  contexto</w:t>
        <w:br/>
        <w:t>específico de la protección internacional de  los  derechos  humanos.   Esto</w:t>
        <w:br/>
        <w:t>explica, en  el  presente  dominio  de  protección,  la  aplicación  de  los</w:t>
        <w:br/>
        <w:t>principios de la buena fe y del  estoppel  en  la  salvaguardia  del  debido</w:t>
        <w:br/>
        <w:t>proceso legal y de los derechos de las presuntas víctimas,  la  distribución</w:t>
        <w:br/>
        <w:t>de la carga de la prueba en cuanto al agotamiento de los  recursos  internos</w:t>
        <w:br/>
        <w:t>entre la presunta víctima y el Gobierno  con  una  carga  mayor  sobre  este</w:t>
        <w:br/>
        <w:t>último(4) ,  las  aclaraciones y mayor precisión en cuanto a la amplia  gama</w:t>
        <w:br/>
        <w:t>de excepciones a la regla de  los  recursos  internos(5)  .   Esto  viene  a</w:t>
        <w:br/>
        <w:t>confirmar  que  los  principios   generalmente   reconocidos   del   derecho</w:t>
        <w:br/>
        <w:t>internacional, mencionados en la formulación de la regla  de  los   recursos</w:t>
        <w:br/>
        <w:t>internos en los tratados e instrumentos de  derechos  humanos,  experimentan</w:t>
        <w:br/>
        <w:t>necesariamente un cierto grado de adaptación o ajuste cuando  se  encuentran</w:t>
        <w:br/>
        <w:t>incorporados en dichos tratados e instrumentos,  dada  la  especificidad  de</w:t>
        <w:br/>
        <w:t>éstos y el carácter especial de su objeto y propósito últimos.</w:t>
        <w:br/>
        <w:br/>
        <w:br/>
        <w:br/>
        <w:t>Antônio Augusto Cançado Trindade</w:t>
        <w:br/>
        <w:t>Juez</w:t>
        <w:br/>
        <w:br/>
        <w:br/>
        <w:br/>
        <w:t>Manuel E. Ventura Robles</w:t>
        <w:br/>
        <w:t>Secretario</w:t>
        <w:br/>
        <w:br/>
        <w:br/>
        <w:br/>
        <w:br/>
        <w:t>(1) Véase al efecto la jurisprudencia  constante  de  la  Corte  Europea  de</w:t>
        <w:br/>
        <w:t>Derechos Humanos (Sentencias,  inter  alia,  en  los  casos:  Artico,  1980;</w:t>
        <w:br/>
        <w:t>Corigliano, 1982; de Jong, Baljet y  Van  der  Brink,  1984;  Bozano,  1986;</w:t>
        <w:br/>
        <w:t>Bricmont, 1989; Ciulla, 1989; Granger, 1990).</w:t>
        <w:br/>
        <w:t>(2) Este enfoque es reminiscente de la jurisprudencia de  la  Corte  Europea</w:t>
        <w:br/>
        <w:t>de Derechos Humanos (que se inició en la Sentencia de Wilde, Ooms y  Versyp,</w:t>
        <w:br/>
        <w:t>1971) según la cual la Corte tiene competencia para  tomar  conocimiento  de</w:t>
        <w:br/>
        <w:t>toda cuestión de hecho y de  derecho  relacionada  con  la  materia  del  no</w:t>
        <w:br/>
        <w:t>agotamiento  de  los  recursos  internos,  en  la  medida  en  que  se  haya</w:t>
        <w:br/>
        <w:t>interpuesto la objeción primero ante la Comisión. Esta tesis,  sin  embargo,</w:t>
        <w:br/>
        <w:t>no pasó sin alguna disidencia dentro de la propia Corte, no  sólo  en  aquel</w:t>
        <w:br/>
        <w:t>caso que sentó jurisprudencia, sino también en casos más  recientes  en  los</w:t>
        <w:br/>
        <w:t>cuales la Corte la ha sostenido (Brozicek, 1989; Cardot, 1991;  Oberschlick,</w:t>
        <w:br/>
        <w:t>1991).</w:t>
        <w:br/>
        <w:t>(3) Esto es más  que  una  posibilidad  teórica,  ya  sucedió:  en  un  caso</w:t>
        <w:br/>
        <w:t>reciente (Cardot, 1991) bajo la Convención Europea de Derechos  Humanos,  la</w:t>
        <w:br/>
        <w:t>Comisión  había  anteriormente  rechazado  la  objeción  de  no  agotamiento</w:t>
        <w:br/>
        <w:t>interpuesta por el Gobierno demandado, pero la Corte  posteriormente  volvió</w:t>
        <w:br/>
        <w:t>a considerarla, la retuvo y la sostuvo, hallándose incompetente  para  tomar</w:t>
        <w:br/>
        <w:t>conocimiento del fondo del caso debido a que el reclamante presuntamente  no</w:t>
        <w:br/>
        <w:t>había agotado los recursos internos.</w:t>
        <w:br/>
        <w:t>(4) Tres casos hondureños:  Corte  I.D.H.,  Excepciones  Preliminares,  1987</w:t>
        <w:br/>
        <w:t>(“Velásquez Rodríguez”, § 88; “Godínez Cruz”, § 90; “Fairén  Garbi  y  Solís</w:t>
        <w:br/>
        <w:t>Corrales”, § 87) ; y fondo (“Velásquez Rodríguez”,  1988,  §§  56-60  y  73;</w:t>
        <w:br/>
        <w:t>“Godínez Cruz”, 1989, §§ 62-63 y 76; “Fairén Garbi y Solís Corrales”,  1989,</w:t>
        <w:br/>
        <w:t>§§  83-84).  Corte  I.D.H.,  Opinión  Consultiva  OC-11/90,  Excepciones  al</w:t>
        <w:br/>
        <w:t>Agotamiento de los Recursos Internos, 1990, §§ 40-41.</w:t>
        <w:br/>
        <w:t>(5) Corte I.D.H., Opinión Consultiva OC-11/90,  Excepciones  al  Agotamiento</w:t>
        <w:br/>
        <w:t>de los Recursos Internos, 1990, §§ 14-40.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