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Caso Ximenes Lopes Vs. República Federativa del Brasil</w:t>
        <w:br/>
        <w:br/>
        <w:br/>
        <w:br/>
        <w:t xml:space="preserve">                    Sentencia de 30 de noviembre de 2005</w:t>
        <w:br/>
        <w:br/>
        <w:t xml:space="preserve">                           (Excepción Preliminar)</w:t>
        <w:br/>
        <w:br/>
        <w:br/>
        <w:br/>
        <w:br/>
        <w:br/>
        <w:br/>
        <w:t>En el caso Ximenes Lopes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Juez, y</w:t>
        <w:br/>
        <w:t xml:space="preserve">      Diego García-Sayán.</w:t>
        <w:br/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acuerdo con los artículos 37, 56 y 58 del  Reglamento  de  la  Corte  (en</w:t>
        <w:br/>
        <w:t>adelante  “el  Reglamento”)[1],  dicta  la  presente  Sentencia   sobre   la</w:t>
        <w:br/>
        <w:t>excepción preliminar interpuesta por la República Federativa de  Brasil  (en</w:t>
        <w:br/>
        <w:t>adelante “el Estado” o “Brasil”).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br/>
        <w:t>1.    El 1 de octubre de 2004,  de  conformidad  con  lo  dispuesto  en  los</w:t>
        <w:br/>
        <w:t>artículos 50 y 61 de la Convención  Americana  sobre  Derechos  Humanos  (en</w:t>
        <w:br/>
        <w:t>adelante  “la  Convención”  o  “la  Convención  Americana”),   la   Comisión</w:t>
        <w:br/>
        <w:t>Interamericana  de  Derechos  Humanos  (en  adelante  “la  Comisión”  o  “la</w:t>
        <w:br/>
        <w:t>Comisión Interamericana”) sometió  ante  la  Corte  una  demanda  contra  el</w:t>
        <w:br/>
        <w:t>Estado, la cual se originó  en  la  denuncia  No.  12.237,  recibida  en  la</w:t>
        <w:br/>
        <w:t>Secretaría de la Comisión el 22 de noviembre de 1999.</w:t>
        <w:br/>
        <w:br/>
        <w:br/>
        <w:t>2.     La Comisión presentó la demanda en este caso con el objeto de que  la</w:t>
        <w:br/>
        <w:t>Corte decidiera si  el  Estado  es  responsable  por  la  violación  de  los</w:t>
        <w:br/>
        <w:t>derechos consagrados en los artículos 4 (Derecho a la Vida);  5  (Derecho  a</w:t>
        <w:br/>
        <w:t>la Integridad  Personal); 8  (Derecho  a  las  Garantías  Judiciales)  y  25</w:t>
        <w:br/>
        <w:t>(Derecho a la protección Judicial) de la Convención  Americana, en  relación</w:t>
        <w:br/>
        <w:t>con la obligación establecida en el artículo  1.1  (obligación  de  Respetar</w:t>
        <w:br/>
        <w:t>los  Derechos) de la misma, en perjuicio del  señor  Damião  Ximenes  Lopes,</w:t>
        <w:br/>
        <w:t>por las supuestas condiciones inhumanas y degradantes de la  hospitalización</w:t>
        <w:br/>
        <w:t>del señor Damião Ximenes Lopes, una persona con discapacidad mental,  en  un</w:t>
        <w:br/>
        <w:t>centro de salud que operaba dentro del  marco del  Sistema  Único  de  Salud</w:t>
        <w:br/>
        <w:t>brasileño llamado la Casa de  Repouso  Guararapes;  los  alegados  golpes  y</w:t>
        <w:br/>
        <w:t>ataques contra la integridad personal de que fue víctima por  parte  de  los</w:t>
        <w:br/>
        <w:t>funcionarios de la Casa de  Repouso; su muerte mientras se  encontraba  allí</w:t>
        <w:br/>
        <w:t>sometido  a  tratamiento  psiquiátrico;  así  como  la  supuesta   falta  de</w:t>
        <w:br/>
        <w:t>investigación  y  garantías  judiciales  que  caracterizan  su  caso  y   lo</w:t>
        <w:br/>
        <w:t>mantienen en la impunidad.  Agregó la Comisión que los hechos  del  presente</w:t>
        <w:br/>
        <w:t>caso se ven agravados por la  situación  de  vulnerabilidad  en  la  que  se</w:t>
        <w:br/>
        <w:t>encuentran las personas con discapacidad mental, así como  por  la  especial</w:t>
        <w:br/>
        <w:t>obligación  del   Estado  de  brindar  protección  a  las  personas  que  se</w:t>
        <w:br/>
        <w:t>encuentran bajo el cuidado de centros de  salud  que  funcionan  dentro  del</w:t>
        <w:br/>
        <w:t>Sistema Único de Salud brasileño.  Como consecuencia, la  Comisión  solicitó</w:t>
        <w:br/>
        <w:t>a la  Corte  que  ordene  al  Estado  que  adopte  determinadas  medidas  de</w:t>
        <w:br/>
        <w:t>reparación indicadas en la demanda y que reintegre las costas y gastos.</w:t>
        <w:br/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br/>
        <w:t>3.    La Corte es competente, en  los  términos  del  artículo  62.3  de  la</w:t>
        <w:br/>
        <w:t>Convención, para conocer el presente caso, en razón de que Brasil es  Estado</w:t>
        <w:br/>
        <w:t>Parte en la Convención Americana  desde  el  25  de  septiembre  de  1992  y</w:t>
        <w:br/>
        <w:t>reconoció la competencia contenciosa de la  Corte  el  10  de  diciembre  de</w:t>
        <w:br/>
        <w:t>1998.</w:t>
        <w:br/>
        <w:br/>
        <w:br/>
        <w:br/>
        <w:br/>
        <w:t xml:space="preserve">                                     III</w:t>
        <w:br/>
        <w:t xml:space="preserve">                        Primera Excepción Preliminar</w:t>
        <w:br/>
        <w:t xml:space="preserve">    No agotamiento de los recursos de la jurisdicción interna del Estado</w:t>
        <w:br/>
        <w:br/>
        <w:br/>
        <w:t>4.    El artículo 46.1.a de la Convención dispone que  para  determinar  la</w:t>
        <w:br/>
        <w:t>admisibilidad de una petición o comunicación presentada  ante  la  Comisión</w:t>
        <w:br/>
        <w:t>Interamericana de conformidad con los artículos 44 ó 45 de  la  Convención,</w:t>
        <w:br/>
        <w:t>es necesario que  se  hayan  interpuesto  y  agotado  los  recursos  de  la</w:t>
        <w:br/>
        <w:t>jurisdicción  interna,  según  los  principios  del  derecho  internacional</w:t>
        <w:br/>
        <w:t>generalmente reconocidos[2].  Lo  anterior  significa  que  no  sólo  deben</w:t>
        <w:br/>
        <w:t>existir formalmente esos recursos,  sino  también  deben  ser  adecuados  y</w:t>
        <w:br/>
        <w:t>efectivos, como resulta de las excepciones contempladas en el artículo 46.2</w:t>
        <w:br/>
        <w:t>de la Convención[3].</w:t>
        <w:br/>
        <w:br/>
        <w:br/>
        <w:br/>
        <w:t>5.    La Corte ya ha establecido criterios claros que deben atenderse sobre</w:t>
        <w:br/>
        <w:t>la interposición de la excepción de falta de agotamiento  de  los  recursos</w:t>
        <w:br/>
        <w:t>internos.   De  los  principios  del  derecho  internacional   generalmente</w:t>
        <w:br/>
        <w:t>reconocidos, a los cuales se  refiere  la  regla  del  agotamiento  de  los</w:t>
        <w:br/>
        <w:t>recursos internos, resulta, en primer lugar, que el Estado demandado  puede</w:t>
        <w:br/>
        <w:t>renunciar en forma expresa o tácita a  la  invocación  de  esa  regla.   En</w:t>
        <w:br/>
        <w:t>segundo lugar, la excepción de no agotamiento  de  recursos  internos  debe</w:t>
        <w:br/>
        <w:t>plantearse, para que  sea  oportuna,  en  la  etapa  de  admisibilidad  del</w:t>
        <w:br/>
        <w:t>procedimiento ante la Comisión, o sea, antes de cualquier consideración  en</w:t>
        <w:br/>
        <w:t>cuanto al  fondo;  si  no  es  así,  se  presume  que  el  Estado  renuncia</w:t>
        <w:br/>
        <w:t>tácitamente a valerse de ella[4].</w:t>
        <w:br/>
        <w:br/>
        <w:br/>
        <w:t>6.    El Estado ha  ratificado  la  excepción  preliminar,  interpuesta  por</w:t>
        <w:br/>
        <w:t>primera  vez   en  su  contestación  de  la  demanda,  sobre  la  falta   de</w:t>
        <w:br/>
        <w:t>agotamiento de recursos internos.</w:t>
        <w:br/>
        <w:br/>
        <w:br/>
        <w:t>7.    La Comisión y los  representantes  alegaron  la  improcedencia  de  la</w:t>
        <w:br/>
        <w:t>excepción preliminar interpuesta por el Estado, tanto en  sus  observaciones</w:t>
        <w:br/>
        <w:t>escritas como en la audiencia pública.</w:t>
        <w:br/>
        <w:br/>
        <w:br/>
        <w:t>8.    El Estado y la Comisión solicitaron expresamente a  la  Corte  que  se</w:t>
        <w:br/>
        <w:t>pronuncie sobre la excepción preliminar, y los representantes  no  objetaron</w:t>
        <w:br/>
        <w:t>esta solicitud.</w:t>
        <w:br/>
        <w:br/>
        <w:br/>
        <w:t>9.    La Corte reitera su  jurisprudencia  constante  en  cuanto  a  que  la</w:t>
        <w:br/>
        <w:t>excepción de la falta de agotamiento  de  recursos  internos  debe  alegarse</w:t>
        <w:br/>
        <w:t>ante la Comisión en su  debida  oportunidad[5].   En  este  caso  no  se  ha</w:t>
        <w:br/>
        <w:t>demostrado que el Estado haya tenido impedimento o haya sido privado  de  la</w:t>
        <w:br/>
        <w:t>posibilidad de  interponer  esta  excepción  ante  la  Comisión.   Sobre  el</w:t>
        <w:br/>
        <w:t>particular, la Corte hará mayores consideraciones en su sentencia  de  fondo</w:t>
        <w:br/>
        <w:t>y reparaciones y costas.</w:t>
        <w:br/>
        <w:br/>
        <w:br/>
        <w:t>10.   En razón de lo anterior, esta  Corte  considera  procedente  continuar</w:t>
        <w:br/>
        <w:t>desde ahora con la celebración de la  audiencia  pública  convocada  por  la</w:t>
        <w:br/>
        <w:t>Resolución de la Corte de 22 de septiembre de 2005, para  lo  cual  recibirá</w:t>
        <w:br/>
        <w:t>las declaraciones de  los  testigos  y  perito,  y  escuchará  los  alegatos</w:t>
        <w:br/>
        <w:t>finales escritos sobre el fondo, y eventuales reparaciones y costas en  este</w:t>
        <w:br/>
        <w:t>caso.</w:t>
        <w:br/>
        <w:t>POR TANTO:</w:t>
        <w:br/>
        <w:br/>
        <w:br/>
        <w:t>La CORTE INTERAMERICANA DE DIREITOS HUMANOS,</w:t>
        <w:br/>
        <w:br/>
        <w:t>de conformidad con  los  artículos  24  del  Estatuto  de  la  Corte  y  los</w:t>
        <w:br/>
        <w:t>artículos 37 y 56 de Reglamento de la Corte,</w:t>
        <w:br/>
        <w:br/>
        <w:br/>
        <w:t>Resuelve:</w:t>
        <w:br/>
        <w:br/>
        <w:t>1.    Desestimar la excepción preliminar de no agotamiento de  los  recursos</w:t>
        <w:br/>
        <w:t>internos interpuesta por el Estado.</w:t>
        <w:br/>
        <w:br/>
        <w:t>2.    Continuar  con  la  celebración  de  la  audiencia  pública  convocada</w:t>
        <w:br/>
        <w:t>mediante Resolución de la Corte Interamericana de Derechos Humanos de 22  de</w:t>
        <w:br/>
        <w:t>septiembre de 2005, así como los demás actos procesales relativos al  fondo,</w:t>
        <w:br/>
        <w:t>y eventuales reparaciones y costas en el presente caso.</w:t>
        <w:br/>
        <w:br/>
        <w:t>3.     Notificar  la  presente  Resolución  al   Estado,   a   la   Comisión</w:t>
        <w:br/>
        <w:t>Interamericana de Derechos Humanos  y  los  representantes  de  la  presunta</w:t>
        <w:br/>
        <w:t>víctima y sus familiares.</w:t>
        <w:br/>
        <w:br/>
        <w:t>El Juez A.A. Cançado Trindade hizo conocer a la Corte su  Voto  Concurrente,</w:t>
        <w:br/>
        <w:t>el cual se adjunta a la presente Sentencia.</w:t>
        <w:br/>
        <w:br/>
        <w:br/>
        <w:br/>
        <w:t>Redactada en español y portugués, haciendo fe el texto en  español,  en  San</w:t>
        <w:br/>
        <w:t>José, Costa Rica, el 30 de noviembre de 2005.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Quiroga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|Diego García-Sayán                |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br/>
        <w:br/>
        <w:t>Pablo Saavedra Alessandri</w:t>
        <w:br/>
        <w:t xml:space="preserve">         Secretario</w:t>
        <w:br/>
        <w:t xml:space="preserve">               VOTO CONCURRENTE DEL JUEZ A.A. CANÇADO TRINDADE</w:t>
        <w:br/>
        <w:br/>
        <w:t>1.     Coincido  plenamente  con  la  presente   Sentencia   de   la   Corte</w:t>
        <w:br/>
        <w:t>Interamericana sobre la excepción preliminar, que refleja su  jurisprudencia</w:t>
        <w:br/>
        <w:t>constante, y la tesis que vengo sustentando hace más de dos décadas</w:t>
        <w:br/>
        <w:t>[6], a saber que, en el ámbito del Derecho  Internacional  de  los  Derechos</w:t>
        <w:br/>
        <w:t>Humanos, la excepción preliminar de no agotamiento de recursos  internos  es</w:t>
        <w:br/>
        <w:t>de pura admisibilidad, a ser interpuesta por el Estado demandado  in  limite</w:t>
        <w:br/>
        <w:t>litis, sin lo que se  presume  su  renuncia  tácita  por  parte  del  Estado</w:t>
        <w:br/>
        <w:t>demandado.</w:t>
        <w:br/>
        <w:br/>
        <w:t>2.    Dejo registro en este Voto, que escribo, como de  costumbre,  bajo  la</w:t>
        <w:br/>
        <w:t>presión sin piedad del tiempo, lo que vengo de  expresar  en  la  fructífera</w:t>
        <w:br/>
        <w:t>audiencia pública sobre la excepción  preliminar  realizada  ante  la  Corte</w:t>
        <w:br/>
        <w:t>hace  tan  solamente  diez   minutos:   mi   real   satisfacción   con   las</w:t>
        <w:br/>
        <w:t>manifestaciones de los intervinientes (el Estado que interpuso la  excepción</w:t>
        <w:br/>
        <w:t>- reus in excipiendo fit actor, - la  Comisión  Interamericana  de  Derechos</w:t>
        <w:br/>
        <w:t>Humanos, y los Representantes de los peticionarios), en  el  sentido  de  la</w:t>
        <w:br/>
        <w:t>necesidad  de  mayor  reflexión  en  cuanto  al  perfeccionamiento  de   los</w:t>
        <w:br/>
        <w:t>procedimientos bajo la Convención Americana sobre  Derechos  Humanos,  y  de</w:t>
        <w:br/>
        <w:t>mejor explicación del papel reservado a la Comisión bajo la Convención.</w:t>
        <w:br/>
        <w:br/>
        <w:t>3.    Mi posición al respeto es clarísima, la cual se  encuentra  registrada</w:t>
        <w:br/>
        <w:t>en el Proyecto  de  Protocolo  a  la  Convención  Americana  sobre  Derechos</w:t>
        <w:br/>
        <w:t>Humanos, que me permití presentar, en nombre de la Corte  Interamericana,  a</w:t>
        <w:br/>
        <w:t>los órganos competentes de la Organización de los Estados  Americanos  (OEA)</w:t>
        <w:br/>
        <w:t>en 2001[7], que consagra el  acceso  directo  de  la  persona  humana  a  la</w:t>
        <w:br/>
        <w:t>justicia internacional, la jurisdicción automáticamente  obligatoria  de  la</w:t>
        <w:br/>
        <w:t>Corte Interamericana, la jurisdicionalización del sistema interamericano  de</w:t>
        <w:br/>
        <w:t>protección, y la retención, en el ámbito de este último, en  la  actualidad,</w:t>
        <w:br/>
        <w:t>del papel de fiscal de la Comisión Interamericana.</w:t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t>Pablo Saavedra Alessandri</w:t>
        <w:br/>
        <w:t xml:space="preserve">        Secretario</w:t>
        <w:br/>
        <w:br/>
        <w:br/>
        <w:t xml:space="preserve">                           -----------------------</w:t>
        <w:br/>
        <w:t>[1]   La presente Sentencia se  dicta  según  los  términos  del  Reglamento</w:t>
        <w:br/>
        <w:t>aprobado por la Corte Interamericana de Derechos Humanos en su XLIX  Período</w:t>
        <w:br/>
        <w:t>Ordinario de Sesiones mediante Resolución de 24 de  noviembre  de  2000,  el</w:t>
        <w:br/>
        <w:t>cual entró en vigor el 1 de junio  de  2001,  y  según  la  reforma  parcial</w:t>
        <w:br/>
        <w:t>aprobada por la Corte en su  LXI  Período  Ordinario  de  Sesiones  mediante</w:t>
        <w:br/>
        <w:t>Resolución de 25 de noviembre de 2003, vigente desde el 1 de enero de 2004.</w:t>
        <w:br/>
        <w:t>[2]   Cfr. Caso de la Comunidad Moiwana. Sentencia de 15 de junio  de  2005.</w:t>
        <w:br/>
        <w:t>Serie C No. 124, párr. 48; Caso  Tibi,  supra  nota  7,  párr.  48,  y  Caso</w:t>
        <w:br/>
        <w:t>Herrera Ulloa. Sentencia de 2 de julio de 2004. Serie C No. 107, párr. 80.</w:t>
        <w:br/>
        <w:br/>
        <w:t>[3]   Cfr. Caso de las  Hermanas  Serrano  Cruz.  Excepciones  Preliminares,</w:t>
        <w:br/>
        <w:t>supra nota 7, párr. 134; Caso Tibi, supra nota 7, párr. 50,  y  Caso  de  la</w:t>
        <w:br/>
        <w:t>Comunidad Mayagna (Sumo) Awas Tingni.  Excepciones  Preliminares.  Sentencia</w:t>
        <w:br/>
        <w:t>de 1 de febrero de 2000. Serie C No. 66, párr. 53.</w:t>
        <w:br/>
        <w:br/>
        <w:t>[4]   Cfr. Caso de la Comunidad Moiwana, supra nota 8,  párr.  49;  Caso  de</w:t>
        <w:br/>
        <w:t>las Hermanas Serrano Cruz. Excepciones Preliminares,  supra  nota  7,  párr.</w:t>
        <w:br/>
        <w:t>135, y Caso Tibi, supra nota 7, párr. 49.</w:t>
        <w:br/>
        <w:br/>
        <w:t>[5]   Cfr. Caso de las Niñas Yean y Bosico. Sentencia de 8 de septiembre  de</w:t>
        <w:br/>
        <w:t>2005. Serie C No. 130, párrs.  60  y  61;  Caso  de  la  Comunidad  Moiwana.</w:t>
        <w:br/>
        <w:t>Sentencia de15 de junio de 2005. Serie C No. 124, párr. 49, y  Caso  de  las</w:t>
        <w:br/>
        <w:t>Hermanas  Serrano  Cruz.  Excepciones  Preliminares.  Sentencia  de  23   de</w:t>
        <w:br/>
        <w:t>noviembre de 2004. Serie C No. 118, párr. 135.</w:t>
        <w:br/>
        <w:t>[6].  A.A. Cançado Trindade, The Application of the Rule  of  Exhaustion  of</w:t>
        <w:br/>
        <w:t>Local Remedies in International Law, Cambridge, Cambridge University  Press,</w:t>
        <w:br/>
        <w:t>1983; A.A. Cançado Trindade, El Agotamiento de los Recursos Internos  en  el</w:t>
        <w:br/>
        <w:t>Derecho Internacional)*&gt;Bd‰¡¤¥§±¿</w:t>
        <w:br/>
        <w:br/>
        <w:t>š</w:t>
        <w:br/>
        <w:t>œ</w:t>
        <w:br/>
        <w:t>·</w:t>
        <w:br/>
        <w:t>?› @</w:t>
        <w:br/>
        <w:t xml:space="preserve"> "FGHNkøðáÐáË¸áª™ªŠªxªðnªŠªŠª™n™ª™^áQhÝe5?:?CJOJQJ-</w:t>
        <w:br/>
        <w:t>hÝeCJOJPJQJmHsHhÝeCJOJQJ#jhÝe0JOJQJU[pic]mHsHhÝe6?CJOJQJmHsH hÝe5?:?, 2a.</w:t>
        <w:br/>
        <w:t>ed., Brasilia, Editora Universidad de Brasilia, 1997.</w:t>
        <w:br/>
        <w:br/>
        <w:t>[7].  A.A. Cançado Trindade, Bases  para  un  Proyecto  de  Protocolo  a  la</w:t>
        <w:br/>
        <w:t>Convención Americana sobre Derechos Humanos, para  Fortalecer  Su  Mecanismo</w:t>
        <w:br/>
        <w:t>de  Protección,  Vol.  II,  2a.  ed.,  San  José  de   Costa   Rica,   Corte</w:t>
        <w:br/>
        <w:t>Interamericana de Derechos Humanos, 2003, pp. 1-1015.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