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Caso Neira Alegría y otros Vs. Perú</w:t>
        <w:br/>
        <w:br/>
        <w:br/>
        <w:t xml:space="preserve">                    Sentencia de 11 de diciembre de 1991</w:t>
        <w:br/>
        <w:t xml:space="preserve">                         (Excepciones Preliminares)</w:t>
        <w:br/>
        <w:br/>
        <w:br/>
        <w:br/>
        <w:br/>
        <w:br/>
        <w:br/>
        <w:t>En el caso Neira Alegría y otros,</w:t>
        <w:br/>
        <w:br/>
        <w:br/>
        <w:t>la Corte Interamericana de Derechos Humanos, integrada  por  los  siguientes</w:t>
        <w:br/>
        <w:t>jueces:</w:t>
        <w:br/>
        <w:br/>
        <w:t xml:space="preserve">      Héctor Fix-Zamudio, Presidente</w:t>
        <w:br/>
        <w:t xml:space="preserve">      Thomas Buergenthal, Juez</w:t>
        <w:br/>
        <w:t xml:space="preserve">      Rafael Nieto Navia, Juez</w:t>
        <w:br/>
        <w:t xml:space="preserve">      Julio A. Barberis, Juez</w:t>
        <w:br/>
        <w:t xml:space="preserve">      Jorge E. Orihuela Iberico, Juez ad hoc;</w:t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adjunta,</w:t>
        <w:br/>
        <w:br/>
        <w:t>de acuerdo con el artículo 27.4 del  Reglamento  vigente  para  los  asuntos</w:t>
        <w:br/>
        <w:t>sometidos a su consideración antes del 31 de julio de 1991 (en adelante  “el</w:t>
        <w:br/>
        <w:t>Reglamento”),  dicta  la   siguiente   sentencia   sobre   las   excepciones</w:t>
        <w:br/>
        <w:t>preliminares  interpuestas  por  el  Gobierno  del  Perú  (en  adelante  “el</w:t>
        <w:br/>
        <w:t>Gobierno” o “el Perú”).</w:t>
        <w:br/>
        <w:br/>
        <w:br/>
        <w:t xml:space="preserve">                                      I</w:t>
        <w:br/>
        <w:br/>
        <w:t>1.    El presente caso fue sometido a la Corte  Interamericana  de  Derechos</w:t>
        <w:br/>
        <w:t>Humanos (en adelante “la Corte”) por la Comisión Interamericana de  Derechos</w:t>
        <w:br/>
        <w:t>Humanos (en adelante “la Comisión” o “la Comisión Interamericana”) el 10  de</w:t>
        <w:br/>
        <w:t>octubre de 1990.  Se originó en la denuncia N° 10.078 contra el Perú.</w:t>
        <w:br/>
        <w:br/>
        <w:t>2.    Al presentar el caso, la Comisión invocó los artículos 51 y 61  de  la</w:t>
        <w:br/>
        <w:t>Convención Americana sobre Derechos Humanos (en adelante “la  Convención”  o</w:t>
        <w:br/>
        <w:t>“la Convención Americana”) y el artículo 50 de su Reglamento.   La  Comisión</w:t>
        <w:br/>
        <w:t>sometió este caso con el fin de que la Corte decida si hubo  violación,  por</w:t>
        <w:br/>
        <w:t>parte del Estado involucrado, de los artículos  1  (Obligación  de  respetar</w:t>
        <w:br/>
        <w:t>los derechos), 2 (Deber de adoptar  disposiciones  de  derecho  interno),  4</w:t>
        <w:br/>
        <w:t>(Derecho a la vida), 7  (Derecho  a  la  libertad  personal),  8  (Garantías</w:t>
        <w:br/>
        <w:t>judiciales) y 25 (Protección judicial) de la Convención en perjuicio de  los</w:t>
        <w:br/>
        <w:t>señores Víctor Neira  Alegría,  Edgar  Zenteno  Escobar  y  William  Zenteno</w:t>
        <w:br/>
        <w:t>Escobar y solicitó que la Corte “decida  sobre  este  caso  conforme  a  las</w:t>
        <w:br/>
        <w:t>disposiciones de la Convención, que  determine  la  responsabilidad  por  la</w:t>
        <w:br/>
        <w:t>violación señalada y que otorgue una justa compensación a los familiares  de</w:t>
        <w:br/>
        <w:t>la víctima”.   Designó  como  sus  delegados  a  los  doctores  Oscar  Luján</w:t>
        <w:br/>
        <w:t>Fappiano, miembro; Edith Márquez Rodríguez, Secretaria ejecutiva;  David  J.</w:t>
        <w:br/>
        <w:t>Padilla, Secretario ejecutivo adjunto y a Osvaldo N.  Kreimer,  especialista</w:t>
        <w:br/>
        <w:t>de la Secretaría ejecutiva.</w:t>
        <w:br/>
        <w:br/>
        <w:t>3.    La demanda de la  Comisión  junto  con  sus  anexos  fue  remitida  al</w:t>
        <w:br/>
        <w:t>Gobierno  por la Secretaría de la Corte el 22 de octubre de 1990.</w:t>
        <w:br/>
        <w:br/>
        <w:t>4.    El 8 de noviembre de 1990 el Gobierno designó  como  agente  al  señor</w:t>
        <w:br/>
        <w:t>Ministro Consejero Eduardo Barandiarán.  Posteriormente, el 2  de  enero  de</w:t>
        <w:br/>
        <w:t>1991, fue nombrado como nuevo agente el doctor Sergio Tapia Tapia.</w:t>
        <w:br/>
        <w:br/>
        <w:t>5.    El Presidente de la Corte  (en  adelante  “el  Presidente”),  mediante</w:t>
        <w:br/>
        <w:t>resolución de 12 de noviembre de 1990, de común acuerdo con  el  agente  del</w:t>
        <w:br/>
        <w:t>Perú y los delegados de la Comisión, en consulta con la Comisión  Permanente</w:t>
        <w:br/>
        <w:t>de la Corte (en adelante “la Comisión Permanente”), señaló el  29  de  marzo</w:t>
        <w:br/>
        <w:t>de 1991 como fecha límite para que la Comisión presentara la memoria  a  que</w:t>
        <w:br/>
        <w:t>se refiere el artículo 29 del Reglamento y el  28  de  junio  de  1991  como</w:t>
        <w:br/>
        <w:t>fecha límite para que el Gobierno presentara  la  contra-memoria  a  que  se</w:t>
        <w:br/>
        <w:t>refiere el mismo artículo.</w:t>
        <w:br/>
        <w:br/>
        <w:t>6.    El 10 de diciembre de 1990 el Perú nombró Juez ad hoc al doctor  Jorge</w:t>
        <w:br/>
        <w:t>E. Orihuela Iberico.</w:t>
        <w:br/>
        <w:br/>
        <w:t>7.    La Comisión presentó su memoria el 28 de marzo  de  1991  y  la  Corte</w:t>
        <w:br/>
        <w:t>recibió la contra-memoria peruana el 27 de junio de 1991.</w:t>
        <w:br/>
        <w:br/>
        <w:t>8.     El 26 de junio  de  1991  el  agente  peruano  interpuso  excepciones</w:t>
        <w:br/>
        <w:t>preliminares de “incompetencia  de  la  Comisión”  y  de  “caducidad  de  la</w:t>
        <w:br/>
        <w:t>demanda”.  El Presidente fijó el día 31 de julio de 1991 como  fecha  límite</w:t>
        <w:br/>
        <w:t>para  que  la  Comisión  presentara   una   exposición   escrita   con   sus</w:t>
        <w:br/>
        <w:t>observaciones  y  conclusiones  sobre  las  excepciones  preliminares.   Fue</w:t>
        <w:br/>
        <w:t>recibida en la Secretaría de la Corte el 31 de julio de 1991.</w:t>
        <w:br/>
        <w:br/>
        <w:t>9.    El Presidente, oído el parecer  de  la  Comisión  Permanente,  dispuso</w:t>
        <w:br/>
        <w:t>convocar a una audiencia pública en la sede de la Corte para  el  día  6  de</w:t>
        <w:br/>
        <w:t>diciembre de 1991, a  las  15:00  horas,  con  el  fin  de  que  las  partes</w:t>
        <w:br/>
        <w:t>expusieran su opinión sobre las excepciones preliminares presentadas.</w:t>
        <w:br/>
        <w:br/>
        <w:t>10.   El 3 de agosto de 1991 el Presidente se dirigió  a  la  Comisión  para</w:t>
        <w:br/>
        <w:t>solicitarle, a petición del Gobierno, que remitiera  a  la  Corte  la  parte</w:t>
        <w:br/>
        <w:t>pertinente del acta de la sesión 1057, celebrada el 14 de mayo de  1990,  en</w:t>
        <w:br/>
        <w:t>la que se acordó dar por concluido  el  examen  del  caso  y  se  adoptó  el</w:t>
        <w:br/>
        <w:t>informe N° 43/90.  También se le solicitó enviar  la  parte  pertinente  del</w:t>
        <w:br/>
        <w:t>acta del 78° período en que se decidió  someter  el  caso  a  la  Corte  con</w:t>
        <w:br/>
        <w:t>indicación de la fecha en que se celebró la sesión.</w:t>
        <w:br/>
        <w:br/>
        <w:t>La Secretaría de la Comisión contestó el 18 de octubre de 1991 que</w:t>
        <w:br/>
        <w:br/>
        <w:t xml:space="preserve">      la Comisión ha sido consultada  respecto  de  dicha  solicitud  en  el</w:t>
        <w:br/>
        <w:t xml:space="preserve">      pasado 80° período ordinario de sesiones y ha resuelto que  las  actas</w:t>
        <w:br/>
        <w:t xml:space="preserve">      de este órgano son de carácter confidencial y reservado.  No  obstante</w:t>
        <w:br/>
        <w:t xml:space="preserve">      lo señalado, la Comisión se pone a disposición de esa Honorable  Corte</w:t>
        <w:br/>
        <w:t xml:space="preserve">      a fin de proporcionar  cualesquiera  información  específica  que  esa</w:t>
        <w:br/>
        <w:t xml:space="preserve">      Corte considere necesario requerir.</w:t>
        <w:br/>
        <w:br/>
        <w:t>11.   El Gobierno, mediante escrito de 14 de noviembre de 1991,  solicitó  a</w:t>
        <w:br/>
        <w:t>la Corte que reiterase mediante oficio la solicitud a  la  Comisión  de  que</w:t>
        <w:br/>
        <w:t>“sean presentadas en debida forma las partes pertinentes de las Actas  [.  .</w:t>
        <w:br/>
        <w:t>.] bajo apercibimiento que de incumplir con el mandato judicial, se  tendrán</w:t>
        <w:br/>
        <w:t>por ciertas  las  afirmaciones  que  el  Gobierno  del  Perú  formula”.   El</w:t>
        <w:br/>
        <w:t>Presidente atendió esa solicitud mediante nota de 3 de diciembre de 1991  en</w:t>
        <w:br/>
        <w:t>la que aclaró a la Comisión que había solicitado  el  envío  de  las  partes</w:t>
        <w:br/>
        <w:t>pertinentes de dos de las  actas  a  que  se  refiere  el  artículo  22  del</w:t>
        <w:br/>
        <w:t>Reglamento de la Comisión, en cuanto contienen acuerdos adoptados por  ella,</w:t>
        <w:br/>
        <w:t>las cuales, en su opinión, no pueden ser consideradas  como  confidenciales.</w:t>
        <w:br/>
        <w:t>Agregó también que el no envío de dichos documentos  “podría  tener  efectos</w:t>
        <w:br/>
        <w:t>procesales”.</w:t>
        <w:br/>
        <w:br/>
        <w:t>12.   La audiencia pública tuvo lugar en la sede de la Corte  el  día  6  de</w:t>
        <w:br/>
        <w:t>diciembre de 1991.</w:t>
        <w:br/>
        <w:br/>
        <w:t>Comparecieron ante la Corte</w:t>
        <w:br/>
        <w:br/>
        <w:t>por el Gobierno del Perú:</w:t>
        <w:br/>
        <w:br/>
        <w:t xml:space="preserve">      Sergio Tapia Tapia, agente</w:t>
        <w:br/>
        <w:br/>
        <w:t xml:space="preserve">      Eduardo Barandiarán, Ministro Consejero;</w:t>
        <w:br/>
        <w:br/>
        <w:t>por la Comisión Interamericana de Derechos Humanos:</w:t>
        <w:br/>
        <w:br/>
        <w:t xml:space="preserve">      Oscar Luján Fappiano, delegado</w:t>
        <w:br/>
        <w:br/>
        <w:t xml:space="preserve">      David J. Padilla, delegado</w:t>
        <w:br/>
        <w:br/>
        <w:t xml:space="preserve">      Carlos Chipoco, asesor</w:t>
        <w:br/>
        <w:br/>
        <w:t xml:space="preserve">      José Miguel Vivanco, asesor</w:t>
        <w:br/>
        <w:br/>
        <w:t xml:space="preserve">      Silvio Campana, asesor.</w:t>
        <w:br/>
        <w:br/>
        <w:t>13.   En dicha audiencia la Comisión suministró las  fechas  requeridas  por</w:t>
        <w:br/>
        <w:t>el Presidente en sus notas de 3 de agosto y 3 de diciembre  de  1991  (supra</w:t>
        <w:br/>
        <w:t>10 y 11).  El señor Fappiano, manifestó:  “  [.  .  .]  confieso,  el  5  de</w:t>
        <w:br/>
        <w:t>octubre se ha tomado la decisión, en el acta, que  en  lo  pertinente  dice:</w:t>
        <w:br/>
        <w:t>mantener la decisión de someter el caso a la Corte porque se ha  vencido  el</w:t>
        <w:br/>
        <w:t>plazo y las manifestaciones del Gobierno del Perú  no  son  satisfactorias”.</w:t>
        <w:br/>
        <w:t>También expresó:</w:t>
        <w:br/>
        <w:br/>
        <w:t xml:space="preserve">       [. . .] señor Presidente, el 14 de mayo de  1990  ha  producido  este</w:t>
        <w:br/>
        <w:t xml:space="preserve">      informe la Comisión, según acta de ese mismo día  y  del  15  del  día</w:t>
        <w:br/>
        <w:t xml:space="preserve">      siguiente, que en lo pertinente dice, lo que dice la parte  conclusiva</w:t>
        <w:br/>
        <w:t xml:space="preserve">      del informe: someter el caso a la consideración, a la jurisdicción  de</w:t>
        <w:br/>
        <w:t xml:space="preserve">      la Corte, a menos que el Gobierno del Perú, solucione el asunto dentro</w:t>
        <w:br/>
        <w:t xml:space="preserve">      de los tres meses señalados en el párrafo anterior.  Reconocemos.</w:t>
        <w:br/>
        <w:br/>
        <w:br/>
        <w:t xml:space="preserve">                                     II</w:t>
        <w:br/>
        <w:br/>
        <w:br/>
        <w:t>14.   Según la denuncia presentada ante la Comisión, el 18 de junio de  1986</w:t>
        <w:br/>
        <w:t>Víctor Neira Alegría, Edgar Zenteno Escobar y  William  Zenteno  Escobar  se</w:t>
        <w:br/>
        <w:t>encontraban detenidos, en calidad de procesados como  presuntos  autores  de</w:t>
        <w:br/>
        <w:t>delito de  terrorismo,  en  el  establecimiento  penal  San  Juan  Bautista,</w:t>
        <w:br/>
        <w:t>conocido como “El Frontón”.  En esa fecha se  produjo  un  amotinamiento  en</w:t>
        <w:br/>
        <w:t>dicho centro penitenciario.  Con el fin de  sofocar  el  mismo  el  Gobierno</w:t>
        <w:br/>
        <w:t>delegó, mediante Decreto Supremo número 006-86-JUS en  el  Comando  Conjunto</w:t>
        <w:br/>
        <w:t>de las Fuerzas Armadas  el  control  del  penal,  quedando  éste  como  zona</w:t>
        <w:br/>
        <w:t>militar restringida.  Desde entonces,  fecha  en  que  las  Fuerzas  Armadas</w:t>
        <w:br/>
        <w:t>procedieron a sofocar el motín, las personas mencionadas desaparecieron  sin</w:t>
        <w:br/>
        <w:t>que sus familiares las volvieran a ver ni tener noticias de ellas.</w:t>
        <w:br/>
        <w:br/>
        <w:t>15.   En el acta que levantaron el 18 de junio de 1986 las  autoridades  del</w:t>
        <w:br/>
        <w:t>Instituto Nacional  Penitenciario,  cuyas  atribuciones  de  gobierno  sobre</w:t>
        <w:br/>
        <w:t>dicho penal fueron suspendidas en virtud  del  Decreto  Supremo  mencionado,</w:t>
        <w:br/>
        <w:t>consta que en esa fecha estaban con vida 152 internos  del  Penal  San  Juan</w:t>
        <w:br/>
        <w:t>Bautista, entre los que se encontraban  los  tres  detenidos  objeto  de  la</w:t>
        <w:br/>
        <w:t>denuncia.</w:t>
        <w:br/>
        <w:br/>
        <w:t>16.   El 8 de septiembre de 1987 la Comisión  dio  entrada  a  la  denuncia,</w:t>
        <w:br/>
        <w:t>acusó recibo y solicitó la información correspondiente  al  Gobierno,  entre</w:t>
        <w:br/>
        <w:t>ella los elementos de juicio que permitieran apreciar si se  habían  agotado</w:t>
        <w:br/>
        <w:t>las instancias internas.  Ante la falta de respuesta del  Gobierno  peruano,</w:t>
        <w:br/>
        <w:t>la Comisión reiteró el pedido de información en cuatro oportunidades (11  de</w:t>
        <w:br/>
        <w:t>enero y 7 de junio 1988, 23 de febrero y  9  de  junio  de  1989),  bajo  el</w:t>
        <w:br/>
        <w:t>apercibimiento establecido en el artículo 42 de su Reglamento.</w:t>
        <w:br/>
        <w:br/>
        <w:t>El 26 de junio de 1989  el  Gobierno  peruano  remitió  a  la  Comisión  una</w:t>
        <w:br/>
        <w:t>respuesta colectiva sobre varios casos en trámite ante  ella,  pero  no  dio</w:t>
        <w:br/>
        <w:t>ninguna respuesta precisa sobre el agotamiento de  las  instancias  internas</w:t>
        <w:br/>
        <w:t>en esta causa.</w:t>
        <w:br/>
        <w:br/>
        <w:t>17.   El 25 de septiembre de 1989 la Comisión recibió  en  audiencia  a  los</w:t>
        <w:br/>
        <w:t>representantes  de  los  reclamantes   y   del   Gobierno.    Los   primeros</w:t>
        <w:br/>
        <w:t>suministraron detalles acerca de los hechos  ocurridos  en  El  Frontón  los</w:t>
        <w:br/>
        <w:t>días 18 y 19 de junio de 1986,  particularmente  sobre  la  forma  cómo  fue</w:t>
        <w:br/>
        <w:t>sofocado el motín.  Los segundos, por el contrario, se abstuvieron de  hacer</w:t>
        <w:br/>
        <w:t>comentarios.</w:t>
        <w:br/>
        <w:br/>
        <w:t>18.   El Gobierno remitió el 29 de septiembre de 1989 una comunicación a  la</w:t>
        <w:br/>
        <w:t>Comisión, en uno de cuyos pasajes afirma:</w:t>
        <w:br/>
        <w:br/>
        <w:t xml:space="preserve">      En lo que respecta [al caso] 10.078, [el]  que,  como  es  de  dominio</w:t>
        <w:br/>
        <w:t xml:space="preserve">      público, se encuentra[.] en proceso judicial ante el  Fuero  Privativo</w:t>
        <w:br/>
        <w:t xml:space="preserve">      Militar del Perú de conformidad a las leyes vigentes, se debe  señalar</w:t>
        <w:br/>
        <w:t xml:space="preserve">      que no se ha agotado la jurisdicción interna del Estado,  por  lo  que</w:t>
        <w:br/>
        <w:t xml:space="preserve">      sería conveniente que la CIDH aguarde la culminación de la misma antes</w:t>
        <w:br/>
        <w:t xml:space="preserve">      de pronunciarse de manera definitiva sobre [el caso].</w:t>
        <w:br/>
        <w:br/>
        <w:t>19.   La Comisión examinó el  caso  durante  su  77°  período  ordinario  de</w:t>
        <w:br/>
        <w:t>sesiones y aprobó la resolución N° 43/90 de 7 de junio de 1990  que,  en  su</w:t>
        <w:br/>
        <w:t>parte dispositiva, dice lo siguiente:</w:t>
        <w:br/>
        <w:br/>
        <w:t xml:space="preserve">            1. Declarar la admisibilidad de la denuncia  base  del  presente</w:t>
        <w:br/>
        <w:t xml:space="preserve">      caso.</w:t>
        <w:br/>
        <w:br/>
        <w:br/>
        <w:t xml:space="preserve">            2. Declarar inapropiada una solución amistosa al presente caso.</w:t>
        <w:br/>
        <w:br/>
        <w:br/>
        <w:t xml:space="preserve">            3. Declarar que el Gobierno del Perú no  ha  cumplido,  con  las</w:t>
        <w:br/>
        <w:t xml:space="preserve">      obligaciones de respeto de los derechos humanos y  garantía  impuestas</w:t>
        <w:br/>
        <w:t xml:space="preserve">      por los artículos 1 y 2 de la Convención.</w:t>
        <w:br/>
        <w:br/>
        <w:br/>
        <w:t xml:space="preserve">            4. Declarar que el Gobierno del Perú ha violado el derecho a  la</w:t>
        <w:br/>
        <w:t xml:space="preserve">      vida reconocido en el artículo 4; el derecho a  la  libertad  personal</w:t>
        <w:br/>
        <w:t xml:space="preserve">      consagrado en el artículo 7; las garantías judiciales del artículo 8 y</w:t>
        <w:br/>
        <w:t xml:space="preserve">      el derecho a la protección judicial previsto en el artículo 25,  todos</w:t>
        <w:br/>
        <w:t xml:space="preserve">      de la Convención Americana sobre Derechos Humanos, en ocasión  de  los</w:t>
        <w:br/>
        <w:t xml:space="preserve">      hechos ocurridos en el Penal San Juan Bautista, Lima, el 18  de  junio</w:t>
        <w:br/>
        <w:t xml:space="preserve">      de 1986 que condujeron a la desaparición de los señores  Víctor  Neira</w:t>
        <w:br/>
        <w:t xml:space="preserve">      Alegría, Edgar Zenteno Escobar y William Zenteno Escobar.</w:t>
        <w:br/>
        <w:br/>
        <w:br/>
        <w:t xml:space="preserve">             5.     Formular   al   Gobierno   del   Perú   las   siguientes</w:t>
        <w:br/>
        <w:t xml:space="preserve">      recomendaciones (artículo 50.3 Convención y artículo 47 del Reglamento</w:t>
        <w:br/>
        <w:t xml:space="preserve">      de la CIDH):</w:t>
        <w:br/>
        <w:br/>
        <w:br/>
        <w:t xml:space="preserve">            a.   De  (sic)  cumplimiento  a  los  artículos  1  y  2  de  la</w:t>
        <w:br/>
        <w:t xml:space="preserve">      Convención adoptando un recurso efectivo que garantice plenamente  los</w:t>
        <w:br/>
        <w:t xml:space="preserve">      derechos  fundamentales  en  los  casos  de  desaparición  forzada   o</w:t>
        <w:br/>
        <w:t xml:space="preserve">      involuntaria de personas;</w:t>
        <w:br/>
        <w:br/>
        <w:br/>
        <w:t xml:space="preserve">            b.   Realice una exhaustiva, rápida  e  imparcial  investigación</w:t>
        <w:br/>
        <w:t xml:space="preserve">      sobre los hechos denunciados, a fin de identificar a los  responsables</w:t>
        <w:br/>
        <w:t xml:space="preserve">      y someterlos a la justicia para que  reciban  las  sanciones  que  tan</w:t>
        <w:br/>
        <w:t xml:space="preserve">      grave conducta exige; y determine la situación de  las  personas  cuya</w:t>
        <w:br/>
        <w:t xml:space="preserve">      desaparición ha sido denunciada;</w:t>
        <w:br/>
        <w:br/>
        <w:br/>
        <w:t xml:space="preserve">            c.   Adopte las medidas necesarias para evitar  la  comisión  de</w:t>
        <w:br/>
        <w:t xml:space="preserve">      hechos similares en lo sucesivo;</w:t>
        <w:br/>
        <w:br/>
        <w:br/>
        <w:t xml:space="preserve">            d.   Repare las consecuencias de la situación que ha configurado</w:t>
        <w:br/>
        <w:t xml:space="preserve">      la vulneración de los derechos antes  enunciados  y  pague  una  justa</w:t>
        <w:br/>
        <w:t xml:space="preserve">      indemnización a la parte o partes lesionadas.</w:t>
        <w:br/>
        <w:br/>
        <w:br/>
        <w:t xml:space="preserve">            6.   Transmitir el presente informe al Gobierno  del  Perú  para</w:t>
        <w:br/>
        <w:t xml:space="preserve">      que éste se pronuncie sobre las medidas adoptadas para  solucionar  la</w:t>
        <w:br/>
        <w:t xml:space="preserve">      situación denunciada dentro del plazo de 90 días contados a partir  de</w:t>
        <w:br/>
        <w:t xml:space="preserve">      la fecha de remisión.  El Gobierno no está facultado para publicar  el</w:t>
        <w:br/>
        <w:t xml:space="preserve">      presente informe, conforme lo  estipulado  en  el  artículo  47.6  del</w:t>
        <w:br/>
        <w:t xml:space="preserve">      Reglamento de la CIDH.</w:t>
        <w:br/>
        <w:br/>
        <w:br/>
        <w:t xml:space="preserve">            7.   Someter el presente caso a  la  jurisdicción  de  la  Corte</w:t>
        <w:br/>
        <w:t xml:space="preserve">      Interamericana de Derechos Humanos, a menos que el Gobierno  del  Perú</w:t>
        <w:br/>
        <w:t xml:space="preserve">      solucione el asunto dentro de los tres meses señalados en  el  párrafo</w:t>
        <w:br/>
        <w:t xml:space="preserve">      anterior.</w:t>
        <w:br/>
        <w:br/>
        <w:t>20.   La Comisión notificó la resolución al Gobierno el 11 de junio de  1990</w:t>
        <w:br/>
        <w:t>y le informó que el plazo a que ella se refiere surtía efecto  a  partir  de</w:t>
        <w:br/>
        <w:t>esa fecha.</w:t>
        <w:br/>
        <w:br/>
        <w:t>21.   El Gobierno, mediante nota de 14 de agosto  de  1990,  solicitó  a  la</w:t>
        <w:br/>
        <w:t>Comisión “en razón a los escasos días desde que la nueva Administración  del</w:t>
        <w:br/>
        <w:t>Perú ha asumido sus funciones y de conformidad  con  lo  establecido  en  el</w:t>
        <w:br/>
        <w:t>artículo 34, inciso 6, del Reglamento de la CIDH, [. . .]  una  prórroga  de</w:t>
        <w:br/>
        <w:t>30 días a fin de  estar  en  capacidad  de  dar  cabal  cumplimiento  a  las</w:t>
        <w:br/>
        <w:t>recomendaciones de la Comisión”.</w:t>
        <w:br/>
        <w:br/>
        <w:t>Esta, mediante nota de 20  de  agosto  de  1990,  le  concedió  la  prórroga</w:t>
        <w:br/>
        <w:t>solicitada de 30 días a partir del 11 de septiembre de 1990.</w:t>
        <w:br/>
        <w:br/>
        <w:t>22.   El Gobierno, por nota de 24 de  septiembre  de  1990,  comunicó  a  la</w:t>
        <w:br/>
        <w:t>Comisión que, a su criterio, el agotamiento  de  los  recursos  internos  en</w:t>
        <w:br/>
        <w:t>este caso se había producido el 14  de  enero  de  1987,  fecha  en  que  se</w:t>
        <w:br/>
        <w:t>publicó en el Diario Oficial  “El  Peruano”  la  decisión  del  Tribunal  de</w:t>
        <w:br/>
        <w:t>Garantías Constitucionales no accediendo a la petición de  los  reclamantes.</w:t>
        <w:br/>
        <w:t>El Perú expresó que, por consiguiente, cuando  la  denuncia  fue  presentada</w:t>
        <w:br/>
        <w:t>ante la Comisión ya habían transcurrido más de seis meses  de  agotados  los</w:t>
        <w:br/>
        <w:t>recursos internos,  que  es  el  plazo  fijado  en  el  artículo  46  de  la</w:t>
        <w:br/>
        <w:t>Convención  para  presentar  las  denuncias  ante  la  Comisión.   La   nota</w:t>
        <w:br/>
        <w:t>mencionada indica:</w:t>
        <w:br/>
        <w:br/>
        <w:t xml:space="preserve">      [. . .] En consecuencia, el Gobierno del Perú estima que  la  Comisión</w:t>
        <w:br/>
        <w:t xml:space="preserve">      debió, motu propio (sic), haber declarado inadmisible la denuncia,  de</w:t>
        <w:br/>
        <w:t xml:space="preserve">      acuerdo con el artículo 47 inciso a de la misma Convención de Derechos</w:t>
        <w:br/>
        <w:t xml:space="preserve">      Humanos, que establece que la Comisión procederá de ese modo cuando:</w:t>
        <w:br/>
        <w:br/>
        <w:br/>
        <w:t xml:space="preserve">                 ‘Falte alguno de los requisitos indicados  en  el  artículo</w:t>
        <w:br/>
        <w:t xml:space="preserve">      46’.</w:t>
        <w:br/>
        <w:br/>
        <w:t>23.   La Comisión analizó  la  nota  del  Gobierno  en  su  78°  período  de</w:t>
        <w:br/>
        <w:t>sesiones  y   resolvió  confirmar  su  decisión  de  someter   el   caso   a</w:t>
        <w:br/>
        <w:t>consideración de la Corte.</w:t>
        <w:br/>
        <w:br/>
        <w:br/>
        <w:t xml:space="preserve">                                     III</w:t>
        <w:br/>
        <w:br/>
        <w:t>24.   La Corte es competente para conocer del presente  caso.   El  Perú  es</w:t>
        <w:br/>
        <w:t>Estado Parte de la Convención desde el 28 de  julio  de  1978  y  aceptó  la</w:t>
        <w:br/>
        <w:t>competencia contenciosa de la Corte a que se refiere el artículo  62  de  la</w:t>
        <w:br/>
        <w:t>Convención el 21 de enero de 1981.</w:t>
        <w:br/>
        <w:br/>
        <w:br/>
        <w:t xml:space="preserve">                                     IV</w:t>
        <w:br/>
        <w:br/>
        <w:t>25.   Corresponde ahora a la Corte  analizar  las  excepciones  preliminares</w:t>
        <w:br/>
        <w:t>opuestas por el Gobierno.</w:t>
        <w:br/>
        <w:br/>
        <w:t>26.   En cuanto a la primera excepción el  Gobierno  afirma  que,  según  el</w:t>
        <w:br/>
        <w:t>artículo 46, inciso 1.b. de la Convención Americana, uno de  los  requisitos</w:t>
        <w:br/>
        <w:t>para la admisión de una denuncia por la Comisión es que ésta  sea  formulada</w:t>
        <w:br/>
        <w:t>dentro de los seis meses a partir de la fecha en que el  presunto  lesionado</w:t>
        <w:br/>
        <w:t>en sus derechos haya sido  notificado  de  la  decisión  definitiva  de  los</w:t>
        <w:br/>
        <w:t>tribunales internos.   Si  este  requisito  no  se  cumpliere,  la  Comisión</w:t>
        <w:br/>
        <w:t>carecería de competencia para intervenir en el caso.</w:t>
        <w:br/>
        <w:br/>
        <w:t>27.   En esta causa la denuncia fue presentada a la Comisión  Interamericana</w:t>
        <w:br/>
        <w:t>el 1 de septiembre de 1987, según el Gobierno peruano, y el 31 de agosto  de</w:t>
        <w:br/>
        <w:t>ese año, de acuerdo con la memoria de la Comisión.  Para  la  resolución  de</w:t>
        <w:br/>
        <w:t>este caso la diferencia de un día entre lo afirmado por las  partes  resulta</w:t>
        <w:br/>
        <w:t>jurídicamente irrelevante, razón por la cual la Corte  no  estima  necesario</w:t>
        <w:br/>
        <w:t>detenerse en esta circunstancia.</w:t>
        <w:br/>
        <w:br/>
        <w:t>28.   El Gobierno sostiene en su escrito de excepciones  preliminares  y  lo</w:t>
        <w:br/>
        <w:t>mantuvo en la audiencia  del  6  de  diciembre  de  1991  que  los  recursos</w:t>
        <w:br/>
        <w:t>internos interpuestos por los recurrentes  quedaron  agotados  cuando  ellos</w:t>
        <w:br/>
        <w:t>fueron  notificados   de   la   resolución   del   Tribunal   de   Garantías</w:t>
        <w:br/>
        <w:t>Constitucionales  mediante  la  publicación  correspondiente  en  el  Diario</w:t>
        <w:br/>
        <w:t>Oficial, esto es, el 14 de enero de 1987.  Agrega que según  la  ley  23385,</w:t>
        <w:br/>
        <w:t>artículo 46, que rige la actividad de este  Tribunal,  su  fallo  tiene  por</w:t>
        <w:br/>
        <w:t>efecto agotar las instancias internas .</w:t>
        <w:br/>
        <w:br/>
        <w:t>Esta afirmación del Gobierno peruano no  es  compatible  con  lo  que  había</w:t>
        <w:br/>
        <w:t>expresado antes a la Comisión mediante la nota de 29 de septiembre  de  1989</w:t>
        <w:br/>
        <w:t>(supra 18).</w:t>
        <w:br/>
        <w:br/>
        <w:t>29.   De lo expuesto surge, pues, que el Perú sostuvo el  29  de  septiembre</w:t>
        <w:br/>
        <w:t>de 1989 que las instancias internas no se habían agotado en  tanto  que,  un</w:t>
        <w:br/>
        <w:t>año después, 24 de septiembre de 1990, ante la Comisión  y  ahora,  ante  la</w:t>
        <w:br/>
        <w:t>Corte, afirma lo contrario.  Según  la  práctica  internacional  cuando  una</w:t>
        <w:br/>
        <w:t>parte en un litigio ha adoptado  una  actitud  determinada  que  redunda  en</w:t>
        <w:br/>
        <w:t>beneficio propio o en deterioro de la contraria, no puede luego,  en  virtud</w:t>
        <w:br/>
        <w:t>del principio del estoppel, asumir otra conducta que sea contradictoria  con</w:t>
        <w:br/>
        <w:t>la primera.  Para la segunda actitud rige la regla de  non  concedit  venire</w:t>
        <w:br/>
        <w:t>contra factum proprium.</w:t>
        <w:br/>
        <w:br/>
        <w:t>Se podría argumentar en este caso que el trámite  ante  el  Fuero  Privativo</w:t>
        <w:br/>
        <w:t>Militar no constituye verdaderamente un recurso o que  ese  Fuero  no  forma</w:t>
        <w:br/>
        <w:t>parte de los tribunales judiciales.  Ninguna  de  estas  afirmaciones  sería</w:t>
        <w:br/>
        <w:t>aquí relevante.  Lo que importa, por el contrario, es  que  el  Gobierno  ha</w:t>
        <w:br/>
        <w:t>sostenido, en cuanto  al  agotamiento  de  los  recursos,  dos  afirmaciones</w:t>
        <w:br/>
        <w:t>contradictorias acerca de su derecho  interno  e  independientemente  de  la</w:t>
        <w:br/>
        <w:t>veracidad de cada una  de  ellas,  esa  contradicción  afecta  la  situación</w:t>
        <w:br/>
        <w:t>procesal de la parte contraria.</w:t>
        <w:br/>
        <w:br/>
        <w:t>30.   Esta contradicción se liga directamente con la inadmisibilidad de  las</w:t>
        <w:br/>
        <w:t>peticiones una vez vencido el “plazo de seis meses, a partir de la fecha  en</w:t>
        <w:br/>
        <w:t>que el presunto lesionado  en  sus  derechos  haya  sido  notificado  de  la</w:t>
        <w:br/>
        <w:t>decisión definitiva” (art. 46.1.b. de la Convención)  sobre  el  agotamiento</w:t>
        <w:br/>
        <w:t>de los recursos internos.</w:t>
        <w:br/>
        <w:br/>
        <w:t>En efecto, como ese plazo depende del agotamiento de  los  recursos,  es  el</w:t>
        <w:br/>
        <w:t>Gobierno el que debe argüir el  vencimiento  del  plazo  ante  la  Comisión.</w:t>
        <w:br/>
        <w:t>Pero aquí vale, de nuevo, lo que ya la Corte afirmó sobre  la  excepción  de</w:t>
        <w:br/>
        <w:t>no agotamiento de los recursos internos:</w:t>
        <w:br/>
        <w:br/>
        <w:t xml:space="preserve">      De los principios de derecho  internacional  generalmente  reconocidos</w:t>
        <w:br/>
        <w:t xml:space="preserve">      resulta, en primer lugar, que se trata de una  regla  cuya  invocación</w:t>
        <w:br/>
        <w:t xml:space="preserve">      puede ser renunciada en forma expresa o tácita por el Estado que tiene</w:t>
        <w:br/>
        <w:t xml:space="preserve">      derecho a invocarla, lo que ya ha sido  reconocido  por  la  Corte  en</w:t>
        <w:br/>
        <w:t xml:space="preserve">      anterior oportunidad (v. Asunto de Viviana Gallardo y otras,  Decisión</w:t>
        <w:br/>
        <w:t xml:space="preserve">      del 13 de noviembre de 1981, No. G 101/81. Serie  A,  párr.  26).   En</w:t>
        <w:br/>
        <w:t xml:space="preserve">      segundo lugar, que la excepción de  no  agotamiento  de  los  recursos</w:t>
        <w:br/>
        <w:t xml:space="preserve">      internos, para ser oportuna, debe plantearse en  las  primeras  etapas</w:t>
        <w:br/>
        <w:t xml:space="preserve">      del procedimiento, a falta de lo cual  podrá  presumirse  la  renuncia</w:t>
        <w:br/>
        <w:t xml:space="preserve">      tácita a valerse de la misma por  parte  del  Estado  interesado.   En</w:t>
        <w:br/>
        <w:t xml:space="preserve">      tercer lugar, que el Estado que alega el no  agotamiento  tiene  a  su</w:t>
        <w:br/>
        <w:t xml:space="preserve">      cargo el señalamiento de los recursos internos que deben agotarse y de</w:t>
        <w:br/>
        <w:t xml:space="preserve">      su efectividad (Caso Velásquez  Rodríguez,  Excepciones  Preliminares,</w:t>
        <w:br/>
        <w:t xml:space="preserve">      Sentencia de 26 de junio de 1987. Serie C No. 1, párr. 88; Caso Fairén</w:t>
        <w:br/>
        <w:t xml:space="preserve">      Garbi y Solís Corrales, Excepciones Preliminares, Sentencia de  26  de</w:t>
        <w:br/>
        <w:t xml:space="preserve">      junio de 1987.  Serie  C  No.  2,  párr.  87;  y  Caso  Godínez  Cruz,</w:t>
        <w:br/>
        <w:t xml:space="preserve">      Excepciones Preliminares, Sentencia de 26 de junio de  1987.  Serie  C</w:t>
        <w:br/>
        <w:t xml:space="preserve">      No. 3, párr. 90).</w:t>
        <w:br/>
        <w:br/>
        <w:t>31.   Por las razones expuestas, el Perú está impedido en  este  proceso  de</w:t>
        <w:br/>
        <w:t>oponer la excepción de incompetencia fundada en el artículo 46, inciso  1.b.</w:t>
        <w:br/>
        <w:t>de la Convención.</w:t>
        <w:br/>
        <w:br/>
        <w:t>32.   El Gobierno ha opuesto otra excepción preliminar fundada en  el  hecho</w:t>
        <w:br/>
        <w:t>de que la Comisión presentó su demanda ante  la  Corte  una  vez  que  había</w:t>
        <w:br/>
        <w:t>vencido el plazo previsto por el artículo 51, inciso  1,  de  la  Convención</w:t>
        <w:br/>
        <w:t>Americana.  Esta disposición otorga a la Comisión un plazo de tres meses,  a</w:t>
        <w:br/>
        <w:t>partir de la fecha de remisión del  informe  al  Gobierno  interesado,  para</w:t>
        <w:br/>
        <w:t>presentar su demanda.  Una  vez  concluido  ese  plazo,  el  derecho  de  la</w:t>
        <w:br/>
        <w:t>Comisión caducaría.</w:t>
        <w:br/>
        <w:br/>
        <w:t>En el presente caso, el informe Nº 43/90 fue  remitido  al  Perú  el  11  de</w:t>
        <w:br/>
        <w:t>junio de 1990 y la demanda fue presentada a la Corte el  10  de  octubre  de</w:t>
        <w:br/>
        <w:t>ese año.  Por lo tanto, habiendo excedido el  plazo  de  los  tres  meses  a</w:t>
        <w:br/>
        <w:t>partir del 11 de junio, el derecho de la Comisión,  según  el  Perú,  habría</w:t>
        <w:br/>
        <w:t>caducado.</w:t>
        <w:br/>
        <w:br/>
        <w:t>33.    No  existe  entre  las  partes  discrepancia  acerca  de  las  fechas</w:t>
        <w:br/>
        <w:t>mencionadas.  Dado que el informe Nº 43/90 fue remitido al Gobierno  peruano</w:t>
        <w:br/>
        <w:t>el 11 de junio de 1990, la demanda debió haber  sido  presentada  dentro  de</w:t>
        <w:br/>
        <w:t>los tres meses a partir de entonces.</w:t>
        <w:br/>
        <w:br/>
        <w:t>Antes de vencido ese plazo, el 14 de agosto de 1990, el Perú solicitó  a  la</w:t>
        <w:br/>
        <w:t>Comisión una prórroga de 30 días (supra 21).  Esta le concedió  la  prórroga</w:t>
        <w:br/>
        <w:t>solicitada a partir del 11 de septiembre de 1990, mediante  nota  de  20  de</w:t>
        <w:br/>
        <w:t>agosto de ese año.</w:t>
        <w:br/>
        <w:br/>
        <w:t>34.   Resulta entonces que el plazo original de tres  meses  fue  prorrogado</w:t>
        <w:br/>
        <w:t>por la Comisión a pedido del Perú.  Ahora bien, en virtud  de  un  principio</w:t>
        <w:br/>
        <w:t>elemental de buena fe que preside todas las relaciones  internacionales,  el</w:t>
        <w:br/>
        <w:t>Perú no puede invocar el vencimiento del  plazo  cuando  ha  sido  él  mismo</w:t>
        <w:br/>
        <w:t>quien solicitó la prórroga.  Por lo tanto,  no  puede  considerarse  que  la</w:t>
        <w:br/>
        <w:t>demanda de la Comisión fue interpuesta fuera de término  sino  que,  por  el</w:t>
        <w:br/>
        <w:t>contrario, la presentación tuvo lugar dentro del plazo acordado al  Gobierno</w:t>
        <w:br/>
        <w:t>a su solicitud (cf.  Caso  Velásquez  Rodríguez,  Excepciones  Preliminares,</w:t>
        <w:br/>
        <w:t>supra 30,  párr.  72;  Caso  Fairén  Garbi  y  Solís  Corrales,  Excepciones</w:t>
        <w:br/>
        <w:t>Preliminares,  supra  30,  párr.  72;  y  Caso  Godínez  Cruz,   Excepciones</w:t>
        <w:br/>
        <w:t>Preliminares, supra 30, párr. 75).</w:t>
        <w:br/>
        <w:br/>
        <w:t>35.   Tampoco puede el Perú, como lo sostuvo en la  audiencia,  afirmar  que</w:t>
        <w:br/>
        <w:t>la Comisión no tenía competencia para otorgar una prórroga al plazo de  tres</w:t>
        <w:br/>
        <w:t>meses que él mismo pidió, pues, en virtud  de  la  buena  fe,  no  se  puede</w:t>
        <w:br/>
        <w:t>solicitar algo de otro y,  una  vez  obtenido  lo  solicitado,  impugnar  la</w:t>
        <w:br/>
        <w:t>competencia de quien se lo otorgó.</w:t>
        <w:br/>
        <w:br/>
        <w:br/>
        <w:t xml:space="preserve">                                      V</w:t>
        <w:br/>
        <w:br/>
        <w:t>Por tanto,</w:t>
        <w:br/>
        <w:br/>
        <w:t>LA CORTE,</w:t>
        <w:br/>
        <w:br/>
        <w:br/>
        <w:t>por cuatro votos contra uno,</w:t>
        <w:br/>
        <w:br/>
        <w:br/>
        <w:t>rechaza las excepciones opuestas por el Gobierno del Perú.</w:t>
        <w:br/>
        <w:br/>
        <w:br/>
        <w:t>Vota en contra el Juez ad hoc Jorge E. Orihuela Iberico.</w:t>
        <w:br/>
        <w:br/>
        <w:t>Redactada en castellano y en inglés, haciendo fe  el  texto  en  castellano.</w:t>
        <w:br/>
        <w:t>Leída en sesión pública en la sede de la Corte en San José, Costa  Rica,  el</w:t>
        <w:br/>
        <w:t>día 11 de diciembre de 1991.</w:t>
        <w:br/>
        <w:br/>
        <w:br/>
        <w:t>Héctor Fix-Zamudio</w:t>
        <w:br/>
        <w:t>Presidente</w:t>
        <w:br/>
        <w:br/>
        <w:br/>
        <w:t>Thomas Buergenthal</w:t>
        <w:br/>
        <w:br/>
        <w:br/>
        <w:t>Rafael Nieto Navia</w:t>
        <w:br/>
        <w:br/>
        <w:br/>
        <w:t>Julio A. Barberis</w:t>
        <w:br/>
        <w:br/>
        <w:br/>
        <w:t>Jorge E. Orihuela Iberico</w:t>
        <w:br/>
        <w:br/>
        <w:br/>
        <w:t>Manuel E. Ventura Robles</w:t>
        <w:br/>
        <w:t>Secretario</w:t>
        <w:br/>
        <w:br/>
        <w:br/>
        <w:t>Comuníquese y ejecútese,</w:t>
        <w:br/>
        <w:br/>
        <w:br/>
        <w:t>Héctor Fix-Zamudio</w:t>
        <w:br/>
        <w:t>Presidente</w:t>
        <w:br/>
        <w:br/>
        <w:br/>
        <w:t>Manuel E. Ventura Robles</w:t>
        <w:br/>
        <w:t>Secretario</w:t>
        <w:br/>
        <w:br/>
        <w:t>_________________________</w:t>
        <w:br/>
        <w:t>La Juez Sonia Picado  Sotela,  aunque  integró  la  Corte  en  la  audiencia</w:t>
        <w:br/>
        <w:t>pública celebrada el 6 de diciembre de 1991, no  firmó  esta  sentencia  por</w:t>
        <w:br/>
        <w:t>encontrarse fuera de su sede.</w:t>
        <w:br/>
        <w:br/>
        <w:br/>
        <w:t xml:space="preserve">                            Voto del Juez ad hoc</w:t>
        <w:br/>
        <w:t xml:space="preserve">                        Dr. Jorge E. Orihuela Iberico</w:t>
        <w:br/>
        <w:br/>
        <w:br/>
        <w:t xml:space="preserve">                        sobre la Excepción Preliminar</w:t>
        <w:br/>
        <w:t xml:space="preserve">                       de incompetencia de la Comisión</w:t>
        <w:br/>
        <w:br/>
        <w:br/>
        <w:t xml:space="preserve">                         Caso Neira Alegría y Otros</w:t>
        <w:br/>
        <w:br/>
        <w:br/>
        <w:t>I.          Hechos</w:t>
        <w:br/>
        <w:t>II.         Normatividad</w:t>
        <w:br/>
        <w:t>III.        Jurisprudencia</w:t>
        <w:br/>
        <w:t>IV.         Conclusiones y voto</w:t>
        <w:br/>
        <w:br/>
        <w:br/>
        <w:t>I.    Hechos</w:t>
        <w:br/>
        <w:br/>
        <w:t>A)    La petición o denuncia</w:t>
        <w:br/>
        <w:br/>
        <w:t>1.    Anterior a la presentación de la denuncia a la Comisión:</w:t>
        <w:br/>
        <w:br/>
        <w:t xml:space="preserve">      1.1.  Recurso de hábeas corpus que se tramita entre el 16 de julio  de</w:t>
        <w:br/>
        <w:t xml:space="preserve">      1986 en tres instancias ante el Poder Judicial y  concluye  el  25  de</w:t>
        <w:br/>
        <w:t xml:space="preserve">      agosto de 1986.</w:t>
        <w:br/>
        <w:br/>
        <w:br/>
        <w:t xml:space="preserve">      1.2.   Recurso   de   casación   ante   el   Tribunal   de   Garantías</w:t>
        <w:br/>
        <w:t xml:space="preserve">      Constitucionales que se tramita entre el 22 de septiembre de 1986 al 5</w:t>
        <w:br/>
        <w:t xml:space="preserve">      de diciembre de 1986.</w:t>
        <w:br/>
        <w:br/>
        <w:t>Se notifica por el Diario Oficial “El Peruano” el 14 de enero de 1987.</w:t>
        <w:br/>
        <w:br/>
        <w:t>2.    Con lo expuesto en el punto 1) que precede,  el  peticionario  cumplió</w:t>
        <w:br/>
        <w:t>con el requisito señalado en el artículo 46.1.a de la Convención.</w:t>
        <w:br/>
        <w:br/>
        <w:t>3.    El expediente principal  contiene  reiteradas  afirmaciones  sobre  el</w:t>
        <w:br/>
        <w:t>agotamiento de los recursos internos por parte de los peticionarios:</w:t>
        <w:br/>
        <w:br/>
        <w:t xml:space="preserve">      3.1.  A folio 246 señalan “con lo que quedó  agotada  la  jurisdicción</w:t>
        <w:br/>
        <w:t xml:space="preserve">      interna”   luego  de  la  Resolución   del   Tribunal   de   Garantías</w:t>
        <w:br/>
        <w:t xml:space="preserve">      Constitucionales; y</w:t>
        <w:br/>
        <w:br/>
        <w:br/>
        <w:t xml:space="preserve">      3.2.  A folio 208 “con lo que quedó agotada la jurisdicción interna”.</w:t>
        <w:br/>
        <w:br/>
        <w:t>B)    La presentación de la petición o denuncia a la Comisión.</w:t>
        <w:br/>
        <w:br/>
        <w:t>Se presenta en documento fechado en Washington el  31  de  agosto  de  1987,</w:t>
        <w:br/>
        <w:t>recibido por la Comisión el primero de septiembre de 1987, como es de  verse</w:t>
        <w:br/>
        <w:t>a folio 252 del expediente principal y reconocido como cierto  en  el  punto</w:t>
        <w:br/>
        <w:t>primero del Índice de Anexos que recauda la Comisión con  la  demanda  a  la</w:t>
        <w:br/>
        <w:t>Corte de fecha 16 de octubre de  1990  que  corre  a  folio  254  del  mismo</w:t>
        <w:br/>
        <w:t>expediente.</w:t>
        <w:br/>
        <w:br/>
        <w:br/>
        <w:t>II.   Normatividad</w:t>
        <w:br/>
        <w:br/>
        <w:t>1.    Convención</w:t>
        <w:br/>
        <w:br/>
        <w:t xml:space="preserve">                                  PREAMBULO</w:t>
        <w:br/>
        <w:br/>
        <w:br/>
        <w:t xml:space="preserve">      [. . .]</w:t>
        <w:br/>
        <w:br/>
        <w:br/>
        <w:t xml:space="preserve">      Considerando que la Tercera Conferencia Interamericana  Extraordinaria</w:t>
        <w:br/>
        <w:t xml:space="preserve">      (Buenos Aires, 1967) aprobó la incorporación a la propia Carta  de  la</w:t>
        <w:br/>
        <w:t xml:space="preserve">      Organización de normas más amplias sobre derechos económicos, sociales</w:t>
        <w:br/>
        <w:t xml:space="preserve">      y educacionales y resolvió que  una  convención  interamericana  sobre</w:t>
        <w:br/>
        <w:t xml:space="preserve">      derechos   humanos   determinara   la   estructura,   competencia    y</w:t>
        <w:br/>
        <w:t xml:space="preserve">      procedimiento de los órganos encargados de esa materia [. . .]</w:t>
        <w:br/>
        <w:br/>
        <w:br/>
        <w:t xml:space="preserve">      [. . .]</w:t>
        <w:br/>
        <w:br/>
        <w:br/>
        <w:t xml:space="preserve">                   Artículo 29.  Normas de Interpretación</w:t>
        <w:br/>
        <w:br/>
        <w:br/>
        <w:t xml:space="preserve">             Ninguna  disposición  de  la  presente  Convención  puede   ser</w:t>
        <w:br/>
        <w:t xml:space="preserve">      interpretada en el sentido de:</w:t>
        <w:br/>
        <w:br/>
        <w:br/>
        <w:t xml:space="preserve">           a)    permitir a alguno de los Estados Partes, grupo o  persona,</w:t>
        <w:br/>
        <w:t xml:space="preserve">                 suprimir el goce y ejercicio de los derechos  y  libertades</w:t>
        <w:br/>
        <w:t xml:space="preserve">                 reconocidos en la Convención o limitarlos en  mayor  medida</w:t>
        <w:br/>
        <w:t xml:space="preserve">                 que la prevista en ella;</w:t>
        <w:br/>
        <w:br/>
        <w:br/>
        <w:t xml:space="preserve">            [. . .]</w:t>
        <w:br/>
        <w:br/>
        <w:br/>
        <w:t xml:space="preserve">                           Sección 3.  Competencia</w:t>
        <w:br/>
        <w:br/>
        <w:br/>
        <w:t xml:space="preserve">                                 Artículo 46</w:t>
        <w:br/>
        <w:br/>
        <w:br/>
        <w:t xml:space="preserve">            1. Para que una petición o comunicación  presentada  conforme  a</w:t>
        <w:br/>
        <w:t xml:space="preserve">      los Artículos 44 ó 45 sea admitida por la Comisión, se requerirá:</w:t>
        <w:br/>
        <w:br/>
        <w:br/>
        <w:t xml:space="preserve">           a)    que  se  hayan  interpuesto  y  agotado  los  recursos  de</w:t>
        <w:br/>
        <w:t xml:space="preserve">                 jurisdicción interna, conforme a los principios del Derecho</w:t>
        <w:br/>
        <w:t xml:space="preserve">                 Internacional generalmente reconocidos;</w:t>
        <w:br/>
        <w:br/>
        <w:br/>
        <w:t xml:space="preserve">           b)    que sea presentada dentro  del  plazo  de  seis  meses,  a</w:t>
        <w:br/>
        <w:t xml:space="preserve">                 partir de la fecha en que  el  presunto  lesionado  en  sus</w:t>
        <w:br/>
        <w:t xml:space="preserve">                 derechos haya sido notificado de la resolución definitiva;</w:t>
        <w:br/>
        <w:br/>
        <w:br/>
        <w:t xml:space="preserve">            [. . .]</w:t>
        <w:br/>
        <w:br/>
        <w:br/>
        <w:t xml:space="preserve">                                 Artículo 47</w:t>
        <w:br/>
        <w:br/>
        <w:br/>
        <w:t xml:space="preserve">            La Comisión declarará inadmisible toda petición  o  comunicación</w:t>
        <w:br/>
        <w:t xml:space="preserve">      presentada de acuerdo con los artículos 44 ó 45 cuando:</w:t>
        <w:br/>
        <w:br/>
        <w:br/>
        <w:t xml:space="preserve">           a)    falte alguno de los requisitos indicados  en  el  Artículo</w:t>
        <w:br/>
        <w:t xml:space="preserve">                 46;</w:t>
        <w:br/>
        <w:br/>
        <w:br/>
        <w:t xml:space="preserve">           [. . .]</w:t>
        <w:br/>
        <w:br/>
        <w:br/>
        <w:t xml:space="preserve">           c)    resulte de la exposición del  propio  peticionario  o  del</w:t>
        <w:br/>
        <w:t xml:space="preserve">                 Estado manifiestamente infundada la petición o comunicación</w:t>
        <w:br/>
        <w:t xml:space="preserve">                 o sea evidente su total improcedencia   [. . .]</w:t>
        <w:br/>
        <w:br/>
        <w:br/>
        <w:t>2.    Estatuto de la Comisión</w:t>
        <w:br/>
        <w:br/>
        <w:t xml:space="preserve">                        IV.  FUNCIONES Y ATRIBUCIONES</w:t>
        <w:br/>
        <w:br/>
        <w:br/>
        <w:t xml:space="preserve">            [. . .]</w:t>
        <w:br/>
        <w:br/>
        <w:br/>
        <w:t xml:space="preserve">                                 Artículo 19</w:t>
        <w:br/>
        <w:br/>
        <w:br/>
        <w:t xml:space="preserve">            En relación con los Estados Partes en  la  Convención  Americana</w:t>
        <w:br/>
        <w:t xml:space="preserve">      sobre  Derechos  Humanos,  la  Comisión  ejercerá  sus  funciones   de</w:t>
        <w:br/>
        <w:t xml:space="preserve">      conformidad con las atribuciones previstas en aquella y en el presente</w:t>
        <w:br/>
        <w:t xml:space="preserve">      Estatuto y, además de las atribuciones señaladas en  el  Artículo  18,</w:t>
        <w:br/>
        <w:t xml:space="preserve">      tendrá las siguientes:</w:t>
        <w:br/>
        <w:br/>
        <w:br/>
        <w:t xml:space="preserve">           a.    diligenciar las  peticiones  y  otras  comunicaciones,  de</w:t>
        <w:br/>
        <w:t xml:space="preserve">                 conformidad con lo dispuesto en los Artículos 44 a 51 de la</w:t>
        <w:br/>
        <w:t xml:space="preserve">                 Convención;</w:t>
        <w:br/>
        <w:br/>
        <w:br/>
        <w:t xml:space="preserve">            [. . .]</w:t>
        <w:br/>
        <w:br/>
        <w:br/>
        <w:t>3.    Reglamento de la Comisión</w:t>
        <w:br/>
        <w:br/>
        <w:t xml:space="preserve">                  Artículo 14.  Funciones de la Secretaría</w:t>
        <w:br/>
        <w:br/>
        <w:br/>
        <w:t xml:space="preserve">            [. . .]</w:t>
        <w:br/>
        <w:br/>
        <w:br/>
        <w:t xml:space="preserve">             2.  La  Secretaría  recibirá  las  peticiones  dirigidas  a  la</w:t>
        <w:br/>
        <w:t xml:space="preserve">      Comisión, solicitando, cuando sea pertinente, la necesaria información</w:t>
        <w:br/>
        <w:t xml:space="preserve">      a los gobiernos aludidos en las mismas; y, en general, se  ocupará  de</w:t>
        <w:br/>
        <w:t xml:space="preserve">      las tramitaciones necesarias para iniciar los casos a  que  den  lugar</w:t>
        <w:br/>
        <w:t xml:space="preserve">      dichas peticiones.</w:t>
        <w:br/>
        <w:br/>
        <w:br/>
        <w:t xml:space="preserve">      [. . .]</w:t>
        <w:br/>
        <w:br/>
        <w:br/>
        <w:t xml:space="preserve">                                  TÍTULO II</w:t>
        <w:br/>
        <w:t xml:space="preserve">                             LOS PROCEDIMIENTOS</w:t>
        <w:br/>
        <w:br/>
        <w:br/>
        <w:t xml:space="preserve">                                 CAPITULO I</w:t>
        <w:br/>
        <w:t xml:space="preserve">                           DISPOSICIONES GENERALES</w:t>
        <w:br/>
        <w:br/>
        <w:br/>
        <w:br/>
        <w:br/>
        <w:t xml:space="preserve">      [. . .]</w:t>
        <w:br/>
        <w:br/>
        <w:br/>
        <w:t xml:space="preserve">                      Artículo 30.  Tramitación inicial</w:t>
        <w:br/>
        <w:br/>
        <w:br/>
        <w:t xml:space="preserve">            1. La Secretaría de la Comisión tendrá  la  responsabilidad  del</w:t>
        <w:br/>
        <w:t xml:space="preserve">      estudio y tramitación inicial de las peticiones que se presenten a  la</w:t>
        <w:br/>
        <w:t xml:space="preserve">      Comisión y que llenen todos los requisitos establecidos en el Estatuto</w:t>
        <w:br/>
        <w:t xml:space="preserve">      y el presente Reglamento.</w:t>
        <w:br/>
        <w:br/>
        <w:br/>
        <w:t xml:space="preserve">            2. Si una  petición  o  comunicación  no  reúne  los  requisitos</w:t>
        <w:br/>
        <w:t xml:space="preserve">      exigidos en el presente Reglamento, la Secretaría de la Comisión podrá</w:t>
        <w:br/>
        <w:t xml:space="preserve">      solicitar al peticionario o a su representante que los complete.</w:t>
        <w:br/>
        <w:br/>
        <w:br/>
        <w:t xml:space="preserve">            3. Si la Secretaría tuviera alguna duda sobre  la  admisibilidad</w:t>
        <w:br/>
        <w:t xml:space="preserve">      de una petición la someterá a la consideración de la  Comisión  o  del</w:t>
        <w:br/>
        <w:t xml:space="preserve">      Presidente durante los recesos de la misma.</w:t>
        <w:br/>
        <w:br/>
        <w:br/>
        <w:t xml:space="preserve">                                 CAPITULO II</w:t>
        <w:br/>
        <w:t xml:space="preserve">                DE LAS PETICIONES Y COMUNICACIONES REFERENTES</w:t>
        <w:br/>
        <w:t xml:space="preserve">                 A ESTADOS PARTES EN LA CONVENCION AMERICANA</w:t>
        <w:br/>
        <w:t xml:space="preserve">                           SOBRE DERECHOS HUMANOS</w:t>
        <w:br/>
        <w:br/>
        <w:br/>
        <w:t xml:space="preserve">             Artículo 31.  Condición para considerar la petición</w:t>
        <w:br/>
        <w:br/>
        <w:br/>
        <w:t xml:space="preserve">            La Comisión solamente tomará  en  consideración  las  peticiones</w:t>
        <w:br/>
        <w:t xml:space="preserve">      sobre presuntas  violaciones  de  derechos  humanos  definidas  en  la</w:t>
        <w:br/>
        <w:t xml:space="preserve">      Convención Americana sobre Derechos Humanos, en relación con un Estado</w:t>
        <w:br/>
        <w:t xml:space="preserve">      Parte, cuando llenan los requisitos establecidos en la  misma,  en  el</w:t>
        <w:br/>
        <w:t xml:space="preserve">      Estatuto y en este Reglamento.</w:t>
        <w:br/>
        <w:br/>
        <w:br/>
        <w:t xml:space="preserve">      [. . .]</w:t>
        <w:br/>
        <w:t xml:space="preserve">                     Artículo 33.  Omisión de Requisitos</w:t>
        <w:br/>
        <w:br/>
        <w:br/>
        <w:t xml:space="preserve">            Sin perjuicio de lo dispuesto en el Artículo 29, si la  Comisión</w:t>
        <w:br/>
        <w:t xml:space="preserve">      estima que  la  petición  es  inadmisible  o  está  incompleta  se  le</w:t>
        <w:br/>
        <w:t xml:space="preserve">      notificará al peticionario solicitándole que complete  los  requisitos</w:t>
        <w:br/>
        <w:t xml:space="preserve">      omitidos en la petición.</w:t>
        <w:br/>
        <w:br/>
        <w:br/>
        <w:t xml:space="preserve">      [. . .]</w:t>
        <w:br/>
        <w:br/>
        <w:br/>
        <w:t xml:space="preserve">           Artículo 38.  Plazo para la Presentación de Peticiones</w:t>
        <w:br/>
        <w:br/>
        <w:br/>
        <w:t xml:space="preserve">            1. La Comisión se abstendrá de conocer aquellas  peticiones  que</w:t>
        <w:br/>
        <w:t xml:space="preserve">      se presenten después del plazo de seis meses, a partir de la fecha  en</w:t>
        <w:br/>
        <w:t xml:space="preserve">      que el presunto lesionado en sus derechos ha  sido  notificado  de  la</w:t>
        <w:br/>
        <w:t xml:space="preserve">      decisión definitiva, en caso de agotamiento de los recursos internos.</w:t>
        <w:br/>
        <w:br/>
        <w:br/>
        <w:t xml:space="preserve">            [. . .]</w:t>
        <w:br/>
        <w:br/>
        <w:br/>
        <w:t>III.  Jurisprudencia</w:t>
        <w:br/>
        <w:br/>
        <w:t>1.    34. [. . .] Asimismo la Corte ha de verificar si  el  presente  asunto</w:t>
        <w:br/>
        <w:t xml:space="preserve">      ha sido tramitado de conformidad con los lineamientos  esenciales  del</w:t>
        <w:br/>
        <w:t xml:space="preserve">      sistema de protección dispuesto por la  Convención.   Dentro  de  esos</w:t>
        <w:br/>
        <w:t xml:space="preserve">      criterios generales,  la  Corte  examinará  las  distintas  cuestiones</w:t>
        <w:br/>
        <w:t xml:space="preserve">      procesales que le han sido sometidas, con  el  objeto  de  definir  si</w:t>
        <w:br/>
        <w:t xml:space="preserve">      existen vicios tales en el trámite al que ha sido sometido el presente</w:t>
        <w:br/>
        <w:t xml:space="preserve">      caso, que deba rechazarse in limine la consideración del fondo   (Caso</w:t>
        <w:br/>
        <w:t xml:space="preserve">      Velásquez Rodríguez, Excepciones  Preliminares,  Sentencia  de  26  de</w:t>
        <w:br/>
        <w:t xml:space="preserve">      junio de 1987. Serie C No. 1, párr. 34;  Caso  Fairén  Garbi  y  Solís</w:t>
        <w:br/>
        <w:t xml:space="preserve">      Corrales, Excepciones Preliminares, Sentencia de 26 de junio de  1987.</w:t>
        <w:br/>
        <w:t xml:space="preserve">      Serie C No. 2, párr. 39 y Caso Godínez Cruz, Excepciones Preliminares,</w:t>
        <w:br/>
        <w:t xml:space="preserve">      Sentencia de 26 de junio de 1987. Serie C No. 3, párr. 37).</w:t>
        <w:br/>
        <w:br/>
        <w:t>2.     37.  El  artículo  46.1  de  la  Convención  enumera  los  requisitos</w:t>
        <w:br/>
        <w:t xml:space="preserve">      necesarios para que una ‘petición . . . sea admitida’ por la  Comisión</w:t>
        <w:br/>
        <w:t xml:space="preserve">      [. . .]  (Caso Velásquez Rodríguez, supra 1,  párr.  37;  Caso  Fairén</w:t>
        <w:br/>
        <w:t xml:space="preserve">      Garbi y Solís Corrales, supra 1, párr. 42 y Caso Godínez  Cruz,  supra</w:t>
        <w:br/>
        <w:t xml:space="preserve">      1, párr. 40).</w:t>
        <w:br/>
        <w:br/>
        <w:t>3.    39.  Este procedimiento no implica la  necesidad  de  una  declaración</w:t>
        <w:br/>
        <w:t xml:space="preserve">      expresa de admisibilidad, ni en la etapa a cargo de la  Secretaría  ni</w:t>
        <w:br/>
        <w:t xml:space="preserve">      en la posterior  que  debe  asumir  la  Comisión  por  sí  misma.   Al</w:t>
        <w:br/>
        <w:t xml:space="preserve">      solicitar informaciones a un gobierno y dar trámite a la petición,  se</w:t>
        <w:br/>
        <w:t xml:space="preserve">      acepta en principio la admisibilidad de la misma; siempre y cuando  la</w:t>
        <w:br/>
        <w:t xml:space="preserve">      Comisión al tener conocimiento de  lo  actuado  por  la  Secretaría  y</w:t>
        <w:br/>
        <w:t xml:space="preserve">      continuar el trámite (arts.  34.3,  35  y  36  del  Reglamento  de  la</w:t>
        <w:br/>
        <w:t xml:space="preserve">      Comisión), no declare expresamente la inadmisibilidad (art. 48.1c)  de</w:t>
        <w:br/>
        <w:t xml:space="preserve">      la Convención)  (Caso Velásquez Rodríguez, supra  1,  párr.  39;  Caso</w:t>
        <w:br/>
        <w:t xml:space="preserve">      Fairén Garbi y Solís Corrales, supra 1, párr. 44 y Caso Godínez  Cruz,</w:t>
        <w:br/>
        <w:t xml:space="preserve">      supra 1, párr. 42).</w:t>
        <w:br/>
        <w:br/>
        <w:t>4.    45. [. . .] la  Comisión  posee  facultades  discrecionales,  pero  de</w:t>
        <w:br/>
        <w:t xml:space="preserve">      ninguna manera arbitrarias, para decidir, en cada caso [. .  .]  (Caso</w:t>
        <w:br/>
        <w:t xml:space="preserve">      Velásquez Rodríguez, supra 1,  párr. 45; Caso  Fairén  Garbi  y  Solís</w:t>
        <w:br/>
        <w:t xml:space="preserve">      Corrales,  supra 1, párr. 50 y Caso Godínez Cruz, supra 1, párr. 48).</w:t>
        <w:br/>
        <w:br/>
        <w:t>5.    29. [. . .] En el ejercicio de esas  atribuciones  la  Corte  no  está</w:t>
        <w:br/>
        <w:t xml:space="preserve">      vinculada con lo que previamente haya decidido la Comisión,  sino  que</w:t>
        <w:br/>
        <w:t xml:space="preserve">      está habilitada para sentenciar libremente, de acuerdo con  su  propia</w:t>
        <w:br/>
        <w:t xml:space="preserve">      apreciación.   Obviamente  la  Corte  no  actúa,  con  respecto  a  la</w:t>
        <w:br/>
        <w:t xml:space="preserve">      Comisión, en  un  procedimiento  de  revisión,  de  apelación  u  otro</w:t>
        <w:br/>
        <w:t xml:space="preserve">      semejante.  Su jurisdicción plena para considerar y revisitar in  toto</w:t>
        <w:br/>
        <w:t xml:space="preserve">      lo precedentemente actuado y decidido por la Comisión, resulta  de  su</w:t>
        <w:br/>
        <w:t xml:space="preserve">      carácter de único  órgano  jurisdiccional  de  la  materia.   En  este</w:t>
        <w:br/>
        <w:t xml:space="preserve">      sentido, al tiempo que se asegura una más completa protección judicial</w:t>
        <w:br/>
        <w:t xml:space="preserve">      de los derechos humanos reconocidos por la Convención, se garantiza  a</w:t>
        <w:br/>
        <w:t xml:space="preserve">      los Estados Partes que han aceptado la competencia  de  la  Corte,  el</w:t>
        <w:br/>
        <w:t xml:space="preserve">      estricto respeto de sus normas (Caso  Velásquez  Rodríguez,  supra  1,</w:t>
        <w:br/>
        <w:t xml:space="preserve">      párr. 29; Caso Fairén Garbi y Solís Corrales, supra 1, párr. 34 y Caso</w:t>
        <w:br/>
        <w:t xml:space="preserve">      Godínez Cruz, supra 1, párr. 32).</w:t>
        <w:br/>
        <w:br/>
        <w:br/>
        <w:t>IV.   Conclusiones y voto</w:t>
        <w:br/>
        <w:br/>
        <w:t>1.    Que el peticionario cumplió con el requisito del  agotamiento  de  los</w:t>
        <w:br/>
        <w:t>recursos de la jurisdicción interna mediante  la  acción  de  hábeas  corpus</w:t>
        <w:br/>
        <w:t>cuya resolución final le fue comunicada el 14 de enero de 1987.</w:t>
        <w:br/>
        <w:br/>
        <w:t>2.    Que el plazo de los seis meses a que se refiere el artículo 46.1.b  de</w:t>
        <w:br/>
        <w:t>la Convención venció el 14 de julio de 1987.</w:t>
        <w:br/>
        <w:br/>
        <w:t>3.    Que la Comisión recibió la petición  el  01  de  septiembre  de  1987.</w:t>
        <w:br/>
        <w:t>Esto es, un mes y días posteriores al vencimiento del plazo de seis meses.</w:t>
        <w:br/>
        <w:br/>
        <w:t>4.    Que de acuerdo a la Convención y al  Estatuto  de  la  Comisión,  este</w:t>
        <w:br/>
        <w:t>plazo de seis meses no es de naturaleza procesal ya  que  la  Convención  lo</w:t>
        <w:br/>
        <w:t>legisla en la parte relativa a II. Medios de la Protección -  Capítulo  VII.</w:t>
        <w:br/>
        <w:t>La Comisión Interamericana de Derechos Humanos  -  Sección  3.  Competencia,</w:t>
        <w:br/>
        <w:t>por  ello  este  plazo,  repito,  se  ha  establecido  para  determinar   la</w:t>
        <w:br/>
        <w:t>competencia de la Comisión, aspecto éste que conforme  al  Preámbulo  de  la</w:t>
        <w:br/>
        <w:t>Convención  constituye  objeto  esencial  del  tratado,  no  susceptible  de</w:t>
        <w:br/>
        <w:t>modificarse por los órganos encargados de  cumplirla,  vale  decir,  por  la</w:t>
        <w:br/>
        <w:t>Comisión y la Corte.</w:t>
        <w:br/>
        <w:br/>
        <w:t>5.    La Comisión  no  observó  y  más  bien  incumplió  la  Convención,  su</w:t>
        <w:br/>
        <w:t>Estatuto y su Reglamento, los que no le atribuyen facultades arbitrarias  ni</w:t>
        <w:br/>
        <w:t>discrecionales  en  materia  de  competencia,  como  es  de  verse   en   la</w:t>
        <w:br/>
        <w:t>normatividad aplicable antes transcrita.</w:t>
        <w:br/>
        <w:br/>
        <w:t>6.    Que, atendiendo a que la admisión de la petición o  denuncia  se  hizo</w:t>
        <w:br/>
        <w:t>por la Comisión fuera del plazo  establecido  en  la  Convención,  situación</w:t>
        <w:br/>
        <w:t>ésta que cualquier alegación de las partes no puede convalidar por  tratarse</w:t>
        <w:br/>
        <w:t>de la inobservancia de una norma expresa de  la  Convención;  por  ello,  el</w:t>
        <w:br/>
        <w:t>valor que la Corte, en su resolución sobre las excepciones  preliminares  de</w:t>
        <w:br/>
        <w:t>este caso adoptada por mayoría, le otorga a la nota del  Gobierno  del  Perú</w:t>
        <w:br/>
        <w:t>de fecha 29 de septiembre de 1989 que obra en el folio  194  del  expediente</w:t>
        <w:br/>
        <w:t>principal, carece de todo fundamento.</w:t>
        <w:br/>
        <w:br/>
        <w:t>7.    Que la alegación de esta irregularidad el Estado  peruano  la  formula</w:t>
        <w:br/>
        <w:t>el 24 de septiembre de 1990, en informe que corre de folios 168  a  172  del</w:t>
        <w:br/>
        <w:t>expediente principal ante la Comisión, en los siguientes términos:</w:t>
        <w:br/>
        <w:br/>
        <w:t xml:space="preserve">            [. . .]</w:t>
        <w:br/>
        <w:br/>
        <w:br/>
        <w:t xml:space="preserve">            1. La primera observación que el Gobierno del Perú debe hacer en</w:t>
        <w:br/>
        <w:t xml:space="preserve">      lo concerniente a la expresada resolución toca al punto 1 de la misma,</w:t>
        <w:br/>
        <w:t xml:space="preserve">      que dice:</w:t>
        <w:br/>
        <w:br/>
        <w:br/>
        <w:t xml:space="preserve">            ' Declarar la admisibilidad de la denuncia,  base  del  presente</w:t>
        <w:br/>
        <w:t xml:space="preserve">      caso’.</w:t>
        <w:br/>
        <w:br/>
        <w:br/>
        <w:t xml:space="preserve">            Al respecto cabe señalar que dicha denuncia, de acuerdo  con  el</w:t>
        <w:br/>
        <w:t xml:space="preserve">      texto mismo de la citada resolución, lleva fecha 1 de agosto  de  1987</w:t>
        <w:br/>
        <w:t xml:space="preserve">      (aún así, cabe la duda si el texto de la resolución contiene un  error</w:t>
        <w:br/>
        <w:t xml:space="preserve">      material, pues se ha recogido información según la  cual  la  denuncia</w:t>
        <w:br/>
        <w:t xml:space="preserve">      sólo habría sido presentada el 1 de septiembre).</w:t>
        <w:br/>
        <w:br/>
        <w:br/>
        <w:t xml:space="preserve">            La Comisión la  ha  admitido  sobre  la  hipótesis  que  la  vía</w:t>
        <w:br/>
        <w:t xml:space="preserve">      judicial interna había quedado agotada.  En efecto, el 5 de  diciembre</w:t>
        <w:br/>
        <w:t xml:space="preserve">      de 1986, el Tribunal de Garantías  Constitucionales  se  pronunció  en</w:t>
        <w:br/>
        <w:t xml:space="preserve">      casación sobre el  recurso  de  hábeas  corpus  que  fue  inicialmente</w:t>
        <w:br/>
        <w:t xml:space="preserve">      presentado ante el Juez Instructor de Lima el 16 de julio de 1986 y la</w:t>
        <w:br/>
        <w:t xml:space="preserve">      decisión del Tribunal de Garantías Constitucionales fue  publicada  en</w:t>
        <w:br/>
        <w:t xml:space="preserve">      el Diario Oficial “El Peruano” el 14 de  enero  de  1987,  siendo  así</w:t>
        <w:br/>
        <w:t xml:space="preserve">      consumado el agotamiento de la vía interna.</w:t>
        <w:br/>
        <w:br/>
        <w:br/>
        <w:t xml:space="preserve">            Ahora bien, cuando la denuncia fue presentada, si fue  el  1  de</w:t>
        <w:br/>
        <w:t xml:space="preserve">      agosto de 1987, habían transcurrido más de seis meses  de  agotada  la</w:t>
        <w:br/>
        <w:t xml:space="preserve">      vía interna, que es el plazo fijado en el inciso b del artículo 46  de</w:t>
        <w:br/>
        <w:t xml:space="preserve">      la Convención  Interamericana  de  Derechos  Humanos,  al  regular  la</w:t>
        <w:br/>
        <w:t xml:space="preserve">      competencia de la Comisión.  En consecuencia,  el  Gobierno  del  Perú</w:t>
        <w:br/>
        <w:t xml:space="preserve">      estima que la Comisión  debió,  motu  propio  (sic),  haber  declarado</w:t>
        <w:br/>
        <w:t xml:space="preserve">      inadmisible la denuncia, de acuerdo con el artículo 47 inciso a de  la</w:t>
        <w:br/>
        <w:t xml:space="preserve">      misma Convención de Derechos Humanos, que establece  que  la  Comisión</w:t>
        <w:br/>
        <w:t xml:space="preserve">      procederá de ese modo cuando:</w:t>
        <w:br/>
        <w:br/>
        <w:br/>
        <w:t xml:space="preserve">            ' Falte alguno de los requisitos indicados en el artículo 46’.</w:t>
        <w:br/>
        <w:br/>
        <w:br/>
        <w:br/>
        <w:t>POR TANTO:</w:t>
        <w:br/>
        <w:br/>
        <w:t>Mi voto es para que la Corte declare:</w:t>
        <w:br/>
        <w:br/>
        <w:t>Primero.  Fundada la excepción preliminar de incompetencia  de  la  Comisión</w:t>
        <w:br/>
        <w:t>interpuesta por el Gobierno del Perú, por haberse admitido  una  petición  o</w:t>
        <w:br/>
        <w:t>denuncia  fuera  del  término  establecido  en  el  artículo  46.1.b  de  la</w:t>
        <w:br/>
        <w:t>Convención; y</w:t>
        <w:br/>
        <w:br/>
        <w:t>Segundo.  Se archive en forma definitiva el caso Neira Alegría y otros.</w:t>
        <w:br/>
        <w:br/>
        <w:t xml:space="preserve">                            Voto del Juez ad hoc</w:t>
        <w:br/>
        <w:t xml:space="preserve">                        Dr. Jorge E. Orihuela Iberico</w:t>
        <w:br/>
        <w:br/>
        <w:t xml:space="preserve">                        sobre la Excepción Preliminar</w:t>
        <w:br/>
        <w:t xml:space="preserve">                  de caducidad de la demanda de la Comisión</w:t>
        <w:br/>
        <w:br/>
        <w:t xml:space="preserve">                         Caso Neira Alegría y Otros</w:t>
        <w:br/>
        <w:br/>
        <w:br/>
        <w:br/>
        <w:t>I.    Hechos</w:t>
        <w:br/>
        <w:t>II.   Normatividad</w:t>
        <w:br/>
        <w:t>III.  Jurisprudencia</w:t>
        <w:br/>
        <w:t>IV.   Conclusiones y voto</w:t>
        <w:br/>
        <w:br/>
        <w:br/>
        <w:br/>
        <w:t>I.    Hechos</w:t>
        <w:br/>
        <w:br/>
        <w:t>1.    La Comisión aprobó el informe 43/90 en su Sesión 1057  correspondiente</w:t>
        <w:br/>
        <w:t>al 77° Período de Sesiones, celebrada el 14 de mayo de 1990.</w:t>
        <w:br/>
        <w:br/>
        <w:t>2.    Por nota del 11 de junio de 1990, la Comisión  transmite  al  Gobierno</w:t>
        <w:br/>
        <w:t>del Perú dicho informe, precisando que los plazos materia de  dicho  informe</w:t>
        <w:br/>
        <w:t>surten efecto a partir de la fecha de esta comunicación.</w:t>
        <w:br/>
        <w:br/>
        <w:t>3.    Por nota del 14 de agosto de 1990, el Gobierno del Perú solicitó a  la</w:t>
        <w:br/>
        <w:t>Comisión prorrogar dicho plazo por 30 días para  dar  cabal  cumplimiento  a</w:t>
        <w:br/>
        <w:t>las recomendaciones de la Comisión  y  por  haber  ordenado  se  efectúe  un</w:t>
        <w:br/>
        <w:t>informe inmediato de lo actuado en este caso.   El  Gobierno  fundamentó  su</w:t>
        <w:br/>
        <w:t>solicitud en el artículo 34.6 del Reglamento de la Comisión.</w:t>
        <w:br/>
        <w:br/>
        <w:t>4.    La Comisión, el 20 de agosto de 1990, comunicó al Gobierno  que  había</w:t>
        <w:br/>
        <w:t>accedido a la solicitud de prórroga y que el plazo lo extendía por  30  días</w:t>
        <w:br/>
        <w:t>más, a partir del 11 de septiembre de 1990.</w:t>
        <w:br/>
        <w:br/>
        <w:t>La Comisión, al tomar esta decisión:</w:t>
        <w:br/>
        <w:br/>
        <w:t xml:space="preserve">      [. . .] consideró muy especialmente los siguientes aspectos:</w:t>
        <w:br/>
        <w:br/>
        <w:br/>
        <w:t xml:space="preserve">      a)     La  concesión  de  una  prórroga  de  30  días  adicionales  no</w:t>
        <w:br/>
        <w:t xml:space="preserve">      menoscababa en modo alguno la protección internacional de los derechos</w:t>
        <w:br/>
        <w:t xml:space="preserve">      humanos, antes bien habría una nueva  posibilidad  de  ‘solucionar  el</w:t>
        <w:br/>
        <w:t xml:space="preserve">      caso’, conforme lo contempla el Artículo 51.1 de la Convención;</w:t>
        <w:br/>
        <w:br/>
        <w:br/>
        <w:t xml:space="preserve">      b)    La prórroga era por  tiempo  razonable  y  se  había  presentado</w:t>
        <w:br/>
        <w:t xml:space="preserve">      dentro del plazo señalado en la Convención, como en el Informe 43/90;</w:t>
        <w:br/>
        <w:br/>
        <w:br/>
        <w:t xml:space="preserve">      c)    La solicitud era razonable o invocaba circunstancias  ciertas  y</w:t>
        <w:br/>
        <w:t xml:space="preserve">      atendibles como los escasos días al frente del Gobierno de  una  nueva</w:t>
        <w:br/>
        <w:t xml:space="preserve">      Administración y la promesa de un informe inmediato de todo lo actuado</w:t>
        <w:br/>
        <w:t xml:space="preserve">      con respecto al caso.</w:t>
        <w:br/>
        <w:br/>
        <w:t>5.    El  Gobierno  del  Perú  remitió  a  la  Comisión,  con  fecha  24  de</w:t>
        <w:br/>
        <w:t>septiembre de 1990, un informe acompañado de tres anexos, con  el  cual  dio</w:t>
        <w:br/>
        <w:t>respuesta al informe 43/90 de la Comisión.</w:t>
        <w:br/>
        <w:br/>
        <w:t>En dicho informe, el Gobierno del Perú solicitó a la  Comisión  que  declare</w:t>
        <w:br/>
        <w:t>insubsistente el informe 43/90, en razón de la falta de  competencia  de  la</w:t>
        <w:br/>
        <w:t>Comisión.  (Hecho que ya ha sido valorado y se menciona en el  numeral  IV.7</w:t>
        <w:br/>
        <w:t>en el voto que precede y que declara fundada la excepción  de  incompetencia</w:t>
        <w:br/>
        <w:t>de la Comisión).</w:t>
        <w:br/>
        <w:br/>
        <w:t>6.     La  Comisión,  en  Sesión  1085,  del   5   de   octubre   de   1990,</w:t>
        <w:br/>
        <w:t>correspondiente  a  su  78°  Período  de  Sesiones,  en  base  a  considerar</w:t>
        <w:br/>
        <w:t>insatisfactoria  esa  respuesta  del  Gobierno,  “decidió   reconfirmar   su</w:t>
        <w:br/>
        <w:t>originaria decisión de someter el caso a la jurisdicción obligatoria  de  la</w:t>
        <w:br/>
        <w:t>Corte” (folio 21 del expediente de Excepciones Preliminares).</w:t>
        <w:br/>
        <w:br/>
        <w:t>7.    La Comisión, con fecha 10 de octubre de 1990, sometió el  Caso  10.078</w:t>
        <w:br/>
        <w:t>a conocimiento de la Corte.</w:t>
        <w:br/>
        <w:br/>
        <w:br/>
        <w:t>II.   Normatividad</w:t>
        <w:br/>
        <w:br/>
        <w:t>1.    Convención</w:t>
        <w:br/>
        <w:br/>
        <w:t xml:space="preserve">                  CAPÍTULO VII - LA COMISION INTERAMERICANA</w:t>
        <w:br/>
        <w:t xml:space="preserve">                             DE DERECHOS HUMANOS</w:t>
        <w:br/>
        <w:br/>
        <w:br/>
        <w:t xml:space="preserve">      [. . .]</w:t>
        <w:br/>
        <w:br/>
        <w:br/>
        <w:t xml:space="preserve">                          Sección 4.  Procedimiento</w:t>
        <w:br/>
        <w:br/>
        <w:br/>
        <w:t xml:space="preserve">      [. . .]</w:t>
        <w:br/>
        <w:br/>
        <w:br/>
        <w:t xml:space="preserve">                                 Artículo 51</w:t>
        <w:br/>
        <w:br/>
        <w:br/>
        <w:t xml:space="preserve">            1. Si en el plazo de tres meses a partir de la  remisión  a  los</w:t>
        <w:br/>
        <w:t xml:space="preserve">      Estados interesados del informe de la Comisión, el asunto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br/>
        <w:t xml:space="preserve">            [. . .]</w:t>
        <w:br/>
        <w:br/>
        <w:br/>
        <w:t>2.    Estatuto de la Comisión</w:t>
        <w:br/>
        <w:br/>
        <w:t xml:space="preserve">                        IV.  FUNCIONES Y ATRIBUCIONES</w:t>
        <w:br/>
        <w:br/>
        <w:br/>
        <w:t xml:space="preserve">                                 Artículo 19</w:t>
        <w:br/>
        <w:br/>
        <w:br/>
        <w:t xml:space="preserve">            En relación con los Estados Partes en  la  Convención  Americana</w:t>
        <w:br/>
        <w:t xml:space="preserve">      sobre  Derechos  Humanos,  la  Comisión  ejercerá  sus  funciones   de</w:t>
        <w:br/>
        <w:t xml:space="preserve">      conformidad con las atribuciones previstas en aquella y en el presente</w:t>
        <w:br/>
        <w:t xml:space="preserve">      Estatuto y, además de las atribuciones señaladas en  el  Artículo  18,</w:t>
        <w:br/>
        <w:t xml:space="preserve">      tendrá las siguientes:</w:t>
        <w:br/>
        <w:br/>
        <w:br/>
        <w:t xml:space="preserve">      a.     diligenciar  las  peticiones   y   otras   comunicaciones,   de</w:t>
        <w:br/>
        <w:t xml:space="preserve">           conformidad con lo dispuesto en los artículos 44  al  51  de  la</w:t>
        <w:br/>
        <w:t xml:space="preserve">           Convención;</w:t>
        <w:br/>
        <w:br/>
        <w:br/>
        <w:t xml:space="preserve">      [. . .]</w:t>
        <w:br/>
        <w:br/>
        <w:br/>
        <w:t>3.    Reglamento de la Comisión</w:t>
        <w:br/>
        <w:br/>
        <w:t xml:space="preserve">                                 CAPITULO II</w:t>
        <w:br/>
        <w:t xml:space="preserve">               DE LAS PETICIONES Y COMUNICACIONES REFERENTES A</w:t>
        <w:br/>
        <w:t xml:space="preserve">                               ESTADOS PARTES</w:t>
        <w:br/>
        <w:t xml:space="preserve">              EN LA CONVENCION AMERICANA SOBRE DERECHOS HUMANOS</w:t>
        <w:br/>
        <w:br/>
        <w:br/>
        <w:t xml:space="preserve">                      Artículo 34.  Tramitación inicial</w:t>
        <w:br/>
        <w:br/>
        <w:br/>
        <w:br/>
        <w:br/>
        <w:t xml:space="preserve">                 [. . .]</w:t>
        <w:br/>
        <w:br/>
        <w:br/>
        <w:t xml:space="preserve">                 6. El Gobierno del Estado aludido justificando  el  motivo,</w:t>
        <w:br/>
        <w:t xml:space="preserve">      podrá pedir prórrogas de 30 días, pero en ningún  caso  se  concederán</w:t>
        <w:br/>
        <w:t xml:space="preserve">      prórrogas que excedan los 180 días, a contar de la fecha del envío  de</w:t>
        <w:br/>
        <w:t xml:space="preserve">      la primera comunicación al Gobierno del Estado aludido.</w:t>
        <w:br/>
        <w:br/>
        <w:br/>
        <w:t xml:space="preserve">            [. . .]</w:t>
        <w:br/>
        <w:br/>
        <w:br/>
        <w:t xml:space="preserve">                Artículo 47.  Proposiciones y Recomendaciones</w:t>
        <w:br/>
        <w:br/>
        <w:br/>
        <w:t xml:space="preserve">                 [. . .]</w:t>
        <w:br/>
        <w:br/>
        <w:br/>
        <w:t xml:space="preserve">                 2. Si en el plazo de tres meses, a partir de la remisión  a</w:t>
        <w:br/>
        <w:t xml:space="preserve">      los Estados interesados del informe de la Comisión, el  asunto  no  ha</w:t>
        <w:br/>
        <w:t xml:space="preserve">      sido solucionado o sometido a la decisión de la Corte por la  Comisión</w:t>
        <w:br/>
        <w:t xml:space="preserve">      o por el Estado interesado,  aceptando  su  competencia,  la  Comisión</w:t>
        <w:br/>
        <w:t xml:space="preserve">      podrá emitir, por mayoría  absoluta  de  votos  de  sus  miembros,  su</w:t>
        <w:br/>
        <w:t xml:space="preserve">      opinión  y  sus  conclusiones  sobre  la  cuestión   sometida   a   su</w:t>
        <w:br/>
        <w:t xml:space="preserve">      consideración.</w:t>
        <w:br/>
        <w:t xml:space="preserve">      [. . .]</w:t>
        <w:br/>
        <w:br/>
        <w:br/>
        <w:t xml:space="preserve">               Artículo 50.  Sometimiento del Caso a la Corte</w:t>
        <w:br/>
        <w:br/>
        <w:br/>
        <w:t xml:space="preserve">                 1. Si un Estado Parte  en  la  Convención  ha  aceptado  la</w:t>
        <w:br/>
        <w:t xml:space="preserve">      jurisdicción de la Corte de conformidad  con  el  Artículo  62  de  la</w:t>
        <w:br/>
        <w:t xml:space="preserve">      Convención, la  Comisión  podrá  someter  el  caso  ante  aquélla  con</w:t>
        <w:br/>
        <w:t xml:space="preserve">      posterioridad a la transmisión al  Gobierno  del  Estado  aludido  del</w:t>
        <w:br/>
        <w:t xml:space="preserve">      informe mencionado en el Artículo 46 de este Reglamento.</w:t>
        <w:br/>
        <w:br/>
        <w:br/>
        <w:t>III.  Jurisprudencia</w:t>
        <w:br/>
        <w:br/>
        <w:t>1.    59. [. . .] el asunto queda en estado de ser sometido  a  la  decisión</w:t>
        <w:br/>
        <w:t xml:space="preserve">      de la Corte, en los términos del artículo 51 de la Convención, siempre</w:t>
        <w:br/>
        <w:t xml:space="preserve">      que se reúnan los demás requisitos para  que  ella  pueda  ejercer  su</w:t>
        <w:br/>
        <w:t xml:space="preserve">      competencia  contenciosa  (Caso   Velásquez   Rodríguez,   Excepciones</w:t>
        <w:br/>
        <w:t xml:space="preserve">      Preliminares, Sentencia de 26 de junio de 1987. Serie C No.  1,  párr.</w:t>
        <w:br/>
        <w:t xml:space="preserve">      59; Caso Fairén Garbi  y  Solís  Corrales,  Excepciones  Preliminares,</w:t>
        <w:br/>
        <w:t xml:space="preserve">      Sentencia de 26 de junio de 1987. Serie C  No.  2,  párr.  59  y  Caso</w:t>
        <w:br/>
        <w:t xml:space="preserve">      Godínez Cruz, Excepciones Preliminares, Sentencia de 26  de  junio  de</w:t>
        <w:br/>
        <w:t xml:space="preserve">      1987. Serie C No. 3, párr. 62).</w:t>
        <w:br/>
        <w:br/>
        <w:t>2.    62. Por su parte, el artículo 51 de la Convención señala:</w:t>
        <w:br/>
        <w:br/>
        <w:t xml:space="preserve">           1.    Si en el plazo de tres meses, a partir de  la  remisión  a</w:t>
        <w:br/>
        <w:t xml:space="preserve">           los Estados interesados del informe de la Comisión, el asunto no</w:t>
        <w:br/>
        <w:t xml:space="preserve">           ha sido solucionado o sometido a la decisión de la Corte por  la</w:t>
        <w:br/>
        <w:t xml:space="preserve">           Comisión o por el Estado interesado, aceptando  su  competencia,</w:t>
        <w:br/>
        <w:t xml:space="preserve">           la Comisión podrá emitir, por mayoría absoluta de votos  de  sus</w:t>
        <w:br/>
        <w:t xml:space="preserve">           miembros, su opinión y conclusiones sobre la cuestión sometida a</w:t>
        <w:br/>
        <w:t xml:space="preserve">           su consideración.</w:t>
        <w:br/>
        <w:br/>
        <w:br/>
        <w:t xml:space="preserve">           2.    La Comisión hará las recomendaciones pertinentes y  fijará</w:t>
        <w:br/>
        <w:t xml:space="preserve">           un plazo dentro del cual el Estado debe tomar las medidas que le</w:t>
        <w:br/>
        <w:t xml:space="preserve">           competan para remediar la situación examinada.</w:t>
        <w:br/>
        <w:br/>
        <w:br/>
        <w:t xml:space="preserve">           3.    Transcurrido el período fijado, la Comisión decidirá,  por</w:t>
        <w:br/>
        <w:t xml:space="preserve">           la mayoría absoluta de votos de sus miembros, si  el  Estado  ha</w:t>
        <w:br/>
        <w:t xml:space="preserve">           tomado o no medidas adecuadas y si publica o no su informe.</w:t>
        <w:br/>
        <w:br/>
        <w:t xml:space="preserve">      No es necesario que la Corte se detenga en esta ocasión a analizar  la</w:t>
        <w:br/>
        <w:t xml:space="preserve">      naturaleza  del  plazo  dispuesto  en  el  artículo   51.1,   ni   las</w:t>
        <w:br/>
        <w:t xml:space="preserve">      consecuencias que tendría, en los distintos supuestos,  que  el  mismo</w:t>
        <w:br/>
        <w:t xml:space="preserve">      transcurra sin que el caso sea sometido a la Corte.   En  el  presente</w:t>
        <w:br/>
        <w:t xml:space="preserve">      asunto la Corte se limitará a subrayar que  la  circunstancia  de  que</w:t>
        <w:br/>
        <w:t xml:space="preserve">      dicho plazo se cuente a partir de la fecha de remisión  a  las  partes</w:t>
        <w:br/>
        <w:t xml:space="preserve">      del informe a que se refiere el artículo 50, denota  que  esta  última</w:t>
        <w:br/>
        <w:t xml:space="preserve">      disposición ofrece una oportunidad final al  gobierno  involucrado  de</w:t>
        <w:br/>
        <w:t xml:space="preserve">      alcanzar  una  solución  del  caso  en  el  curso  del   procedimiento</w:t>
        <w:br/>
        <w:t xml:space="preserve">      adelantado por la  Comisión,  antes  de  que  la  cuestión  pueda  ser</w:t>
        <w:br/>
        <w:t xml:space="preserve">      sometida a decisión judicial (Caso Velásquez Rodríguez, supra 1, párr.</w:t>
        <w:br/>
        <w:t xml:space="preserve">      62; Caso Fairén Garbi y Solís Corrales,  supra  1,  párr.  62  y  Caso</w:t>
        <w:br/>
        <w:t xml:space="preserve">      Godínez Cruz, supra 1, párr. 65).</w:t>
        <w:br/>
        <w:br/>
        <w:t>3.    63. El artículo 51.1 contempla, igualmente, la posibilidad de  que  la</w:t>
        <w:br/>
        <w:t xml:space="preserve">      Comisión  prepare  un  nuevo  informe  contentivo   de   su   opinión,</w:t>
        <w:br/>
        <w:t xml:space="preserve">      conclusiones y recomendaciones, el cual puede  ser  publicado  en  los</w:t>
        <w:br/>
        <w:t xml:space="preserve">      términos previstos por el artículo 51.3.  Esta disposición plantea  un</w:t>
        <w:br/>
        <w:t xml:space="preserve">      buen número de dificultades de interpretación como son,  por  ejemplo,</w:t>
        <w:br/>
        <w:t xml:space="preserve">      la definición del significado de este  informe  y  sus  diferencias  o</w:t>
        <w:br/>
        <w:t xml:space="preserve">      coincidencias con el previsto por el artículo 50.  Se trata, con todo,</w:t>
        <w:br/>
        <w:t xml:space="preserve">      de cuestiones  que  no  son  decisivas  para  resolver  los  problemas</w:t>
        <w:br/>
        <w:t xml:space="preserve">      procesales sometidos a la Corte en esta ocasión.  A  los  efectos  del</w:t>
        <w:br/>
        <w:t xml:space="preserve">      caso, sí conviene tener presente, en cambio, que  la  preparación  del</w:t>
        <w:br/>
        <w:t xml:space="preserve">      informe previsto por el artículo 51 está sometida a  la  condición  de</w:t>
        <w:br/>
        <w:t xml:space="preserve">      que el asunto no haya sido elevado a la  consideración  de  la  Corte,</w:t>
        <w:br/>
        <w:t xml:space="preserve">      dentro del plazo de tres meses dispuesto por el mismo  artículo  51.1,</w:t>
        <w:br/>
        <w:t xml:space="preserve">      lo que equivale a decir que, si el caso ha sido  introducido  ante  la</w:t>
        <w:br/>
        <w:t xml:space="preserve">      Corte, la Comisión no está autorizada para elaborar el informe  a  que</w:t>
        <w:br/>
        <w:t xml:space="preserve">      se refiere el artículo 51  (Caso Velásquez Rodríguez, supra  1,  párr.</w:t>
        <w:br/>
        <w:t xml:space="preserve">      63; Caso Fairén Garbi y Solís Corrales,  supra  1,  párr.  63  y  Caso</w:t>
        <w:br/>
        <w:t xml:space="preserve">      Godínez Cruz, supra 1, párr. 66).</w:t>
        <w:br/>
        <w:br/>
        <w:br/>
        <w:t>IV.   Conclusiones y voto</w:t>
        <w:br/>
        <w:br/>
        <w:br/>
        <w:br/>
        <w:t>1.    La Comisión tuvo oportunidad de someter el caso  10.078  a  la  Corte,</w:t>
        <w:br/>
        <w:t>hasta el 11 de septiembre de 1990.</w:t>
        <w:br/>
        <w:br/>
        <w:t>2.    La solicitud de prórroga del Gobierno del Perú, al no  estar  prevista</w:t>
        <w:br/>
        <w:t>en la normatividad vigente, además de improcedente se  apoyaba  erróneamente</w:t>
        <w:br/>
        <w:t>en el artículo 34.6 del Reglamento  de  la  Comisión  no  aplicable  a  esta</w:t>
        <w:br/>
        <w:t>cuestión y ubicado en otra etapa procesal.  La  Comisión  debió  denegar  la</w:t>
        <w:br/>
        <w:t>solicitud e indicar que el plazo de tres meses no estaba vencido, al  faltar</w:t>
        <w:br/>
        <w:t>más de 20 días para ello.  Y, además, por carecer de facultad  para  otorgar</w:t>
        <w:br/>
        <w:t>prórroga de este plazo fijado en un tratado.</w:t>
        <w:br/>
        <w:br/>
        <w:t>3.    La Comisión al extender un plazo  establecido  en  la  Convención,  no</w:t>
        <w:br/>
        <w:t>sólo se excedió del ámbito de su competencia, sino que al hacerlo se  colocó</w:t>
        <w:br/>
        <w:t>en la imposibilidad jurídica de someter el caso a la Corte;  sin  perder  la</w:t>
        <w:br/>
        <w:t>atribución de sancionar al Estado peruano por la vía de la  publicación  del</w:t>
        <w:br/>
        <w:t>informe.</w:t>
        <w:br/>
        <w:br/>
        <w:t>4.    La atribución de ampliar o  prorrogar  el  plazo  de  90  días  no  se</w:t>
        <w:br/>
        <w:t>encuentra concedida a la Comisión por ningún artículo de la  Convención,  ni</w:t>
        <w:br/>
        <w:t>ésta prevé que los Estados puedan solicitarla.</w:t>
        <w:br/>
        <w:br/>
        <w:t>5.    En consecuencia queda acreditado que la  Comisión  se  excedió  en  el</w:t>
        <w:br/>
        <w:t>trámite de la petición de las atribuciones que la Convención, su Estatuto  y</w:t>
        <w:br/>
        <w:t>su Reglamento le reconocen.</w:t>
        <w:br/>
        <w:br/>
        <w:br/>
        <w:t>POR TANTO:</w:t>
        <w:br/>
        <w:br/>
        <w:t>Mi voto es para que la Corte declare:</w:t>
        <w:br/>
        <w:br/>
        <w:t>Primero.  Fundada  la  excepción  preliminar  de  caducidad  de  la  demanda</w:t>
        <w:br/>
        <w:t>interpuesta por el Gobierno del Perú, por  haber  sometido  la  Comisión  el</w:t>
        <w:br/>
        <w:t>caso 10.078 a la Corte vencido el plazo que señala el artículo  51.1  de  la</w:t>
        <w:br/>
        <w:t>Convención; y</w:t>
        <w:br/>
        <w:br/>
        <w:t>Segundo.  Se archive en forma definitiva el caso Neira Alegría y otros.</w:t>
        <w:br/>
        <w:br/>
        <w:t>Al suscribir este voto,  invoco  a  la  Honorable  Corte  Interamericana  de</w:t>
        <w:br/>
        <w:t>Derechos Humanos, para que  se  exhorte  a  la  Comisión  Interamericana  de</w:t>
        <w:br/>
        <w:t>Derechos Humanos sobre el cumplimiento  de  la  Convención  Americana  sobre</w:t>
        <w:br/>
        <w:t>Derechos Humanos, su Estatuto y su Reglamento, para una adecuada  protección</w:t>
        <w:br/>
        <w:t>de los derechos  humanos,  sin  merma  de  una  sana  institucionalidad  del</w:t>
        <w:br/>
        <w:t>sistema interamericano.</w:t>
        <w:br/>
        <w:br/>
        <w:br/>
        <w:t>San José, 11 de diciembre de 1991.</w:t>
        <w:br/>
        <w:br/>
        <w:br/>
        <w:t>Jorge Eduardo Orihuela Iberico</w:t>
        <w:br/>
        <w:t>Juez ad hoc</w:t>
        <w:br/>
        <w:br/>
        <w:br/>
        <w:t>Manuel E. Ventura Robles</w:t>
        <w:br/>
        <w:t>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