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Caso Comunidad indígena Yakye Axa Vs. Paraguay</w:t>
        <w:br/>
        <w:br/>
        <w:br/>
        <w:t xml:space="preserve">                      Sentencia de 6 de febrero de 2006</w:t>
        <w:br/>
        <w:t xml:space="preserve">      (Interpretación de la Sentencia de Fondo, Reparaciones y Costas)</w:t>
        <w:br/>
        <w:br/>
        <w:br/>
        <w:t>En el caso Comunidad indígena Yakye Axa,</w:t>
        <w:br/>
        <w:br/>
        <w:t>La Corte Interamericana de Derechos Humanos (en  adelante  "la  Corte",  "la</w:t>
        <w:br/>
        <w:t>Corte  Interamericana"  o  "el  Tribunal"),  integrada  por  los  siguientes</w:t>
        <w:br/>
        <w:t>jueces*:</w:t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</w:t>
        <w:br/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t>de conformidad con el artículo 67 de la Convención Americana sobre  Derechos</w:t>
        <w:br/>
        <w:t>Humanos (en adelante “la Convención”  o  “la  Convención  Americana”)  y  el</w:t>
        <w:br/>
        <w:t>artículo 59 del Reglamento  de  la  Corte  (en  adelante  “el  Reglamento”),</w:t>
        <w:br/>
        <w:t>resuelve sobre la demanda de interpretación de  la  Sentencia  sobre  fondo,</w:t>
        <w:br/>
        <w:t>reparaciones y costas emitida por la Corte el 17 de  junio  de  2005  en  el</w:t>
        <w:br/>
        <w:t>caso  Comunidad  indígena  Yakye   Axa   (en   adelante   “la   demanda   de</w:t>
        <w:br/>
        <w:t>interpretación”), presentada por los  representantes  de  las  víctimas  (en</w:t>
        <w:br/>
        <w:t>adelante “los representantes”) el 14 de octubre de 2005.</w:t>
        <w:br/>
        <w:br/>
        <w:br/>
        <w:t xml:space="preserve">                                      I</w:t>
        <w:br/>
        <w:t xml:space="preserve">                Sentencia sobre fondo, reparaciones y costas</w:t>
        <w:br/>
        <w:br/>
        <w:t>1.    El 17 de junio de 2005 la  Corte  emitió  la  Sentencia  sobre  fondo,</w:t>
        <w:br/>
        <w:t>reparaciones y costas en este caso (en adelante “la  Sentencia  de  fondo”),</w:t>
        <w:br/>
        <w:t>en la cual, en lo conducente</w:t>
        <w:br/>
        <w:br/>
        <w:t xml:space="preserve">      DECLAR[Ó] QUE:</w:t>
        <w:br/>
        <w:br/>
        <w:br/>
        <w:t xml:space="preserve">      Por siete votos contra uno,</w:t>
        <w:br/>
        <w:br/>
        <w:br/>
        <w:t xml:space="preserve">      1.    el Estado violó los derechos a las Garantías Judiciales y  a  la</w:t>
        <w:br/>
        <w:t xml:space="preserve">      Protección  Judicial  consagrados   en   los   artículos   8   y   25,</w:t>
        <w:br/>
        <w:t xml:space="preserve">      respectivamente, de la Convención Americana sobre Derechos Humanos, en</w:t>
        <w:br/>
        <w:t xml:space="preserve">      relación con los artículos 1.1. y 2 de la misma, en perjuicio  de  los</w:t>
        <w:br/>
        <w:t xml:space="preserve">      miembros de la Comunidad indígena Yakye Axa, en los  términos  de  los</w:t>
        <w:br/>
        <w:t xml:space="preserve">      párrafos 55 a 119 de la […] Sentencia.</w:t>
        <w:br/>
        <w:br/>
        <w:br/>
        <w:t xml:space="preserve">      Disi[ntió] parcialmente el Juez Ramón Fogel Pedroso.</w:t>
        <w:br/>
        <w:br/>
        <w:br/>
        <w:t xml:space="preserve">      Por siete votos contra uno,</w:t>
        <w:br/>
        <w:br/>
        <w:br/>
        <w:t xml:space="preserve">      2.    el Estado violó el derecho  a  la  Propiedad  consagrado  en  el</w:t>
        <w:br/>
        <w:t xml:space="preserve">      artículo 21 de la Convención  Americana  sobre  Derechos  Humanos,  en</w:t>
        <w:br/>
        <w:t xml:space="preserve">      relación con los artículos 1.1 y 2 de la misma, en  perjuicio  de  los</w:t>
        <w:br/>
        <w:t xml:space="preserve">      miembros de la Comunidad indígena Yakye Axa, en los  términos  de  los</w:t>
        <w:br/>
        <w:t xml:space="preserve">      párrafos 123 a 156 de la […] Sentencia.</w:t>
        <w:br/>
        <w:br/>
        <w:br/>
        <w:t xml:space="preserve">      Disi[ntió] el Juez Ramón Fogel Pedroso.</w:t>
        <w:br/>
        <w:br/>
        <w:br/>
        <w:t xml:space="preserve">      Por unanimidad,</w:t>
        <w:br/>
        <w:br/>
        <w:br/>
        <w:t xml:space="preserve">      3.    el Estado violó el Derecho a la Vida consagrado en  el  artículo</w:t>
        <w:br/>
        <w:t xml:space="preserve">      4.1 de la Convención Americana sobre Derechos Humanos, en relación con</w:t>
        <w:br/>
        <w:t xml:space="preserve">      el artículo 1.1. de la misma, en  perjuicio  de  los  miembros  de  la</w:t>
        <w:br/>
        <w:t xml:space="preserve">      Comunidad indígena Yakye Axa en los términos de los párrafos 160 a 176</w:t>
        <w:br/>
        <w:t xml:space="preserve">      de la […] Sentencia.</w:t>
        <w:br/>
        <w:br/>
        <w:br/>
        <w:t xml:space="preserve">      Por cinco votos contra tres,</w:t>
        <w:br/>
        <w:br/>
        <w:br/>
        <w:t xml:space="preserve">      4.    no cuenta con elementos probatorios suficientes  para  demostrar</w:t>
        <w:br/>
        <w:t xml:space="preserve">      la violación del Derecho a la Vida consagrado en el artículo 4.1 de la</w:t>
        <w:br/>
        <w:t xml:space="preserve">      Convención Americana sobre Derechos Humanos, en perjuicio de dieciséis</w:t>
        <w:br/>
        <w:t xml:space="preserve">      miembros de la Comunidad indígena Yakye Axa, en los  términos  de  los</w:t>
        <w:br/>
        <w:t xml:space="preserve">      párrafos 177 a 178 de la […] Sentencia.</w:t>
        <w:br/>
        <w:br/>
        <w:br/>
        <w:t xml:space="preserve">      Disi[ntieron] los Jueces Alirio  Abreu  Burelli,  Antônio  A.  Cançado</w:t>
        <w:br/>
        <w:t xml:space="preserve">      Trindade y Manuel E. Ventura Robles.</w:t>
        <w:br/>
        <w:br/>
        <w:br/>
        <w:t xml:space="preserve">      Por unanimidad,</w:t>
        <w:br/>
        <w:br/>
        <w:br/>
        <w:t xml:space="preserve">      5.    [la] Sentencia constituye per se una forma de reparación, en los</w:t>
        <w:br/>
        <w:t xml:space="preserve">      términos del párrafo 200 de la [misma].</w:t>
        <w:br/>
        <w:br/>
        <w:br/>
        <w:br/>
        <w:br/>
        <w:t xml:space="preserve">      Y, POR UNANIMIDAD, DISP[USO] QUE:</w:t>
        <w:br/>
        <w:br/>
        <w:br/>
        <w:t xml:space="preserve">      6.    el Estado deberá identificar el territorio  tradicional  de  los</w:t>
        <w:br/>
        <w:t xml:space="preserve">      miembros de la Comunidad indígena Yakye Axa y entregárselos de  manera</w:t>
        <w:br/>
        <w:t xml:space="preserve">      gratuita, en un plazo máximo de tres años  contados  a  partir  de  la</w:t>
        <w:br/>
        <w:t xml:space="preserve">      notificación de la […] Sentencia, en los términos de los párrafos  211</w:t>
        <w:br/>
        <w:t xml:space="preserve">      a 217 de la […] Sentencia.</w:t>
        <w:br/>
        <w:br/>
        <w:br/>
        <w:t xml:space="preserve">      7.    mientras los miembros de la  Comunidad  indígena  Yakye  Axa  se</w:t>
        <w:br/>
        <w:t xml:space="preserve">      encuentren sin tierras, el Estado deberá suministrarles los  bienes  y</w:t>
        <w:br/>
        <w:t xml:space="preserve">      servicios básicos necesarios para su subsistencia, en los términos del</w:t>
        <w:br/>
        <w:t xml:space="preserve">      párrafo 221 de la […] Sentencia.</w:t>
        <w:br/>
        <w:br/>
        <w:br/>
        <w:t xml:space="preserve">      8.    el Estado deberá crear un fondo destinado  exclusivamente  a  la</w:t>
        <w:br/>
        <w:t xml:space="preserve">      adquisición de las tierras a entregarse a los miembros de la Comunidad</w:t>
        <w:br/>
        <w:t xml:space="preserve">      indígena Yakye Axa, en un plazo máximo de un año contado a  partir  de</w:t>
        <w:br/>
        <w:t xml:space="preserve">      la notificación de la […] Sentencia, en los términos del  párrafo  218</w:t>
        <w:br/>
        <w:t xml:space="preserve">      de la misma.</w:t>
        <w:br/>
        <w:br/>
        <w:br/>
        <w:t xml:space="preserve">      9.     el  Estado  deberá  implementar  un  programa  y  un  fondo  de</w:t>
        <w:br/>
        <w:t xml:space="preserve">      desarrollo comunitario, en los términos de los párrafos 205 y  206  de</w:t>
        <w:br/>
        <w:t xml:space="preserve">      la […] Sentencia.</w:t>
        <w:br/>
        <w:br/>
        <w:br/>
        <w:t xml:space="preserve">      10.   el Estado deberá adoptar en su  derecho  interno,  en  un  plazo</w:t>
        <w:br/>
        <w:t xml:space="preserve">      razonable, las medidas legislativas, administrativas  y  de  cualquier</w:t>
        <w:br/>
        <w:t xml:space="preserve">      otro carácter que sean necesarias para garantizar el efectivo goce del</w:t>
        <w:br/>
        <w:t xml:space="preserve">      derecho a la propiedad de los miembros de los  pueblos  indígenas,  en</w:t>
        <w:br/>
        <w:t xml:space="preserve">      los términos del párrafo 225 de la […] Sentencia.</w:t>
        <w:br/>
        <w:br/>
        <w:br/>
        <w:t xml:space="preserve">      11.   el Estado deberá realizar un acto público de  reconocimiento  de</w:t>
        <w:br/>
        <w:t xml:space="preserve">      su responsabilidad, dentro del plazo de un año, contado a partir de la</w:t>
        <w:br/>
        <w:t xml:space="preserve">      notificación de la […] Sentencia, en los términos del párrafo  226  de</w:t>
        <w:br/>
        <w:t xml:space="preserve">      la misma.</w:t>
        <w:br/>
        <w:br/>
        <w:br/>
        <w:t xml:space="preserve">      12.   el Estado deberá publicar, dentro del plazo de un año contado  a</w:t>
        <w:br/>
        <w:t xml:space="preserve">      partir de la notificación de la […] Sentencia, al menos por  una  vez,</w:t>
        <w:br/>
        <w:t xml:space="preserve">      en el Diario Oficial y en otro diario de circulación  nacional,  tanto</w:t>
        <w:br/>
        <w:t xml:space="preserve">      la sección denominada Hechos  Probados  como  los  puntos  resolutivos</w:t>
        <w:br/>
        <w:t xml:space="preserve">      Primero a Décimo Cuarto de ésta.  Asimismo, el Estado deberá financiar</w:t>
        <w:br/>
        <w:t xml:space="preserve">      la transmisión radial de [la] Sentencia, en los términos  del  párrafo</w:t>
        <w:br/>
        <w:t xml:space="preserve">      227 de la misma.</w:t>
        <w:br/>
        <w:br/>
        <w:br/>
        <w:t xml:space="preserve">      13.   el Estado  deberá  efectuar  los  pagos  por  concepto  de  daño</w:t>
        <w:br/>
        <w:t xml:space="preserve">      material y costas y gastos dentro del  plazo  de  un  año,  contado  a</w:t>
        <w:br/>
        <w:t xml:space="preserve">      partir de la notificación del  […]  fallo,  en  los  términos  de  los</w:t>
        <w:br/>
        <w:t xml:space="preserve">      párrafos 195 y 232 de [la] Sentencia.</w:t>
        <w:br/>
        <w:br/>
        <w:br/>
        <w:t xml:space="preserve">      14.   la Corte supervisará el cumplimiento de [la]  Sentencia  y  dará</w:t>
        <w:br/>
        <w:t xml:space="preserve">      por concluido el presente caso una vez que el Estado haya  dado  cabal</w:t>
        <w:br/>
        <w:t xml:space="preserve">      aplicación a lo dispuesto en la misma.  Dentro del  plazo  de  un  año</w:t>
        <w:br/>
        <w:t xml:space="preserve">      contado a partir de la  notificación  de  [la]  Sentencia,  el  Estado</w:t>
        <w:br/>
        <w:t xml:space="preserve">      deberá rendir a la Corte un informe sobre  las  medidas  tomadas  para</w:t>
        <w:br/>
        <w:t xml:space="preserve">      darle cumplimiento, en los términos del párrafo 241 de la misma.</w:t>
        <w:br/>
        <w:br/>
        <w:br/>
        <w:t>2.    La Sentencia de fondo fue notificada a las partes el 14  de  julio  de</w:t>
        <w:br/>
        <w:t>2005.</w:t>
        <w:br/>
        <w:br/>
        <w:t xml:space="preserve">                                     II</w:t>
        <w:br/>
        <w:t xml:space="preserve">                    Competencia y Composición de la Corte</w:t>
        <w:br/>
        <w:br/>
        <w:t>3.    El artículo 67 de la Convención establece que</w:t>
        <w:br/>
        <w:br/>
        <w:br/>
        <w:t xml:space="preserve">      [e]l fallo de la Corte será  definitivo  e  inapelable. 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br/>
        <w:t>4.    De conformidad con el artículo citado, la  Corte  es  competente  para</w:t>
        <w:br/>
        <w:t>interpretar sus  fallos  y,  para  realizar  el  examen  de  la  demanda  de</w:t>
        <w:br/>
        <w:t>interpretación, debe tener, si es posible, la misma  composición  que  tenía</w:t>
        <w:br/>
        <w:t>al dictar la sentencia respectiva (artículo 59.3 del Reglamento).   En  esta</w:t>
        <w:br/>
        <w:t>ocasión, la Corte se integra con los jueces que  dictaron  la  Sentencia  de</w:t>
        <w:br/>
        <w:t>fondo, cuya interpretación ha sido solicitada por los representantes*.</w:t>
        <w:br/>
        <w:br/>
        <w:t xml:space="preserve">                                     III</w:t>
        <w:br/>
        <w:t xml:space="preserve">          Introducción de la demanda de interpretación y su objeto</w:t>
        <w:br/>
        <w:br/>
        <w:t>5.    El 14 de octubre de 2005 los representantes  presentaron  una  demanda</w:t>
        <w:br/>
        <w:t>de  interpretación  de  la  Sentencia  de  fondo,  de  conformidad  con  los</w:t>
        <w:br/>
        <w:t>artículos 67 de la Convención y 59 del Reglamento.</w:t>
        <w:br/>
        <w:br/>
        <w:t>6.    En la demanda de interpretación los  representantes  se  refirieron  a</w:t>
        <w:br/>
        <w:t>dos aspectos: a) al contenido del punto resolutivo sexto de la Sentencia  de</w:t>
        <w:br/>
        <w:t>fondo que, a su criterio, “por un lado obliga al  Estado  a  la  restitución</w:t>
        <w:br/>
        <w:t>del territorio tradicional de los miembros de la [C]omunidad,  pero  por  el</w:t>
        <w:br/>
        <w:t>otro, parecería ordenar la ‘identificación’ del área en cuestión”, y  b)  la</w:t>
        <w:br/>
        <w:t>manera en  la  que  operaría  en  la  práctica  la  obligación  del  Estado,</w:t>
        <w:br/>
        <w:t>contenida en el punto  resolutivo  octavo  de  la  mencionada  Sentencia  de</w:t>
        <w:br/>
        <w:t>fondo, de crear un fondo destinado exclusivamente a la  adquisición  de  las</w:t>
        <w:br/>
        <w:t>tierras a entregarse a los miembros de la Comunidad Yakye Axa, “dado que  el</w:t>
        <w:br/>
        <w:t>plazo para este menester  es  menor  al  previsto  para  la  identificación,</w:t>
        <w:br/>
        <w:t>delimitación, demarcación, titulación y entrega gratuita de  las  tierras[,]</w:t>
        <w:br/>
        <w:t>cuyo precio debería ser presupuestado previamente”.</w:t>
        <w:br/>
        <w:br/>
        <w:t xml:space="preserve">                                     IV</w:t>
        <w:br/>
        <w:t xml:space="preserve">                         Procedimiento ante la Corte</w:t>
        <w:br/>
        <w:br/>
        <w:br/>
        <w:t>7.    El 19 de octubre de 2005,  de  conformidad  con  lo  dispuesto  en  el</w:t>
        <w:br/>
        <w:t>artículo 59.2 del Reglamento y siguiendo instrucciones del Presidente de  la</w:t>
        <w:br/>
        <w:t>Corte, la  Secretaría  de  la  Corte  transmitió  copia  de  la  demanda  de</w:t>
        <w:br/>
        <w:t>interpretación  a  la  Comisión  Interamericana  de  Derechos  Humanos   (en</w:t>
        <w:br/>
        <w:t>adelante “la Comisión” o “la  Comisión  Interamericana”)  y  al  Estado  del</w:t>
        <w:br/>
        <w:t>Paraguay (en adelante “el Estado” o “Paraguay”), y les comunicó que  podrían</w:t>
        <w:br/>
        <w:t>presentar las alegaciones escritas que estimaran pertinentes, a  más  tardar</w:t>
        <w:br/>
        <w:t>el 21 de noviembre  de  2005.   Asimismo,  se  recordó  al  Estado  que,  de</w:t>
        <w:br/>
        <w:t>conformidad con lo dispuesto en  el  artículo  59.4  del  Reglamento,  “[l]a</w:t>
        <w:br/>
        <w:t>demanda de interpretación no suspenderá la ejecución de la sentencia”.</w:t>
        <w:br/>
        <w:br/>
        <w:br/>
        <w:t>8.    El 18 de noviembre de 2005 el Estado presentó  sus  alegatos  escritos</w:t>
        <w:br/>
        <w:t>sobre la demanda de interpretación, en los cuales indicó,  inter  alia,  que</w:t>
        <w:br/>
        <w:t>“[n]o es dable modificar el texto  claro  y  expreso  de  la  [Sentencia  de</w:t>
        <w:br/>
        <w:t>fondo] mediante un recurso […]  que  no  tiene  otra  finalidad  que  el  de</w:t>
        <w:br/>
        <w:t>interpretar”.</w:t>
        <w:br/>
        <w:br/>
        <w:t>9.    El 22 de noviembre de 2005 la  Comisión  Interamericana  presentó  sus</w:t>
        <w:br/>
        <w:t>alegatos escritos sobre la demanda de interpretación, en los cuales  indicó,</w:t>
        <w:br/>
        <w:t>inter alia, que el primer aspecto al  que  se  refieren  los  representantes</w:t>
        <w:br/>
        <w:t>“corresponde, stricto sensu, a una pretensión en materia  de  cumplimiento”,</w:t>
        <w:br/>
        <w:t>mientras que el segundo aspecto “recoge una duda  válida  sobre  la  lectura</w:t>
        <w:br/>
        <w:t>concordada de dos partes del fallo,  relevante  con  respecto  a  su  futura</w:t>
        <w:br/>
        <w:t>eficacia”.</w:t>
        <w:br/>
        <w:br/>
        <w:br/>
        <w:t xml:space="preserve">                                      V</w:t>
        <w:br/>
        <w:t xml:space="preserve">                                Admisibilidad</w:t>
        <w:br/>
        <w:br/>
        <w:br/>
        <w:t>10.   Corresponde a la Corte verificar si los  términos  de  la  demanda  de</w:t>
        <w:br/>
        <w:t>interpretación cumplen las normas aplicables.</w:t>
        <w:br/>
        <w:br/>
        <w:t>11.   El artículo 67 de la Convención establece que</w:t>
        <w:br/>
        <w:br/>
        <w:t xml:space="preserve">      [e]l fallo de la Corte será  definitivo  e  inapelable. 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t>12.   El artículo 59 del Reglamento dispone, en lo conducente, que:</w:t>
        <w:br/>
        <w:br/>
        <w:t xml:space="preserve">      1.    La demanda de interpretación a que se refiere el artículo 67  de</w:t>
        <w:br/>
        <w:t xml:space="preserve">      la Convención podrá promoverse en relación con las sentencias de fondo</w:t>
        <w:br/>
        <w:t xml:space="preserve">      o de reparaciones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br/>
        <w:br/>
        <w:t xml:space="preserve">      […]</w:t>
        <w:br/>
        <w:br/>
        <w:br/>
        <w:t xml:space="preserve">      4.    La demanda de interpretación no suspenderá la  ejecución  de  la</w:t>
        <w:br/>
        <w:t xml:space="preserve">      sentencia.</w:t>
        <w:br/>
        <w:br/>
        <w:br/>
        <w:t xml:space="preserve">      5.    La Corte determinará el procedimiento que se seguirá y resolverá</w:t>
        <w:br/>
        <w:t xml:space="preserve">      mediante una sentencia.</w:t>
        <w:br/>
        <w:br/>
        <w:t>13.    El  artículo  29.3  del  Reglamento  establece  que   “[c]ontra   las</w:t>
        <w:br/>
        <w:t>sentencias  y  resoluciones  de  la  Corte  no  procede  ningún   medio   de</w:t>
        <w:br/>
        <w:t>impugnación”.</w:t>
        <w:br/>
        <w:br/>
        <w:t>14.   La  Corte  ha  constatado  que  los  representantes  interpusieron  la</w:t>
        <w:br/>
        <w:t>demanda de interpretación el  14  de  octubre  de  2005,  dentro  del  plazo</w:t>
        <w:br/>
        <w:t>establecido en el artículo 67 de la Convención (supra párr. 11), ya  que  la</w:t>
        <w:br/>
        <w:t>Sentencia de fondo fue notificada a los representantes el  14  de  julio  de</w:t>
        <w:br/>
        <w:t>2005.</w:t>
        <w:br/>
        <w:br/>
        <w:t>15.   Por otro lado, tal como lo ha dispuesto anteriormente  este  Tribunal,</w:t>
        <w:br/>
        <w:t>una demanda de interpretación de una sentencia no debe  utilizarse  como  un</w:t>
        <w:br/>
        <w:t>medio de impugnación, sino únicamente debe tener como objeto desentrañar  el</w:t>
        <w:br/>
        <w:t>sentido de un fallo cuando una de las partes sostiene que el  texto  de  sus</w:t>
        <w:br/>
        <w:t>puntos resolutivos o de sus consideraciones carece de claridad o  precisión,</w:t>
        <w:br/>
        <w:t>siempre y cuando esas consideraciones incidan en dicha parte  resolutiva  y,</w:t>
        <w:br/>
        <w:t>por tanto, no se puede pedir la modificación o  anulación  de  la  sentencia</w:t>
        <w:br/>
        <w:t>respectiva a través de una demanda de interpretación[1].</w:t>
        <w:br/>
        <w:br/>
        <w:t>16.   Asimismo, la Corte ha establecido que la demanda de interpretación  de</w:t>
        <w:br/>
        <w:t>sentencia no puede consistir en el sometimiento de cuestiones de hecho y  de</w:t>
        <w:br/>
        <w:t>derecho que ya fueron planteadas en su  oportunidad  procesal  y  sobre  las</w:t>
        <w:br/>
        <w:t>cuales el Tribunal ya adoptó una decisión[2].</w:t>
        <w:br/>
        <w:br/>
        <w:t>17.    Para  analizar  la  procedencia  de  la  demanda  de   interpretación</w:t>
        <w:br/>
        <w:t>presentada por los representantes y,  en  su  caso,  aclarar  el  sentido  o</w:t>
        <w:br/>
        <w:t>alcance  de  la  Sentencia  de  fondo  emitida  el  17  de  junio  de  2005,</w:t>
        <w:br/>
        <w:t>seguidamente la Corte Interamericana analizará de  forma  separada  los  dos</w:t>
        <w:br/>
        <w:t>aspectos planteados por los representantes (supra párr. 6).</w:t>
        <w:br/>
        <w:br/>
        <w:t xml:space="preserve">                                     VI</w:t>
        <w:br/>
        <w:t xml:space="preserve">                    Respecto del territorio a identificar</w:t>
        <w:br/>
        <w:t xml:space="preserve">  (Punto resolutivo sexto de la sentencia de fondo, reparaciones y costas)</w:t>
        <w:br/>
        <w:br/>
        <w:t xml:space="preserve">      Alegatos de los representantes</w:t>
        <w:br/>
        <w:br/>
        <w:t>18.   Los representantes  alegaron  que  “[a]  lo  largo  del  procedimiento</w:t>
        <w:br/>
        <w:t>tramitado en sede internacional, tanto la Comisión Interamericana [como]  la</w:t>
        <w:br/>
        <w:t>representación de las víctimas han sostenido […] que el área  reclamada  por</w:t>
        <w:br/>
        <w:t>la Comunidad Yakye Axa es [l]a Estancia  Loma  Verde,  extremo  que  no  fue</w:t>
        <w:br/>
        <w:t>controvertido por el Estado y que, aún más, fue recogido por  la  […]  Corte</w:t>
        <w:br/>
        <w:t>en la Sección Hechos Probados de la Sentencia [de fondo].  Sin  embargo,  el</w:t>
        <w:br/>
        <w:t>contenido de la disposición del  punto  resolutivo  [sexto],  por  un  lado,</w:t>
        <w:br/>
        <w:t>obliga al  Estado  a  la  restitución  del  territorio  tradicional  de  los</w:t>
        <w:br/>
        <w:t>miembros  de  la  [C]omunidad,  pero  por  el  otro,  parecería  ordenar  la</w:t>
        <w:br/>
        <w:t>‘identificación’ del área en cuestión”.</w:t>
        <w:br/>
        <w:br/>
        <w:t xml:space="preserve">      Alegatos de la Comisión Interamericana</w:t>
        <w:br/>
        <w:br/>
        <w:t>19.   La Comisión alegó que:</w:t>
        <w:br/>
        <w:br/>
        <w:t xml:space="preserve">     a)    la primera interrogante de los representantes “no  presenta  una</w:t>
        <w:br/>
        <w:t xml:space="preserve">     duda sobre el alcance de la [S]entencia [de  fondo],  en  la  cual  el</w:t>
        <w:br/>
        <w:t xml:space="preserve">     Tribunal fue claro al opinar que no era su competencia identificar  el</w:t>
        <w:br/>
        <w:t xml:space="preserve">     territorio a ser entregado”;</w:t>
        <w:br/>
        <w:br/>
        <w:br/>
        <w:t xml:space="preserve">     b)    lo que los representantes  han  planteado  es  una  cuestión  de</w:t>
        <w:br/>
        <w:t xml:space="preserve">     “finalidad”, puesto que estiman que el Estado, al descargar  su  deber</w:t>
        <w:br/>
        <w:t xml:space="preserve">     de identificar el territorio a ser entregado  a  los  miembros  de  la</w:t>
        <w:br/>
        <w:t xml:space="preserve">     Comunidad Yakye Axa, debe tomar como punto de partida  “el  territorio</w:t>
        <w:br/>
        <w:t xml:space="preserve">     ahora conocido como la Estancia Loma Verde.” Por lo que, a criterio de</w:t>
        <w:br/>
        <w:t xml:space="preserve">     la Comisión, la posición planteada “corresponde, stricto sensu, a  una</w:t>
        <w:br/>
        <w:t xml:space="preserve">     pretensión en materia de cumplimiento”, y</w:t>
        <w:br/>
        <w:br/>
        <w:br/>
        <w:t xml:space="preserve">     c)    la respuesta sobre la duda planteada  “no  es  indispensable”  a</w:t>
        <w:br/>
        <w:t xml:space="preserve">     priori, ya que “de los  hallazgos  judiciales  interamericanos  y  las</w:t>
        <w:br/>
        <w:t xml:space="preserve">     manifestaciones de las partes en el caso se deriva que, para descargar</w:t>
        <w:br/>
        <w:t xml:space="preserve">     de  buena  fe  su  obligación  de  entrega,  el  Estado   deb[e]   dar</w:t>
        <w:br/>
        <w:t xml:space="preserve">     consideración preeminente  a  los  territorios  que  coinciden,  entre</w:t>
        <w:br/>
        <w:t xml:space="preserve">     otros, con la Estancia Loma  Verde.”   Sin  embargo,  si  el  Tribunal</w:t>
        <w:br/>
        <w:t xml:space="preserve">     verifica  que  existe  controversia  en  la  manera  en  que  se  dará</w:t>
        <w:br/>
        <w:t xml:space="preserve">     cumplimiento a la Sentencia de fondo, la Comisión considera “que sería</w:t>
        <w:br/>
        <w:t xml:space="preserve">     particularmente útil que elucide el  asunto”.   En  tal  eventualidad,</w:t>
        <w:br/>
        <w:t xml:space="preserve">     “que la Corte se refiera a la  interrogante  planteada  por  la  parte</w:t>
        <w:br/>
        <w:t xml:space="preserve">     lesionada solamente podrá redundar en beneficio de la eficacia  de  su</w:t>
        <w:br/>
        <w:t xml:space="preserve">     fallo.”</w:t>
        <w:br/>
        <w:br/>
        <w:br/>
        <w:t xml:space="preserve">      Alegatos del Estado</w:t>
        <w:br/>
        <w:br/>
        <w:t>20.   El Estado señaló que:</w:t>
        <w:br/>
        <w:br/>
        <w:t xml:space="preserve">     a)    “[n]o es  dable  modificar  el  texto  claro  y  expreso  de  la</w:t>
        <w:br/>
        <w:t xml:space="preserve">     [Sentencia de fondo]  mediante  un  recurso  […]  que  no  tiene  otra</w:t>
        <w:br/>
        <w:t xml:space="preserve">     finalidad que  el  de  interpretar.  Siendo  meridianamente  claro  el</w:t>
        <w:br/>
        <w:t xml:space="preserve">     contenido de la [S]entencia [de fondo], no merece otra  interpretación</w:t>
        <w:br/>
        <w:t xml:space="preserve">     que la que le ha dado la […] Corte”;</w:t>
        <w:br/>
        <w:br/>
        <w:br/>
        <w:t xml:space="preserve">     b)    “[n]o es cierto que el Estado se ha allanado a  la  confiscación</w:t>
        <w:br/>
        <w:t xml:space="preserve">     de la Estancia [Loma Verde]”;</w:t>
        <w:br/>
        <w:br/>
        <w:br/>
        <w:t xml:space="preserve">     c)    “se aviene a identificar el territorio de  [la  Comunidad  Yakye</w:t>
        <w:br/>
        <w:t xml:space="preserve">     Axa,] que forma parte de la etnia o pueblo E[nxet] diseminado por todo</w:t>
        <w:br/>
        <w:t xml:space="preserve">     el  Chaco  Central[,]  y  entregar  gratuitamente  como  lo  manda  la</w:t>
        <w:br/>
        <w:t xml:space="preserve">     Constitución Nacional la porción de territorio o inmueble que albergue</w:t>
        <w:br/>
        <w:t xml:space="preserve">     a esta Comunidad según la cantidad de miembros con que ella cuenta”, y</w:t>
        <w:br/>
        <w:br/>
        <w:br/>
        <w:t xml:space="preserve">     d)    “se está  logrando  […]  el  acuerdo  de  los  indígenas  en  la</w:t>
        <w:br/>
        <w:t xml:space="preserve">     adquisición de un inmueble dentro del mismo territorio”.</w:t>
        <w:br/>
        <w:br/>
        <w:t>Consideraciones de la Corte</w:t>
        <w:br/>
        <w:br/>
        <w:t>21.   La Corte estima que  es  claro  el  alcance  de  lo  dispuesto  en  la</w:t>
        <w:br/>
        <w:t>Sentencia de fondo respecto a la entrega de los territorios tradicionales  a</w:t>
        <w:br/>
        <w:t>la Comunidad Yakye Axa.  Sin embargo, en aras de disipar las  dudas  de  los</w:t>
        <w:br/>
        <w:t>representantes al respecto, el Tribunal considera conveniente establecer  el</w:t>
        <w:br/>
        <w:t>sentido de lo  dispuesto  en  el  punto  resolutivo  sexto  de  la  referida</w:t>
        <w:br/>
        <w:t>Sentencia de fondo, en el cual se dispuso que el Estado  deberá  identificar</w:t>
        <w:br/>
        <w:t>el  territorio  tradicional  de  los   miembros   de   dicha   Comunidad   y</w:t>
        <w:br/>
        <w:t>entregárselos de manera gratuita.</w:t>
        <w:br/>
        <w:br/>
        <w:t>22.   Lo dispuesto en el punto resolutivo sexto de  la  Sentencia  de  fondo</w:t>
        <w:br/>
        <w:t>debe entenderse tomando en cuenta lo declarado por la Corte en otras  partes</w:t>
        <w:br/>
        <w:t>del mismo fallo, tales como los párrafos 50.4 a 50.6, 137 a  154,  y  211  a</w:t>
        <w:br/>
        <w:t>217.  Particularmente, en el párrafo 215 la Corte consideró que</w:t>
        <w:br/>
        <w:br/>
        <w:t xml:space="preserve">      no le compete determinar cuál  es  el  territorio  tradicional  de  la</w:t>
        <w:br/>
        <w:t xml:space="preserve">      Comunidad indígena Yakye Axa, pero  sí  establecer  si  el  Estado  ha</w:t>
        <w:br/>
        <w:t xml:space="preserve">      respetado y garantizado el derecho  a  la  propiedad  comunal  de  sus</w:t>
        <w:br/>
        <w:t xml:space="preserve">      miembros, como en efecto lo ha hecho en la […] Sentencia […].  Por  la</w:t>
        <w:br/>
        <w:t xml:space="preserve">      razón anterior, corresponde al Estado delimitar, demarcar,  titular  y</w:t>
        <w:br/>
        <w:t xml:space="preserve">      entregar las tierras, de conformidad con los párrafos 137 a 154 de  la</w:t>
        <w:br/>
        <w:t xml:space="preserve">      […] Sentencia.</w:t>
        <w:br/>
        <w:br/>
        <w:t>23.   De esta forma, la Corte Interamericana dejó establecido  con  claridad</w:t>
        <w:br/>
        <w:t>que es el Estado a quien corresponde  la  tarea  de  la  identificación  del</w:t>
        <w:br/>
        <w:t>territorio de  la  Comunidad,  y  su  posterior  delimitación,  demarcación,</w:t>
        <w:br/>
        <w:t>titulación y entrega, puesto que es  el  Estado  el  que  posee  los  medios</w:t>
        <w:br/>
        <w:t>técnicos y científicos necesarios para la realización de dichas tareas.   No</w:t>
        <w:br/>
        <w:t>obstante, como se desprende del Capítulo de Hechos Probados de la  Sentencia</w:t>
        <w:br/>
        <w:t>de fondo, ya existen ciertos recaudos  y  diligencias  procesales  ante  las</w:t>
        <w:br/>
        <w:t>instituciones estatales competentes que se han elaborado  con  tal  fin,  lo</w:t>
        <w:br/>
        <w:t>que indudablemente deberá ser tomado en cuenta por el Estado a  la  hora  de</w:t>
        <w:br/>
        <w:t>identificar el territorio y  la  extensión  del  mismo  a  entregarse  a  la</w:t>
        <w:br/>
        <w:t>Comunidad Yakye Axa. Asimismo, el Tribunal reconoció en el  párrafo  216  de</w:t>
        <w:br/>
        <w:t>la Sentencia de fondo, que “la posesión [del]  territorio  tradicional  está</w:t>
        <w:br/>
        <w:t>marcada de forma indeleble en [la] memoria histórica [de los miembros de  la</w:t>
        <w:br/>
        <w:t>Comunidad Yakye Axa]”, y que dentro del proceso  de  sedentarización,  dicha</w:t>
        <w:br/>
        <w:t>Comunidad  “adoptó  una  identidad  propia  relacionada   con   un   espacio</w:t>
        <w:br/>
        <w:t>geográfico determinado física y culturalmente”.   Esa  memoria  histórica  e</w:t>
        <w:br/>
        <w:t>identidad propia deberán ser especialmente consideradas al identificarse  el</w:t>
        <w:br/>
        <w:t>territorio a serles entregado.</w:t>
        <w:br/>
        <w:br/>
        <w:t>24.   Por otro lado, como se desprende del texto de la  Sentencia  de  fondo</w:t>
        <w:br/>
        <w:t>emitida en el presente caso, la Corte previó la posibilidad  de  que,  luego</w:t>
        <w:br/>
        <w:t>de  concluidas  las  diligencias  necesarias,  las   autoridades   estatales</w:t>
        <w:br/>
        <w:t>competentes establezcan que el territorio tradicional de la Comunidad  Yakye</w:t>
        <w:br/>
        <w:t>Axa corresponde a la totalidad o a una parcialidad de una o más  propiedades</w:t>
        <w:br/>
        <w:t>que se  encuentren  en  manos  privadas.   En  efecto,  de  presentarse  tal</w:t>
        <w:br/>
        <w:t>supuesto, el párrafo 217 de la Sentencia de  fondo  dispone  que  el  Estado</w:t>
        <w:br/>
        <w:t>“deberá  valorar  la  legalidad,  necesidad   y   proporcionalidad   de   la</w:t>
        <w:br/>
        <w:t>expropiación o no de esas tierras con el fin de lograr un objetivo  legítimo</w:t>
        <w:br/>
        <w:t>en una sociedad democrática”, y que para ello, “deberá tomar en  cuenta  las</w:t>
        <w:br/>
        <w:t>particularidades propias de la Comunidad indígena Yakye Axa,  así  como  sus</w:t>
        <w:br/>
        <w:t>valores, usos, costumbres y derecho consuetudinario”.</w:t>
        <w:br/>
        <w:br/>
        <w:t>25.   La Corte  anticipó  igualmente  que  “[s]i  por  motivos  objetivos  y</w:t>
        <w:br/>
        <w:t>fundamentados, la reivindicación del territorio ancestral  de  los  miembros</w:t>
        <w:br/>
        <w:t>de la Comunidad Yakye Axa no fuera  posible,  el  Estado  deberá  entregarle</w:t>
        <w:br/>
        <w:t>tierras  alternativas,  que  serán  electas  de  modo  consensuado  con   la</w:t>
        <w:br/>
        <w:t>Comunidad, conforme a sus propias formas de consulta  y  decisión,  valores,</w:t>
        <w:br/>
        <w:t>usos y  costumbres”[3].   Al  respecto,  debe  tenerse  en  cuenta  que,  de</w:t>
        <w:br/>
        <w:t>conformidad con los párrafos 144 a 149 de la Sentencia de  fondo,  el  hecho</w:t>
        <w:br/>
        <w:t>de que el territorio tradicional de  la  Comunidad  se  encuentre  en  manos</w:t>
        <w:br/>
        <w:t>privadas, no sería per ser un motivo “objetivo y  fundamentado”  que  impida</w:t>
        <w:br/>
        <w:t>la reivindicación.</w:t>
        <w:br/>
        <w:br/>
        <w:t>26.   De esta forma, el Tribunal deja establecido con claridad que la  tarea</w:t>
        <w:br/>
        <w:t>de  identificar  el  territorio  tradicional  de  la  Comunidad  Yakye   Axa</w:t>
        <w:br/>
        <w:t>corresponde al Paraguay. No obstante,  dicha  labor  deberá  atenerse  a  lo</w:t>
        <w:br/>
        <w:t>dispuesto en la sentencia del Tribunal, en el sentido de  que  deberá  tomar</w:t>
        <w:br/>
        <w:t>muy en cuenta los valores, usos, costumbres  y  derecho  consuetudinario  de</w:t>
        <w:br/>
        <w:t>los miembros de la Comunidad, que los ligan  a  un  territorio  determinado.</w:t>
        <w:br/>
        <w:t>Asimismo, en lo que respecta a la entrega de dicho territorio, de  darse  el</w:t>
        <w:br/>
        <w:t>caso que luego del proceso de identificación se desprenda que  se  encuentra</w:t>
        <w:br/>
        <w:t>en  manos  privadas,  el  Estado  deberá  valorar  la  conveniencia  de   la</w:t>
        <w:br/>
        <w:t>expropiación del mismo, teniendo en cuenta  la  especial  significación  que</w:t>
        <w:br/>
        <w:t>éste tiene para la Comunidad.  Finalmente,  de  darse  motivos  objetivos  y</w:t>
        <w:br/>
        <w:t>fundamentados que imposibiliten que  el  Estado  reivindique  el  territorio</w:t>
        <w:br/>
        <w:t>identificado como el tradicional de la Comunidad, deberá entregarle  tierras</w:t>
        <w:br/>
        <w:t>alternativas, que serán electas de manera  consensuada.   En  cualquiera  de</w:t>
        <w:br/>
        <w:t>los casos, conforme se desprende del párrafo 217 de la Sentencia  de  fondo,</w:t>
        <w:br/>
        <w:t>“la extensión de las tierras deberá ser la  suficiente  para  garantizar  el</w:t>
        <w:br/>
        <w:t>mantenimiento y desarrollo de la propia forma de vida de la Comunidad”.</w:t>
        <w:br/>
        <w:br/>
        <w:t>27.    De  conformidad  con  lo  anteriormente  señalado,  el  Tribunal   ha</w:t>
        <w:br/>
        <w:t>determinado el sentido y alcance de lo  dispuesto  en  el  punto  resolutivo</w:t>
        <w:br/>
        <w:t>sexto de la Sentencia de fondo.</w:t>
        <w:br/>
        <w:br/>
        <w:br/>
        <w:br/>
        <w:br/>
        <w:t xml:space="preserve">                                     VII</w:t>
        <w:br/>
        <w:t xml:space="preserve">   Respecto de los plazos para la identificación del territorio y para la</w:t>
        <w:br/>
        <w:t xml:space="preserve">       constitución del fondo que proveerá el dinero para su adquisión</w:t>
        <w:br/>
        <w:t xml:space="preserve">  (Punto resolutivo octavo de la sentencia de fondo, reparaciones y costas)</w:t>
        <w:br/>
        <w:br/>
        <w:br/>
        <w:br/>
        <w:t>Alegatos de los representantes</w:t>
        <w:br/>
        <w:br/>
        <w:br/>
        <w:t>28.   En lo que respecta al punto  resolutivo  octavo  de  la  Sentencia  de</w:t>
        <w:br/>
        <w:t>fondo, los representantes solicitaron a la Corte que aclare:</w:t>
        <w:br/>
        <w:br/>
        <w:br/>
        <w:t xml:space="preserve">      a)    “en base a qué se debe presupuestar la asignación de fondos para</w:t>
        <w:br/>
        <w:t xml:space="preserve">      la compra o eventual indemnización de las tierras a ser restituidas  a</w:t>
        <w:br/>
        <w:t xml:space="preserve">      la [C]omunidad Yakye Axa, dado que el  plazo  para  este  menester  es</w:t>
        <w:br/>
        <w:t xml:space="preserve">      menor al previsto para la identificación,  delimitación,  demarcación,</w:t>
        <w:br/>
        <w:t xml:space="preserve">      titulación y entrega gratuita de las tierras cuyo precio  debería  ser</w:t>
        <w:br/>
        <w:t xml:space="preserve">      presupuestado previamente”, y</w:t>
        <w:br/>
        <w:br/>
        <w:br/>
        <w:t xml:space="preserve">      b)    “de qué manera operaría en la práctica esta obligación, a objeto</w:t>
        <w:br/>
        <w:t xml:space="preserve">      de conciliar el plazo, también dado por la Corte, de un máximo de tres</w:t>
        <w:br/>
        <w:t xml:space="preserve">      años, dentro del cual el Estado debería cumplir con  [la  entrega  del</w:t>
        <w:br/>
        <w:t xml:space="preserve">      territorio a la Comunidad]”.</w:t>
        <w:br/>
        <w:br/>
        <w:t>Alegatos de la Comisión Interamericana</w:t>
        <w:br/>
        <w:br/>
        <w:t>29.   La Comisión consideró que la segunda interrogante  planteada  por  los</w:t>
        <w:br/>
        <w:t>representantes “recoge una duda válida sobre la lectura  concordada  de  dos</w:t>
        <w:br/>
        <w:t>partes del fallo, relevante con respecto a su futura eficacia”, y  opinó  al</w:t>
        <w:br/>
        <w:t>respecto que:</w:t>
        <w:br/>
        <w:br/>
        <w:t xml:space="preserve">      a)   “nada obsta […] a  que  el  proceso  de  identificación  de  las</w:t>
        <w:br/>
        <w:t xml:space="preserve">     tierras[,  …]  que  facilitará  el  cálculo  exacto  de  los   dineros</w:t>
        <w:br/>
        <w:t xml:space="preserve">     necesarios para el Fondo, […] sea completado por el Estado en un plazo</w:t>
        <w:br/>
        <w:t xml:space="preserve">     menor a un año a partir de  la  notificación  de  la  [S]entencia  [de</w:t>
        <w:br/>
        <w:t xml:space="preserve">     fondo]. El resto del plazo máximo otorgado por  la  Corte  (dos  años)</w:t>
        <w:br/>
        <w:t xml:space="preserve">     podría destinarse, con base en criterios de necesidad y  utilidad,  al</w:t>
        <w:br/>
        <w:t xml:space="preserve">     perfeccionamiento del proceso de entrega de los territorios a la parte</w:t>
        <w:br/>
        <w:t xml:space="preserve">     lesionada a través  de  su  delimitación,  demarcación,  titulación  y</w:t>
        <w:br/>
        <w:t xml:space="preserve">     entrega material”, y</w:t>
        <w:br/>
        <w:br/>
        <w:br/>
        <w:t xml:space="preserve">     b) en caso  que  no  se  logre  la  identificación  del  territorio  a</w:t>
        <w:br/>
        <w:t xml:space="preserve">     entregarse  a  la   Comunidad,   la   Comisión   estimó   que   “sería</w:t>
        <w:br/>
        <w:t xml:space="preserve">     responsabilidad del Estado establecer el Fondo de todas  maneras,  con</w:t>
        <w:br/>
        <w:t xml:space="preserve">     un contenido dinerario que asegure que, en su momento, podrá desplegar</w:t>
        <w:br/>
        <w:t xml:space="preserve">     […] la adquisición de los terrenos apropiados  y  ‘suficiente[s]  para</w:t>
        <w:br/>
        <w:t xml:space="preserve">     garantizar el mantenimiento y desarrollo de la propia forma de vida de</w:t>
        <w:br/>
        <w:t xml:space="preserve">     la Comunidad’”.</w:t>
        <w:br/>
        <w:br/>
        <w:br/>
        <w:t>Alegatos del Estado</w:t>
        <w:br/>
        <w:br/>
        <w:t>30.   Por su parte, el Estado consideró que los  representantes  “pide[n]  a</w:t>
        <w:br/>
        <w:t>la  […]  Corte  que  sustituya  al  Estado  en  cuanto  a  las   previsiones</w:t>
        <w:br/>
        <w:t>presupuestarias que deberá manejar para determinar el  monto  a  destinarse”</w:t>
        <w:br/>
        <w:t>bien sea para la compra de la tierra a propietarios particulares o  para  el</w:t>
        <w:br/>
        <w:t>pago de una justa indemnización a los perjudicados en caso de  expropiación,</w:t>
        <w:br/>
        <w:t>según corresponda.  Asimismo, el Estado sostuvo que, si bien  le  compete  a</w:t>
        <w:br/>
        <w:t>la Corte “entender en  la  interpretación  de  la  Convención  Americana  en</w:t>
        <w:br/>
        <w:t>cuanto a si hubo o no violación de ella […], y en  su  caso  establecer  las</w:t>
        <w:br/>
        <w:t>sanciones, como lo ha hecho en [la] Sentencia [de fondo],  no  le  es  dable</w:t>
        <w:br/>
        <w:t>determinar el ‘como’ el Estado sancionado […] habrá  de  cumplir  co[n]  los</w:t>
        <w:br/>
        <w:t>mandatos de la Sentencia [de fondo]”.</w:t>
        <w:br/>
        <w:br/>
        <w:br/>
        <w:t>Consideraciones de la Corte</w:t>
        <w:br/>
        <w:br/>
        <w:t>31.   La Corte ha constatado que el segundo aspecto  al  que  se  refirieron</w:t>
        <w:br/>
        <w:t>los representantes en su demanda de interpretación es  una  duda  válida  y,</w:t>
        <w:br/>
        <w:t>por tanto, admisible, por lo que el Tribunal pasa ahora a absolverla.</w:t>
        <w:br/>
        <w:br/>
        <w:t>32.   Los párrafos 215 a 217  de  la  Sentencia  de  fondo  emitida  por  el</w:t>
        <w:br/>
        <w:t>Tribunal en el presente caso  establecen  que  el  Estado  está  obligado  a</w:t>
        <w:br/>
        <w:t>identificar  el  territorio  tradicional  de   la   Comunidad   Yakye   Axa,</w:t>
        <w:br/>
        <w:t>delimitarlo,  demarcarlo,  titularlo  y  entregarlo   gratuitamente   a   la</w:t>
        <w:br/>
        <w:t>Comunidad  en  el  plazo  máximo  de  tres  años  contado  a  partir  de  la</w:t>
        <w:br/>
        <w:t>notificación de la Sentencia de fondo.</w:t>
        <w:br/>
        <w:br/>
        <w:t>33.   Por su parte, el párrafo 218 de la Sentencia de fondo  establece  que,</w:t>
        <w:br/>
        <w:t>a efectos de dar cumplimiento a lo anterior,</w:t>
        <w:br/>
        <w:br/>
        <w:t xml:space="preserve">      el  Estado,  de  ser  necesario,  deberá  crear  un  fondo   destinado</w:t>
        <w:br/>
        <w:t xml:space="preserve">      exclusivamente a la adquisición de  las  tierras  a  entregarse  a  la</w:t>
        <w:br/>
        <w:t xml:space="preserve">      Comunidad Yakye Axa, en un plazo máximo de un año contado a partir  de</w:t>
        <w:br/>
        <w:t xml:space="preserve">      la notificación de la […] Sentencia, fondo que será destinado bien sea</w:t>
        <w:br/>
        <w:t xml:space="preserve">      para la compra de la tierra a propietarios particulares o para el pago</w:t>
        <w:br/>
        <w:t xml:space="preserve">      de una justa indemnización a los perjudicados en caso de expropiación,</w:t>
        <w:br/>
        <w:t xml:space="preserve">      según corresponda.</w:t>
        <w:br/>
        <w:br/>
        <w:t>34.   Se desprende, entonces, que el Estado tiene una serie de  obligaciones</w:t>
        <w:br/>
        <w:t>que concluyen con la entrega  definitiva  de  la  tierra  tradicional  a  la</w:t>
        <w:br/>
        <w:t>Comunidad Yakye Axa. Estas obligaciones estatales, por la propia  naturaleza</w:t>
        <w:br/>
        <w:t>del trámite interno,  son  secuenciales:  primero  se  debe  identificar  el</w:t>
        <w:br/>
        <w:t>territorio de la Comunidad,  lo  que  a  su  vez  significa  establecer  sus</w:t>
        <w:br/>
        <w:t>límites  y   demarcaciones,   así   como   su   extensión.    Concluida   la</w:t>
        <w:br/>
        <w:t>identificación del territorio y sus límites, de resultar  que  el  mismo  se</w:t>
        <w:br/>
        <w:t>encuentra en manos privadas, el Estado debe iniciar los procedimientos  para</w:t>
        <w:br/>
        <w:t>su compra o valorar la conveniencia de expropiarlo, en los términos  de  los</w:t>
        <w:br/>
        <w:t>párrafos 217 y 218 de la Sentencia de fondo. De darse  motivos  objetivos  y</w:t>
        <w:br/>
        <w:t>fundamentados que imposibiliten que  el  Estado  reivindique  el  territorio</w:t>
        <w:br/>
        <w:t>identificado como el tradicional de la Comunidad, deberá entregarle  tierras</w:t>
        <w:br/>
        <w:t>alternativas, que serán electas de manera consensuada. Finalmente,  sea  que</w:t>
        <w:br/>
        <w:t>se expropien o se elijan de manera consensuada las tierras, el  Estado  debe</w:t>
        <w:br/>
        <w:t>titularlas y entregarlas física y formalmente a la Comunidad.   Todos  estos</w:t>
        <w:br/>
        <w:t>pasos deben darse en un plazo máximo de tres años.</w:t>
        <w:br/>
        <w:br/>
        <w:t>35.   Por su parte, el plazo de un año para la creación del fondo  destinado</w:t>
        <w:br/>
        <w:t>a la compra o expropiación de las tierras, en la eventualidad de  que  éstas</w:t>
        <w:br/>
        <w:t>se  encuentren  en  manos  privadas,  tiene  como   objetivo   asegurar   la</w:t>
        <w:br/>
        <w:t>disponibilidad monetaria del Estado para la adquisición de  tal  territorio,</w:t>
        <w:br/>
        <w:t>y así,  proseguir  con  las  demás  obligaciones  señaladas  en  el  párrafo</w:t>
        <w:br/>
        <w:t>anterior.</w:t>
        <w:br/>
        <w:br/>
        <w:t>36.   Lo deseable sería  que  el  Estado  haya  identificado  el  territorio</w:t>
        <w:br/>
        <w:t>tradicional de la Comunidad con anterioridad a la  creación  del  fondo,  de</w:t>
        <w:br/>
        <w:t>tal suerte que se presupueste la asignación del  dinero  necesario  para  su</w:t>
        <w:br/>
        <w:t>compra o eventual expropiación.  No obstante, de no  ser  esto  posible,  el</w:t>
        <w:br/>
        <w:t>Estado, de conformidad con la Sentencia de fondo, debe crear  el  fondo  que</w:t>
        <w:br/>
        <w:t>proveerá el dinero de todas maneras, y establecer una cantidad  que  asegure</w:t>
        <w:br/>
        <w:t>que el trámite de compra o expropiación no se  vea  afectado  por  falta  de</w:t>
        <w:br/>
        <w:t>recursos.</w:t>
        <w:br/>
        <w:br/>
        <w:t>37.    De  conformidad  con  lo  anteriormente  señalado,  el  Tribunal   ha</w:t>
        <w:br/>
        <w:t>determinado el sentido y alcance de lo  dispuesto  en  el  punto  resolutivo</w:t>
        <w:br/>
        <w:t>octavo de la Sentencia de fondo.</w:t>
        <w:br/>
        <w:br/>
        <w:t xml:space="preserve">                                    VIII</w:t>
        <w:br/>
        <w:t xml:space="preserve">                             PUNTOS RESOLUTIVOS</w:t>
        <w:br/>
        <w:br/>
        <w:t>38.   Por las razones expuestas,</w:t>
        <w:br/>
        <w:br/>
        <w:t>LA CORTE INTERAMERICANA DE DERECHOS HUMANOS</w:t>
        <w:br/>
        <w:br/>
        <w:t>de conformidad con el artículo 67 de la Convención Americana sobre  Derechos</w:t>
        <w:br/>
        <w:t>Humanos y los artículos 29.3 y 59 del Reglamento</w:t>
        <w:br/>
        <w:br/>
        <w:t>Decide:</w:t>
        <w:br/>
        <w:br/>
        <w:t>Por unanimidad,</w:t>
        <w:br/>
        <w:br/>
        <w:t>1.     Determinar  el  sentido  y  alcance  de  lo  dispuesto  en  el  punto</w:t>
        <w:br/>
        <w:t>resolutivo sexto de la Sentencia sobre fondo, reparaciones y costas, en  los</w:t>
        <w:br/>
        <w:t>términos  de  los  párrafos  21  a  27   de   la   presente   Sentencia   de</w:t>
        <w:br/>
        <w:t>interpretación.</w:t>
        <w:br/>
        <w:br/>
        <w:t>2.     Determinar  el  sentido  y  alcance  de  lo  dispuesto  en  el  punto</w:t>
        <w:br/>
        <w:t>resolutivo octavo de la Sentencia sobre fondo,  reparaciones  y  costas,  en</w:t>
        <w:br/>
        <w:t>los  términos  de  los  párrafos  31  a  37  de  la  presente  Sentencia  de</w:t>
        <w:br/>
        <w:t>interpretación.</w:t>
        <w:br/>
        <w:br/>
        <w:br/>
        <w:t>El Juez Antônio A.  Cançado  Trindade  hizo  conocer  a  la  Corte  su  Voto</w:t>
        <w:br/>
        <w:t>Razonado, el cual acompaña la presente Sentencia.</w:t>
        <w:br/>
        <w:br/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|Alirio Abreu Burelli              |Oliver Jackman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|Antônio A. Cançado Trindade       |Cecilia Medina Quiroga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br/>
        <w:br/>
        <w:br/>
        <w:t xml:space="preserve">                          Manuel E. Ventura Robles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 Presidente</w:t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t xml:space="preserve">                VOTO RAZONADO DEL JUEZ A.A. CANÇADO TRINDADE</w:t>
        <w:br/>
        <w:br/>
        <w:br/>
        <w:t>1.    He concurrido con mi voto a la adopción de la presente  Sentencia  que</w:t>
        <w:br/>
        <w:t>viene  de  adoptar  la  Corte  Interamericana   de   Derechos   Humanos   de</w:t>
        <w:br/>
        <w:t>interpretación de Sentencia en el caso de la Comunidad  Indígena  Yakye  Axa</w:t>
        <w:br/>
        <w:t>versus Paraguay, en la cual la Corte afirma las obligaciones  que  tiene  el</w:t>
        <w:br/>
        <w:t>Estado demandado con  conlleven  a  "la  entrega  definitiva  de  la  tierra</w:t>
        <w:br/>
        <w:t>tradicional a la Comunidad Yakye  Axa"  (párr.  34).  Estoy  básicamente  de</w:t>
        <w:br/>
        <w:t>acuerdo con la decisión de la  Corte,  y  subrayo  su  consideración  en  el</w:t>
        <w:br/>
        <w:t>sentido de que la posesión de su tierra tradicional encuéntrase marcada  "de</w:t>
        <w:br/>
        <w:t>forma indeleble" en la "memoria histórica" de los miembros  de  la  referida</w:t>
        <w:br/>
        <w:t>Comunidad, que han  adoptado  "una  identidad  propia  relacionada"  con  su</w:t>
        <w:br/>
        <w:t>tierra tradicional; asimismo, "esa  memoria  histórica  e  identidad  propia</w:t>
        <w:br/>
        <w:t>deberán ser especialmente consideradas  al  identificarse  el  territorio  a</w:t>
        <w:br/>
        <w:t>serles entregado" (párr. 23). A dicha ponderación, me veo en  la  obligación</w:t>
        <w:br/>
        <w:t>de dejar constancia,  en  este  Voto,  de  mi  razonamiento  personal,  como</w:t>
        <w:br/>
        <w:t>fundamento de mi posición al respecto.</w:t>
        <w:br/>
        <w:br/>
        <w:t>2.    De inicio, no me eximo de subrayar  la  relevancia  que  atribuyo,  en</w:t>
        <w:br/>
        <w:t>circunstancias como las del presente caso de la Comunidad Yakye  Axa,  a  la</w:t>
        <w:br/>
        <w:t>entrega definitiva de sus tierras a los  miembros  de  dicha  Comunidad.  La</w:t>
        <w:br/>
        <w:t>Corte lo ha así determinado en el  ejercicio  de  una  facultad  que  le  es</w:t>
        <w:br/>
        <w:t>inherente, y en conformidad con  los  términos  del  artículo  63(1)  de  la</w:t>
        <w:br/>
        <w:t>Convención Americana sobre Derechos Humanos. Mediante tal entrega se da,  en</w:t>
        <w:br/>
        <w:t>circunstancias como las del cas d'espèce, el efecto  útil  (effet  utile)  a</w:t>
        <w:br/>
        <w:t>los artículos 21 y 22 de la Convención Americana.</w:t>
        <w:br/>
        <w:t>3.    Cabe recordar que, efectivamente, en el leading case de  la  Comunidad</w:t>
        <w:br/>
        <w:t>Mayagna  Awas  Tingni  versus  Nicaragua  (Sentencia  del  31.08.2001),   la</w:t>
        <w:br/>
        <w:t>Comisión  Interamericana  de  Derechos  Humanos  (CIDH),   en   la   demanda</w:t>
        <w:br/>
        <w:t>presentada ante la Corte, por primera vez en la historia  de  ésta,  reclamó</w:t>
        <w:br/>
        <w:t>de la falta de demarcación de las tierras  poseídas  por  aquella  Comunidad</w:t>
        <w:br/>
        <w:t>así como de un procedimiento efectivo en Nicaragua para  la  demarcación  de</w:t>
        <w:br/>
        <w:t>dichas tierras. La Corte,  en  su  Sentencia,  ordenó  la  creación  de  "un</w:t>
        <w:br/>
        <w:t>mecanismo  efectivo  de  delimitación,  demarcación  y  titulación  de   las</w:t>
        <w:br/>
        <w:t>propiedades  de  las  comunidades   indígenas,   acorde   con   el   derecho</w:t>
        <w:br/>
        <w:t>consuetudinario, los valores, usos y costumbres de éstas" (punto  resolutivo</w:t>
        <w:br/>
        <w:t>n. 3). Esta Sentencia figura hoy en la bibliografía jurídica  especializada,</w:t>
        <w:br/>
        <w:t>y constituye un marco en la jurisprudencia de la Corte sobre la cuestión  en</w:t>
        <w:br/>
        <w:t>aprecio.</w:t>
        <w:br/>
        <w:br/>
        <w:t>4.    En seguida, en  el  caso  de  la  Comunidad  Moiwana  versus  Suriname</w:t>
        <w:br/>
        <w:t>(Sentencia del 15.06.2005), los representantes de las víctimas  argumentaron</w:t>
        <w:br/>
        <w:t>que las violaciones por el Estado del derecho a la  propiedad  (artículo  21</w:t>
        <w:br/>
        <w:t>de la Convención) son "continuadas", en detrimento de "pueblos  indígenas  y</w:t>
        <w:br/>
        <w:t>tribales  que   han   sido   desplazados   forzosamente   de   sus   tierras</w:t>
        <w:br/>
        <w:t>tradicionales", y que el Estado no ha establecido  mecanismos  legales  para</w:t>
        <w:br/>
        <w:t>que las víctimas "reclamen y aseguren sus  derechos  a  la  tenencia  de  la</w:t>
        <w:br/>
        <w:t>tierra" (párr. 122). La Corte, a su vez, después  de  haber  establecido  su</w:t>
        <w:br/>
        <w:t>competencia para  pronunciarse  sobre  el  "desplazamiento  continuo  de  la</w:t>
        <w:br/>
        <w:t>comunidad de sus tierras tradicionales" (párr. 126), afirmó que la falta  de</w:t>
        <w:br/>
        <w:t>una "investigación efectiva" de los hechos ocurridos en el cas d'espèce  "ha</w:t>
        <w:br/>
        <w:t>impedido a los miembros de la Comunidad vivir nuevamente  en  su  territorio</w:t>
        <w:br/>
        <w:t>ancestral en forma segura y pacífica" (párr. 128).</w:t>
        <w:br/>
        <w:br/>
        <w:t>5.    En el mismo caso, la Corte expresó su entendimiento en el  sentido  de</w:t>
        <w:br/>
        <w:t>que, en el caso de los miembros de las comunidades indígenas,  "la  posesión</w:t>
        <w:br/>
        <w:t>de la tierra debería bastar para que obtengan el reconocimiento  oficial  de</w:t>
        <w:br/>
        <w:t>dicha propiedad y el consiguiente registro"  (párr.  131).  Agregó  que  los</w:t>
        <w:br/>
        <w:t>miembros de la Comunidad  Moiwana  deben  ser  considerados  los  "legítimos</w:t>
        <w:br/>
        <w:t>dueños" de sus "tierras tradicionales", de  las  cuales  han  sido  privadas</w:t>
        <w:br/>
        <w:t>hasta el presente como consecuencia de la masacre de  1986  y  de  la  falta</w:t>
        <w:br/>
        <w:t>subsiguiente del Estado  de  investigar  lo  ocurrido  adecuadamente  (párr.</w:t>
        <w:br/>
        <w:t>134). La Corte ordenó en fin que</w:t>
        <w:br/>
        <w:br/>
        <w:t xml:space="preserve">             "el  Estado  debe  adoptar  todas  las  medidas   legislativas,</w:t>
        <w:br/>
        <w:t xml:space="preserve">      administrativas y de cualquier otra índole necesarias para asegurar  a</w:t>
        <w:br/>
        <w:t xml:space="preserve">      los miembros de la Comunidad Moiwana su derecho de propiedad sobre los</w:t>
        <w:br/>
        <w:t xml:space="preserve">      territorios tradicionales de los que fueron expulsados y asegurar, por</w:t>
        <w:br/>
        <w:t xml:space="preserve">      lo tanto, el uso y goce de esos  territorios.  Estas  medidas  deberán</w:t>
        <w:br/>
        <w:t xml:space="preserve">      incluir la creación de un mecanismo efectivo para delimitar,  demarcar</w:t>
        <w:br/>
        <w:t xml:space="preserve">      y titular dichos territorios tradicionales, en  los  términos  de  los</w:t>
        <w:br/>
        <w:t xml:space="preserve">      párrafos 209 a 211 de la presente Sentencia" (punto resolutivo n.  3).</w:t>
        <w:br/>
        <w:br/>
        <w:br/>
        <w:br/>
        <w:t>6.    Poco después, en el presente caso de la Comunidad Indígena  Yakye  Axa</w:t>
        <w:br/>
        <w:t>versus Paraguay  (Sentencia  del  17.06.2005),  los  representantes  de  las</w:t>
        <w:br/>
        <w:t>víctimas reivindicaron que "el derecho de las  comunidades  indígenas  a  la</w:t>
        <w:br/>
        <w:t>propiedad colectiva  de  sus  tierras  se  concreta",  inter  alia,  "en  la</w:t>
        <w:br/>
        <w:t>obligación del Estado de delimitar, demarcar y titular el territorio de  las</w:t>
        <w:br/>
        <w:t>respectivas comunidades" (párr. 121(d)). La Corte, a su  vez,  reconoció  la</w:t>
        <w:br/>
        <w:t>vinculación  del  "derecho  a  la  propiedad  comunitaria  de  los   pueblos</w:t>
        <w:br/>
        <w:t>indígenas sobre sus  territorios  tradicionales  y  los  recursos  naturales</w:t>
        <w:br/>
        <w:t>ligados a su cultura" con el término  "bienes"  en  el  artículo  21  de  la</w:t>
        <w:br/>
        <w:t>Convención, y valoró la garantía de aquel  derecho  teniendo  presentes  las</w:t>
        <w:br/>
        <w:t>expresiones tradicionales, el derecho consuetudinario, la  filosofía  y  los</w:t>
        <w:br/>
        <w:t>valores de dichas comunidades  (párrs.  137  y  154),  y  ordenó  al  Estado</w:t>
        <w:br/>
        <w:t>"identificar el territorio tradicional  de  los  miembros  de  la  Comunidad</w:t>
        <w:br/>
        <w:t>indígena Yakye Axa y entregárselo de manera gratuita" (punto  resolutivo  n.</w:t>
        <w:br/>
        <w:t>6).</w:t>
        <w:br/>
        <w:br/>
        <w:t>7.    Entiendo que la entrega definitiva de sus tierras a  los  miembros  de</w:t>
        <w:br/>
        <w:t>la Comunidad Indígena Yakye Axa constituye una legítima  y  necesaria  forma</w:t>
        <w:br/>
        <w:t>de reparación no-pecuniaria, en las circunstancias del cas d'espèce, que  la</w:t>
        <w:br/>
        <w:t>Corte Interamericana tiene plena  facultad  de  ordenar,  a  la  luz  de  lo</w:t>
        <w:br/>
        <w:t>dispuesto en el artículo 63(2) de la Convención Americana. No se trata  sólo</w:t>
        <w:br/>
        <w:t>de una restitutio, volviendo al vulnerable statu quo ante  de  la  Comunidad</w:t>
        <w:br/>
        <w:t>victimada, sino además de asegurar  la  garantía  de  no-repetición  de  los</w:t>
        <w:br/>
        <w:t>hechos lesivos de especial gravedad, que conllevaron  al  desplazamiento  de</w:t>
        <w:br/>
        <w:t>las víctimas (y a la muerte de algunas de ellas).</w:t>
        <w:br/>
        <w:br/>
        <w:t>8.    La entrega definitiva de las tierras comunales tiene, en  el  presente</w:t>
        <w:br/>
        <w:t>caso, repercusiones mucho más amplias que uno pueda prima facie  presuponer,</w:t>
        <w:br/>
        <w:t>por tratarse, en última instancia, de una cuestión de  sobrevivencia  de  la</w:t>
        <w:br/>
        <w:t>identidad cultural de los miembros  de  aquella  Comunidad.   Sólo  mediante</w:t>
        <w:br/>
        <w:t>aquella  providencia  se   estará   protegiendo   debidamente   su   derecho</w:t>
        <w:br/>
        <w:t>fundamental a la vida lato sensu, abarcando su identidad cultural.</w:t>
        <w:br/>
        <w:br/>
        <w:t>9.    La conciencia jurídica universal,  la  cual  es  a  mi  juicio  fuente</w:t>
        <w:br/>
        <w:t>material de todo el Derecho, ha evolucionado de tal modo  a  reconocer  esta</w:t>
        <w:br/>
        <w:t>apremiante  necesidad.  Lo  ilustra  la   tríada   de   las   significativas</w:t>
        <w:br/>
        <w:t>Convenciones de UNESCO, conformada  por  la  Convención  de  1972  sobre  la</w:t>
        <w:br/>
        <w:t>Protección del Patrimonio Mundial, Cultural  y  Natural;  la  Convención  de</w:t>
        <w:br/>
        <w:t>2003 para  la  Salvaguardia  del  Patrimonio  Cultural  Inmaterial;  y,  más</w:t>
        <w:br/>
        <w:t>recientemente, la Convención de 2005 sobre la Protección y Promoción  de  la</w:t>
        <w:br/>
        <w:t>Diversidad de Expresiones Culturales.</w:t>
        <w:br/>
        <w:br/>
        <w:t>10.   La Convención de UNESCO de  1972  advierte  en  su  preámbulo  que  el</w:t>
        <w:br/>
        <w:t>deterioro o la desaparición de cualquier  ítem  del  patrimonio  cultural  o</w:t>
        <w:br/>
        <w:t>natural empobrece [cf.] lamentablemente la herencia cultural de  "todas  las</w:t>
        <w:br/>
        <w:t>naciones del mundo", pues dicho patrimonio es del mayor interés  y  necesita</w:t>
        <w:br/>
        <w:t>ser preservado como "parte del patrimonio mundial de la  humanidad  como  un</w:t>
        <w:br/>
        <w:t>todo"; de ahí la necesidad de establecer un "sistema efectivo de  protección</w:t>
        <w:br/>
        <w:t>colectiva del patrimonio cultural y natural de notable valor universal"</w:t>
        <w:br/>
        <w:t>[4]. La Convención de UNESCO de 2003 busca la  salvaguardia  del  patrimonio</w:t>
        <w:br/>
        <w:t>cultural inmaterial (para esto invocando  los  instrumentos  internacionales</w:t>
        <w:br/>
        <w:t>de derechos humanos),  conceptualizado  éste  último  como  "the  practices,</w:t>
        <w:br/>
        <w:t>representations, expressions,  knowledge,  skills  (...)  that  communities,</w:t>
        <w:br/>
        <w:t>groups and, in some cases, individuals recognize as part of  their  cultural</w:t>
        <w:br/>
        <w:t>heritage"[5].</w:t>
        <w:br/>
        <w:br/>
        <w:t>11.   La reciente  Convención  de  UNESCO  de  2005  fue  precedida  por  su</w:t>
        <w:br/>
        <w:t>Declaración  Universal  sobre  Diversidad  Cultural   de   2001,   la   cual</w:t>
        <w:br/>
        <w:t>conceptualiza la diversidad cultural como patrimonio común de la  humanidad,</w:t>
        <w:br/>
        <w:t>y  expresa  su  aspiración  a  una  mayor  solidaridad  con   base   en   el</w:t>
        <w:br/>
        <w:t>reconocimiento de la diversidad cultural, de una "conciencia  de  la  unidad</w:t>
        <w:br/>
        <w:t>de la humanidad"[6]. Con posterioridad  a  dicha  Declaración  de  2001,  la</w:t>
        <w:br/>
        <w:t>Convención de 2005, adoptada (el 20.10.2005) después de amplios  debates[7],</w:t>
        <w:br/>
        <w:t>reiteró la concepción de la diversidad cultural como patrimonio común de  la</w:t>
        <w:br/>
        <w:t>humanidad, ponderando que "culture  takes  diverse  forms  across  time  and</w:t>
        <w:br/>
        <w:t>space" y esta diversidad encuéntrase  incorporada  "in  the  uniqueness  and</w:t>
        <w:br/>
        <w:t>plurality of the identities and cultural  expressions  of  the  peoples  and</w:t>
        <w:br/>
        <w:t>societies making up humanity"[8]. La Convención  agregó  que  la  diversidad</w:t>
        <w:br/>
        <w:t>cultural sólo puede ser protegida y promovida mediante  la  salvaguardia  de</w:t>
        <w:br/>
        <w:t>los derechos humanos[9].</w:t>
        <w:br/>
        <w:br/>
        <w:t>12.   En mi entender,  la  conciencia  jurídica  universal  ha  evolucionado</w:t>
        <w:br/>
        <w:t>hacia el claro reconocimiento de la relevancia  de  la  diversidad  cultural</w:t>
        <w:br/>
        <w:t>para la universalidad de los derechos humanos,  y  vice-versa.  Ha,  además,</w:t>
        <w:br/>
        <w:t>evolucionado  hacia  la  humanización  del  Derecho  Internacional,   y   la</w:t>
        <w:br/>
        <w:t>conformación de un nuevo jus gentium en este inicio del  siglo  XXI,  de  un</w:t>
        <w:br/>
        <w:t>Derecho Internacional para la humanidad, - y la supracitada  tríada  de  las</w:t>
        <w:br/>
        <w:t>Convenciones de UNESCO (de 1972, 2003 y 2005) son, en mi percepción, una  de</w:t>
        <w:br/>
        <w:t>las muchas manifestaciones contemporáneas de la  conciencia  humana  en  ese</w:t>
        <w:br/>
        <w:t>sentido[10].</w:t>
        <w:br/>
        <w:br/>
        <w:t>13.   Uno no puede vivir en un  constante  desarraigo  y  abandono.  El  ser</w:t>
        <w:br/>
        <w:t>humano tiene necesidad espiritual de raíces.  Los  miembros  de  comunidades</w:t>
        <w:br/>
        <w:t>tradicionales valoran particularmente sus  tierras,  que  consideran  que  a</w:t>
        <w:br/>
        <w:t>ellos pertenece, así como, al revés, ellos "pertenecen" a  sus  tierras.  En</w:t>
        <w:br/>
        <w:t>el presente caso, la entrega definitiva de las tierras a los miembros de  la</w:t>
        <w:br/>
        <w:t>Comunidad Yakye Axa  es  una  forma  necesaria  de  reparación,  que  además</w:t>
        <w:br/>
        <w:t>protege y preserva su propia identidad cultural y, en última  instancia,  su</w:t>
        <w:br/>
        <w:t>derecho fundamental a la vida lato sensu.</w:t>
        <w:br/>
        <w:br/>
        <w:br/>
        <w:br/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t>-----------------------</w:t>
        <w:br/>
        <w:t>*     El Juez Diego García-Sayán informó a la Corte que, por motivos de</w:t>
        <w:br/>
        <w:t>fuerza mayor, no podría estar presente en la deliberación y firma de la</w:t>
        <w:br/>
        <w:t>presente Sentencia.</w:t>
        <w:br/>
        <w:t>*     Si bien el Juez  ad  hoc  Ramón  Fogel  Pedroso  no  participó  en  la</w:t>
        <w:br/>
        <w:t>deliberación de la presente Sentencia en la sede del Tribunal en  San  José,</w:t>
        <w:br/>
        <w:t>Costa Rica, fue consultado previamente a la deliberación y  votación  de  la</w:t>
        <w:br/>
        <w:t>misma y estuvo de acuerdo con lo establecido en  la  presente  sentencia  de</w:t>
        <w:br/>
        <w:t>interpretación.</w:t>
        <w:br/>
        <w:t>[1]   Cfr. Caso de las Hermanas Serrano Cruz.  Solicitud  de  Interpretación</w:t>
        <w:br/>
        <w:t>de la Sentencia sobre Fondo,  Reparaciones  y  costas  (art.  67  Convención</w:t>
        <w:br/>
        <w:t>Americana sobre Derechos Humanos). Sentencia de 9  de  septiembre  de  2005.</w:t>
        <w:br/>
        <w:t>Serie  C  No.  131,  párr.  14;  Caso  Lori  Berenson  Mejía.  Solicitud  de</w:t>
        <w:br/>
        <w:t>Interpretación de la Sentencia sobre Fondo, Reparaciones y Costas  (art.  67</w:t>
        <w:br/>
        <w:t>Convención Americana sobre Derechos Humanos). Sentencia de 23  de  junio  de</w:t>
        <w:br/>
        <w:t>2005. Serie C No. 128, párr. 12, y Caso Juan Humberto Sánchez. Solicitud  de</w:t>
        <w:br/>
        <w:t>Interpretación de la  Sentencia  sobre  Excepciones  Preliminares,  Fondo  y</w:t>
        <w:br/>
        <w:t>Reparaciones.  (art.  67  Convención  Americana  sobre  Derechos   Humanos).</w:t>
        <w:br/>
        <w:t>Sentencia de 26 de noviembre de 2003. Serie C No. 102, párr. 14.</w:t>
        <w:br/>
        <w:br/>
        <w:t>[2]   Cfr. Caso de las Hermanas Serrano Cruz.  Solicitud  de  Interpretación</w:t>
        <w:br/>
        <w:t>de la Sentencia sobre Fondo, Reparaciones y costas, supra nota 1, párr.  15;</w:t>
        <w:br/>
        <w:t>Caso Lori Berenson Mejía. Solicitud de Interpretación de la Sentencia  sobre</w:t>
        <w:br/>
        <w:t>Fondo, Reparaciones y Costas, supra nota 1, párr. 11, y Caso  Juan  Humberto</w:t>
        <w:br/>
        <w:t>Sánchez. Solicitud de  Interpretación  de  la  Sentencia  sobre  Excepciones</w:t>
        <w:br/>
        <w:t>Preliminares, Fondo y Reparaciones, supra nota 1, párr. 40.</w:t>
        <w:br/>
        <w:br/>
        <w:t>[3]   Caso Comunidad Indígena Yakye Axa. Sentencia 17 de junio de 2005.</w:t>
        <w:br/>
        <w:t>Serie C No. 125, párr. 217.</w:t>
        <w:br/>
        <w:t>[4].  Consideranda 1 and 5.</w:t>
        <w:br/>
        <w:br/>
        <w:t>[5].  Preámbulo y artículo 2(1).</w:t>
        <w:br/>
        <w:br/>
        <w:t>[6].  Preámbulo y artículo 1 de la Declaración de 2001.</w:t>
        <w:br/>
        <w:br/>
        <w:t>[7].   Cf.,  e.g.,  UNESCO/Conferencia  General,  documento   33-C/23,   del</w:t>
        <w:br/>
        <w:t>04.08.2005, pp.  1-16,  y  Anexos;  y  cf.  G.  Gagné  (ed.),  La  diversité</w:t>
        <w:br/>
        <w:t>culturelle: vers une Convention internationale effective?,  Montréal/Québec,</w:t>
        <w:br/>
        <w:t>Éd. Fides, 2005, pp. 7-164.</w:t>
        <w:br/>
        <w:br/>
        <w:t>[8].  Preámbulo, consideranda 1, 2 y 7 de la Convención de 2005.</w:t>
        <w:br/>
        <w:br/>
        <w:t>[9].  Artículo 2(1) de la Convención de 2005. Cf., al respecto, en  general,</w:t>
        <w:br/>
        <w:t>v.g., A.Ch. Kiss y A.A. Cançado  Trindade,  "Two  Major  Challenges  of  Our</w:t>
        <w:br/>
        <w:t>Time: Human Rights  and  the  Environment",  in  Human  Rights,  Sustainable</w:t>
        <w:br/>
        <w:t>Development and  Environment  (Seminario  de  Brasilia  de  1992,  ed.  A.A.</w:t>
        <w:br/>
        <w:t>Cançado Trindade), 2a. ed.,  Brasilia/San  José  de  Costa  Rica,  IIDH/BID,</w:t>
        <w:br/>
        <w:t>1995, pp. 289-290; A.A. Cançado Trindade, Direitos Humanos e Meio  Ambiente:</w:t>
        <w:br/>
        <w:t>Paralelo dos Sistemas de Proteção Internacional, Porto  Alegre/Brasil,  S.A.</w:t>
        <w:br/>
        <w:t>Fabris Ed., 1993, pp. 282-283.</w:t>
        <w:br/>
        <w:br/>
        <w:t>[10].        Cf.  A.A.  Cançado  Trindade,   "General   Course   on   Public</w:t>
        <w:br/>
        <w:t>International Law - International Law  for  Humankind:  Towards  a  New  Jus</w:t>
        <w:br/>
        <w:t>Gentium", Recueil des Cours de l'Académie de Droit International de la  Haye</w:t>
        <w:br/>
        <w:t>(2005), cap. XIII (en prensa).</w:t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