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Caso Raxcacó Reyes Vs. Guatemala</w:t>
        <w:br/>
        <w:br/>
        <w:br/>
        <w:t xml:space="preserve">                      Sentencia de 6 de febrero de 2006</w:t>
        <w:br/>
        <w:t xml:space="preserve">      (Interpretación de la Sentencia de Fondo, Reparaciones y Costas)</w:t>
        <w:br/>
        <w:br/>
        <w:br/>
        <w:t>En el caso Raxcacó Reyes,</w:t>
        <w:br/>
        <w:br/>
        <w:t>La Corte Interamericana de Derechos Humanos (en  adelante  "la  Corte",  "la</w:t>
        <w:br/>
        <w:t>Corte  Interamericana"  o  "el  Tribunal"),  integrada  por  los  siguientes</w:t>
        <w:br/>
        <w:t>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Jueza, y</w:t>
        <w:br/>
        <w:t xml:space="preserve">      Manuel E. Ventura Robles, Juez,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sobre la demanda de interpretación de  la  Sentencia  sobre  fondo,</w:t>
        <w:br/>
        <w:t>reparaciones y costas emitida por la Corte el 15 de septiembre  de  2005  en</w:t>
        <w:br/>
        <w:t>el  caso  Raxcacó  Reyes  (en  adelante  “la  demanda  de  interpretación”),</w:t>
        <w:br/>
        <w:t>presentada  por  el  Estado  de  Guatemala  (en  adelante  “el   Estado”   o</w:t>
        <w:br/>
        <w:t>“Guatemala”) el 30 de noviembre de 2005.</w:t>
        <w:br/>
        <w:br/>
        <w:t xml:space="preserve">                                      I</w:t>
        <w:br/>
        <w:t xml:space="preserve">                Sentencia sobre fondo, reparaciones y costas</w:t>
        <w:br/>
        <w:br/>
        <w:t>1.    El 15 de septiembre de 2005 la Corte emitió la Sentencia sobre  fondo,</w:t>
        <w:br/>
        <w:t>reparaciones y costas en este caso (en adelante “la  Sentencia  de  fondo”),</w:t>
        <w:br/>
        <w:t>en la cual, en lo conducente</w:t>
        <w:br/>
        <w:br/>
        <w:t xml:space="preserve">      DECLAR[Ó]:</w:t>
        <w:br/>
        <w:br/>
        <w:br/>
        <w:t xml:space="preserve">      por unanimidad, que:</w:t>
        <w:br/>
        <w:br/>
        <w:br/>
        <w:t xml:space="preserve">      1.    El Estado  violó  en  perjuicio  del  señor  Raxcacó  Reyes  los</w:t>
        <w:br/>
        <w:t xml:space="preserve">      derechos consagrados en el artículo 4.1, 4.2. y 4.6 de  la  Convención</w:t>
        <w:br/>
        <w:t xml:space="preserve">      Americana sobre Derechos Humanos, en relación con los artículos 1.1  y</w:t>
        <w:br/>
        <w:t xml:space="preserve">      2 de la misma, en los términos  de  los  párrafos  54  a  90  de  [la]</w:t>
        <w:br/>
        <w:t xml:space="preserve">      Sentencia.</w:t>
        <w:br/>
        <w:br/>
        <w:br/>
        <w:t xml:space="preserve">      2.    El Estado violó en perjuicio del señor Raxcacó Reyes el  Derecho</w:t>
        <w:br/>
        <w:t xml:space="preserve">      a la Integridad personal consagrado en el artículo 5.1  y  5.2  de  la</w:t>
        <w:br/>
        <w:t xml:space="preserve">      Convención Americana  sobre  Derechos  Humanos,  en  relación  con  el</w:t>
        <w:br/>
        <w:t xml:space="preserve">      artículo 1.1 de la misma, en los términos de los párrafos 93 a 102  de</w:t>
        <w:br/>
        <w:t xml:space="preserve">      [la] Sentencia.</w:t>
        <w:br/>
        <w:br/>
        <w:br/>
        <w:t xml:space="preserve">      3.    No está demostrado que el Estado violó en  perjuicio  del  señor</w:t>
        <w:br/>
        <w:t xml:space="preserve">      Raxcacó Reyes el derecho a la Protección  Judicial  consagrado  en  el</w:t>
        <w:br/>
        <w:t xml:space="preserve">      artículo 25 de la Convención Americana sobre Derechos Humanos, por las</w:t>
        <w:br/>
        <w:t xml:space="preserve">      razones expuestas en los párrafos 110 a 113 de [la] Sentencia.</w:t>
        <w:br/>
        <w:br/>
        <w:br/>
        <w:t xml:space="preserve">      4.    [La] Sentencia constituye per se una forma de reparación, en los</w:t>
        <w:br/>
        <w:t xml:space="preserve">      términos del párrafo 131 de la misma.</w:t>
        <w:br/>
        <w:br/>
        <w:br/>
        <w:t xml:space="preserve">      Y DECID[IÓ]:</w:t>
        <w:br/>
        <w:br/>
        <w:br/>
        <w:t xml:space="preserve">      por unanimidad, que:</w:t>
        <w:br/>
        <w:br/>
        <w:br/>
        <w:t xml:space="preserve">      5.    El Estado debe modificar,  dentro  de  un  plazo  razonable,  el</w:t>
        <w:br/>
        <w:t xml:space="preserve">      artículo 201 del Código Penal vigente, de manera  que  se  estructuren</w:t>
        <w:br/>
        <w:t xml:space="preserve">      tipos penales diversos y específicos para  determinar  las  diferentes</w:t>
        <w:br/>
        <w:t xml:space="preserve">      formas de plagio o secuestro, en función de  sus  características,  la</w:t>
        <w:br/>
        <w:t xml:space="preserve">      gravedad de los  hechos  y  las  circunstancias  del  delito,  con  la</w:t>
        <w:br/>
        <w:t xml:space="preserve">      correspondiente previsión de punibilidades diferentes,  proporcionales</w:t>
        <w:br/>
        <w:t xml:space="preserve">      a aquéllas, así como la atribución  al  juzgador  de  la  potestad  de</w:t>
        <w:br/>
        <w:t xml:space="preserve">      individualizar las penas en forma consecuente con los datos del  hecho</w:t>
        <w:br/>
        <w:t xml:space="preserve">      y el autor,  dentro  de  los  extremos  máximo  y  mínimo  que  deberá</w:t>
        <w:br/>
        <w:t xml:space="preserve">      consagrar cada conminación penal.  Esta modificación  en  ningún  caso</w:t>
        <w:br/>
        <w:t xml:space="preserve">      ampliará el catálogo  de  delitos  sancionados  con  la  pena  capital</w:t>
        <w:br/>
        <w:t xml:space="preserve">      previsto  con  anterioridad  a  la  ratificación  de   la   Convención</w:t>
        <w:br/>
        <w:t xml:space="preserve">      Americana.</w:t>
        <w:br/>
        <w:br/>
        <w:br/>
        <w:t xml:space="preserve">      6.    Mientras no se realicen las modificaciones señaladas en el punto</w:t>
        <w:br/>
        <w:t xml:space="preserve">      resolutivo anterior, el Estado deberá abstenerse de aplicar la pena de</w:t>
        <w:br/>
        <w:t xml:space="preserve">      muerte y  ejecutar  a  los  condenados  por  el  delito  de  plagio  o</w:t>
        <w:br/>
        <w:t xml:space="preserve">      secuestro, en los términos del párrafo 132 de la […] Sentencia.</w:t>
        <w:br/>
        <w:br/>
        <w:br/>
        <w:t xml:space="preserve">      7.    El Estado debe adoptar, en un plazo razonable, un  procedimiento</w:t>
        <w:br/>
        <w:t xml:space="preserve">      que garantice que toda persona condenada  a  muerte  tenga  derecho  a</w:t>
        <w:br/>
        <w:t xml:space="preserve">      solicitar y, en su caso, obtener indulto, conforme  a  una  regulación</w:t>
        <w:br/>
        <w:t xml:space="preserve">      que establezca la autoridad facultada para concederlo,  los  supuestos</w:t>
        <w:br/>
        <w:t xml:space="preserve">      de procedencia y el  trámite  respectivo.   En  estos  casos  no  debe</w:t>
        <w:br/>
        <w:t xml:space="preserve">      ejecutarse la sentencia mientras se encuentre  pendiente  la  decisión</w:t>
        <w:br/>
        <w:t xml:space="preserve">      sobre el indulto o la conmutación solicitados.</w:t>
        <w:br/>
        <w:br/>
        <w:br/>
        <w:t xml:space="preserve">      8.    El Estado debe dejar sin  efectos  la  pena  impuesta  al  señor</w:t>
        <w:br/>
        <w:t xml:space="preserve">      Raxcacó Reyes en la sentencia del Tribunal Sexto de  Sentencia  Penal,</w:t>
        <w:br/>
        <w:t xml:space="preserve">      Narcoactividad y Delitos contra el Ambiente […]  dentro  de  un  plazo</w:t>
        <w:br/>
        <w:t xml:space="preserve">      razonable y, sin necesidad de un nuevo proceso,  emitir  otra  que  en</w:t>
        <w:br/>
        <w:t xml:space="preserve">      ningún caso podrá ser la pena de muerte.  El  Estado  deberá  asegurar</w:t>
        <w:br/>
        <w:t xml:space="preserve">      que la nueva pena sea proporcional a  la  naturaleza  y  gravedad  del</w:t>
        <w:br/>
        <w:t xml:space="preserve">      delito que se persigue, y tome en cuenta las circunstancias atenuantes</w:t>
        <w:br/>
        <w:t xml:space="preserve">      y agravantes  que  pudieren  concurrir  en  el  caso,  para  lo  cual,</w:t>
        <w:br/>
        <w:t xml:space="preserve">      previamente a dictar sentencia, ofrecerá a las partes  la  oportunidad</w:t>
        <w:br/>
        <w:t xml:space="preserve">      de ejercer su derecho de audiencia.</w:t>
        <w:br/>
        <w:br/>
        <w:br/>
        <w:t xml:space="preserve">      9.    El Estado debe  adoptar,  dentro  de  un  plazo  razonable,  las</w:t>
        <w:br/>
        <w:t xml:space="preserve">      medidas necesarias para que las condiciones de las cárceles se adecuen</w:t>
        <w:br/>
        <w:t xml:space="preserve">      a los estándares internacionales relativos a esta materia.</w:t>
        <w:br/>
        <w:br/>
        <w:br/>
        <w:t xml:space="preserve">      10.    El  Estado  debe  proveer  al  señor  Raxcacó   Reyes,   previa</w:t>
        <w:br/>
        <w:t xml:space="preserve">      manifestación de su consentimiento, por el tiempo que sea necesario, a</w:t>
        <w:br/>
        <w:t xml:space="preserve">      partir de la notificación de la […] Sentencia, sin cargo alguno y  por</w:t>
        <w:br/>
        <w:t xml:space="preserve">      medio de los servicios nacionales de salud,  un  adecuado  tratamiento</w:t>
        <w:br/>
        <w:t xml:space="preserve">      médico y psicológico, incluida la provisión de medicamentos, según las</w:t>
        <w:br/>
        <w:t xml:space="preserve">      prescripciones de especialistas debidamente calificados.</w:t>
        <w:br/>
        <w:br/>
        <w:br/>
        <w:t xml:space="preserve">      11.   El Estado debe adoptar, a partir de la notificación  de  la  […]</w:t>
        <w:br/>
        <w:t xml:space="preserve">      Sentencia, las  medidas  necesarias  para  posibilitar  que  el  señor</w:t>
        <w:br/>
        <w:t xml:space="preserve">      Raxcacó Reyes reciba visitas  periódicas  de  la  señora  Olga  Isabel</w:t>
        <w:br/>
        <w:t xml:space="preserve">      Vicente.</w:t>
        <w:br/>
        <w:br/>
        <w:br/>
        <w:t xml:space="preserve">      12.   El Estado debe  adoptar,  dentro  de  un  plazo  razonable,  las</w:t>
        <w:br/>
        <w:t xml:space="preserve">      medidas educativas, laborales o de cualquier  otra  índole  necesarias</w:t>
        <w:br/>
        <w:t xml:space="preserve">      para que el señor Raxcacó Reyes pueda reinsertarse a la  sociedad  una</w:t>
        <w:br/>
        <w:t xml:space="preserve">      vez que cumpla la condena que se le  imponga  de  conformidad  con  el</w:t>
        <w:br/>
        <w:t xml:space="preserve">      punto resolutivo octavo de la […] Sentencia.</w:t>
        <w:br/>
        <w:br/>
        <w:br/>
        <w:t xml:space="preserve">      13.   El Estado debe publicar, en el plazo de un año a  partir  de  la</w:t>
        <w:br/>
        <w:t xml:space="preserve">      notificación de la […] Sentencia, en  el  Diario  Oficial  y  en  otro</w:t>
        <w:br/>
        <w:t xml:space="preserve">      diario de amplia circulación nacional, al menos una vez,  el  capítulo</w:t>
        <w:br/>
        <w:t xml:space="preserve">      de Hechos Probados, los párrafos 65, 66, 72, 81, 82, 85, 86, 102 y 113</w:t>
        <w:br/>
        <w:t xml:space="preserve">      que corresponden a los capítulos VIII,  IX,  X  y  XI,  y  los  puntos</w:t>
        <w:br/>
        <w:t xml:space="preserve">      resolutivos  primero  a  decimosexto  de  la  […]  Sentencia.  En   la</w:t>
        <w:br/>
        <w:t xml:space="preserve">      publicación se deberán incluir los títulos de los referidos  capítulos</w:t>
        <w:br/>
        <w:t xml:space="preserve">      y se omitirán las citas al pié de página.</w:t>
        <w:br/>
        <w:br/>
        <w:br/>
        <w:t xml:space="preserve">      14.   El Estado debe efectuar el pago por  concepto  de  reintegro  de</w:t>
        <w:br/>
        <w:t xml:space="preserve">      gastos dentro del plazo de un año, contado a partir de la notificación</w:t>
        <w:br/>
        <w:t xml:space="preserve">      del […] fallo, en los términos del párrafo 138 de [la] Sentencia.</w:t>
        <w:br/>
        <w:br/>
        <w:br/>
        <w:t xml:space="preserve">      15.    Las  obligaciones  del  Estado  en  el  marco  de  las  medidas</w:t>
        <w:br/>
        <w:t xml:space="preserve">      provisionales ordenadas por este Tribunal en el presente  caso  quedan</w:t>
        <w:br/>
        <w:t xml:space="preserve">      reemplazadas, exclusivamente en  lo  que  respecta  al  señor  Raxcacó</w:t>
        <w:br/>
        <w:t xml:space="preserve">      Reyes, por las que se ordenan en [la] Sentencia, a partir de la  fecha</w:t>
        <w:br/>
        <w:t xml:space="preserve">      de notificación de la misma.</w:t>
        <w:br/>
        <w:br/>
        <w:br/>
        <w:t xml:space="preserve">      16.   Supervisará  el  cumplimiento  íntegro  de  [la]  Sentencia,  en</w:t>
        <w:br/>
        <w:t xml:space="preserve">      ejercicio de  sus  atribuciones  y  en  cumplimiento  de  sus  deberes</w:t>
        <w:br/>
        <w:t xml:space="preserve">      conforme a la Convención Americana, y dará por concluido  el  presente</w:t>
        <w:br/>
        <w:t xml:space="preserve">      caso una vez que el Estado haya dado cabal cumplimiento a lo dispuesto</w:t>
        <w:br/>
        <w:t xml:space="preserve">      en la misma.  Dentro del plazo de un  año,  contado  a  partir  de  la</w:t>
        <w:br/>
        <w:t xml:space="preserve">      notificación de [la] Sentencia, Guatemala deberá rendir a la Corte  un</w:t>
        <w:br/>
        <w:t xml:space="preserve">      informe sobre las medidas adoptadas para la ejecución de la misma.</w:t>
        <w:br/>
        <w:br/>
        <w:t>2.    La Sentencia de fondo fue notificada a las partes el 5 de  octubre  de</w:t>
        <w:br/>
        <w:t>2005.</w:t>
        <w:br/>
        <w:br/>
        <w:t xml:space="preserve">                                     II</w:t>
        <w:br/>
        <w:t xml:space="preserve">                    Competencia y Composición de la Corte</w:t>
        <w:br/>
        <w:br/>
        <w:t>3.    El artículo 67 de la Convención establece que</w:t>
        <w:br/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br/>
        <w:br/>
        <w:t>4.    De conformidad con el artículo citado, la  Corte  es  competente  para</w:t>
        <w:br/>
        <w:t>interpretar sus  fallos  y,  para  realizar  el  examen  de  la  demanda  de</w:t>
        <w:br/>
        <w:t>interpretación, debe tener, si es posible, la misma  composición  que  tenía</w:t>
        <w:br/>
        <w:t>al dictar la Sentencia respectiva (artículo 59.3 del Reglamento).   En  esta</w:t>
        <w:br/>
        <w:t>ocasión, la Corte se integra con los jueces que  dictaron  la  Sentencia  de</w:t>
        <w:br/>
        <w:t>fondo, cuya interpretación ha sido solicitada por el Estado*.</w:t>
        <w:br/>
        <w:br/>
        <w:br/>
        <w:br/>
        <w:br/>
        <w:t xml:space="preserve">                                     III</w:t>
        <w:br/>
        <w:t xml:space="preserve">          Introducción de la demanda de interpretación y su objeto</w:t>
        <w:br/>
        <w:br/>
        <w:t>5.    El 30  de  noviembre  de  2005  el  Estado  presentó  una  demanda  de</w:t>
        <w:br/>
        <w:t>interpretación de la Sentencia de fondo, de conformidad  con  los  artículos</w:t>
        <w:br/>
        <w:t>67 de la Convención y 59 del Reglamento.</w:t>
        <w:br/>
        <w:br/>
        <w:t>6.    En la demanda de interpretación el Estado preguntó si la  suma  de  US</w:t>
        <w:br/>
        <w:t>$5.000,00 (cinco mil  dólares  de  los  Estados  Unidos  de  América)  o  su</w:t>
        <w:br/>
        <w:t>equivalente en  moneda  guatemalteca,  que  el  Tribunal  dispuso  debe  ser</w:t>
        <w:br/>
        <w:t>restituido al señor Raxcacó Reyes por concepto  de  costas  y  gastos,  debe</w:t>
        <w:br/>
        <w:t>pagarse directamente a  los  representantes  del  señor  Raxcacó  Reyes  (en</w:t>
        <w:br/>
        <w:t>adelante “los representantes”), tal como lo  ordenó  la  Corte  en  el  caso</w:t>
        <w:br/>
        <w:t>Fermín Ramírez vs. Guatemala[1], y no directamente a la víctima, como se  ha</w:t>
        <w:br/>
        <w:t>dispuesto en el presente caso.</w:t>
        <w:br/>
        <w:br/>
        <w:t xml:space="preserve">                                     IV</w:t>
        <w:br/>
        <w:t xml:space="preserve">                         Procedimiento ante la Corte</w:t>
        <w:br/>
        <w:br/>
        <w:br/>
        <w:t>7.    El 2 de diciembre de 2005, de  conformidad  con  lo  dispuesto  en  el</w:t>
        <w:br/>
        <w:t>artículo 59.2 del Reglamento y siguiendo instrucciones del Presidente de  la</w:t>
        <w:br/>
        <w:t>Corte, la  Secretaría  de  la  Corte  transmitió  copia  de  la  demanda  de</w:t>
        <w:br/>
        <w:t>interpretación  a  la  Comisión  Interamericana  de  Derechos  Humanos   (en</w:t>
        <w:br/>
        <w:t>adelante  “la  Comisión”  o  “la   Comisión   Interamericana”)   y   a   los</w:t>
        <w:br/>
        <w:t>representantes,  y  les  comunicó  que  podrían  presentar  las  alegaciones</w:t>
        <w:br/>
        <w:t>escritas que estimaran pertinentes, a más tardar el  6  de  enero  de  2006.</w:t>
        <w:br/>
        <w:t>Asimismo, se remitió una nota al Estado en la cual se  le  recordó  que,  de</w:t>
        <w:br/>
        <w:t>conformidad con lo dispuesto en  el  artículo  59.4  del  Reglamento,  “[l]a</w:t>
        <w:br/>
        <w:t>demanda de interpretación no suspenderá la ejecución de la sentencia”.</w:t>
        <w:br/>
        <w:br/>
        <w:br/>
        <w:t>8.    El 6  de  enero  de  2006  la  Comisión  Interamericana  presentó  sus</w:t>
        <w:br/>
        <w:t>alegatos escritos sobre la demanda de interpretación, en los cuales  indicó,</w:t>
        <w:br/>
        <w:t>inter alia, que “la presentación  del  Estado  constituye  en  realidad  una</w:t>
        <w:br/>
        <w:t>consulta en materia de cumplimiento”.</w:t>
        <w:br/>
        <w:br/>
        <w:t>9.    El 6 de enero de 2006  los  representantes  presentaron  sus  alegatos</w:t>
        <w:br/>
        <w:t>escritos sobre la demanda de interpretación, en los cuales solicitaron a  la</w:t>
        <w:br/>
        <w:t>Corte, inter alia, que acoja “para  el  caso  particular,  la  solicitud  de</w:t>
        <w:br/>
        <w:t>interpretación formulada por el Estado”.</w:t>
        <w:br/>
        <w:br/>
        <w:br/>
        <w:t xml:space="preserve">                                      V</w:t>
        <w:br/>
        <w:t xml:space="preserve">                                Admisibilidad</w:t>
        <w:br/>
        <w:br/>
        <w:br/>
        <w:t>10.   Corresponde a la Corte verificar si los  términos  de  la  demanda  de</w:t>
        <w:br/>
        <w:t>interpretación cumplen las normas aplicables.</w:t>
        <w:br/>
        <w:br/>
        <w:t>11.   El artículo 67 de la Convención establece que</w:t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12.   El artículo 59 del Reglamento dispone, en lo conducente, que:</w:t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[…]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t>13.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t>14.   La  Corte  ha  constatado  que  el  Estado  interpuso  la  demanda  de</w:t>
        <w:br/>
        <w:t>interpretación el 30 de noviembre de 2005, dentro del plazo  establecido  en</w:t>
        <w:br/>
        <w:t>el artículo 67 de la Convención (supra párr. 11), ya  que  la  Sentencia  de</w:t>
        <w:br/>
        <w:t>fondo fue notificada a Guatemala el 5 de octubre de 2005.</w:t>
        <w:br/>
        <w:br/>
        <w:t>15.   Por otro lado, tal como lo ha dispuesto anteriormente  este  Tribunal,</w:t>
        <w:br/>
        <w:t>una demanda de interpretación de una sentencia no debe  utilizarse  como  un</w:t>
        <w:br/>
        <w:t>medio de impugnación, sino únicamente debe tener como objeto desentrañar  el</w:t>
        <w:br/>
        <w:t>sentido de un fallo cuando una de las partes sostiene que el  texto  de  sus</w:t>
        <w:br/>
        <w:t>puntos resolutivos o de sus consideraciones carece de claridad o  precisión,</w:t>
        <w:br/>
        <w:t>siempre y cuando esas consideraciones incidan en dicha parte  resolutiva  y,</w:t>
        <w:br/>
        <w:t>por tanto, no se puede pedir la modificación o  anulación  de  la  sentencia</w:t>
        <w:br/>
        <w:t>respectiva a través de una demanda de interpretación[2].</w:t>
        <w:br/>
        <w:br/>
        <w:t>16.   Asimismo, la Corte ha establecido que la demanda de interpretación  de</w:t>
        <w:br/>
        <w:t>sentencia no puede consistir en el sometimiento de cuestiones de hecho y  de</w:t>
        <w:br/>
        <w:t>derecho que ya fueron planteadas en su  oportunidad  procesal  y  sobre  las</w:t>
        <w:br/>
        <w:t>cuales el Tribunal ya adoptó una decisión[3].</w:t>
        <w:br/>
        <w:br/>
        <w:t>17.    Para  analizar  la  procedencia  de  la  demanda  de   interpretación</w:t>
        <w:br/>
        <w:t>presentada por el Estado y, en su caso, aclarar el sentido o alcance  de  la</w:t>
        <w:br/>
        <w:t>Sentencia de fondo emitida por el Tribunal (supra párr. 1), seguidamente  la</w:t>
        <w:br/>
        <w:t>Corte analizará la cuestión planteada por el Estado (supra párr. 6).</w:t>
        <w:br/>
        <w:br/>
        <w:t xml:space="preserve">                                     VI</w:t>
        <w:br/>
        <w:t xml:space="preserve">                  Sobre el reembolso de las costas y gastos</w:t>
        <w:br/>
        <w:br/>
        <w:t>Alegatos del Estado</w:t>
        <w:br/>
        <w:br/>
        <w:t>18.   El Estado considera que la suma de US $5.000,00 (cinco mil dólares  de</w:t>
        <w:br/>
        <w:t>los Estados Unidos de América) que la Corte ordenó sea reembolsada al  señor</w:t>
        <w:br/>
        <w:t>Raxcacó Reyes debe ser pagada “directamente” a  sus  representantes,  tal  y</w:t>
        <w:br/>
        <w:t>como fue ordenado en la sentencia emitida por la Corte  en  el  caso  Fermín</w:t>
        <w:br/>
        <w:t>Ramírez vs. Guatemala.  Asimismo, el Estado señaló que “si se trata  de  una</w:t>
        <w:br/>
        <w:t>condena  en  costas,  la   suma   indemnizatoria   debería   ser   entregada</w:t>
        <w:br/>
        <w:t>directamente [a las organizaciones  que  representan  a  la  víctima],  para</w:t>
        <w:br/>
        <w:t>cubrir los gastos  de  patrocinio  correspondientes  a  cada  una  de  estas</w:t>
        <w:br/>
        <w:t>organizaciones”.</w:t>
        <w:br/>
        <w:br/>
        <w:br/>
        <w:t>Alegatos de la Comisión Interamericana</w:t>
        <w:br/>
        <w:br/>
        <w:t>19.    La  Comisión  indicó  que  la  cuestión  planteada  por   el   Estado</w:t>
        <w:br/>
        <w:t>“constituye […] una consulta en materia de  cumplimiento”  y,  al  respecto,</w:t>
        <w:br/>
        <w:t>señaló que “en ausencia de otras indicaciones por  parte  del  señor  Ronald</w:t>
        <w:br/>
        <w:t>Raxcacó Reyes”, la intención del Estado de dar cumplimiento a  la  Sentencia</w:t>
        <w:br/>
        <w:t>de fondo emitida por la Corte a través de la realización del pago del  monto</w:t>
        <w:br/>
        <w:t>correspondiente a costas y  gastos  a  los  representantes  de  la  víctima,</w:t>
        <w:br/>
        <w:t>“sería una manera adecuada de dar cumplimiento a la  obligación  estatal  de</w:t>
        <w:br/>
        <w:t>compensar los gastos relacionados con la actividad desplegada por  la  parte</w:t>
        <w:br/>
        <w:t>lesionada para acceder a la justicia”.</w:t>
        <w:br/>
        <w:br/>
        <w:t>Alegatos de los representantes</w:t>
        <w:br/>
        <w:br/>
        <w:t>20.    Los  representantes,  por  su  parte,  solicitaron  a  la  Corte  que</w:t>
        <w:br/>
        <w:t>considere “la adopción de un criterio general en el sentido  de  ordenar  el</w:t>
        <w:br/>
        <w:t>pago directo a los representantes  de  las  víctimas  de  los  conceptos  de</w:t>
        <w:br/>
        <w:t>costas  y  gastos  cuando  logre  acreditarse  fehacientemente  que   fueron</w:t>
        <w:br/>
        <w:t>asumidos por dicha representación y la cuantía de  los  mismos”.   Asimismo,</w:t>
        <w:br/>
        <w:t>señalaron que “[c]uando esta acreditación resultare imposible o ausente,  la</w:t>
        <w:br/>
        <w:t>Corte  [debería]  valorar  prudentemente  y  de  acuerdo  a  la   particular</w:t>
        <w:br/>
        <w:t>situación de la víctima y sus representantes, el alcance y contenido  de  la</w:t>
        <w:br/>
        <w:t>condena en costas y gastos, reconociendo a cada  quien  lo  que  en  equidad</w:t>
        <w:br/>
        <w:t>correspondiere   por   sus   actuaciones   en   los   ámbitos   nacional   e</w:t>
        <w:br/>
        <w:t>internacional”.</w:t>
        <w:br/>
        <w:br/>
        <w:t>Consideraciones de la Corte</w:t>
        <w:br/>
        <w:br/>
        <w:t>21.   La Corte ha constatado que la cuestión a la que se  refirió  Guatemala</w:t>
        <w:br/>
        <w:t>en su demanda de  interpretación,  no  busca  que  la  Corte  interprete  el</w:t>
        <w:br/>
        <w:t>sentido o alcance de la Sentencia de fondo.  Por  el  contrario,  el  Estado</w:t>
        <w:br/>
        <w:t>manifestó que la suma  que  el  Tribunal  dispuso  sea  entregada  al  señor</w:t>
        <w:br/>
        <w:t>Raxcacó Reyes por concepto de costas y gastos,  “debe  pagarse  directamente</w:t>
        <w:br/>
        <w:t>al Instituto de Estudios Comparados en Ciencias Penales –IECCP- y al  Centro</w:t>
        <w:br/>
        <w:t>por la Justicia y  el  Derecho  Internacional  –CEJIL-,  representantes  del</w:t>
        <w:br/>
        <w:t>señor  Raxcacó  Reyes”,  con  lo  cual  está  utilizando   la   demanda   de</w:t>
        <w:br/>
        <w:t>interpretación como un medio para impugnar la Sentencia de fondo con el  fin</w:t>
        <w:br/>
        <w:t>de que la Corte modifique el beneficiario del reembolso  de  las  cantidades</w:t>
        <w:br/>
        <w:t>fijadas por concepto de costas y gastos.</w:t>
        <w:br/>
        <w:br/>
        <w:t>22.   Ahora bien, como se desprende del  párrafo  138  de  la  Sentencia  de</w:t>
        <w:br/>
        <w:t>fondo, la Corte dispuso que el Estado debe rembolsar al señor Raxcacó  Reyes</w:t>
        <w:br/>
        <w:t>la cantidad de US $5.000,00 (cinco mil dólares  de  los  Estados  Unidos  de</w:t>
        <w:br/>
        <w:t>América), o su equivalente en moneda guatemalteca, por concepto de costas  y</w:t>
        <w:br/>
        <w:t>gastos, y que “[e]l señor Raxcacó Reyes entregará a  sus  representantes  la</w:t>
        <w:br/>
        <w:t>cantidad que corresponda, conforme a la asistencia  que  éstos  le  hubieren</w:t>
        <w:br/>
        <w:t>prestado”.  En tal sentido, el señor Raxcacó  Reyes  puede  decidir  que  la</w:t>
        <w:br/>
        <w:t>totalidad de dicha cantidad corresponde a sus  representantes  y  los  puede</w:t>
        <w:br/>
        <w:t>autorizar a que reciban el pago directamente.   Sin  embargo,  esta  es  una</w:t>
        <w:br/>
        <w:t>cuestión que atañe al cumplimiento de la Sentencia y no al procedimiento  de</w:t>
        <w:br/>
        <w:t>interpretación de la misma.</w:t>
        <w:br/>
        <w:br/>
        <w:t>23.   Por las anteriores consideraciones,  la  Corte  decide  desestimar  la</w:t>
        <w:br/>
        <w:t>demanda de interpretación interpuesta por Guatemala,  debido  a  que  no  se</w:t>
        <w:br/>
        <w:t>adecua en sus términos a lo previsto en el artículo 67 de  la  Convención  y</w:t>
        <w:br/>
        <w:t>en los artículos 29.3 y 59 del Reglamento.</w:t>
        <w:br/>
        <w:br/>
        <w:t xml:space="preserve">                                     VII</w:t>
        <w:br/>
        <w:t xml:space="preserve">                             PUNTOS RESOLUTIVOS</w:t>
        <w:br/>
        <w:br/>
        <w:br/>
        <w:t>24.   Por las razones expuestas,</w:t>
        <w:br/>
        <w:br/>
        <w:t>LA CORTE INTERAMERICANA DE DERECHOS HUMANOS</w:t>
        <w:br/>
        <w:br/>
        <w:t>de conformidad con el artículo 67 de la Convención Americana sobre  Derechos</w:t>
        <w:br/>
        <w:t>Humanos y los artículos 29.3 y 59 del Reglamento</w:t>
        <w:br/>
        <w:br/>
        <w:t>Decide:</w:t>
        <w:br/>
        <w:br/>
        <w:t>Por unanimidad,</w:t>
        <w:br/>
        <w:br/>
        <w:t>1.    Desestimar  por  improcedente  la  demanda  de  interpretación  de  la</w:t>
        <w:br/>
        <w:t>Sentencia sobre fondo, reparaciones y costas en el caso  Raxcacó  Reyes,  en</w:t>
        <w:br/>
        <w:t>los  términos  de  los  párrafos  21  a  23  de  la  presente  Sentencia  de</w:t>
        <w:br/>
        <w:t>interpretación.</w:t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|Cecilia Medina Quiroga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br/>
        <w:t xml:space="preserve">                          Manuel E. Ventura Robles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t>-----------------------</w:t>
        <w:br/>
        <w:t>*     El Juez Diego García-Sayán informó a la  Corte  que,  por  motivos  de</w:t>
        <w:br/>
        <w:t>fuerza mayor, no podría estar presente en la  deliberación  y  firma  de  la</w:t>
        <w:br/>
        <w:t>presente Sentencia.</w:t>
        <w:br/>
        <w:t>*     Si bien el Juez ad hoc Alejandro Sánchez Garrido no  participó  en  la</w:t>
        <w:br/>
        <w:t>deliberación de la presente Sentencia en la sede del Tribunal en  San  José,</w:t>
        <w:br/>
        <w:t>Costa Rica, fue consultado previamente a la deliberación y  votación  de  la</w:t>
        <w:br/>
        <w:t>misma y estuvo de acuerdo con lo establecido en  la  presente  Sentencia  de</w:t>
        <w:br/>
        <w:t>interpretación.</w:t>
        <w:br/>
        <w:t>[1]   Caso Fermín Ramírez. Sentencia de 20 de junio de 2005. Serie C No.</w:t>
        <w:br/>
        <w:t>126.</w:t>
        <w:br/>
        <w:t>[2]   Cfr. Caso de las Hermanas Serrano Cruz.  Solicitud  de  Interpretación</w:t>
        <w:br/>
        <w:t>de la Sentencia sobre Fondo,  Reparaciones  y  costas  (art.  67  Convención</w:t>
        <w:br/>
        <w:t>Americana sobre Derechos Humanos). Sentencia de 9  de  septiembre  de  2005.</w:t>
        <w:br/>
        <w:t>Serie  C  No.  131,  párr.  14;  Caso  Lori  Berenson  Mejía.  Solicitud  de</w:t>
        <w:br/>
        <w:t>Interpretación de la Sentencia sobre Fondo, Reparaciones y Costas  (art.  67</w:t>
        <w:br/>
        <w:t>Convención Americana sobre Derechos Humanos). Sentencia de 23  de  junio  de</w:t>
        <w:br/>
        <w:t>2005. Serie C No. 128, párr. 12, y Caso Juan Humberto Sánchez. Solicitud  de</w:t>
        <w:br/>
        <w:t>Interpretación de la  Sentencia  sobre  Excepciones  Preliminares,  Fondo  y</w:t>
        <w:br/>
        <w:t>Reparaciones.  (art.  67  Convención  Americana  sobre  Derechos   Humanos).</w:t>
        <w:br/>
        <w:t>Sentencia de 26 de noviembre de 2003. Serie C No. 102, párr. 14.</w:t>
        <w:br/>
        <w:br/>
        <w:t>[3]   Cfr. Caso de las Hermanas Serrano Cruz.  Solicitud  de  Interpretación</w:t>
        <w:br/>
        <w:t>de la Sentencia sobre Fondo, Reparaciones y costas, supra nota 2, párr.  15;</w:t>
        <w:br/>
        <w:t>Caso Lori Berenson Mejía. Solicitud de Interpretación de la Sentencia  sobre</w:t>
        <w:br/>
        <w:t>Fondo, Reparaciones y Costas, supra nota 2, párr. 11, y Caso  Juan  Humberto</w:t>
        <w:br/>
        <w:t>Sánchez. Solicitud de  Interpretación  de  la  Sentencia  sobre  Excepciones</w:t>
        <w:br/>
        <w:t>Preliminares, Fondo y Reparaciones, supra nota 2, párr. 40.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