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Caso de la Comunidad Moiwana vs. Surinam</w:t>
        <w:br/>
        <w:br/>
        <w:t xml:space="preserve">                     Sentencia del 8 de febrero de 2006</w:t>
        <w:br/>
        <w:br/>
        <w:t xml:space="preserve">                       (Interpretación de la Sentencia</w:t>
        <w:br/>
        <w:t xml:space="preserve">                      de Fondo, Reparaciones y Costas)</w:t>
        <w:br/>
        <w:br/>
        <w:br/>
        <w:br/>
        <w:br/>
        <w:t>En el Caso de la Comunidad Moiwana,</w:t>
        <w:br/>
        <w:br/>
        <w:t>la  Corte  Interamericana  de  Derechos  Humanos  (en  adelante  “la   Corte</w:t>
        <w:br/>
        <w:t>Interamericana”, “la Corte”, o “el Tribunal”), compuesta por los  siguientes</w:t>
        <w:br/>
        <w:t>jueces[1]:</w:t>
        <w:br/>
        <w:br/>
        <w:br/>
        <w:t xml:space="preserve">     Sergio García Ramírez, Presidente;</w:t>
        <w:br/>
        <w:t xml:space="preserve">     Alirio Abreu Burelli, Vice-Presidente;</w:t>
        <w:br/>
        <w:t xml:space="preserve">     Oliver Jackman, Juez;</w:t>
        <w:br/>
        <w:t xml:space="preserve">     Antônio A. Cançado Trindade, Juez;</w:t>
        <w:br/>
        <w:t xml:space="preserve">     Cecilia Medina Quiroga, Jueza, y</w:t>
        <w:br/>
        <w:t xml:space="preserve">     Manuel E. Ventura Robles, Juez;</w:t>
        <w:br/>
        <w:br/>
        <w:br/>
        <w:t>presentes además,</w:t>
        <w:br/>
        <w:br/>
        <w:t xml:space="preserve">     Pablo Saavedra Alessandri, Secretario, y</w:t>
        <w:br/>
        <w:t xml:space="preserve">     Emilia Segares Rodríguez, Secretaria Adjunta;</w:t>
        <w:br/>
        <w:br/>
        <w:br/>
        <w:br/>
        <w:t>de conformidad con el artículo 67 de la Convención Americana sobre  Derechos</w:t>
        <w:br/>
        <w:t>Humanos (en adelante “la Convención” o  “la  Convención  Americana”)   y  el</w:t>
        <w:br/>
        <w:t>artículo 59 del Reglamento de la Corte (en  adelante  “el  Reglamento”),  la</w:t>
        <w:br/>
        <w:t>Corte resuelve la demanda de interpretación  de  su  sentencia  del   15  de</w:t>
        <w:br/>
        <w:t>junio  de  2005,  sobre  excepciones  preliminares,  sentencia  de  fondo  y</w:t>
        <w:br/>
        <w:t>reparaciones, dictada en el caso de la Comunidad Moiwana, presentada por  el</w:t>
        <w:br/>
        <w:t>estado de Surinam (en adelante “el Estado” o “Surinam”) el 4 de  octubre  de</w:t>
        <w:br/>
        <w:t>2005.</w:t>
        <w:br/>
        <w:br/>
        <w:br/>
        <w:t xml:space="preserve">                                      I</w:t>
        <w:br/>
        <w:t xml:space="preserve"> SENTENCIA SOBRE EXCEPCIONES PRELIMINARES, SENTENCIA DE FONDO Y REPARACIONES</w:t>
        <w:br/>
        <w:br/>
        <w:br/>
        <w:t>1.    El 15 de junio de 2005, la Corte dictó sentencia en esta  causa,  cuya</w:t>
        <w:br/>
        <w:t>parte pertinente dice:</w:t>
        <w:br/>
        <w:br/>
        <w:t xml:space="preserve">      DECID [E],</w:t>
        <w:br/>
        <w:br/>
        <w:br/>
        <w:t xml:space="preserve">      Por unanimidad,</w:t>
        <w:br/>
        <w:br/>
        <w:br/>
        <w:t xml:space="preserve">      1. Desestimar las excepciones preliminares presentadas por el Estado.</w:t>
        <w:br/>
        <w:br/>
        <w:br/>
        <w:t xml:space="preserve">      SE DECLAR [Ó],</w:t>
        <w:br/>
        <w:br/>
        <w:br/>
        <w:t xml:space="preserve">      Por unanimidad, que:</w:t>
        <w:br/>
        <w:br/>
        <w:br/>
        <w:t xml:space="preserve">      1. El Estado violó el derecho a la integridad personal  consagrado  en</w:t>
        <w:br/>
        <w:t xml:space="preserve">      el artículo 5.1 de la Convención Americana sobre Derechos Humanos,  en</w:t>
        <w:br/>
        <w:t xml:space="preserve">      relación con el artículo 1.1 de la misma, en perjuicio de los miembros</w:t>
        <w:br/>
        <w:t xml:space="preserve">      de la comunidad Moiwana,  en  los  términos  del  párrafo  103  de  la</w:t>
        <w:br/>
        <w:t xml:space="preserve">      presente Sentencia.</w:t>
        <w:br/>
        <w:br/>
        <w:br/>
        <w:t xml:space="preserve">      2.  El  Estado  violó  el  derecho  de  circulación  y  de  residencia</w:t>
        <w:br/>
        <w:t xml:space="preserve">      consagrado en el artículo 22 de la Convención Americana,  en  relación</w:t>
        <w:br/>
        <w:t xml:space="preserve">      con el artículo 1.1 de la misma, en perjuicio de los  miembros  de  la</w:t>
        <w:br/>
        <w:t xml:space="preserve">      comunidad Moiwana, en los términos del  párrafo  121  de  la  presente</w:t>
        <w:br/>
        <w:t xml:space="preserve">      Sentencia.</w:t>
        <w:br/>
        <w:br/>
        <w:br/>
        <w:t xml:space="preserve">      3. El Estado violó el derecho a la propiedad consagrado en el artículo</w:t>
        <w:br/>
        <w:t xml:space="preserve">      21 de la Convención Americana, en relación con el artículo 1.1  de  la</w:t>
        <w:br/>
        <w:t xml:space="preserve">      misma, en perjuicio de los miembros de la comunidad  Moiwana,  en  los</w:t>
        <w:br/>
        <w:t xml:space="preserve">      términos del párrafo 135 de la presente Sentencia.</w:t>
        <w:br/>
        <w:br/>
        <w:br/>
        <w:t xml:space="preserve">      4.  El  Estado  violó  los  derechos  a  las  garantías  judiciales  y</w:t>
        <w:br/>
        <w:t xml:space="preserve">      protección judicial consagrados en  los  artículos  8.1  y  25  de  la</w:t>
        <w:br/>
        <w:t xml:space="preserve">      Convención Americana, en relación con el artículo 1.1 de la misma,  en</w:t>
        <w:br/>
        <w:t xml:space="preserve">      perjuicio de los miembros de la comunidad Moiwana, en los términos  de</w:t>
        <w:br/>
        <w:t xml:space="preserve">      los párrafos 163 y 164 de la presente Sentencia.</w:t>
        <w:br/>
        <w:br/>
        <w:br/>
        <w:t xml:space="preserve">      5. Esta Sentencia constituye per se una forma de  reparación,  en  los</w:t>
        <w:br/>
        <w:t xml:space="preserve">      términos del párrafo 192 de la presente Sentencia.</w:t>
        <w:br/>
        <w:br/>
        <w:br/>
        <w:t xml:space="preserve">      Y DISPONE,</w:t>
        <w:br/>
        <w:br/>
        <w:br/>
        <w:t xml:space="preserve">      Por unanimidad, que:</w:t>
        <w:br/>
        <w:br/>
        <w:br/>
        <w:t xml:space="preserve">      1. El Estado debe  cumplir  las  medidas  dispuestas  relativas  a  su</w:t>
        <w:br/>
        <w:t xml:space="preserve">      obligación de investigar los hechos denunciados, así como identificar,</w:t>
        <w:br/>
        <w:t xml:space="preserve">      juzgar y sancionar a los responsables, en los términos de los párrafos</w:t>
        <w:br/>
        <w:t xml:space="preserve">      202 a 207 de la presente Sentencia.</w:t>
        <w:br/>
        <w:br/>
        <w:br/>
        <w:t xml:space="preserve">      2. El Estado debe, a la brevedad posible, recuperar los restos de  los</w:t>
        <w:br/>
        <w:t xml:space="preserve">      miembros de la comunidad Moiwana que fallecieron  durante  los  hechos</w:t>
        <w:br/>
        <w:t xml:space="preserve">      del 29 de noviembre de 1986, así como entregarlos a los miembros de la</w:t>
        <w:br/>
        <w:t xml:space="preserve">      comunidad Moiwana sobrevivientes, en los términos del párrafo  208  de</w:t>
        <w:br/>
        <w:t xml:space="preserve">      la presente Sentencia.</w:t>
        <w:br/>
        <w:br/>
        <w:br/>
        <w:t xml:space="preserve">      3.  El  Estado  debe   adoptar   todas   las   medidas   legislativas,</w:t>
        <w:br/>
        <w:t xml:space="preserve">      administrativas y de cualquier otra índole, necesarias para asegurar a</w:t>
        <w:br/>
        <w:t xml:space="preserve">      los miembros de la comunidad Moiwana su derecho de propiedad sobre los</w:t>
        <w:br/>
        <w:t xml:space="preserve">      territorios tradicionales de los que fueron expulsados y asegurar, por</w:t>
        <w:br/>
        <w:t xml:space="preserve">      lo tanto, el uso y goce de estos territorios.  Estas  medidas  deberán</w:t>
        <w:br/>
        <w:t xml:space="preserve">      incluir la creación de un mecanismo efectivo para delimitar,  demarcar</w:t>
        <w:br/>
        <w:t xml:space="preserve">      y titular dichos territorios tradicionales, en  los  términos  de  los</w:t>
        <w:br/>
        <w:t xml:space="preserve">      párrafos 209 a 211 de la presente Sentencia.</w:t>
        <w:br/>
        <w:br/>
        <w:br/>
        <w:t xml:space="preserve">      4. El Estado debe garantizar  la  seguridad  de  los  miembros  de  la</w:t>
        <w:br/>
        <w:t xml:space="preserve">      comunidad Moiwana que decidan regresar a la aldea de Moiwana,  en  los</w:t>
        <w:br/>
        <w:t xml:space="preserve">      términos del párrafo 212 de la presente Sentencia.</w:t>
        <w:br/>
        <w:br/>
        <w:br/>
        <w:t xml:space="preserve">      5. El Estado debe implementar un fondo de desarrollo  comunitario,  en</w:t>
        <w:br/>
        <w:t xml:space="preserve">      los términos de los párrafos 213 a 215 de la presente Sentencia.</w:t>
        <w:br/>
        <w:br/>
        <w:br/>
        <w:t xml:space="preserve">      6.  El  Estado  debe  realizar  un  acto   de   disculpa   pública   y</w:t>
        <w:br/>
        <w:t xml:space="preserve">      reconocimiento de responsabilidad internacional, en  los  términos  de</w:t>
        <w:br/>
        <w:t xml:space="preserve">      los párrafos 216 y 217 de la presente Sentencia.</w:t>
        <w:br/>
        <w:br/>
        <w:br/>
        <w:t xml:space="preserve">      7. El Estado debe construir un  monumento  y  colocarlo  en  un  lugar</w:t>
        <w:br/>
        <w:t xml:space="preserve">      público apropiado, en los términos del  párrafo  218  de  la  presente</w:t>
        <w:br/>
        <w:t xml:space="preserve">      Sentencia.</w:t>
        <w:br/>
        <w:br/>
        <w:br/>
        <w:t xml:space="preserve">      8. El Estado debe pagar las cantidades fijadas en el párrafo 187 de la</w:t>
        <w:br/>
        <w:t xml:space="preserve">      presente Sentencia a favor de los miembros de  la  comunidad  Moiwana,</w:t>
        <w:br/>
        <w:t xml:space="preserve">      por concepto de daño material, en los términos de los párrafos  179  a</w:t>
        <w:br/>
        <w:t xml:space="preserve">      181, 226 y 228 a 231 de la presente Sentencia.</w:t>
        <w:br/>
        <w:br/>
        <w:br/>
        <w:t xml:space="preserve">      9. El Estado debe pagar las cantidades fijadas en el párrafo 196 de la</w:t>
        <w:br/>
        <w:t xml:space="preserve">      presente Sentencia a favor de los miembros de  la  comunidad  Moiwana,</w:t>
        <w:br/>
        <w:t xml:space="preserve">      por concepto de daño inmaterial, en los términos de los párrafos 179 a</w:t>
        <w:br/>
        <w:t xml:space="preserve">      181, 226 y 228 a 231 de la presente Sentencia.</w:t>
        <w:br/>
        <w:br/>
        <w:br/>
        <w:t xml:space="preserve">      10. El Estado debe pagar la cantidad fijada en el párrafo  223  de  la</w:t>
        <w:br/>
        <w:t xml:space="preserve">      presente Sentencia, por concepto de gastos, en  los  términos  de  los</w:t>
        <w:br/>
        <w:t xml:space="preserve">      párrafos 223, 224 y 228 a 231 de la presente Sentencia.</w:t>
        <w:br/>
        <w:br/>
        <w:br/>
        <w:t xml:space="preserve">      11. Supervisará el cumplimiento íntegro de esta Sentencia y  dará  por</w:t>
        <w:br/>
        <w:t xml:space="preserve">      concluido el presente caso una vez  que  el  Estado  haya  dado  cabal</w:t>
        <w:br/>
        <w:t xml:space="preserve">      cumplimiento a lo dispuesto en la misma. Dentro del plazo de  un  año,</w:t>
        <w:br/>
        <w:t xml:space="preserve">      contado a partir de la  notificación  de  esta  Sentencia,  el  Estado</w:t>
        <w:br/>
        <w:t xml:space="preserve">      deberá rendir a la Corte un informe sobre las medidas  adoptadas  para</w:t>
        <w:br/>
        <w:t xml:space="preserve">      darle cumplimiento, en los términos del párrafo 232 de la misma.</w:t>
        <w:br/>
        <w:br/>
        <w:br/>
        <w:br/>
        <w:t>2.     Se  notificó  la  sentencia  al  Estado,  a  la  Comisión  y  a   los</w:t>
        <w:br/>
        <w:t>representantes el día 14 de julio de 2005.</w:t>
        <w:br/>
        <w:br/>
        <w:br/>
        <w:br/>
        <w:t xml:space="preserve">                                     II</w:t>
        <w:br/>
        <w:t xml:space="preserve">                   COMPETENCIA Y COMPOSICIÓN DEL TRIBUNAL</w:t>
        <w:br/>
        <w:br/>
        <w:t xml:space="preserve">   3. El artículo 67 de la Convención dispone: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Conforme al mencionado artículo, la Corte  es  competente  para  interpretar</w:t>
        <w:br/>
        <w:t>sus propias sentencias.  Si  fuera  posible,  al  analizar  una  demanda  de</w:t>
        <w:br/>
        <w:t>interpretación de una sentencia, la Corte estará  compuesta  de  los  mismos</w:t>
        <w:br/>
        <w:t>jueces que la conformaban al dictarse la sentencia  cuya  interpretación  se</w:t>
        <w:br/>
        <w:t>solicita (Artículo 59.3 de las Normas de Procedimiento). En  este  caso,  la</w:t>
        <w:br/>
        <w:t>Corte está compuesta por los  mismos  miembros  que  dictaron  la  sentencia</w:t>
        <w:br/>
        <w:t>sobre  las  excepciones  preliminares,  el  fondo  de   la   causa   y   las</w:t>
        <w:br/>
        <w:t>reparaciones, cuya interpretación el Estado solicita (supra nota  a  pie  de</w:t>
        <w:br/>
        <w:t>página 1).</w:t>
        <w:br/>
        <w:br/>
        <w:br/>
        <w:br/>
        <w:t xml:space="preserve">                                     III</w:t>
        <w:br/>
        <w:t xml:space="preserve">                           RECURSO DE ACLARATORIA</w:t>
        <w:br/>
        <w:br/>
        <w:t xml:space="preserve">   4. El 4 de octubre de 2005, el Estado de Surinam presentó  un  pedido  de</w:t>
        <w:br/>
        <w:t xml:space="preserve">      aclaratoria de la sentencia sobre excepciones preliminares,  sentencia</w:t>
        <w:br/>
        <w:t xml:space="preserve">      de fondo y reparaciones dictada en el caso de Comunidad Moiwana, según</w:t>
        <w:br/>
        <w:t xml:space="preserve">      lo contemplado en el artículo 67 de la Convención y el artículo 59 del</w:t>
        <w:br/>
        <w:t xml:space="preserve">      Reglamento de la Corte.</w:t>
        <w:br/>
        <w:br/>
        <w:t xml:space="preserve">   5. En el pedido de aclaratoria, el Estado realizó, entre otras cosas, las</w:t>
        <w:br/>
        <w:t xml:space="preserve">      siguientes observaciones:</w:t>
        <w:br/>
        <w:br/>
        <w:t xml:space="preserve">      El Estado reconoce  que  la  Convención  indica  expresamente  que  la</w:t>
        <w:br/>
        <w:t xml:space="preserve">      sentencia de la Corte no es apelable. Con la posibilidad de  solicitar</w:t>
        <w:br/>
        <w:t xml:space="preserve">      una aclaratoria del sentido y alcance de la sentencia, los  redactores</w:t>
        <w:br/>
        <w:t xml:space="preserve">      de la Convención dieron a las partes en desacuerdo con  la  sentencia,</w:t>
        <w:br/>
        <w:t xml:space="preserve">      la oportunidad de peticionar a la […] Corte.</w:t>
        <w:br/>
        <w:br/>
        <w:br/>
        <w:t xml:space="preserve">      [L]a  República  de  Surinam  expresa  que  no  está  de  acuerdo  con</w:t>
        <w:br/>
        <w:t xml:space="preserve">      determinadas partes de la Sentencia del 15 de octubre de 2005  dictada</w:t>
        <w:br/>
        <w:t xml:space="preserve">      por la Corte en el Caso de Comunidad Moiwana vs.  Surinam.  El  Estado</w:t>
        <w:br/>
        <w:t xml:space="preserve">      respetuosamente solicita a la Corte la interpretación de dichas partes</w:t>
        <w:br/>
        <w:t xml:space="preserve">      de la sentencia.</w:t>
        <w:br/>
        <w:br/>
        <w:br/>
        <w:t xml:space="preserve">      A fin de que la Corte entienda en un caso, el artículo 61, apartado  2</w:t>
        <w:br/>
        <w:t xml:space="preserve">      de la Convención  ordena  que  deben  completarse  los  procedimientos</w:t>
        <w:br/>
        <w:t xml:space="preserve">      establecidos en los artículos 48 y 50.  El Estado manifestó  en  todas</w:t>
        <w:br/>
        <w:t xml:space="preserve">      las comunicaciones previas realizadas  durante  el  proceso  y  en  la</w:t>
        <w:br/>
        <w:t xml:space="preserve">      audiencia pública realizada en el mes de Septiembre de  2004  ante  la</w:t>
        <w:br/>
        <w:t xml:space="preserve">      […]  Corte,  que  la  Comisión  había  adoptado  equivocadamente   una</w:t>
        <w:br/>
        <w:t xml:space="preserve">      comunicación como un Informe del Artículo 50. En  base  al  mencionado</w:t>
        <w:br/>
        <w:t xml:space="preserve">      apartado 2 del artículo 61 de la Convención, el “Informe del  Artículo</w:t>
        <w:br/>
        <w:t xml:space="preserve">      50” erróneamente adoptado sirve como fundamento para  la  presentación</w:t>
        <w:br/>
        <w:t xml:space="preserve">      de la demanda ante la […] Corte. […] El Estado debe  concluir  que  la</w:t>
        <w:br/>
        <w:t xml:space="preserve">      […] Corte no analizó el estado ni la condición de  dicha  comunicación</w:t>
        <w:br/>
        <w:t xml:space="preserve">      –el  Informe  del  Artículo  50-  presentada  por  la  Comisión   como</w:t>
        <w:br/>
        <w:t xml:space="preserve">      fundamento de su demanda ante la Corte en la cuestión que  nos  ocupa.</w:t>
        <w:br/>
        <w:t xml:space="preserve">      Dado que la Convención exige expresamente que se  lleven  a  cabo  los</w:t>
        <w:br/>
        <w:t xml:space="preserve">      procedimientos establecidos en los artículos 48 y 50 de la Convención,</w:t>
        <w:br/>
        <w:t xml:space="preserve">      como  conditio  sine  qua  non   para  que  la  […]  Corte  ejerza  su</w:t>
        <w:br/>
        <w:t xml:space="preserve">      competencia sobre un determinado caso, el Estado considera que la  […]</w:t>
        <w:br/>
        <w:t xml:space="preserve">      Corte  debe  analizar  cuidadosamente  los  procedimientos  a  fin  de</w:t>
        <w:br/>
        <w:t xml:space="preserve">      determinar si los requisitos mencionados en los artículos 48 y  50  de</w:t>
        <w:br/>
        <w:t xml:space="preserve">      la Convención han sido cumplidos por la Comisión. Solo luego  de  este</w:t>
        <w:br/>
        <w:t xml:space="preserve">      análisis basado en las cuestiones de derecho  podrá  determinarse  que</w:t>
        <w:br/>
        <w:t xml:space="preserve">      dichos requisitos establecidos por la Convención  han  sido  cumplidos</w:t>
        <w:br/>
        <w:t xml:space="preserve">      por la Comisión a fin de iniciar este caso ante  la  Corte.  Solo  así</w:t>
        <w:br/>
        <w:t xml:space="preserve">      tendrá la […] Corte el  derecho  establecido  en  el  apartado  2  del</w:t>
        <w:br/>
        <w:t xml:space="preserve">      artículo 61 de la Convención para entender en este caso en  particular</w:t>
        <w:br/>
        <w:t xml:space="preserve">      […] El Estado ha  expresado  que  está  en  total  desacuerdo  con  la</w:t>
        <w:br/>
        <w:t xml:space="preserve">      determinación de la Comisión según la  cual  dicho  informe  debe  ser</w:t>
        <w:br/>
        <w:t xml:space="preserve">      considerado como Informe del Artículo  50.  El  Estado  alegó  que  la</w:t>
        <w:br/>
        <w:t xml:space="preserve">      Comisión presentó, en forma errónea, varios actos de quienes  actuaban</w:t>
        <w:br/>
        <w:t xml:space="preserve">      por el Estado como encuadrados dentro  del  marco  de  la  Convención,</w:t>
        <w:br/>
        <w:t xml:space="preserve">      mientras que en opinión del Estado si las violaciones  se  produjeron,</w:t>
        <w:br/>
        <w:t xml:space="preserve">      ellas deben ser analizadas a la luz de  la  Declaración  Americana  de</w:t>
        <w:br/>
        <w:t xml:space="preserve">      Derechos Humanos […]  En  general  esto  no  sería  problemático.  Sin</w:t>
        <w:br/>
        <w:t xml:space="preserve">      embargo, el  29  de  noviembre  de  1986,  cuando  lamentablemente  se</w:t>
        <w:br/>
        <w:t xml:space="preserve">      produjeron los hechos en la aldea de Moiwana, Surinam no era un Estado</w:t>
        <w:br/>
        <w:t xml:space="preserve">      parte de la Convención. Como estado miembro de la OEA, la  Declaración</w:t>
        <w:br/>
        <w:t xml:space="preserve">      se aplica a estos hechos particulares.</w:t>
        <w:br/>
        <w:br/>
        <w:br/>
        <w:t xml:space="preserve">      Además, el Estado argumenta también que la comunicación a  la  que  la</w:t>
        <w:br/>
        <w:t xml:space="preserve">      […] Corte califica  como  Informe  del  artículo  50,  no  se  realizó</w:t>
        <w:br/>
        <w:t xml:space="preserve">      adecuadamente de conformidad con los artículos de la  Convención  como</w:t>
        <w:br/>
        <w:t xml:space="preserve">      para operar como requisito previo de su solicitud a la  […]  Corte  en</w:t>
        <w:br/>
        <w:t xml:space="preserve">      este caso particular. La sentencia no incluye una  explicación  de  la</w:t>
        <w:br/>
        <w:t xml:space="preserve">      […] Corte en relación con estas  dos  comunicaciones  y  ello  es  muy</w:t>
        <w:br/>
        <w:t xml:space="preserve">      importante para el Estado. Este último respetuosamente solicita  a  la</w:t>
        <w:br/>
        <w:t xml:space="preserve">      […] Corte una interpretación/explicación sobre  esta cuestión.</w:t>
        <w:br/>
        <w:br/>
        <w:br/>
        <w:t xml:space="preserve">      Además del Artículo  61  de  la  Convención,  en  el  artículo  57  se</w:t>
        <w:br/>
        <w:t xml:space="preserve">      establece: “La Comisión deberá comparecer ante la Corte en  todos  los</w:t>
        <w:br/>
        <w:t xml:space="preserve">      casos”. En base a lo dispuesto por la Convención, es evidente que  las</w:t>
        <w:br/>
        <w:t xml:space="preserve">      únicas partes legitimadas para actuar como tales ante la […] Corte son</w:t>
        <w:br/>
        <w:t xml:space="preserve">      la Comisión, en representación de la víctima o sus  representantes,  y</w:t>
        <w:br/>
        <w:t xml:space="preserve">      los Estados parte. Aunque la República de Surinam de  hecho  no  tiene</w:t>
        <w:br/>
        <w:t xml:space="preserve">      problema en dar la oportunidad de que los individuos se dirijan  a  la</w:t>
        <w:br/>
        <w:t xml:space="preserve">      […] Corte para proporcionar información útil en cuando a los hechos  y</w:t>
        <w:br/>
        <w:t xml:space="preserve">      testimonios del caso, esto puede ocurrir  solamente  a  través  de  la</w:t>
        <w:br/>
        <w:t xml:space="preserve">      Comisión, dado que esta última es la  única  parte  mencionada  en  la</w:t>
        <w:br/>
        <w:t xml:space="preserve">      Convención  con  legitimación   para   actuar   ante   la   Corte   en</w:t>
        <w:br/>
        <w:t xml:space="preserve">      representación de la víctima o su representante. El  Estado  considera</w:t>
        <w:br/>
        <w:t xml:space="preserve">      que dado que la Convención prevalece sobre las normas internas y/o los</w:t>
        <w:br/>
        <w:t xml:space="preserve">      reglamentos de la […] Comisión y la […] Corte, dichas normas  internas</w:t>
        <w:br/>
        <w:t xml:space="preserve">      y reglamentos no podrán incluir disposiciones contrarias al  texto  de</w:t>
        <w:br/>
        <w:t xml:space="preserve">      la  Convención.  El  Estado  por  lo  tanto  sostiene  que  no   puede</w:t>
        <w:br/>
        <w:t xml:space="preserve">      reconocerse legitimación (“locus standi”) a una  persona  física  para</w:t>
        <w:br/>
        <w:t xml:space="preserve">      que sea parte en el proceso ante la  […]  Corte  [...].  Asimismo,  el</w:t>
        <w:br/>
        <w:t xml:space="preserve">      Estado señala que el tema de la legitimación  de  una  persona  física</w:t>
        <w:br/>
        <w:t xml:space="preserve">      ante la Corte es importante para el Estado ya que  economías  pequeñas</w:t>
        <w:br/>
        <w:t xml:space="preserve">      como Surinam no poseen los recursos económicos,  la  capacidad  ni  el</w:t>
        <w:br/>
        <w:t xml:space="preserve">      tiempo  para  contratar  a  abogados  extranjeros  de   primer   nivel</w:t>
        <w:br/>
        <w:t xml:space="preserve">      especializados en derechos humanos, mientras que las partes contrarias</w:t>
        <w:br/>
        <w:t xml:space="preserve">      tienen el respaldo de organizaciones e  instituciones  de  gran  poder</w:t>
        <w:br/>
        <w:t xml:space="preserve">      económico, con gran cantidad y variedad no solo  de  capital  sino  de</w:t>
        <w:br/>
        <w:t xml:space="preserve">      recursos humanos.&lt;0}  {0&gt;These opposing parties might  even  construct</w:t>
        <w:br/>
        <w:t xml:space="preserve">      questionable claims and present those to the organs  in  the  [I]nter-</w:t>
        <w:br/>
        <w:t xml:space="preserve">      American human rights system, thus placing the State  in  a  difficult</w:t>
        <w:br/>
        <w:t xml:space="preserve">      always defending position.&lt;}0{&gt;Estas partes contrarias podrían incluso</w:t>
        <w:br/>
        <w:t xml:space="preserve">      inventar reclamos  que  son  cuestionables  y  presentarlos  ante  los</w:t>
        <w:br/>
        <w:t xml:space="preserve">      órganos del sistema interamericano de derechos humanos,  poniendo  así</w:t>
        <w:br/>
        <w:t xml:space="preserve">      al Estado en una posición defensiva que siempre es difícil.&lt;0}  {0&gt;The</w:t>
        <w:br/>
        <w:t xml:space="preserve">      State believes that  treating  the  individuals  as  separate  parties</w:t>
        <w:br/>
        <w:t xml:space="preserve">      before the Court, which is not  in  conformity  with  the  Convention,</w:t>
        <w:br/>
        <w:t xml:space="preserve">      further  weakened  the  position  of  States  parties.&lt;}0{&gt;El   Estado</w:t>
        <w:br/>
        <w:t xml:space="preserve">      considera que el tratar a los individuos como partes por separado ante</w:t>
        <w:br/>
        <w:t xml:space="preserve">      la Corte, cosa que no se ajusta a la Convención, debilita aún  más  la</w:t>
        <w:br/>
        <w:t xml:space="preserve">      posición de los Estados parte.&lt;0}  {0&gt; Esto no está contemplado en  la</w:t>
        <w:br/>
        <w:t xml:space="preserve">      Convención. Por lo tanto, el Estado recomienda enfáticamente que si  a</w:t>
        <w:br/>
        <w:t xml:space="preserve">      los individuos se les reconoce legitimación para actuar ante [...]  la</w:t>
        <w:br/>
        <w:t xml:space="preserve">      Corte, esto se  haga  en  conformidad  con  las  disposiciones  de  la</w:t>
        <w:br/>
        <w:t xml:space="preserve">      Convención, es decir,  sólo  a  través  de  la  Comisión.   Ya  en  la</w:t>
        <w:br/>
        <w:t xml:space="preserve">      audiencia preliminar celebrada el 8 de septiembre de 2004, en San José</w:t>
        <w:br/>
        <w:t xml:space="preserve">      de Costa Rica, el Estado llamó la atención de  la  [...]  Corte  sobre</w:t>
        <w:br/>
        <w:t xml:space="preserve">      este tema. El Estado respetuosamente solicita  una  aclaración  de  la</w:t>
        <w:br/>
        <w:t xml:space="preserve">      [...] Corte sobre este punto.</w:t>
        <w:br/>
        <w:br/>
        <w:br/>
        <w:br/>
        <w:br/>
        <w:t xml:space="preserve">      En el párrafo 39 de esta sentencia, la […]  Corte  sostiene  que:  “De</w:t>
        <w:br/>
        <w:t xml:space="preserve">      conformidad con este principio de  irretroactividad,  en  el  caso  de</w:t>
        <w:br/>
        <w:t xml:space="preserve">      violaciones continuadas o permanentes, las cuales comienzan antes  del</w:t>
        <w:br/>
        <w:t xml:space="preserve">      reconocimiento de la competencia de la Corte y persisten  aun  después</w:t>
        <w:br/>
        <w:t xml:space="preserve">      de ese reconocimiento, el Tribunal es  competente  para  examinar  las</w:t>
        <w:br/>
        <w:t xml:space="preserve">      acciones  y  omisiones  que  hayan  ocurrido  con   posterioridad   al</w:t>
        <w:br/>
        <w:t xml:space="preserve">      reconocimiento de competencia, así como sus respectivos efectos”. Esta</w:t>
        <w:br/>
        <w:t xml:space="preserve">      Corte señala que es competente para analizar  los  actos  y  omisiones</w:t>
        <w:br/>
        <w:t xml:space="preserve">      posteriores a la adhesión del Estado a la Convención.  En  definitiva,</w:t>
        <w:br/>
        <w:t xml:space="preserve">      la Corte indica que los actos que se produjeron con anterioridad a que</w:t>
        <w:br/>
        <w:t xml:space="preserve">      los Estados adhirieran a la Convención no caen  bajo  su  competencia.</w:t>
        <w:br/>
        <w:t xml:space="preserve">      Esta es la razón por la cual el Estado considera que no  es  necesario</w:t>
        <w:br/>
        <w:t xml:space="preserve">      aportar hechos y circunstancias que […] ocurrieron con anterioridad  a</w:t>
        <w:br/>
        <w:t xml:space="preserve">      la adhesión de Surinam a  la  Convención  y  a  su  aceptación  de  la</w:t>
        <w:br/>
        <w:t xml:space="preserve">      competencia de esta […] Corte en el mes de noviembre de 1987,  ya  que</w:t>
        <w:br/>
        <w:t xml:space="preserve">      la […] Corte no tiene competencia sobre ellos. El Estado considera que</w:t>
        <w:br/>
        <w:t xml:space="preserve">      no puede ser sancionado por no proporcionar información que claramente</w:t>
        <w:br/>
        <w:t xml:space="preserve">      excede la competencia del Tribunal que entiende en la causa. Asimismo,</w:t>
        <w:br/>
        <w:t xml:space="preserve">      el Estado respetuosamente solicita una explicación a  la  Corte  sobre</w:t>
        <w:br/>
        <w:t xml:space="preserve">      por qué en varias partes de la  sentencia  el  análisis  de  la  Corte</w:t>
        <w:br/>
        <w:t xml:space="preserve">      claramente coloca al Estado en una posición minoritaria.  ¿Puede  esto</w:t>
        <w:br/>
        <w:t xml:space="preserve">      deberse a que no se presentaron en forma suficiente ante la […]  Corte</w:t>
        <w:br/>
        <w:t xml:space="preserve">      hechos y circunstancias que no caen bajo su competencia?</w:t>
        <w:br/>
        <w:br/>
        <w:br/>
        <w:t xml:space="preserve">      El Estado considera que la evaluación y  conclusión  de  la  Corte  en</w:t>
        <w:br/>
        <w:t xml:space="preserve">      relación con el derecho de propiedad colectiva sobre  los  territorios</w:t>
        <w:br/>
        <w:t xml:space="preserve">      (ver, entre otros, el párrafo 209 y otros), no  puede  basarse  en  el</w:t>
        <w:br/>
        <w:t xml:space="preserve">      derecho y los hechos referidos y proporcionados a la […] Corte en  ese</w:t>
        <w:br/>
        <w:t xml:space="preserve">      caso específico. Tal como lo  expusiera  la  Comisión  en  su  demanda</w:t>
        <w:br/>
        <w:t xml:space="preserve">      presentada ante la […] Corte, este caso se centra especialmente en  la</w:t>
        <w:br/>
        <w:t xml:space="preserve">      naturaleza de una violación continua, dado que la  Comisión  argumenta</w:t>
        <w:br/>
        <w:t xml:space="preserve">      que el Estado no investigó los hechos acaecidos el 29 de noviembre  de</w:t>
        <w:br/>
        <w:t xml:space="preserve">      1986 en la aldea Moiwana, en el interior del país.   El  Estado  alega</w:t>
        <w:br/>
        <w:t xml:space="preserve">      que en esta causa no se han mencionado leyes ni hechos que fundamenten</w:t>
        <w:br/>
        <w:t xml:space="preserve">      la conclusión a que arribó la Corte respecto de este tema ni la  forma</w:t>
        <w:br/>
        <w:t xml:space="preserve">      en  que  se  lo  expresa  en  esta  sentencia.  El   Estado   sostiene</w:t>
        <w:br/>
        <w:t xml:space="preserve">      enfáticamente que con respecto a este tema  en  particular,  esta  […]</w:t>
        <w:br/>
        <w:t xml:space="preserve">      Corte solo puede concluir que los  integrantes  de  la  aldea  Moiwana</w:t>
        <w:br/>
        <w:t xml:space="preserve">      tienen  derecho  a  volver  cuando  lo  deseen  a  las   tierras   que</w:t>
        <w:br/>
        <w:t xml:space="preserve">      tradicionalmente ocuparon y que abandonaron  el  29  de  noviembre  de</w:t>
        <w:br/>
        <w:t xml:space="preserve">      1986. Asimismo, puede decidir que el Estado debe garantizar  a  dichas</w:t>
        <w:br/>
        <w:t xml:space="preserve">      personas el derecho a tomar libremente posesión de dichas  tierras  en</w:t>
        <w:br/>
        <w:t xml:space="preserve">      las mismas condiciones existentes con anterioridad al 29 de  noviembre</w:t>
        <w:br/>
        <w:t xml:space="preserve">      de 1986. […] [E]l Estado considera que las medidas  ordenadas  por  la</w:t>
        <w:br/>
        <w:t xml:space="preserve">      Corte en esta sentencia podrían acaso fundarse en decisiones adoptadas</w:t>
        <w:br/>
        <w:t xml:space="preserve">      en otros casos resueltos por esta […] Corte, pero no pueden  aplicarse</w:t>
        <w:br/>
        <w:t xml:space="preserve">      en este caso particular sin llevar a cabo una  profunda  investigación</w:t>
        <w:br/>
        <w:t xml:space="preserve">      sobre  los  hechos  y  circunstancias  relacionadas  con   este   tema</w:t>
        <w:br/>
        <w:t xml:space="preserve">      específico del derecho sobre las tierras. Surinam  está  habitada  por</w:t>
        <w:br/>
        <w:t xml:space="preserve">      más de 15 comunidades tribales diferentes, entre ellas, los maroons  e</w:t>
        <w:br/>
        <w:t xml:space="preserve">      indígenas.  Todos estos grupos poseen ciertas áreas  tradicionales  en</w:t>
        <w:br/>
        <w:t xml:space="preserve">      el interior del país, en las cuales habitan.  Los  miembros  de  estas</w:t>
        <w:br/>
        <w:t xml:space="preserve">      comunidades tribales viven también en ciudades de la zona costera. Una</w:t>
        <w:br/>
        <w:t xml:space="preserve">      decisión sobre las medidas relativas a la demarcación  y  delimitación</w:t>
        <w:br/>
        <w:t xml:space="preserve">      puede tomarse solo a la luz de un caso relativo al tema particular  de</w:t>
        <w:br/>
        <w:t xml:space="preserve">      los derechos sobre  tierras  en  Surinam.  En  este  caso  no  existen</w:t>
        <w:br/>
        <w:t xml:space="preserve">      suficientes hechos y circunstancias sobre el tema  específico  de  los</w:t>
        <w:br/>
        <w:t xml:space="preserve">      derechos  sobre  las  tierras  para  satisfacer  la  conclusión  y  la</w:t>
        <w:br/>
        <w:t xml:space="preserve">      sentencia de la Corte sobre este aspecto.  El  Estado  respetuosamente</w:t>
        <w:br/>
        <w:t xml:space="preserve">      solicita la explicación de la Corte sobre este tema particular ya  que</w:t>
        <w:br/>
        <w:t xml:space="preserve">      está convencido de que la Corte ha adoptado  una  decisión  sobre  una</w:t>
        <w:br/>
        <w:t xml:space="preserve">      cuestión que no ha sido sometida ante ella y para la cual  no  se  han</w:t>
        <w:br/>
        <w:t xml:space="preserve">      proporcionado suficientes hechos y circunstancias  que  hagan  posible</w:t>
        <w:br/>
        <w:t xml:space="preserve">      arribar a una decisión razonable y aceptable desde el punto  de  vista</w:t>
        <w:br/>
        <w:t xml:space="preserve">      jurídico.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 xml:space="preserve">   6. El 10 de octubre de 2005, en conformidad  con  el  artículo  59.2  del</w:t>
        <w:br/>
        <w:t xml:space="preserve">      Reglamento de la Corte y siguiendo las  instrucciones  del  Presidente</w:t>
        <w:br/>
        <w:t xml:space="preserve">      del Tribunal (en adelante, “el Presidente”), la Secretaría de la Corte</w:t>
        <w:br/>
        <w:t xml:space="preserve">      (en adelante “la Secretaría") transmitió una copia de  la  demanda  de</w:t>
        <w:br/>
        <w:t xml:space="preserve">      interpretación a la Comisión Interamericana de  Derechos  Humanos  (en</w:t>
        <w:br/>
        <w:t xml:space="preserve">      adelante, “la Comisión”) y a los representantes de las víctimas y  sus</w:t>
        <w:br/>
        <w:t xml:space="preserve">      familiares  (en  adelante,  “los   representantes”).   En   la   misma</w:t>
        <w:br/>
        <w:t xml:space="preserve">      comunicación,  la  Secretaría  informó  a  la   Comisión   y   a   los</w:t>
        <w:br/>
        <w:t xml:space="preserve">      representantes que se les concedería un plazo  de  30  días  para  que</w:t>
        <w:br/>
        <w:t xml:space="preserve">      presentaran por escrito las observaciones que considerasen relevantes.</w:t>
        <w:br/>
        <w:t xml:space="preserve">      Además, la Secretaría entregó una comunicación al Estado, en  la  cual</w:t>
        <w:br/>
        <w:t xml:space="preserve">      le recordaba que, en conformidad con el artículo 59.4 del  Reglamento,</w:t>
        <w:br/>
        <w:t xml:space="preserve">      “[la] demanda de  interpretación  no  suspenderá  los  efectos  de  la</w:t>
        <w:br/>
        <w:t xml:space="preserve">      sentencia”.</w:t>
        <w:br/>
        <w:br/>
        <w:br/>
        <w:t xml:space="preserve">   7. El 9 de noviembre de 2005, la Comisión presentó sus observaciones  por</w:t>
        <w:br/>
        <w:t xml:space="preserve">      escrito sobre la demanda de interpretación, en la  cual,  entre  otras</w:t>
        <w:br/>
        <w:t xml:space="preserve">      cosas, expresaba:</w:t>
        <w:br/>
        <w:br/>
        <w:t xml:space="preserve">      Más  que  una  demanda  de  interpretación  sobre  el  alcance  y   el</w:t>
        <w:br/>
        <w:t xml:space="preserve">      significado de la sentencia de la Corte, la demanda presentada por  el</w:t>
        <w:br/>
        <w:t xml:space="preserve">      Estado de Surinam intenta apelar ciertos aspectos de la sentencia  que</w:t>
        <w:br/>
        <w:t xml:space="preserve">      el Estado considera desfavorables.  […]</w:t>
        <w:br/>
        <w:br/>
        <w:br/>
        <w:t xml:space="preserve">      El Estado no ha hecho mención alguna de ambigüedad o falta de claridad</w:t>
        <w:br/>
        <w:t xml:space="preserve">      en el texto de la sentencia. […]</w:t>
        <w:br/>
        <w:br/>
        <w:br/>
        <w:t xml:space="preserve">      La solicitud de revisión se basa en argumentos sobre la admisibilidad,</w:t>
        <w:br/>
        <w:t xml:space="preserve">      méritos y reparaciones en relación con los cuales a todas  las  partes</w:t>
        <w:br/>
        <w:t xml:space="preserve">      se les han otorgado todas las oportunidades procesales  para  defender</w:t>
        <w:br/>
        <w:t xml:space="preserve">      su posición […] [N]o existe fundamento legal alguno para que el Estado</w:t>
        <w:br/>
        <w:t xml:space="preserve">      vuelva a litigar sobre estos puntos con posterioridad al dictado de la</w:t>
        <w:br/>
        <w:t xml:space="preserve">      sentencia por parte de la Corte.</w:t>
        <w:br/>
        <w:br/>
        <w:br/>
        <w:t xml:space="preserve">      Las solicitudes de aclaratoria cuyo objetivo es apelar una  sentencia,</w:t>
        <w:br/>
        <w:t xml:space="preserve">      como la presentada por el Estado de Surinam, deben […] ser  declaradas</w:t>
        <w:br/>
        <w:t xml:space="preserve">      inadmisibles.</w:t>
        <w:br/>
        <w:br/>
        <w:t xml:space="preserve">   8. El 10  de  noviembre  de  2005,  los  representantes  presentaron  sus</w:t>
        <w:br/>
        <w:t xml:space="preserve">      observaciones  escritas  sobre  la  demanda,  y  entre  otras   cosas,</w:t>
        <w:br/>
        <w:t xml:space="preserve">      expresaron lo siguiente:</w:t>
        <w:br/>
        <w:br/>
        <w:t xml:space="preserve">      Una serie de Solicitudes  Específica  de  Surinam  solo  reiteran  sus</w:t>
        <w:br/>
        <w:t xml:space="preserve">      excepciones preliminares […]  Estas  excepciones  preliminares  fueron</w:t>
        <w:br/>
        <w:t xml:space="preserve">      desestimadas por la Corte en su Sentencia y son extemporáneas y objeto</w:t>
        <w:br/>
        <w:t xml:space="preserve">      inadecuado de una demanda de interpretación.</w:t>
        <w:br/>
        <w:br/>
        <w:br/>
        <w:t xml:space="preserve">      […] Surinam no sostiene que los términos de las puntos  resolutivas  o</w:t>
        <w:br/>
        <w:t xml:space="preserve">      las consideraciones relacionadas de la sentencia carezcan de  claridad</w:t>
        <w:br/>
        <w:t xml:space="preserve">      o sean imprecisas y, por lo tanto, solicita que se aclare el alcance o</w:t>
        <w:br/>
        <w:t xml:space="preserve">      significado de dichos puntos. En lugar de ello, Surinam cuestiona o de</w:t>
        <w:br/>
        <w:t xml:space="preserve">      otro modo expresa su disconformidad con partes de la sentencia misma o</w:t>
        <w:br/>
        <w:t xml:space="preserve">      con cuestiones ajenas a la sentencia.</w:t>
        <w:br/>
        <w:br/>
        <w:br/>
        <w:t xml:space="preserve">      Además, cada Solicitud Específica está precedida de exposiciones sobre</w:t>
        <w:br/>
        <w:t xml:space="preserve">      cuestiones de dudosa relevancia y expresadas en términos vagos que  no</w:t>
        <w:br/>
        <w:t xml:space="preserve">      pueden ser respondidos en forma precisa.</w:t>
        <w:br/>
        <w:br/>
        <w:br/>
        <w:t xml:space="preserve">      [C]ada una de las Solicitudes Específicas presentadas por  Surinam  es</w:t>
        <w:br/>
        <w:t xml:space="preserve">      inadmisible por múltiples razones, y, por lo tanto, no  debe  exigirse</w:t>
        <w:br/>
        <w:t xml:space="preserve">      un pronunciamiento de la Corte  en  relación  con  cualquier  cuestión</w:t>
        <w:br/>
        <w:t xml:space="preserve">      sustancial que pudiera derivar de ellas.</w:t>
        <w:br/>
        <w:br/>
        <w:t>Además de sus observaciones en relación con la  solicitud  del  Estado,  los</w:t>
        <w:br/>
        <w:t>representantes también solicitaron a la Corte:</w:t>
        <w:br/>
        <w:br/>
        <w:t xml:space="preserve">      [E]n vista de la naturaleza de la reacción de Surinam –demostrada  por</w:t>
        <w:br/>
        <w:t xml:space="preserve">      sus manifestaciones en la Demanda- frente a la decisión  de  la  Corte</w:t>
        <w:br/>
        <w:t xml:space="preserve">      sobre los derechos de propiedad comunal de la  comunidad  de  Moiwana,</w:t>
        <w:br/>
        <w:t xml:space="preserve">      consideramos importante y necesaria  una  mayor  aclaración  sobre  el</w:t>
        <w:br/>
        <w:t xml:space="preserve">      alcance y significado de las obligaciones de Surinam con respecto a la</w:t>
        <w:br/>
        <w:t xml:space="preserve">      decisión de la Corte sobre este tema, especialmente en cuanto a lo que</w:t>
        <w:br/>
        <w:t xml:space="preserve">      pueda relacionarse con la ayuda  al  Estado  y  a  las  Víctimas  para</w:t>
        <w:br/>
        <w:t xml:space="preserve">      entender e implementar las medidas ordenadas.</w:t>
        <w:br/>
        <w:br/>
        <w:br/>
        <w:t xml:space="preserve">      […]</w:t>
        <w:br/>
        <w:br/>
        <w:br/>
        <w:t xml:space="preserve">      Con respecto a la interpretación sobre el  alcance  y  significado  de</w:t>
        <w:br/>
        <w:t xml:space="preserve">      dichos puntos de la sentencia, las Víctimas respetuosamente  solicitan</w:t>
        <w:br/>
        <w:t xml:space="preserve">      a la Corte que aclare los siguientes dos puntos:</w:t>
        <w:br/>
        <w:br/>
        <w:br/>
        <w:t xml:space="preserve">        a)  El  alcance,  significado  y   contenido   del   requisito   de</w:t>
        <w:br/>
        <w:t xml:space="preserve">        “consentimiento  informado”  incluido  en  el  párrafo  210,  y  en</w:t>
        <w:br/>
        <w:t xml:space="preserve">        particular:</w:t>
        <w:br/>
        <w:br/>
        <w:br/>
        <w:t xml:space="preserve">              i) Que la Corte explique los amplios principios que rigen  los</w:t>
        <w:br/>
        <w:t xml:space="preserve">                 requisitos de derecho sustantivo y procesal que se  aplican</w:t>
        <w:br/>
        <w:t xml:space="preserve">                 para la  obtención  del  “consentimiento  informado  de  la</w:t>
        <w:br/>
        <w:t xml:space="preserve">                 comunidad de Moiwana, los demás pueblos de Cottica  N´djuka</w:t>
        <w:br/>
        <w:t xml:space="preserve">                 y las comunidades indígenas vecinas” ;</w:t>
        <w:br/>
        <w:t xml:space="preserve">             ii) Que la Corte aclare  que  el  consentimiento  informado  es</w:t>
        <w:br/>
        <w:t xml:space="preserve">                 necesario   tanto   para   “las    medidas    legislativas,</w:t>
        <w:br/>
        <w:t xml:space="preserve">                 administrativas y  de  otra  índole”  que  el  Estado  debe</w:t>
        <w:br/>
        <w:t xml:space="preserve">                 adoptar a fin de asegurar los derechos de propiedad  de  la</w:t>
        <w:br/>
        <w:t xml:space="preserve">                 comunidad de  Moiwana  “en  relación  con  los  territorios</w:t>
        <w:br/>
        <w:t xml:space="preserve">                 tradicionales de los cuales fueron  expulsados”,  así  como</w:t>
        <w:br/>
        <w:t xml:space="preserve">                 también  la  delimitación,   demarcación   y   adjudicación</w:t>
        <w:br/>
        <w:t xml:space="preserve">                 efectiva de la propiedad llevada a cabo conforme  a  dichas</w:t>
        <w:br/>
        <w:t xml:space="preserve">                 medidas, una vez adoptadas.</w:t>
        <w:br/>
        <w:br/>
        <w:br/>
        <w:t xml:space="preserve">        b) El alcance y significado del término “derechos patrimoniales” en</w:t>
        <w:br/>
        <w:t xml:space="preserve">        los párrafos 209 y 233  a fin de aclarar que:</w:t>
        <w:br/>
        <w:br/>
        <w:br/>
        <w:t xml:space="preserve">              i) Este  término  abarca  derechos  de  propiedad  colectivos;</w:t>
        <w:br/>
        <w:t xml:space="preserve">                 deberá delimitarse, demarcarse y asignarse  la  titularidad</w:t>
        <w:br/>
        <w:t xml:space="preserve">                 del área o  las  áreas  a  las  cuales  se  refieren  estos</w:t>
        <w:br/>
        <w:t xml:space="preserve">                 derechos en conformidad con  las  normas  consuetudinarias,</w:t>
        <w:br/>
        <w:t xml:space="preserve">                 valores, usos y costumbres de  la  comunidad;  y,  dada  la</w:t>
        <w:br/>
        <w:t xml:space="preserve">                 resolución incluida en el párrafo 86.5 de la sentencia; los</w:t>
        <w:br/>
        <w:t xml:space="preserve">                 derechos de propiedad deben ser  legalmente  reconocidos  y</w:t>
        <w:br/>
        <w:t xml:space="preserve">                 garantizados, y protegidos en la práctica; y,</w:t>
        <w:br/>
        <w:br/>
        <w:br/>
        <w:t xml:space="preserve">           (ii)       el término “territorios tradicionales” no se  refiere</w:t>
        <w:br/>
        <w:t xml:space="preserve">                 exclusivamente al antiguo  sitio  donde  se  encontraba  la</w:t>
        <w:br/>
        <w:t xml:space="preserve">                 aldea tal como existía con anterioridad al 29 de  noviembre</w:t>
        <w:br/>
        <w:t xml:space="preserve">                 de 1986, sino que también  comprende  aquellas  zonas  que,</w:t>
        <w:br/>
        <w:t xml:space="preserve">                 según las normas consuetudinarias N´djuka, la  comunidad  y</w:t>
        <w:br/>
        <w:t xml:space="preserve">                 sus miembros tienen derecho a poseer y controlar o de  otro</w:t>
        <w:br/>
        <w:t xml:space="preserve">                 modo ocupar y usar.</w:t>
        <w:br/>
        <w:br/>
        <w:br/>
        <w:t xml:space="preserve">                                      V</w:t>
        <w:br/>
        <w:t xml:space="preserve">                                ADMISIBILIDAD</w:t>
        <w:br/>
        <w:br/>
        <w:t>9.    La Corte procederá ahora a determinar si los términos  de  la  demanda</w:t>
        <w:br/>
        <w:t>de interpretación cumplen con los requisitos aplicables.</w:t>
        <w:br/>
        <w:br/>
        <w:t>10.   El artículo 67 de la Convención establece:</w:t>
        <w:br/>
        <w:br/>
        <w:br/>
        <w:t xml:space="preserve">      El fallo de la  Corte  será  definitivo  e  inapelable. 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11.   El artículo 59 del Reglamento dispone:</w:t>
        <w:br/>
        <w:br/>
        <w:t xml:space="preserve">      1. La demanda de interpretación a que se refiere el artículo 67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t xml:space="preserve">      2. El Secretario comunicará la demanda de interpretación a las  partes</w:t>
        <w:br/>
        <w:t xml:space="preserve">      en el caso y les invitará a presentar  las  alegaciones  escritas  que</w:t>
        <w:br/>
        <w:t xml:space="preserve">      estimen pertinentes dentro del plazo fijado por el Presidente.</w:t>
        <w:br/>
        <w:t xml:space="preserve">      3. Para el examen de la demanda de interpretación la Corte se reunirá,</w:t>
        <w:br/>
        <w:t xml:space="preserve">      si es posible, con la composición que tenía  al  dictar  la  sentencia</w:t>
        <w:br/>
        <w:t xml:space="preserve">      respectiva.  Sin  embargo,  en  caso   de   fallecimiento,   renuncia,</w:t>
        <w:br/>
        <w:t xml:space="preserve">      impedimento, excusa o inhabilitación, se sustituirá al juez de que  se</w:t>
        <w:br/>
        <w:t xml:space="preserve">      trate según el artículo 16 de este Reglamento.</w:t>
        <w:br/>
        <w:t xml:space="preserve">      4. La demanda de interpretación  no  suspenderá  la  ejecución  de  la</w:t>
        <w:br/>
        <w:t xml:space="preserve">      sentencia.</w:t>
        <w:br/>
        <w:t xml:space="preserve">      5. La Corte determinará el procedimiento que se  seguirá  y  resolverá</w:t>
        <w:br/>
        <w:t xml:space="preserve">      mediante una sentencia.</w:t>
        <w:br/>
        <w:br/>
        <w:br/>
        <w:t>12.         El artículo 29.3 del Reglamento establece:</w:t>
        <w:br/>
        <w:br/>
        <w:t xml:space="preserve">      3. Contra las sentencias y resoluciones de la Corte no procede  ningún</w:t>
        <w:br/>
        <w:t xml:space="preserve">      medio de impugnación.</w:t>
        <w:br/>
        <w:br/>
        <w:t>13.          La  Corte  observa  que  el  Estado  presentó  el   pedido   de</w:t>
        <w:br/>
        <w:t>aclaratoria el día 4 de octubre de 2005, dentro del plazo establecido en  el</w:t>
        <w:br/>
        <w:t>Artículo 67 de la Convención  (supra párr. 4).</w:t>
        <w:br/>
        <w:br/>
        <w:t>14.         Tal como el Tribunal ha señalado en anteriores ocasiones[2],  no</w:t>
        <w:br/>
        <w:t>debe utilizarse una solicitud de aclaratoria  como  medio  para  apelar  una</w:t>
        <w:br/>
        <w:t>sentencia. En cambio,  el  único  propósito  de  dicha  solicitud  debe  ser</w:t>
        <w:br/>
        <w:t>aclarar el significado de una sentencia cuando una de  las  partes  sostiene</w:t>
        <w:br/>
        <w:t>que la sentencia carece de precisión o claridad  en  alguna  de  sus  partes</w:t>
        <w:br/>
        <w:t>relevantes. Por lo tanto, una  demanda  mediante  la  cual  se  solicita  la</w:t>
        <w:br/>
        <w:t>modificación o anulación de la sentencia no está permitida.</w:t>
        <w:br/>
        <w:br/>
        <w:t>15.   Asimismo, la Corte ha establecido que el pedido de aclaratoria de  una</w:t>
        <w:br/>
        <w:t>sentencia no debe presentar nuevamente cuestiones de hecho y de derecho  que</w:t>
        <w:br/>
        <w:t>ya fueron expuestas en una etapa anterior del proceso,  y  en  relación  con</w:t>
        <w:br/>
        <w:t>las cuales el Tribunal ya ha adoptado una resolución[3].</w:t>
        <w:br/>
        <w:br/>
        <w:t>16.    Una  vez  analizada  la  solicitud  del  Estado  para  que  la  Corte</w:t>
        <w:br/>
        <w:t>proporcione  una  interpretación  de  su  sentencia,  y  las   observaciones</w:t>
        <w:br/>
        <w:t>pertinentes presentadas por la Comisión y los  representantes,  el  Tribunal</w:t>
        <w:br/>
        <w:t>entiende  que  la  mayoría  de  los  argumentos  utilizados  por  el  Estado</w:t>
        <w:br/>
        <w:t>constituyen un intento por presentar nuevamente cuestiones  de  hecho  y  de</w:t>
        <w:br/>
        <w:t>derecho que ya han sido resueltas por este Tribunal en las secciones  de  la</w:t>
        <w:br/>
        <w:t>sentencia sobre admisibilidad, fondo o reparaciones.  En  lugar  de  señalar</w:t>
        <w:br/>
        <w:t>la falta de precisión o claridad respecto del significado o  alcance  de  la</w:t>
        <w:br/>
        <w:t>sentencia, las manifestaciones  del  Estado  sólo  ponen  de  manifiesto  su</w:t>
        <w:br/>
        <w:t>disconformidad con ciertos aspectos  de  la  sentencia  o  con  determinadas</w:t>
        <w:br/>
        <w:t>normas o procedimientos de la Corte. En  efecto,  la  solicitud  de  Surinam</w:t>
        <w:br/>
        <w:t>expresamente  indica  su  visión  de  que  la  facultad  de  solicitar   una</w:t>
        <w:br/>
        <w:t>interpretación otorga  a  las  “partes  que  no  están  de  acuerdo  con  la</w:t>
        <w:br/>
        <w:t>sentencia, la oportunidad de peticionar a la […]  Corte”.   Esta  visión  no</w:t>
        <w:br/>
        <w:t>está  respaldada  por  la  Convención,  ni   por   el   Reglamento   ni   la</w:t>
        <w:br/>
        <w:t>jurisprudencia de la Corte.</w:t>
        <w:br/>
        <w:br/>
        <w:t xml:space="preserve">  17. Por las razones indicadas, el pedido de aclaratoria presentado por  el</w:t>
        <w:br/>
        <w:t xml:space="preserve">      Estado debe ser rechazado ya que no reúne los requisitos del  artículo</w:t>
        <w:br/>
        <w:t xml:space="preserve">      67 de la Convención ni de los artículos 59 y 29.3 del Reglamento.</w:t>
        <w:br/>
        <w:br/>
        <w:t>18.   Con respecto a la solicitud presentada por los  representantes  (supra</w:t>
        <w:br/>
        <w:t>párrafo 8), la Corte señala que la oportunidad  de  presentar  observaciones</w:t>
        <w:br/>
        <w:t>por escrito sobre el pedido de aclaratoria de una  de  las  partes,  que  se</w:t>
        <w:br/>
        <w:t>otorga a las demás partes en base a las instrucciones del Presidente  de  la</w:t>
        <w:br/>
        <w:t>Corte y de conformidad con el artículo 59.2  del  Reglamento,  no  debe  ser</w:t>
        <w:br/>
        <w:t>entendido como una nueva oportunidad para que las demás partes presenten  un</w:t>
        <w:br/>
        <w:t>pedido de aclaratoria, ni  como  una  prórroga  del  plazo  previsto  en  la</w:t>
        <w:br/>
        <w:t>Convención para la presentación de dichas  solicitudes.  Por  lo  tanto,  la</w:t>
        <w:br/>
        <w:t>solicitud de aclaratoria presentada por los representantes en este  caso  no</w:t>
        <w:br/>
        <w:t>será  considerada  por  la  Corte.  No  obstante,  este  Tribunal  considera</w:t>
        <w:br/>
        <w:t>pertinente hacer una referencia a sus decisiones contenidas en los  párrafos</w:t>
        <w:br/>
        <w:t>209 a 211 y a la tercera disposición mencionada en los párrafos de la  parte</w:t>
        <w:br/>
        <w:t>dispositiva  de  la  Sentencia,  a  fin  de  aclarar  el  alcance   de   las</w:t>
        <w:br/>
        <w:t>reparaciones ordenadas en relación con la violación del artículo  21  de  la</w:t>
        <w:br/>
        <w:t>Convención, que también fue puesta de relieve  en  la  solicitud  presentada</w:t>
        <w:br/>
        <w:t>por el Estado.</w:t>
        <w:br/>
        <w:br/>
        <w:t>19.   En relación con ello, la Corte considera pertinente  señalar  que,  al</w:t>
        <w:br/>
        <w:t>reconocer el derecho de los miembros de la comunidad Moiwana al uso  y  goce</w:t>
        <w:br/>
        <w:t>de  sus  tierras  tradicionales,  la   Corte   no   ha   realizado   ninguna</w:t>
        <w:br/>
        <w:t>determinación en cuanto a los límites adecuados del territorio en  cuestión.</w:t>
        <w:br/>
        <w:t>En cambio, a fin de que se hagan efectivos “los  derechos  de  propiedad  de</w:t>
        <w:br/>
        <w:t>los miembros  de  la  comunidad  Moiwana  con  respecto  a  los  territorios</w:t>
        <w:br/>
        <w:t>tradicionales de los cuales fueron expulsados”,  y  habiendo  reconocido  la</w:t>
        <w:br/>
        <w:t>ausencia de un “título jurídico formal”, la Corte  ha  ordenado  al  Estado,</w:t>
        <w:br/>
        <w:t>como  forma  de  reparación,   que   “adopte   las   medidas   legislativas,</w:t>
        <w:br/>
        <w:t>administrativas y de otra índole que sean necesarias para  garantizar”  esos</w:t>
        <w:br/>
        <w:t>derechos, luego de la debida consulta a las comunidades vecinas.  Si  dichos</w:t>
        <w:br/>
        <w:t>derechos  son  garantizados  en  forma  adecuada,  las  medidas  a   adoptar</w:t>
        <w:br/>
        <w:t>incluirán naturalmente “la delimitación, demarcación,  y  atribución  de  la</w:t>
        <w:br/>
        <w:t>titularidad sobre los territorios tradicionales”,  con  la  participación  y</w:t>
        <w:br/>
        <w:t>consentimiento  informado  de  las  víctimas  expresado  a  través  de   sus</w:t>
        <w:br/>
        <w:t>representantes, los miembros de los demás  pueblos  Cottica  N´djuka  y  las</w:t>
        <w:br/>
        <w:t>comunidades indígenas vecinas. En este caso, la Corte simplemente ha  dejado</w:t>
        <w:br/>
        <w:t>la determinación de los límites territoriales en cuestión  a  “un  mecanismo</w:t>
        <w:br/>
        <w:t>efectivo” que establezca el Estado.</w:t>
        <w:br/>
        <w:br/>
        <w:t>20.   Por tanto,</w:t>
        <w:br/>
        <w:br/>
        <w:t>La Corte Interamericana De Derechos Humanos</w:t>
        <w:br/>
        <w:br/>
        <w:t>DE CONFORMIDAD  CON  EL  ARTÍCULO  67  DE  LA  CONVENCIÓN  AMERICANA  Y  LOS</w:t>
        <w:br/>
        <w:t>ARTÍCULOS 29.3 Y 59 DEL REGLAMENTO DE LA CORTE,</w:t>
        <w:br/>
        <w:br/>
        <w:t>DECIDE:</w:t>
        <w:br/>
        <w:br/>
        <w:t>Por unanimidad,</w:t>
        <w:br/>
        <w:br/>
        <w:t>1.    Resolver las cuestiones sometidas por  el  Estado  de  Surinam  y  los</w:t>
        <w:br/>
        <w:t>representantes, así como también aclarar  aspectos  de  la  sentencia  sobre</w:t>
        <w:br/>
        <w:t>excepciones preliminares, cuestiones de fondo y reparaciones, dictada el  15</w:t>
        <w:br/>
        <w:t>de junio de 2005 en el caso de Comunidad Moiwana aquí referidas, conforme  a</w:t>
        <w:br/>
        <w:t>los términos de los párrafos 13 a 19 de esta resolución.</w:t>
        <w:br/>
        <w:br/>
        <w:t>2.    Continuar supervisando que el Estado cumpla con la  sentencia  del  15</w:t>
        <w:br/>
        <w:t>de junio de 2005 en el caso  de  Comunidad  Moiwana,  en  los  términos  del</w:t>
        <w:br/>
        <w:t>párrafo 232 de dicha sentencia.</w:t>
        <w:br/>
        <w:br/>
        <w:t>El juez Cançado Trindade informó a la Corte de  su  Voto  Razonado,  que  se</w:t>
        <w:br/>
        <w:t>adjunta a esta sentencia.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t xml:space="preserve">    Alirio Abreu Burelli    Oliver Jackman</w:t>
        <w:br/>
        <w:br/>
        <w:br/>
        <w:br/>
        <w:t>Antônio A. Cançado Trindade Cecilia Medina Quiroga</w:t>
        <w:br/>
        <w:br/>
        <w:br/>
        <w:br/>
        <w:t xml:space="preserve">                          Manuel E. Ventura Robles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br/>
        <w:br/>
        <w:br/>
        <w:br/>
        <w:br/>
        <w:br/>
        <w:t>Comuníquese y ejecútese,</w:t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t xml:space="preserve">                          Pablo Saavedra Alessandri</w:t>
        <w:br/>
        <w:t xml:space="preserve">                                 Secretario</w:t>
        <w:br/>
        <w:t xml:space="preserve">                VOTO RAZONADO DEL JUEZ A.A. CANÇADO TRINDADE</w:t>
        <w:br/>
        <w:br/>
        <w:br/>
        <w:t>1.    He estado de acuerdo con  mi  voto  con  el  dictado  de  la  presente</w:t>
        <w:br/>
        <w:t>Sentencia de la Corte  Interamericana  de  Derechos  Humanos,  respecto  del</w:t>
        <w:br/>
        <w:t>pedido de aclaratoria  de la Sentencia recaída en el caso  de  la  Comunidad</w:t>
        <w:br/>
        <w:t>Moiwana versus Surinam, sólo porque la  Corte  se  ha  mostrado  deseosa  de</w:t>
        <w:br/>
        <w:t>“resolver” las cuestiones presentadas por el Estado y los representantes  de</w:t>
        <w:br/>
        <w:t>las víctimas y sus familias, y porque no disiento con  la  breve  aclaración</w:t>
        <w:br/>
        <w:t>realizada por la Corte en el párrafo 19 de esta  Sentencia  en  relación  al</w:t>
        <w:br/>
        <w:t>único punto que realmente se refiere a una interpretación  de  la  Sentencia</w:t>
        <w:br/>
        <w:t>previa (la pronunciada  el  15/06/2005)  en  el  caso  que  nos  ocupa.  Sin</w:t>
        <w:br/>
        <w:t>embargo, pienso que los párrafos 18 y 19 de esta Sentencia  “resuelven”  las</w:t>
        <w:br/>
        <w:t>cuestiones presentadas ante la Corte en forma  manifiestamente  insuficiente</w:t>
        <w:br/>
        <w:t>e  insatisfactoria,  y  contradicen  los  párrafos  14  y  17  de  la  misma</w:t>
        <w:br/>
        <w:t>Sentencia.</w:t>
        <w:br/>
        <w:br/>
        <w:t>2.    En relación con ello, no debemos dejar  de  observar  que  el  escrito</w:t>
        <w:br/>
        <w:t>presentado por los representantes (de fecha 9/11/2005) fue impulsado por  la</w:t>
        <w:br/>
        <w:t>solicitud del Estado (del 4/10/2005) y formulado como respuesta a  ella.  En</w:t>
        <w:br/>
        <w:t>este Voto Razonado solo me  refiero  a  la  cuestión  que,  a  mi  entender,</w:t>
        <w:br/>
        <w:t>debería haber sido objeto de gran  reflexión  por  parte  de  la  Corte,  la</w:t>
        <w:br/>
        <w:t>cuestión  a  la  que  atribuyo  la  mayor   relevancia:   la   delimitación,</w:t>
        <w:br/>
        <w:t>demarcación y adjudicación de la titularidad y devolución de las  tierras  a</w:t>
        <w:br/>
        <w:t>las víctimas y a sus familias, como forma de reparación.  La  Corte  pudo  y</w:t>
        <w:br/>
        <w:t>debió haber desarrollado el párrafo  19  de  esta  Sentencia  de  forma  que</w:t>
        <w:br/>
        <w:t>hubiera realmente “resuelto” la cuestión que se le sometió, pero  se  limitó</w:t>
        <w:br/>
        <w:t>y se abstuvo en medio de un formalismo  jurídico  y  falta  de  sensibilidad</w:t>
        <w:br/>
        <w:t>humana que resultan ser inaceptables para mí.</w:t>
        <w:br/>
        <w:br/>
        <w:t>3.    Por esta razón  me  siento  obligado  a  desarrollar  un  razonamiento</w:t>
        <w:br/>
        <w:t>propio, de manera de suplir aquello respecto de lo cual  la  Corte  prefirió</w:t>
        <w:br/>
        <w:t>abstenerse, haciendo constar mis reflexiones personales, como fundamento  de</w:t>
        <w:br/>
        <w:t>mi posición, del mismo modo que  lo  hiciera  en  mi  Voto  Razonado  en  la</w:t>
        <w:br/>
        <w:t>Sentencia  (del  15/6/2005)   pronunciada  en  este  caso  de  la  comunidad</w:t>
        <w:br/>
        <w:t>Moiwana. Mis reflexiones se centrarán especialmente en tres puntos  básicos:</w:t>
        <w:br/>
        <w:t>a) la  delimitación,  demarcación  y  adjudicación  del  dominio  sobre  las</w:t>
        <w:br/>
        <w:t>tierras como una forma de reparación);  b)  garantía  de  la  opción  de  un</w:t>
        <w:br/>
        <w:t>retorno voluntario y sustentable  a  las  tierras;  y  c)  la  necesidad  de</w:t>
        <w:br/>
        <w:t>reconstruir y preservar la identidad cultural. El campo quedará así  abierto</w:t>
        <w:br/>
        <w:t>para la presentación  de  mis  conclusiones  sobre  el  presente  pedido  de</w:t>
        <w:br/>
        <w:t>aclaratoria de la Sentencia, y como epílogo  incluiré  una  breve  reflexión</w:t>
        <w:br/>
        <w:t>metajurídica.</w:t>
        <w:br/>
        <w:br/>
        <w:br/>
        <w:t xml:space="preserve">      I.    Delimitación, demarcación, adjudicación de la titularidad y</w:t>
        <w:br/>
        <w:t xml:space="preserve">             devolución de las tierras como forma de reparación</w:t>
        <w:br/>
        <w:br/>
        <w:br/>
        <w:t>4.    En primer lugar, no me eximo del deber de señalar la  importancia  que</w:t>
        <w:br/>
        <w:t>atribuyo, en circunstancias como las  del  presente  caso  de  la  Comunidad</w:t>
        <w:br/>
        <w:t>Moiwana versus Surinam, a la delimitación, demarcación y  la  devolución  de</w:t>
        <w:br/>
        <w:t>las tierras como una forma de reparación  no  pecuniaria,  ordenada  por  la</w:t>
        <w:br/>
        <w:t>Corte en ejercicio de sus facultades inherentes, y en  conformidad  con  los</w:t>
        <w:br/>
        <w:t>términos del  artículo  63.1  de  la  Convención  Americana  sobre  Derechos</w:t>
        <w:br/>
        <w:t>Humanos.  Mediante  la  delimitación,  demarcación,   adjudicación   de   la</w:t>
        <w:br/>
        <w:t>titularidad, en las  circunstancias  del  caso  que  nos  ocupa,  se  da  la</w:t>
        <w:br/>
        <w:t>protección efectiva (effet utile)  de  los  derechos  garantizados  por  los</w:t>
        <w:br/>
        <w:t>artículos 21 y 22 de la Convención Americana. Esto último está implícito  en</w:t>
        <w:br/>
        <w:t>el artículo 33 (prohibición  de  refoulement)  de  la  Convención  sobre  el</w:t>
        <w:br/>
        <w:t>Estatuto de los Refugiados de 1951.</w:t>
        <w:br/>
        <w:br/>
        <w:t>5.    Cabe recordar que, en efecto, en  el  leading  case  de  la  Comunidad</w:t>
        <w:br/>
        <w:t>Mayagna Sumo Awas Tingni versus Nicaragua (Sentencia del 31/8/2001),  en  la</w:t>
        <w:br/>
        <w:t>solicitud presentada ante la Corte, la Comisión Interamericana  de  Derechos</w:t>
        <w:br/>
        <w:t>Humanos reclamó, por primera vez en la historia del Tribunal, por  la  falta</w:t>
        <w:br/>
        <w:t>de demarcación de las tierras que dicha comunidad poseía, así como  también,</w:t>
        <w:br/>
        <w:t>por  la  ausencia  de  un  procedimiento  efectivo  en  Nicaragua  para   la</w:t>
        <w:br/>
        <w:t>demarcación de  dichas  tierras.  La  Corte,  en  su  Sentencia,  ordenó  la</w:t>
        <w:br/>
        <w:t>creación “de un mecanismo  efectivo  para  la  delimitación,  demarcación  y</w:t>
        <w:br/>
        <w:t>titulación de las propiedades de las comunidades indígenas,  acorde  con  el</w:t>
        <w:br/>
        <w:t>derecho  consuetudinario,  valores,  usos  y  costumbres  de  éstas”  (punto</w:t>
        <w:br/>
        <w:t>resolutivo N° 3). Esa sentencia forma  parte  de  la  bibliografía  jurídica</w:t>
        <w:br/>
        <w:t>especializada, y constituye un hito en la jurisprudencia de la  Corte  sobre</w:t>
        <w:br/>
        <w:t>el tema en cuestión.</w:t>
        <w:br/>
        <w:br/>
        <w:t>6.    Posteriormente, en el caso de  la  Comunidad  Moiwana  versus  Surinam</w:t>
        <w:br/>
        <w:t>(Sentencia del 15/06/2005), los representantes de las víctimas  argumentaron</w:t>
        <w:br/>
        <w:t>que el “derecho de las comunidades indígenas a la propiedad colectiva  sobre</w:t>
        <w:br/>
        <w:t>sus tierras se concreta”, entre otras formas, mediante  “la  obligación  del</w:t>
        <w:br/>
        <w:t>Estado de delimitar, demarcar y adjudicar la titularidad sobre  las  tierras</w:t>
        <w:br/>
        <w:t>de los respectivos pueblos”. (párr. 121.d)). La Corte ha reconocido  también</w:t>
        <w:br/>
        <w:t>la relación “del  derecho  a  la  propiedad  colectiva  de  las  comunidades</w:t>
        <w:br/>
        <w:t>indígenas  sobre  sus  tierras  tradicionales  y  sus   recursos   naturales</w:t>
        <w:br/>
        <w:t>vinculados con su cultura”, con el término  “bienes”  según  aparece  en  el</w:t>
        <w:br/>
        <w:t>artículo 21 de la Convención, y  le  otorgó  valor  a  la  garantía  de  las</w:t>
        <w:br/>
        <w:t>expresiones  tradicionales,  el  derecho  consuetudinario,  los  valores   y</w:t>
        <w:br/>
        <w:t>filosofía de esas comunidades (párrafos 137  y  154),  y  ordenó  al  Estado</w:t>
        <w:br/>
        <w:t>“identificar el territorio tradicional  de  los  miembros  de  la  comunidad</w:t>
        <w:br/>
        <w:t>indígena  de  Yakye  Axa  y  entregárselas  libres  de  todo  cargo”  (punto</w:t>
        <w:br/>
        <w:t>resolutivo N° 6).</w:t>
        <w:br/>
        <w:br/>
        <w:t>7.    Además,  en  el  caso  de  la  Comunidad  de  Moiwana  versus  Surinam</w:t>
        <w:br/>
        <w:t>(Sentencia del 15/6/2005), los representantes de las víctimas  alegaron  que</w:t>
        <w:br/>
        <w:t>son “continuadas” las violaciones al derecho de propiedad  (artículo  21  de</w:t>
        <w:br/>
        <w:t>la Convención) por el Estado, en perjuicio de las “comunidades  indígenas  y</w:t>
        <w:br/>
        <w:t>tribales  que  han  sido  desplazadas  por  la  fuerza  de  sus  territorios</w:t>
        <w:br/>
        <w:t>tradicionales”, y que el Estado no ha establecido  mecanismos  legales  para</w:t>
        <w:br/>
        <w:t>que las víctimas “reclamen y aseguren sus  derechos  a  la  tenencia  de  la</w:t>
        <w:br/>
        <w:t>tierra”  (párr. 122).  La Corte, luego de  determinar  su  competencia  para</w:t>
        <w:br/>
        <w:t>decidir sobre “el desplazamiento continuo de la  comunidad  de  sus  tierras</w:t>
        <w:br/>
        <w:t>tradicionales” (párr. 126), sostuvo que la ausencia  de  una  “investigación</w:t>
        <w:br/>
        <w:t>efectiva” de los hechos ocurridos en el  cas d’espece  “ha  impedido  a  los</w:t>
        <w:br/>
        <w:t>miembros de la comunidad volver a vivir en sus  ancestrales  territorios  en</w:t>
        <w:br/>
        <w:t>forma segura y pacífica” (párr. 128).</w:t>
        <w:br/>
        <w:br/>
        <w:br/>
        <w:t>8.    En el mismo caso, la Corte expresó su entendimiento de que en el  caso</w:t>
        <w:br/>
        <w:t>de los miembros de comunidades indígenas, “la posesión de la tierra  debería</w:t>
        <w:br/>
        <w:t>bastar para que obtengan el reconocimiento oficial de dicha propiedad  y  el</w:t>
        <w:br/>
        <w:t>consiguiente registro” (párr. 131). Agregó que los miembros de la  comunidad</w:t>
        <w:br/>
        <w:t>Moiwana debían ser  considerados  “dueños  legítimos”  de  sus  “territorios</w:t>
        <w:br/>
        <w:t>tradicionales”, de los cuales se los ha privado hasta hoy como resultado  de</w:t>
        <w:br/>
        <w:t>la masacre de 1986 y de que  el  Estado  no  investigara  adecuadamente  los</w:t>
        <w:br/>
        <w:t>hechos (párr. 134).</w:t>
        <w:br/>
        <w:br/>
        <w:t>9.    Los representantes  de  las  víctimas  reclamaron  “la  restitución  y</w:t>
        <w:br/>
        <w:t>reconocimiento legal de su derecho de propiedad colectiva sobre sus  tierras</w:t>
        <w:br/>
        <w:t>y  recursos  tradicionales”  como  una  forma  de  “garantizar  que  no   se</w:t>
        <w:br/>
        <w:t>repetirían” los sucesos dañosos (párr. 199. 2) f)).</w:t>
        <w:br/>
        <w:br/>
        <w:t>Por todo ello, la Corte ordenó:</w:t>
        <w:br/>
        <w:br/>
        <w:t xml:space="preserve">      “[E]l  Estado   debe   adoptar   todas   las   medidas   legislativas,</w:t>
        <w:br/>
        <w:t xml:space="preserve">      administrativas y de cualquier otra índole necesarias para asegurar  a</w:t>
        <w:br/>
        <w:t xml:space="preserve">      los miembros de la comunidad Moiwana su derecho de propiedad sobre los</w:t>
        <w:br/>
        <w:t xml:space="preserve">      territorios tradicionales de los que fueron expulsados y asegurar, por</w:t>
        <w:br/>
        <w:t xml:space="preserve">      lo tanto, el uso y goce de estos territorios.  Estas  medidas  deberán</w:t>
        <w:br/>
        <w:t xml:space="preserve">      incluir la creación de un mecanismo efectivo para delimitar,  demarcar</w:t>
        <w:br/>
        <w:t xml:space="preserve">      y titular dichos territorios tradicionales, en  los  términos  de  los</w:t>
        <w:br/>
        <w:t xml:space="preserve">      párrafos 209 a 211 de la presente Sentencia”. (Punto resolutivo N° 3).</w:t>
        <w:br/>
        <w:br/>
        <w:t>10.    Entiendo  que  la  determinación  de  la  delimitación,  demarcación,</w:t>
        <w:br/>
        <w:t>adjudicación de la titularidad y la  devolución  de  las  tierras  comunales</w:t>
        <w:br/>
        <w:t>constituye una forma legítima y necesaria de reparación  no  pecuniaria,  en</w:t>
        <w:br/>
        <w:t>las circunstancias del cas  d’espece,  que  la  Corte  Interamericana  tiene</w:t>
        <w:br/>
        <w:t>plenas facultades para ordenar, de conformidad con el artículo  63.1  de  la</w:t>
        <w:br/>
        <w:t>Convención Americana. No se trata  sólo  de  una  restitutio,  volviendo  al</w:t>
        <w:br/>
        <w:t>vulnerable statu quo ante de  la  comunidad  victimizada,  sino  también  de</w:t>
        <w:br/>
        <w:t>obtener la garantía de no-repetición de los hechos  lesivos  y  de  especial</w:t>
        <w:br/>
        <w:t>gravedad (la masacre de 1986).</w:t>
        <w:br/>
        <w:br/>
        <w:br/>
        <w:t xml:space="preserve">          II.   La garantía de un retorno voluntario y sustentable.</w:t>
        <w:br/>
        <w:br/>
        <w:t>11.   En el caso de los miembros de las comunidades  contra  las  cuales  se</w:t>
        <w:br/>
        <w:t>cometieron  actos  de  violencia  en  forma  colectiva,  como  la  comunidad</w:t>
        <w:br/>
        <w:t>Moiwana,  el  incumplimiento  con  la  mencionada   forma   de   reparación,</w:t>
        <w:br/>
        <w:t>implicaría  una   violación   del   principio   de   no-discriminación.   La</w:t>
        <w:br/>
        <w:t>delimitación, demarcación y adjudicación del  título  de  propiedad  de  las</w:t>
        <w:br/>
        <w:t>tierras  de  la  comunidad  adquiere  fundamental  importancia,  también  el</w:t>
        <w:br/>
        <w:t>garantizar un retorno sustentable. Una vez más se pone  aquí  de  manifiesto</w:t>
        <w:br/>
        <w:t>la convergencia entre el Derecho Internacional sobre Derechos Humanos  y  el</w:t>
        <w:br/>
        <w:t>Derecho  Internacional  sobre  Refugiados  (así  como  también,  el  Derecho</w:t>
        <w:br/>
        <w:t>Internacional Humanitario), que durante tantos años he sostenido</w:t>
        <w:br/>
        <w:t>[4].</w:t>
        <w:br/>
        <w:br/>
        <w:t>12.   Dado que el retorno a las tierras – obviamente voluntario – no fue  un</w:t>
        <w:br/>
        <w:t>tema tratado por la Convención sobre el Estatuto de los Refugiados de  1951,</w:t>
        <w:br/>
        <w:t>ni por su Protocolo  de  1967[5],  la  doctrina  especializada  ha  prestado</w:t>
        <w:br/>
        <w:t>considerable atención a esta cuestión durante los últimos  años,  a  fin  de</w:t>
        <w:br/>
        <w:t>satisfacer las nuevas necesidades de protección de los seres humanos[6].  En</w:t>
        <w:br/>
        <w:t>Latinoamérica, el tema no ha  pasado  inadvertido  para  la  Declaración  de</w:t>
        <w:br/>
        <w:t>Cartagena (1984), de San José de Costa  Rica  (1994)  y  México  (2004),  en</w:t>
        <w:br/>
        <w:t>relación con los  refugiados  y  personas  desplazadas  por  la  fuerza.  He</w:t>
        <w:br/>
        <w:t>acompañado de cerca este proceso histórico y también he participado  en  él,</w:t>
        <w:br/>
        <w:t>y estoy convencido de  que  la  Corte  Interamericana  no  puede  permanecer</w:t>
        <w:br/>
        <w:t>indiferente o insensible a este tema.</w:t>
        <w:br/>
        <w:br/>
        <w:t>13.   En este caso de la Comunidad Moiwana, luego  de  la  Sentencia  de  la</w:t>
        <w:br/>
        <w:t>Corte del 15/6/2005, se realizó una ceremonia en Surinam el  29/11/2005  que</w:t>
        <w:br/>
        <w:t>no debería pasar inadvertida, y que revela los progresos  de  la  conciencia</w:t>
        <w:br/>
        <w:t>humana  en  nuestra  región.  Mediante  una  comunicación  emitida  al   día</w:t>
        <w:br/>
        <w:t>siguiente  (30/11/2005)  por  el  Programa  Forest  People   y  la   Reuters</w:t>
        <w:br/>
        <w:t>Foundation,  se informó lo siguiente:</w:t>
        <w:br/>
        <w:br/>
        <w:t xml:space="preserve">            "Los familiares sobrevivientes de 39 personas de la etnia Maroon</w:t>
        <w:br/>
        <w:t xml:space="preserve">      asesinadas en la masacre ocurrida en el  pueblo  Moiwana  de  Surinam,</w:t>
        <w:br/>
        <w:t xml:space="preserve">      volvieron a su lugar de nacimiento por primera vez luego de la matanza</w:t>
        <w:br/>
        <w:t xml:space="preserve">      de 1986 para asistir a una ceremonia conmemorativa.  Las  mujeres  del</w:t>
        <w:br/>
        <w:t xml:space="preserve">      pueblo N´djuka, vestidas con sus atuendos de duelo  de  color  azul  y</w:t>
        <w:br/>
        <w:t xml:space="preserve">      blanco, lloraron durante la ceremonia celebrada el martes al  lado  de</w:t>
        <w:br/>
        <w:t xml:space="preserve">      tres lámparas de aceite gigantes encendidas en conmemoración, mientras</w:t>
        <w:br/>
        <w:t xml:space="preserve">      los dignatarios de la comunidad Moiwana  rociaban el  suelo  con  agua</w:t>
        <w:br/>
        <w:t xml:space="preserve">      para protegerse del demonio.</w:t>
        <w:br/>
        <w:t xml:space="preserve">            La ceremonia se llevó a cabo luego de que Surinam aceptara, esta</w:t>
        <w:br/>
        <w:t xml:space="preserve">      semana, acatar una orden de la Corte Internacional de indemnizar a las</w:t>
        <w:br/>
        <w:t xml:space="preserve">      víctimas de la masacre de 1986,  cuando  los  soldados  mataron  a  39</w:t>
        <w:br/>
        <w:t xml:space="preserve">      personas N´djuka Maroon que se encontraban  desarmadas,  especialmente</w:t>
        <w:br/>
        <w:t xml:space="preserve">      mujeres y niños. (…) En el mes de junio, la  Corte  Interamericana  de</w:t>
        <w:br/>
        <w:t xml:space="preserve">      Derechos Humanos, en Costa  Rica,  ordenó  al  gobierno  (de  Surinam)</w:t>
        <w:br/>
        <w:t xml:space="preserve">      indemnizar  a  los  familiares  sobrevivientes  y   castigar   a   los</w:t>
        <w:br/>
        <w:t xml:space="preserve">      responsables, en una  sentencia  que  posibilitó  el  retorno  de  los</w:t>
        <w:br/>
        <w:t xml:space="preserve">      miembros  de  la  comunidad.   (…)   El   pueblo   Maroon   representa</w:t>
        <w:br/>
        <w:t xml:space="preserve">      aproximadamente el 15 por ciento de la población  de  Surinam,  y  son</w:t>
        <w:br/>
        <w:t xml:space="preserve">      descendientes de los esclavos africanos que escaparon. (…)”.</w:t>
        <w:br/>
        <w:br/>
        <w:br/>
        <w:t>14.   Un día después (1/12(2005), otra  comunicación  de  la  Caribbean  Net</w:t>
        <w:br/>
        <w:t>News, informó que un representante presidencial declaró en la ceremonia  que</w:t>
        <w:br/>
        <w:t>“la Comunidad Moiwana será reconstruida”, y otro alto  funcionario  prometió</w:t>
        <w:br/>
        <w:t>“entregar las tierras de la comunidad Moiwana en propiedad colectiva  a  sus</w:t>
        <w:br/>
        <w:t>miembros”. Esta comunicación informó además:</w:t>
        <w:br/>
        <w:br/>
        <w:t xml:space="preserve">            "En una emocionante ceremonia  (...),  los  familiares  que  han</w:t>
        <w:br/>
        <w:t xml:space="preserve">      sobrevivido recordaron a los  más  de  39  hombres,  mujeres  y  niños</w:t>
        <w:br/>
        <w:t xml:space="preserve">      asesinados en un ataque  militar  al  pueblo  Maroon  de  Moiwana,  en</w:t>
        <w:br/>
        <w:t xml:space="preserve">      Surinam. (…) Fue la primera vez en 19 años que la mayoría  del  pueblo</w:t>
        <w:br/>
        <w:t xml:space="preserve">      volvió a la zona, actualmente  abandonada,   donde  fueron  asesinadas</w:t>
        <w:br/>
        <w:t xml:space="preserve">      personas inocentes.</w:t>
        <w:br/>
        <w:br/>
        <w:br/>
        <w:t xml:space="preserve">            [...Se] manifestó que aunque Surinam había sido condenada por la</w:t>
        <w:br/>
        <w:t xml:space="preserve">      Corte Interamericana de Derechos  Humanos  y  los  familiares  de  las</w:t>
        <w:br/>
        <w:t xml:space="preserve">      víctimas serían indemnizados, “esto no borrará el  dolor  de  nuestros</w:t>
        <w:br/>
        <w:t xml:space="preserve">      corazones”. Durante la ceremonia  los  sobrevivientes  recordaron  los</w:t>
        <w:br/>
        <w:t xml:space="preserve">      hechos  de  ese  trágico  día,  cómo   hermanos,   hermanas,   mujeres</w:t>
        <w:br/>
        <w:t xml:space="preserve">      embarazadas y ancianos habían sido baleados a  quemarropa  por  tropas</w:t>
        <w:br/>
        <w:t xml:space="preserve">      armadas. (…)”.</w:t>
        <w:br/>
        <w:br/>
        <w:t>15.   En el presente caso de la  Comunidad  Moiwana,  el  tema  del  retorno</w:t>
        <w:br/>
        <w:t>-obviamente voluntario, el único admisible- de los miembros de la  comunidad</w:t>
        <w:br/>
        <w:t>que sobrevivieron y optan por volver, cobra relevancia. Esto   pone  también</w:t>
        <w:br/>
        <w:t>de relieve los temas de la delimitación, demarcación y  adjudicación  de  la</w:t>
        <w:br/>
        <w:t>titularidad sobre los territorios de la comunidad  ordenados  por  la  Corte</w:t>
        <w:br/>
        <w:t>(supra).  El tema del retorno  (de refugiados y personas desplazadas por  la</w:t>
        <w:br/>
        <w:t>fuerza) ha sido objeto de especial atención  en  los  últimos  años  en  las</w:t>
        <w:br/>
        <w:t>Naciones Unidas (en particular por  el  Alto  Comisionado  de  las  Naciones</w:t>
        <w:br/>
        <w:t>Unidas para los Refugiados (ACNUR) y su Comisión de  Derechos  Humanos).  El</w:t>
        <w:br/>
        <w:t>ACNUR lo ha incluido en sus  últimas  Consultas  Globales  sobre  Protección</w:t>
        <w:br/>
        <w:t>Internacional, en las que he tenido oportunidad de participar. En la  cuarta</w:t>
        <w:br/>
        <w:t>sesión de dichas  Consultas  (Abril  de  2002),  por  ejemplo,  se  puso  de</w:t>
        <w:br/>
        <w:t>manifiesto la especial preocupación por garantizar la efectiva seguridad  de</w:t>
        <w:br/>
        <w:t>quienes retornan a  su  tierra,  sus  medios  de  subsistencia,  condiciones</w:t>
        <w:br/>
        <w:t>laborales, reintegración en la sociedad y la sustentabilidad de su  retorno,</w:t>
        <w:br/>
        <w:t>lo que implica prestar atención, entre otras cosas, a aspectos  relacionados</w:t>
        <w:br/>
        <w:t>con la propiedad de la tierra[7] .</w:t>
        <w:br/>
        <w:br/>
        <w:t>16.   En línea con la jurisprudencia in statu nascendi de esta  Corte  sobre</w:t>
        <w:br/>
        <w:t>el tema  (supra), en los últimos  años,  en  diferentes  continentes  se  ha</w:t>
        <w:br/>
        <w:t>desarrollado una práctica internacional en el campo  de  la  restitución  de</w:t>
        <w:br/>
        <w:t>los  bienes  (por   ejemplo,   Guatemala,   Sudáfrica,   Cambodia,   Bosnia-</w:t>
        <w:br/>
        <w:t>Herzegovnia,  Kosovo,  Croacia,  entre  otros).  El  Comité   del   Programa</w:t>
        <w:br/>
        <w:t>Ejecutivo del ACNUR llegó a la conclusión, en octubre de 2004, de que  todas</w:t>
        <w:br/>
        <w:t>las personas exiliadas o  desplazadas  por  la  fuerza  que  retornan  a  su</w:t>
        <w:br/>
        <w:t>tierrra tienen el derecho a que se les restituyera “el hogar,  la  tierra  o</w:t>
        <w:br/>
        <w:t>los bienes de los que fueron privados en  forma  ilegal,  discriminatoria  y</w:t>
        <w:br/>
        <w:t>arbitraria, antes o durante el exilio,  o  a  ser  indemnizados  por  ello”;</w:t>
        <w:br/>
        <w:t>además, subrayó la necesidad de crear “mecanismos justos y  efectivos”  para</w:t>
        <w:br/>
        <w:t>la restitución de los bienes y la indemnización de los afectados[8].</w:t>
        <w:br/>
        <w:br/>
        <w:br/>
        <w:t xml:space="preserve">                      III.  La necesidad de reconstruír</w:t>
        <w:br/>
        <w:t xml:space="preserve">                      y preservar la identidad cultural</w:t>
        <w:br/>
        <w:br/>
        <w:t>17.   La delimitación, demarcación y adjudicación de  la  propiedad  de  los</w:t>
        <w:br/>
        <w:t>territorios comunales de N’djukas de la comunidad  Moiwana,  como  forma  de</w:t>
        <w:br/>
        <w:t>reparación no pecuniaria, tiene repercusiones mucho mayores  a  las  que  se</w:t>
        <w:br/>
        <w:t>puede esperar prima facie.  La Corte Interamericana  ha  reconocido,  en  su</w:t>
        <w:br/>
        <w:t>Sentencia del 15/6/2005 recaída en este caso, la relación  de  la  comunidad</w:t>
        <w:br/>
        <w:t>N’djuka  con  su  territorio  tradicional   como   de   “vital   importancia</w:t>
        <w:br/>
        <w:t>espiritual, cultural  y  material”,  incluso  para  la  preservación  de  la</w:t>
        <w:br/>
        <w:t>“integridad e identidad” de su cultura.  La  Corte  ha  advertido  que  “Los</w:t>
        <w:br/>
        <w:t>derechos territoriales más amplios están  depositados  en  todo  el  pueblo,</w:t>
        <w:br/>
        <w:t>según la costumbre N’djuka; los miembros  de  la  comunidad  consideran  que</w:t>
        <w:br/>
        <w:t>dichos derechos son perpetuos e inalienables” (pár. 86.6).</w:t>
        <w:br/>
        <w:br/>
        <w:t>18.   En mi voto razonado (escrito  originalmente  en  inglés)  respecto  de</w:t>
        <w:br/>
        <w:t>dicha Sentencia de la Corte pronunciada en el caso de la  Comunidad  Moiwana</w:t>
        <w:br/>
        <w:t>versus Surinam, mencioné que los miembros de la  comunidad  Moiwana,  en  la</w:t>
        <w:br/>
        <w:t>audiencia pública realizada ante la Corte  el  9/9/2004,  indicaron  que  la</w:t>
        <w:br/>
        <w:t>masacre de 1986, planeada por  el  Estado,  había  “destruido  la  tradición</w:t>
        <w:br/>
        <w:t>cultural (...) de las comunidades Maroon en Moiwana” (párr. 80).  Además  de</w:t>
        <w:br/>
        <w:t>los  daños  morales,  en  mi  voto  hice  referencia  a  un  verdadero  daño</w:t>
        <w:br/>
        <w:t>espiritual (párrafos 71-81) y más allá del daño  al  proyecto  de  vida,  me</w:t>
        <w:br/>
        <w:t>atreví a explayarme conceptualmente sobre los daños al proyecto de  vida  en</w:t>
        <w:br/>
        <w:t>el más allá (párrafos 67-70 y siguientes).</w:t>
        <w:br/>
        <w:br/>
        <w:t>19.   En mi opinión, la Corte Interamericana debería decir cuál es  la  ley,</w:t>
        <w:br/>
        <w:t>y no limitarse simplemente a resolver una cuestión  controvertida.  Este  es</w:t>
        <w:br/>
        <w:t>el amplio concepto que tengo sobre un tribunal de  derechos  humanos  -y  en</w:t>
        <w:br/>
        <w:t>este tema particular sé que mi posición es  minoritaria  (la  mayoría  tiene</w:t>
        <w:br/>
        <w:t>una posición completamente diferente que es mucho  más  restrictiva)–  y  la</w:t>
        <w:br/>
        <w:t>mantengo  con  convencimiento.  Además  de  resolver  la  controversia,   el</w:t>
        <w:br/>
        <w:t>Tribunal debería responder a otra parte específica del  pedido  de  Surinam,</w:t>
        <w:br/>
        <w:t>que fue adecuadamente respondida por los representantes de las  víctimas,  y</w:t>
        <w:br/>
        <w:t>demostrar la imperiosa necesidad de reparar los daños espirituales  sufridos</w:t>
        <w:br/>
        <w:t>por los N’djukas de la comunidad Moiwana –y sobre todo convencer de ello  al</w:t>
        <w:br/>
        <w:t>Estado-, y a la vez crear las condiciones para una rápida reconstrucción  de</w:t>
        <w:br/>
        <w:t>su tradición cultural.</w:t>
        <w:br/>
        <w:br/>
        <w:t>20.    Por  lo  tanto,   considero   que   la   delimitación,   demarcación,</w:t>
        <w:br/>
        <w:t>adjudicación  de  la  titularidad  y  la  devolución  de   sus   territorios</w:t>
        <w:br/>
        <w:t>tradicionales   son   efectivamente   esenciales.   Es   una   cuestión   de</w:t>
        <w:br/>
        <w:t>supervivencia de la identidad cultural de los N’djukas, de modo  que  puedan</w:t>
        <w:br/>
        <w:t>conservar su memoria, tanto personal como colectiva.  Solo  así  su  derecho</w:t>
        <w:br/>
        <w:t>fundamental a la vida, en  sentido  amplio,  será  correctamente  protegido,</w:t>
        <w:br/>
        <w:t>incluso su derecho a la identidad cultural.</w:t>
        <w:br/>
        <w:br/>
        <w:t>21.   La conciencia jurídica universal que, según  la  entiendo,  es  fuente</w:t>
        <w:br/>
        <w:t>material de todo Derecho, ha evolucionado de  tal  modo  que  reconoce  esta</w:t>
        <w:br/>
        <w:t>urgente necesidad. Está ejemplificada en  la  significativa  tríada  de  las</w:t>
        <w:br/>
        <w:t>Convenciones de la UNESCO  formada  por  la  Convención  de  1972  sobre  la</w:t>
        <w:br/>
        <w:t>Protección del Patrimonio Mundial Cultural y Natural; la Convención de  2003</w:t>
        <w:br/>
        <w:t>para  la   Salvaguarda   del   Patrimonio   Cultural   Inmaterial   y,   más</w:t>
        <w:br/>
        <w:t>recientemente, la Convención de 2005 sobre la Protección y Promoción  de  la</w:t>
        <w:br/>
        <w:t>Diversidad de Expresiones Culturales.</w:t>
        <w:br/>
        <w:br/>
        <w:t>22.   La Convención de la UNESCO de 1972 advierte en  su  preámbulo  que  el</w:t>
        <w:br/>
        <w:t>deterioro o la desaparición de un bien del  patrimonio  cultural  o  natural</w:t>
        <w:br/>
        <w:t>constituye un empobrecimiento nefasto del patrimonio de “todos  los  pueblos</w:t>
        <w:br/>
        <w:t>del mundo”, dado que el  patrimonio  presenta  un  interés  excepcional  que</w:t>
        <w:br/>
        <w:t>exige ser conservado “como parte del  patrimonio  mundial  de  la  humanidad</w:t>
        <w:br/>
        <w:t>entera”; y por ello debe  establecerse  “un  sistema  eficaz  de  protección</w:t>
        <w:br/>
        <w:t>colectiva  del  patrimonio  cultural  y  natural    de   valor   excepcional</w:t>
        <w:br/>
        <w:t>universal[9]”.  El  objeto  de  la  Convención  de  la  UNESCO  de  2003  es</w:t>
        <w:br/>
        <w:t>salvaguardar  el  patrimonio  cultural  inmaterial  (para  ello  invoca  los</w:t>
        <w:br/>
        <w:t>instrumentos internacionales sobre derechos humanos), y  conceptualiza  esto</w:t>
        <w:br/>
        <w:t>luego  como  “las  prácticas,  los  usos,   representaciones,   expresiones,</w:t>
        <w:br/>
        <w:t>conocimientos y técnicas (…)que las comunidades, los  grupos  y  en  algunos</w:t>
        <w:br/>
        <w:t>casos los individuos reconozcan  como  parte  integrante  de  su  patrimonio</w:t>
        <w:br/>
        <w:t>cultural[10]”.</w:t>
        <w:br/>
        <w:br/>
        <w:t>23.   La reciente Convención de la UNESCO  de  2005  fue  precedida  por  la</w:t>
        <w:br/>
        <w:t>Declaración Universal sobre la Diversidad Cultural del 2001, que  define  la</w:t>
        <w:br/>
        <w:t>diversidad cultural como el patrimonio común de la humanidad, y  expresa  su</w:t>
        <w:br/>
        <w:t>aspiración a una mayor  solidaridad  fundada  en  el  reconocimiento  de  la</w:t>
        <w:br/>
        <w:t>diversidad cultural, en la conciencia de la unidad del  género  humano[11]”.</w:t>
        <w:br/>
        <w:t>Con  posterioridad  a  la  Declaración  de  2001,  la  Convención  del  2005</w:t>
        <w:br/>
        <w:t>(20/10/2005), aprobada tras profundos debates[12], reiteró  la  idea  de  la</w:t>
        <w:br/>
        <w:t>diversidad cultural como patrimonio común de la  humanidad,  explicando  que</w:t>
        <w:br/>
        <w:t>“la cultura adquiere formas diversas a través del tiempo y  del  espacio”  y</w:t>
        <w:br/>
        <w:t>esta diversidad se manifiesta en la originalidad  y  la  pluralidad  de  las</w:t>
        <w:br/>
        <w:t>identidades que caracterizan los grupos y las  sociedades  que  componen  la</w:t>
        <w:br/>
        <w:t>humanidad la cultura adopta diferentes formas a  través  del  tiempo  y  del</w:t>
        <w:br/>
        <w:t>espacio[13]”. La Convención agrega que la  diversidad  cultural  solo  puede</w:t>
        <w:br/>
        <w:t>ser protegida  y  salvaguardada  mediante  la  protección  de  los  derechos</w:t>
        <w:br/>
        <w:t>humanos[14]”.</w:t>
        <w:br/>
        <w:br/>
        <w:t>24.   A mi entender, la conciencia jurídica universal ha evolucionado  hacia</w:t>
        <w:br/>
        <w:t>un claro reconocimiento de la relevancia que la  diversidad  cultural  tiene</w:t>
        <w:br/>
        <w:t>para la universalidad de los  derechos  humanos,  y  viceversa.  Además,  ha</w:t>
        <w:br/>
        <w:t>evolucionado  hacia  la  humanización  del  Derecho  Internacional,   y   la</w:t>
        <w:br/>
        <w:t>creación, a principios del siglo XXI, de un  nuevo  jus  gentium,  un  nuevo</w:t>
        <w:br/>
        <w:t>Derecho  Internacional  para  la  humanidad,  y  la  mencionada  tríada   de</w:t>
        <w:br/>
        <w:t>Convenciones de la UNESCO (de 1972, 2003 y 2005) son, en mi opinión, una  de</w:t>
        <w:br/>
        <w:t>las muchas manifestaciones contemporáneas de la  conciencia  humana  a  este</w:t>
        <w:br/>
        <w:t>efecto[15]”.</w:t>
        <w:br/>
        <w:br/>
        <w:br/>
        <w:t xml:space="preserve">                              IV.   Conclusión</w:t>
        <w:br/>
        <w:br/>
        <w:t>25.   La determinación de las medidas de reparación –como  las  contempladas</w:t>
        <w:br/>
        <w:t>en este caso- la realiza la Corte a la luz de las disposiciones  pertinentes</w:t>
        <w:br/>
        <w:t>de la Convención Americana, y no de las normas sobre los derechos reales  de</w:t>
        <w:br/>
        <w:t>Surinam. Suponer lo contrario implicaría  privar  de  sus  facultades  a  la</w:t>
        <w:br/>
        <w:t>Corte, que le son otorgadas por la Convención Americana y  fueron  aceptadas</w:t>
        <w:br/>
        <w:t>por Surinam al ratificar la Convención y aceptar la competencia  obligatoria</w:t>
        <w:br/>
        <w:t>de la Corte; ello  sería  inadmisible.  La  Corte  interpreta  y  aplica  la</w:t>
        <w:br/>
        <w:t>Convención Americana, no las normas de Surinam sobre  los  derechos  reales.</w:t>
        <w:br/>
        <w:t>Si estas normas internas presentan obstáculos a las  medidas  de  reparación</w:t>
        <w:br/>
        <w:t>ordenadas  por  la  Corte,  deben  eliminarse  esos  obstáculos,  y  deberán</w:t>
        <w:br/>
        <w:t>armonizarse las normas que rigen  los  derechos  reales  con  la  Convención</w:t>
        <w:br/>
        <w:t>Americana, de modo que se otorguen las reparaciones a  todas  las  víctimas.</w:t>
        <w:br/>
        <w:t>Pact sunt servanda.</w:t>
        <w:br/>
        <w:br/>
        <w:t>26.   A mi entender, este es un caso que también involucra  a  los  derechos</w:t>
        <w:br/>
        <w:t>reales  en  Surinam,  y  que  fue  correctamente  resuelto  por   la   Corte</w:t>
        <w:br/>
        <w:t>Interamericana a la luz de las disposiciones pertinentes  de  la  Convención</w:t>
        <w:br/>
        <w:t>Americana. Con esto deseo  aclarar  las  dudas  respetuosamente  presentadas</w:t>
        <w:br/>
        <w:t>ante la Corte por Surinam al final de su escrito  del  4/10/2005  (pág.  11,</w:t>
        <w:br/>
        <w:t>párr.  22).  La  respuesta  al  escrito  del  Estado,  presentada  por   los</w:t>
        <w:br/>
        <w:t>representantes (el 10/11/2005) en  nombre  de  las  víctimas,  que  son  los</w:t>
        <w:br/>
        <w:t>verdaderos sujetos del Derecho  Internacional  sobre  Derechos  Humanos,  ha</w:t>
        <w:br/>
        <w:t>sido adecuada. Además, el Estado indicó en  dicho  escrito,  su  disposición</w:t>
        <w:br/>
        <w:t>para cumplir con sus “obligaciones  internacionales”  (págs.   11-12,  párr.</w:t>
        <w:br/>
        <w:t>23, y cf. págs. 4-5, párr. 9), incluido el cumplimiento con la Sentencia  de</w:t>
        <w:br/>
        <w:t>la Corte del 15/6/2005 en este caso de la Comunidad Moiwana.  Confío en  que</w:t>
        <w:br/>
        <w:t>Surinam -un país con una “pequeña economía”  (como  lo  expresara  el  mismo</w:t>
        <w:br/>
        <w:t>Estado en el mencionado escrito, pág. 6, párr. 13) pero, puedo  agregar  yo,</w:t>
        <w:br/>
        <w:t>con una cultura muy respetable- procederá de esa forma, como lo hizo  en  el</w:t>
        <w:br/>
        <w:t>conocido caso de Aloeboetoe y otros (Sentencia sobre el fondo de  la  causa,</w:t>
        <w:br/>
        <w:t>1991), en el cual estableció un extraordinario y  ejemplarizante  precedente</w:t>
        <w:br/>
        <w:t>para los demás Estados Parte  de  la  Convención  Americana  sobre  Derechos</w:t>
        <w:br/>
        <w:t>Humanos.</w:t>
        <w:br/>
        <w:br/>
        <w:br/>
        <w:t xml:space="preserve">               V.    Epílogo: Una breve reflexión metajurídica</w:t>
        <w:br/>
        <w:br/>
        <w:t>27.   Me gustaría concluir este Voto Razonado con  una  breve  reflexión  de</w:t>
        <w:br/>
        <w:t>carácter metajurídico. Toda relación de dominación y sumisión  trae  consigo</w:t>
        <w:br/>
        <w:t>el germen de la destrucción; y el único verdadero y auténtico “progreso”  es</w:t>
        <w:br/>
        <w:t>el que  reside  en  un  orden  basado  en  valores  humanos[16].   El  mundo</w:t>
        <w:br/>
        <w:t>contemporáneo ya no puede ser evaluado desde  una  perspectiva  o  dimensión</w:t>
        <w:br/>
        <w:t>puramente  interestatal,  dado  el  desplazamiento  de  millones  de   seres</w:t>
        <w:br/>
        <w:t>humanos[17] y los trágicos éxodos  contemporáneos  que  resultan  de  tantas</w:t>
        <w:br/>
        <w:t>injusticias[18]. Debemos preservar el patrimonio cultural  de  la  humanidad</w:t>
        <w:br/>
        <w:t>en un verdadero espíritu de solidaridad[19], sin el cual  el  futuro  de  la</w:t>
        <w:br/>
        <w:t>humanidad corre peligro.</w:t>
        <w:br/>
        <w:br/>
        <w:t>28.   No se puede vivir en un permanente exilio y desplazamiento. Los  seres</w:t>
        <w:br/>
        <w:t>humanos compartimos la necesidad espiritual de echar raíces. No  es  posible</w:t>
        <w:br/>
        <w:t>flotar eternamente alrededor de un mundo virtual.  No  es  sorprendente  que</w:t>
        <w:br/>
        <w:t>los miembros de comunidades tradicionales atribuyan un  valor  particular  a</w:t>
        <w:br/>
        <w:t>su tierra, que en su opinión les pertenece, y a la vez ellos “pertenecen”  a</w:t>
        <w:br/>
        <w:t>su tierra. En una excelente obra póstuma, en relación con  la  necesidad  de</w:t>
        <w:br/>
        <w:t>las raíces, Simone Weil expresó con iluminadora brillantez:</w:t>
        <w:br/>
        <w:br/>
        <w:t xml:space="preserve">      “[Una] colectividad tiene sus raíces en el pasado.  Este constituye la</w:t>
        <w:br/>
        <w:t xml:space="preserve">      única forma de preservar los tesoros espirituales acumulados  por  los</w:t>
        <w:br/>
        <w:t xml:space="preserve">      ancestros, la única forma de transmisión mediante la cual los  muertos</w:t>
        <w:br/>
        <w:t xml:space="preserve">      pueden hablar con los vivos[20]”.</w:t>
        <w:br/>
        <w:br/>
        <w:t>29.   Y en el siglo XVI, en sus agudos Ensayos (1580), Montaigne decía:</w:t>
        <w:br/>
        <w:br/>
        <w:t xml:space="preserve">      "La memoria de los muertos es una recomendación para nosotros.  Y  yo,</w:t>
        <w:br/>
        <w:t xml:space="preserve">      desde  mi  infancia,  alimenté  mi  espíritu  con  los  muertos.  Tuve</w:t>
        <w:br/>
        <w:t xml:space="preserve">      conocimiento de los negocios de Roma mucho antes  que  de  los  de  mi</w:t>
        <w:br/>
        <w:t xml:space="preserve">      casa. (...) Nunca dejo de evocar y acariciar su memoria, (...) en  una</w:t>
        <w:br/>
        <w:t xml:space="preserve">      unión perfecta y vivísima" [21]</w:t>
        <w:br/>
        <w:br/>
        <w:t>Para el gran historiador A.J. Toynbee, el “progreso” sólo puede  ser  medido</w:t>
        <w:br/>
        <w:t>a través del conocimiento que  verdaderamente  se  obtiene  del  sufrimiento</w:t>
        <w:br/>
        <w:t>humano causado por los “errores de las civilizaciones”.  Sin  embargo,  para</w:t>
        <w:br/>
        <w:t>otro erudito  historiador,  J.  Burckhardt,  son  los  logros  del  espíritu</w:t>
        <w:br/>
        <w:t>humano, preservados correctamente, y que desafían el  paso  del  tiempo,  lo</w:t>
        <w:br/>
        <w:t>que constituyen el verdadero sentido de la historia. Se debe luchar  por  la</w:t>
        <w:br/>
        <w:t>primacía de la memoria  sobre  la  crueldad  humana;  cuando  miramos  hacia</w:t>
        <w:br/>
        <w:t>atrás, la miseria de la condición humana solo puede inspirar un  sentimiento</w:t>
        <w:br/>
        <w:t>de piedad, ya que, como ha sido correctamente reconocido,</w:t>
        <w:br/>
        <w:br/>
        <w:t xml:space="preserve">           "El tiempo, el gran destructor, es también el gran  conservador.</w:t>
        <w:br/>
        <w:t xml:space="preserve">      Ha preservado mucho más de lo que nosotros  podemos  conocer  (…).  La</w:t>
        <w:br/>
        <w:t xml:space="preserve">      narración de la historia constituye un muy fuerte baluarte  contra  el</w:t>
        <w:br/>
        <w:t xml:space="preserve">      paso del tiempo (...).</w:t>
        <w:br/>
        <w:t xml:space="preserve">            (...) El sentido trágico [de la  historia]  es  el  sentido  más</w:t>
        <w:br/>
        <w:t xml:space="preserve">      profundo de nuestra común humanidad, y puede  por  lo  tanto  ser  una</w:t>
        <w:br/>
        <w:t xml:space="preserve">      inspiración positiva. Si todas  las  grandes  sociedades  han  muerto,</w:t>
        <w:br/>
        <w:t xml:space="preserve">      ninguna está realmente muerta. Sus pueblos han desaparecido,  como  lo</w:t>
        <w:br/>
        <w:t xml:space="preserve">      harán todos los  hombres,  pero  antes  ellos  enriquecieron  la  gran</w:t>
        <w:br/>
        <w:t xml:space="preserve">      tradición con altos y duraderos valores[22]”.</w:t>
        <w:br/>
        <w:br/>
        <w:t>30.   Por mi parte, no puedo evitar la  impresión  que  hoy  me  causan  los</w:t>
        <w:br/>
        <w:t>“post-modernistas” entusiastas que, con  su  actitud  auto-suficiente  y  el</w:t>
        <w:br/>
        <w:t>frenesí por el “progreso” material, no pueden siquiera entender  mínimamente</w:t>
        <w:br/>
        <w:t>el mundo en que viven, su propio ambiente. Yo por eso he  cultivado  respeto</w:t>
        <w:br/>
        <w:t>por las culturas tradicionales de los perseguidos y olvidados por el  mundo,</w:t>
        <w:br/>
        <w:t>incluso los pueblos de la  selva  amazónica.  En  mi  Voto  Razonado  en  la</w:t>
        <w:br/>
        <w:t>Sentencia anterior de esta Corte sobre este caso de  la  Comunidad  Moiwana,</w:t>
        <w:br/>
        <w:t>hice referencia al mito del “eterno retorno”, contemplado  en  las  antiguas</w:t>
        <w:br/>
        <w:t>tradiciones sociales, que atribuyen al tiempo  una  estructura  cíclica,  de</w:t>
        <w:br/>
        <w:t>modo que neutraliza o anula la virulencia del  despiadado  paso  del  tiempo</w:t>
        <w:br/>
        <w:t>(párr. 36).</w:t>
        <w:br/>
        <w:br/>
        <w:t>31.    Los  pueblos  antiguos,  erróneamente  llamados  “primitivos”,   eran</w:t>
        <w:br/>
        <w:t>totalmente conscientes de su  propia  vulnerabilidad,  y  así  fue  ccmo  se</w:t>
        <w:br/>
        <w:t>desarrolló  su  espiritualidad  [23],  y  su  íntima  coexistencia  con  sus</w:t>
        <w:br/>
        <w:t>muertos. Por otro lado, los “post-modernistas”, -de quienes  definitivamente</w:t>
        <w:br/>
        <w:t>me he apartado-, luego de liberarse a sí mismos del tiempo  cíclico[24],  se</w:t>
        <w:br/>
        <w:t>integraron en la historia y, en mi opinión, se convirtieron en  esclavos  de</w:t>
        <w:br/>
        <w:t>su propia creencia infundada en la  progresión  lineal  respaldada  con  los</w:t>
        <w:br/>
        <w:t>avances  tecnológicos.  Minimizaron  la   búsqueda   de   la   regeneración,</w:t>
        <w:br/>
        <w:t>intentaron evitar o minimizar el sufrimiento  humano  mediante  la  búsqueda</w:t>
        <w:br/>
        <w:t>del confort material (en lugar de  aceptar  el  sufrimiento,  asumiéndolo  e</w:t>
        <w:br/>
        <w:t>intentando aprender de él[25]), dejaron  de  reverenciar  a  sus  muertos  y</w:t>
        <w:br/>
        <w:t>cultivaron su memoria personal y colectiva.</w:t>
        <w:br/>
        <w:br/>
        <w:t>32.   Parece que ni siquiera aprendieron de  las  tragedias  provocadas  por</w:t>
        <w:br/>
        <w:t>las atrocidades del mundo contemporáneo.  Continúan  petrificados  ante  sus</w:t>
        <w:br/>
        <w:t>aparatos electrónicos, obteniendo un volumen de información  que  no  pueden</w:t>
        <w:br/>
        <w:t>evaluar. Parece que han perdido la memoria, que es lo  que  libera  y  salva</w:t>
        <w:br/>
        <w:t>nuestra identidad. Por otro lado, este caso de los N’djukas de la  comunidad</w:t>
        <w:br/>
        <w:t>Moiwana de Surinam, rico en enseñanzas, ha  salvado  la  importancia  de  la</w:t>
        <w:br/>
        <w:t>preservación de las expresiones culturales, como una forma  de  comunicación</w:t>
        <w:br/>
        <w:t>de los seres humanos con el mismo misterio insalvable  del  mundo  exterior,</w:t>
        <w:br/>
        <w:t>así como también de  cultivar  la  memoria  personal  y  colectiva,  de  una</w:t>
        <w:br/>
        <w:t>saludable coexistencia  de  los  vivos  con  sus  muertos  y  la  imperativa</w:t>
        <w:br/>
        <w:t>primacía de la justicia y el respeto  de  las  relaciones  humanas,  de  los</w:t>
        <w:br/>
        <w:t>vivos entre sí,  y de ellos con sus muertos.</w:t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t xml:space="preserve">                          Pablo Saavedra Alessandri</w:t>
        <w:br/>
        <w:t xml:space="preserve">                                 Secretario</w:t>
        <w:br/>
        <w:br/>
        <w:t xml:space="preserve">                           -----------------------</w:t>
        <w:br/>
        <w:t>[1]   El juez Diego García Sayán informó a la Corte que,  debido  a  razones</w:t>
        <w:br/>
        <w:t>de fuerza mayor, no podría asistir  a  las  deliberaciones  y  firma  de  la</w:t>
        <w:br/>
        <w:t>presente Sentencia.</w:t>
        <w:br/>
        <w:br/>
        <w:t>[2]   Cfr.  Caso  de  las  Hermanas  Serrano  Cruz.   Interpretación  de  la</w:t>
        <w:br/>
        <w:t>Sentencia de Fondo, Reparaciones y Costas.  Sentencia del  9  de  septiembre</w:t>
        <w:br/>
        <w:t>de  2005.   Serie  C  Nº  131,  pàrr.  14;  Caso  de  Lori  Berenson  Mejía.</w:t>
        <w:br/>
        <w:t>Interpretación de la Sentencia de Fondo, Reparaciones  y  Costas.  Sentencia</w:t>
        <w:br/>
        <w:t>del 23 de junio de 2005. Serie C Nº 128, párr.12, y Caso  de  Juan  Humberto</w:t>
        <w:br/>
        <w:t>Sanchez.  Interpretación de la  Sentencia  sobre  Excepciones  Preliminares,</w:t>
        <w:br/>
        <w:t>Fondo y Reparaciones. Sentencia del 26 de noviembre  de  2003.  Serie  C  Nº</w:t>
        <w:br/>
        <w:t>102, párr. 14.</w:t>
        <w:br/>
        <w:br/>
        <w:t>[3]    Cfr.  Caso  de  las  Hermanas  Serrano  Cruz.  Interpretación  de  la</w:t>
        <w:br/>
        <w:t>Sentencia de Fondo, Reparaciones y Costas, supra nota 2, párr. 15;  Caso  de</w:t>
        <w:br/>
        <w:t>Lori Berenson Mejía.  Interpretación de la Sentencia de Fondo,  Reparaciones</w:t>
        <w:br/>
        <w:t>y Costas, supra  nota  2,  párr.  11,  y  Caso  de  Juan  Humberto  Sánchez.</w:t>
        <w:br/>
        <w:t>Interpretación de la  Sentencia  sobre  Excepciones  Preliminares,  Fondo  y</w:t>
        <w:br/>
        <w:t>Reparaciones, supra nota 2, párr. 40.</w:t>
        <w:br/>
        <w:br/>
        <w:t>[4]   Cfr., para una  actualización  de  mi  tesis  sobre  este  tema,  A.A.</w:t>
        <w:br/>
        <w:t>Cançado Trindade, "Aproximaciones y Convergencias Revisitadas: Diez Años  de</w:t>
        <w:br/>
        <w:t>Interacción entre el Derecho  Internacional  de  los  Derechos  Humanos,  el</w:t>
        <w:br/>
        <w:t>Derecho  Internacional  de  los  Refugiados,  y  el  Derecho   Internacional</w:t>
        <w:br/>
        <w:t>Humanitario (De Cartagena/1984 a San José/1994 y México/2004)",  in  Memoria</w:t>
        <w:br/>
        <w:t>del  Vigésimo  Aniversario  de  la  Declaración  de  Cartagena   sobre   los</w:t>
        <w:br/>
        <w:t>Refugiados (1984-2004), 1ra. ed., San  José  de  Costa  Rica/México,  UNHCR,</w:t>
        <w:br/>
        <w:t>2005, págs. 139-191.</w:t>
        <w:br/>
        <w:br/>
        <w:t>[5]   Aunque las cláusulas sobre finalización del asilo sí lo  han  tratado.</w:t>
        <w:br/>
        <w:t>La Convención de la Organización para la Unidad Africana (OAU, por su  sigla</w:t>
        <w:br/>
        <w:t>en inglés) sobre Aspectos Específicos de los Refugiados en África, de  1969,</w:t>
        <w:br/>
        <w:t>sigue siendo el único tratado que se refiere en  forma  expresa  al  retorno</w:t>
        <w:br/>
        <w:t>voluntario.</w:t>
        <w:br/>
        <w:br/>
        <w:t>[6]   Cfr., por ej., entre  otros,  A.A.  Cançado  Trindade  y  J.  Ruiz  de</w:t>
        <w:br/>
        <w:t>Santiago, La Nueva Dimensión  de  las  Necesidades  de  Protección  del  Ser</w:t>
        <w:br/>
        <w:t>Humano en el Inicio del Siglo XXI, 3ra. ed., San José of Costa Rica,  ACNUR,</w:t>
        <w:br/>
        <w:t>2004, págs. 17-1212.</w:t>
        <w:br/>
        <w:t>[7]   ACNUR, documento EC/GC/02/5, del 25.04.2002, págs. 1, 3, 5-6 y  11;  y</w:t>
        <w:br/>
        <w:t>Cfr. ACNUR,  documento  EC/54/SC/CRP.12,  del  06.07.2004,  págs.  1-2  y  5</w:t>
        <w:br/>
        <w:t>(restitución  e  indemnización).  Y   Cfr.   También   U.N./G.A.,   document</w:t>
        <w:br/>
        <w:t>A/AC.96/887,  del  09.09.1997,  pp.  1-3   y   7;   U.N./ECOSOC,   documento</w:t>
        <w:br/>
        <w:t>E/CN.4/1998/53/Add.2, del 02.11.1998, pág. 8; ACNUR, The Problem  of  Access</w:t>
        <w:br/>
        <w:t>to  Land  and  Ownership  in  Repatriation  Operations  -   Inspection   and</w:t>
        <w:br/>
        <w:t>Evaluation Service (El problema del Acceso a la Tierra  y  la  Propiedad  en</w:t>
        <w:br/>
        <w:t>Operaciones  de  Repatriación  –  Servicio  de  Inspección  y   Evaluación),</w:t>
        <w:br/>
        <w:t>documento EVAL/03/98, Mayo de 1998, págs. 1-31.</w:t>
        <w:br/>
        <w:br/>
        <w:t>[8]   U.N./G.A., documento A/AC.96/1003, of 10.12.2004, pág. 3.</w:t>
        <w:br/>
        <w:t>[9]   Considerandos 1 y 5.</w:t>
        <w:br/>
        <w:br/>
        <w:t>[10]  Preámbulo y Artículo 2.1.</w:t>
        <w:br/>
        <w:br/>
        <w:t>[11]  Preámbulo y Artículo 1 de la Declaración de 2001.</w:t>
        <w:br/>
        <w:br/>
        <w:t>[12]   Cfr.,  ej.,  UNESCO/General  Conference,   documento   33-C/23,   del</w:t>
        <w:br/>
        <w:t>04.08.2005, págs. 1-16, y Anexos;  y  Cfr.  G.  Gagné  (ed.),  La  diversité</w:t>
        <w:br/>
        <w:t>culturelle: vers une Convention internationale effective?,  Montréal/Québec,</w:t>
        <w:br/>
        <w:t>Éd. Fides, 2005, págs. 7-164.</w:t>
        <w:br/>
        <w:t>[13]  Preámbulo, considerandos 1, 2 y 7 de la Convención de 2005.</w:t>
        <w:br/>
        <w:br/>
        <w:t>[14]  Artículo 2.1 de la Convención 2005. Cfr., en general, ej., A.Ch.  Kiss</w:t>
        <w:br/>
        <w:t>y A.A. Cançado Trindade, "Two Major Challenges of  Our  Time:  Human  Rights</w:t>
        <w:br/>
        <w:t>and  the  Environment",  in  Human  Rights,  Sustainable   Development   and</w:t>
        <w:br/>
        <w:t>Environment (Seminario de Brasilia de  1992,  ed.  A.A.  Cançado  Trindade),</w:t>
        <w:br/>
        <w:t>2da. ed., Brasilia/San José of Costa Rica, IIDH/BID,  1995,  págs.  289-290;</w:t>
        <w:br/>
        <w:t>A.A. Cançado Trindade,  Direitos  Humanos  e  Meio  Ambiente:  Paralelo  dos</w:t>
        <w:br/>
        <w:t>Sistemas de Proteção Internacional, Porto Alegre/Brazil,  S.A.  Fabris  Ed.,</w:t>
        <w:br/>
        <w:t>1993, págs. 282-283.</w:t>
        <w:br/>
        <w:br/>
        <w:t>[15]  Cfr. A.A. Cançado Trindade, "General Course  on  Public  International</w:t>
        <w:br/>
        <w:t>Law - International Law for Humankind: Towards a New Jus  Gentium",  Recueil</w:t>
        <w:br/>
        <w:t>des Cours de l'Académie de Droit International de La Haye (2005), Cap.  XIII</w:t>
        <w:br/>
        <w:t>(impreso).</w:t>
        <w:br/>
        <w:br/>
        <w:t>[16].       Cfr. Simone Weil, Reflexiones sobre las Causas de la Libertad  y</w:t>
        <w:br/>
        <w:t>de  la  Opresión  Social,  Barcelona,  Ed.  Paidós/Universidad  Autónoma  de</w:t>
        <w:br/>
        <w:t>Barcelona, 1995, págs. 80 y 117.</w:t>
        <w:br/>
        <w:br/>
        <w:t>[17].       A.A. Cançado Trindade y J. Ruiz de Santiago, La Nueva  Dimensión</w:t>
        <w:br/>
        <w:t>de las Necesidades de Protección..., op. cit. supra n. (3), págs. 17-1212.</w:t>
        <w:br/>
        <w:br/>
        <w:t>[18].       Cfr., ej., inter alia,  C.  Bordes-Benayoun  and  D.  Schnapper,</w:t>
        <w:br/>
        <w:t>Diasporas et nations, Paris, O. Jacob, 2006, págs. 7,  11-12,  25,  63,  68,</w:t>
        <w:br/>
        <w:t>129 y 216-219.</w:t>
        <w:br/>
        <w:br/>
        <w:t>[19].       Cfr. B. Boutros-Ghali, Démocratiser la  mondialisation,  Monaco,</w:t>
        <w:br/>
        <w:t>Ed. Rocher, 2002, págs. 65, 106-107 y123.</w:t>
        <w:br/>
        <w:br/>
        <w:t>[20].       S. Weil, The Need for Roots, London, Routledge, 1995  [reprint],</w:t>
        <w:br/>
        <w:t>pág. 8.</w:t>
        <w:br/>
        <w:br/>
        <w:t>[21].       Montaigne, Ensayos Escogidos, Madrid, EDAF, 1999, pág. 335.</w:t>
        <w:br/>
        <w:br/>
        <w:t>[22].       H.J.  Muller,  The  Uses  of  the  Past  -  Profiles  of  Former</w:t>
        <w:br/>
        <w:t>Societies, N.Y., Mentor, 1963 [reprint], págs. 393-394, y Cfr. pág. 388.</w:t>
        <w:br/>
        <w:br/>
        <w:t>[23].       Cfr., en general, por ej. [Diferentes Autores,] Mircea Eliade  -</w:t>
        <w:br/>
        <w:t>Historia de las Creencias y de las Ideas Religiosas,  2nd.  ed.,  Barcelona,</w:t>
        <w:br/>
        <w:t>Herder, 1999, págs. 15-563.</w:t>
        <w:br/>
        <w:br/>
        <w:t>[24].       Cfr. Mircea Eliade, El Mito del Eterno Retorno  -  Arquetipos  y</w:t>
        <w:br/>
        <w:t>Repetición, 6th. ed., Madrid, Alianza Ed., 1985, págs. 9-149; y en  relación</w:t>
        <w:br/>
        <w:t>con los recursos sobre el mito de confrontar la fugacidad de  la  existencia</w:t>
        <w:br/>
        <w:t>humana,  y  la  lucha  de  los  seres  humanos  con   el   tiempo   en   las</w:t>
        <w:br/>
        <w:t>manifestaciones  religiosas,  Cfr.,  por  ejemplo,  Mircea  Eliade,  Mito  y</w:t>
        <w:br/>
        <w:t>Realidad, 2da. ed., Barcelona, Ed. Labor, 1992, págs. 7-211.</w:t>
        <w:br/>
        <w:br/>
        <w:t>[25].       Existen diversas formas de aprender del  sufrimiento,  que  cada</w:t>
        <w:br/>
        <w:t>uno descubre por sí mismo.  Con  respecto  a  ello,  se  ha  sostenido,  por</w:t>
        <w:br/>
        <w:t>ejemplo, que  "la memoria d'un uomo è la memoria del suo soffrire", el  cual</w:t>
        <w:br/>
        <w:t>genera  "il  sentimento  d'ingiustizia,  di  assurdità,  di  abbandono,   di</w:t>
        <w:br/>
        <w:t>solitudine estrema (...). L'altra maniera di confrontarsi con il dolore  sta</w:t>
        <w:br/>
        <w:t>nella riconciliazione con i propri limiti e  le  proprie  sofferenze,  anche</w:t>
        <w:br/>
        <w:t>con la morte. (...) La sofferenza  infatti  può  offrire  l'opportunità  per</w:t>
        <w:br/>
        <w:t>aprire la persona umana ad altre potenzialità da  sviluppare  e  attuare,  e</w:t>
        <w:br/>
        <w:t>che rimanevano disattese. (...) Altre  volte  il  dolore  può  divenire  una</w:t>
        <w:br/>
        <w:t>necessaria purificazione  da  comportamenti  errati  o  disorientanti,  come</w:t>
        <w:br/>
        <w:t>anche può svolgere un ruolo educativo per ricostruire il bene  nello  stesso</w:t>
        <w:br/>
        <w:t>soggetto  sofferente.  Si  tratta  di  un'esperienza  universale".   Ufficio</w:t>
        <w:br/>
        <w:t>Nazionale CEI per la Pastorale della Sanità, La Sofferenza È  Stata  Redenta</w:t>
        <w:br/>
        <w:t>-  Dallo  Scandalo  al  Mistero  (VIII   Giornata   Mondiale   del   Malato,</w:t>
        <w:br/>
        <w:t>11.02.2000), Torino, Ed. Camilliane, 1999, págs. 6, 24-25, 29 y 33.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