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t xml:space="preserve">                Caso de las Masacres de Ituango vs. Colombia</w:t>
        <w:br/>
        <w:br/>
        <w:br/>
        <w:br/>
        <w:t xml:space="preserve">                      Sentencia de 1 de julio de  2006</w:t>
        <w:br/>
        <w:br/>
        <w:br/>
        <w:br/>
        <w:br/>
        <w:br/>
        <w:t>En el caso de las Masacres de Ituango,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>Sergio García Ramírez, Presidente;</w:t>
        <w:br/>
        <w:t>Alirio Abreu Burelli, Vicepresidente;</w:t>
        <w:br/>
        <w:t>Antônio A. Cançado Trindade, Juez;</w:t>
        <w:br/>
        <w:t>Cecilia Medina Quiroga, Jueza;</w:t>
        <w:br/>
        <w:t>Manuel E. Ventura Robles, Juez; y</w:t>
        <w:br/>
        <w:t>Diego García-Sayán, Juez;</w:t>
        <w:br/>
        <w:br/>
        <w:t>presentes, además,</w:t>
        <w:br/>
        <w:br/>
        <w:t>Pablo Saavedra Alessandri, Secretario;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 29,  31,  37.6,  53.2,  55,  56  y  58  del</w:t>
        <w:br/>
        <w:t>Reglamento de la Corte (en adelante  “el  Reglamento”),  dicta  la  presente</w:t>
        <w:br/>
        <w:t>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30 de julio de  2004,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de Colombia (en  adelante</w:t>
        <w:br/>
        <w:t>“el Estado” o “Colombia”), la  cual  se  originó  en  las  denuncias  número</w:t>
        <w:br/>
        <w:t>12.050 (La Granja) y 12.266 (El Aro), respecto  del  Municipio  de  Ituango,</w:t>
        <w:br/>
        <w:t>recibidas en la Secretaría de la Comisión el 14 de julio de 1998 y el  3  de</w:t>
        <w:br/>
        <w:t>marzo de 2000, respectivamente.  El 11 de marzo de 2004 la Comisión  dispuso</w:t>
        <w:br/>
        <w:t>la acumulación de los casos (infra párr. 10).</w:t>
        <w:br/>
        <w:br/>
        <w:t>2.    En su demanda, la Comisión se refirió a los hechos ocurridos en  junio</w:t>
        <w:br/>
        <w:t>de 1996 y a partir de octubre de 1997 en los corregimientos de La  Granja  y</w:t>
        <w:br/>
        <w:t>El  Aro,  respectivamente,  ambos  ubicados  en  el  Municipio  de  Ituango,</w:t>
        <w:br/>
        <w:t>Departamento  de  Antioquia,   Colombia.    La   Comisión   alegó   que   la</w:t>
        <w:br/>
        <w:t>“responsabilidad del […] Estado […] se deriva[ba] de los  [presuntos]  actos</w:t>
        <w:br/>
        <w:t>de omisión, aquiescencia y colaboración por parte de miembros de  la  Fuerza</w:t>
        <w:br/>
        <w:t>Pública apostados en  el  Municipio  de  Ituango  con  grupos  paramilitares</w:t>
        <w:br/>
        <w:t>pertenecientes  a  las   Autodefensas   Unidas   de   Colombia   (AUC)   que</w:t>
        <w:br/>
        <w:t>[presuntamente] perpetraron sucesivas incursiones armadas en  ese  Municipio</w:t>
        <w:br/>
        <w:t>asesinando a su paso a civiles en estado de indefensión, despojando a  otros</w:t>
        <w:br/>
        <w:t>de sus bienes y generando terror y desplazamiento”.  Asimismo,  la  Comisión</w:t>
        <w:br/>
        <w:t>señaló que “[t]ranscurridos más de  ocho  años  desde  la  incursión  en  el</w:t>
        <w:br/>
        <w:t>corregimiento de La Granja y más de seis años desde la incursión  armada  en</w:t>
        <w:br/>
        <w:t>el corregimiento de El Aro, el Estado colombiano no ha[bía]  cumplido  a[ú]n</w:t>
        <w:br/>
        <w:t>en forma sustancial con su obligación de esclarecer  los  hechos,  juzgar  a</w:t>
        <w:br/>
        <w:t>todos los responsables en forma  efectiva  y  reparar  adecuadamente  a  las</w:t>
        <w:br/>
        <w:t>[presuntas] víctimas y sus familiares”.</w:t>
        <w:br/>
        <w:br/>
        <w:t>3.    La Comisión presentó la demanda con el fin de que la Corte  decida  si</w:t>
        <w:br/>
        <w:t>el Estado es  responsable  por  la  supuesta  violación  de  los  siguientes</w:t>
        <w:br/>
        <w:t>derechos  establecidos  en  los  siguientes  artículos  de   la   Convención</w:t>
        <w:br/>
        <w:t>Americana, en conexión con el  artículo  1.1  (Obligación  de  Respetar  los</w:t>
        <w:br/>
        <w:t>Derechos) de la misma:</w:t>
        <w:br/>
        <w:br/>
        <w:t xml:space="preserve"> a) 4 (Derecho a la Vida), en perjuicio de las siguientes  diecinueve  (19)</w:t>
        <w:br/>
        <w:t xml:space="preserve">    personas: los señores William Villa García, Graciela  Arboleda,  Héctor</w:t>
        <w:br/>
        <w:t xml:space="preserve">    Hernán Correa García, Jairo  Sepúlveda,  Arnulfo  Sánchez,  José  Darío</w:t>
        <w:br/>
        <w:t xml:space="preserve">    Martínez, Olcris Fail Díaz, Wilmar de Jesús Restrepo  Torres,  Omar  de</w:t>
        <w:br/>
        <w:t xml:space="preserve">    Jesús Ortiz Carmona, Fabio Antonio  Zuleta  Zabala,  Otoniel  de  Jesús</w:t>
        <w:br/>
        <w:t xml:space="preserve">    Tejada Jaramillo, Omar Iván Gutiérrez Nohavá, Guillermo Andrés  Mendoza</w:t>
        <w:br/>
        <w:t xml:space="preserve">    Posso, Nelson de Jesús Palacio Cárdenas, Luis Modesto Múnera, Dora  Luz</w:t>
        <w:br/>
        <w:t xml:space="preserve">    Areiza, Alberto Correa, Marco  Aurelio  Areiza  Osorio  y  Rosa  Areiza</w:t>
        <w:br/>
        <w:t xml:space="preserve">    Barrera;</w:t>
        <w:br/>
        <w:t xml:space="preserve"> b) 19 (Derechos del Niño), en perjuicio del menor Wilmar de Jesús Restrepo</w:t>
        <w:br/>
        <w:t xml:space="preserve">    Torres;</w:t>
        <w:br/>
        <w:t xml:space="preserve"> c) 7 (Derecho a la Libertad Personal), en perjuicio de las siguientes tres</w:t>
        <w:br/>
        <w:t xml:space="preserve">    (3) personas: los señores Jairo Sepúlveda, Marco Aurelio Areiza  Osorio</w:t>
        <w:br/>
        <w:t xml:space="preserve">    y Rosa Areiza Barrera;</w:t>
        <w:br/>
        <w:t xml:space="preserve"> d) 5 (Derecho a la Integridad Personal), en perjuicio  de  las  siguientes</w:t>
        <w:br/>
        <w:t xml:space="preserve">    dos (2) personas: los  señores  Marco  Aurelio  Areiza  y  Rosa  Areiza</w:t>
        <w:br/>
        <w:t xml:space="preserve">    Barrera;</w:t>
        <w:br/>
        <w:t xml:space="preserve"> e) 21 (Derecho a la Propiedad Privada), en  perjuicio  de  las  siguientes</w:t>
        <w:br/>
        <w:t xml:space="preserve">    seis (6) personas: los señores Luis Humberto Mendoza, Libardo  Mendoza,</w:t>
        <w:br/>
        <w:t xml:space="preserve">    Francisco Osvaldo Pino Posada, Omar Alfredo Torres  Jaramillo,  Ricardo</w:t>
        <w:br/>
        <w:t xml:space="preserve">    Alfredo Builes Echeverry y Bernardo María Jiménez Lopera; y</w:t>
        <w:br/>
        <w:t xml:space="preserve"> f) 8 (Garantías Judiciales) y 25 (Protección Judicial), en  perjuicio  “de</w:t>
        <w:br/>
        <w:t xml:space="preserve">    todas las [presuntas] víctimas y sus familiares”.</w:t>
        <w:br/>
        <w:br/>
        <w:t>4.    Finalmente, la Comisión solicitó a la Corte  que  ordenara  al  Estado</w:t>
        <w:br/>
        <w:t>que adopte una serie de medidas de reparación pecuniarias y no  pecuniarias,</w:t>
        <w:br/>
        <w:t>así como el pago de las costas y gastos  generados  en  la  tramitación  del</w:t>
        <w:br/>
        <w:t>caso en  la  jurisdicción  interna  y  ante  el  Sistema  Interamericano  de</w:t>
        <w:br/>
        <w:t>Protección de los Derechos Humanos.</w:t>
        <w:br/>
        <w:br/>
        <w:t xml:space="preserve">                                     II</w:t>
        <w:br/>
        <w:t xml:space="preserve">                                 Competencia</w:t>
        <w:br/>
        <w:br/>
        <w:t>5.    La Corte  es  competente  para  conocer  del  presente  caso,  en  los</w:t>
        <w:br/>
        <w:t>términos de los artículos 62 y 63.1  de  la  Convención  Americana,  ya  que</w:t>
        <w:br/>
        <w:t>Colombia es Estado Parte de la Convención desde el 31 de  julio  de  1973  y</w:t>
        <w:br/>
        <w:t>reconoció la competencia contenciosa de la Corte el 21 de junio de 1985.</w:t>
        <w:br/>
        <w:t xml:space="preserve">                                     III</w:t>
        <w:br/>
        <w:t xml:space="preserve">                       Procedimiento ante la Comisión</w:t>
        <w:br/>
        <w:br/>
        <w:br/>
        <w:t xml:space="preserve">   a. Trámite del caso 12.050 (La Granja)</w:t>
        <w:br/>
        <w:br/>
        <w:t>6.    El 14  de  julio  de  1998  la  Comisión  Interamericana  recibió  una</w:t>
        <w:br/>
        <w:t>petición  presentada  por  el  Grupo  Interdisciplinario  por  los  Derechos</w:t>
        <w:br/>
        <w:t>Humanos (en adelante “GIDH”)  y  la  Comisión  Colombiana  de  Juristas  (en</w:t>
        <w:br/>
        <w:t>adelante “CCJ”, y al referirse a ambas  organizaciones  “los  representantes</w:t>
        <w:br/>
        <w:t>de las presuntas víctimas y sus  familiares”  o  “los  representantes”),  en</w:t>
        <w:br/>
        <w:t>contra del Estado por los supuestos hechos ocurridos en La Granja.  El 9  de</w:t>
        <w:br/>
        <w:t>septiembre de 1998 la Comisión, de conformidad con su Reglamento,  abrió  un</w:t>
        <w:br/>
        <w:t>trámite  bajo  el  número  12.050  y  solicitó  al  Estado  la   información</w:t>
        <w:br/>
        <w:t>pertinente.</w:t>
        <w:br/>
        <w:br/>
        <w:t>7.    El 2 de octubre de 2000 la  Comisión  aprobó  el  informe  No.  57/00,</w:t>
        <w:br/>
        <w:t>mediante el cual declaró admisible el caso.  El 23 de  octubre  de  2000  la</w:t>
        <w:br/>
        <w:t>Comisión se puso a disposición de las partes con el objeto de  alcanzar  una</w:t>
        <w:br/>
        <w:t>solución amistosa.</w:t>
        <w:br/>
        <w:br/>
        <w:t xml:space="preserve">   b. Trámite del caso 12.226 (El Aro)</w:t>
        <w:br/>
        <w:br/>
        <w:t>8.    El 3 de marzo de 2000 la Comisión Interamericana recibió una  petición</w:t>
        <w:br/>
        <w:t>presentada por los representantes en contra del  Estado  por  los  supuestos</w:t>
        <w:br/>
        <w:t>hechos ocurridos en El Aro.   El  11  de  abril  de  2000  la  Comisión,  de</w:t>
        <w:br/>
        <w:t>conformidad con su Reglamento, abrió un trámite  bajo  el  número  12.226  y</w:t>
        <w:br/>
        <w:t>solicitó al Estado la información pertinente.</w:t>
        <w:br/>
        <w:br/>
        <w:t>9.    El 10 de octubre de 2001 la Comisión  aprobó  el  informe  No.  75/01,</w:t>
        <w:br/>
        <w:t>mediante el cual declaró admisible el caso.  El 14 de noviembre de  2001  la</w:t>
        <w:br/>
        <w:t>Comisión se puso a disposición de las partes con el objeto de  alcanzar  una</w:t>
        <w:br/>
        <w:t>solución amistosa.</w:t>
        <w:br/>
        <w:br/>
        <w:t xml:space="preserve">   c. Acumulación de los casos 12.050 (La Granja) y 12.226 (El Aro)</w:t>
        <w:br/>
        <w:br/>
        <w:t>10.   En vista de la identidad entre los peticionarios de los  casos  12.050</w:t>
        <w:br/>
        <w:t>y 12.266, así como el contexto que precedió los hechos denunciados en  ambos</w:t>
        <w:br/>
        <w:t>casos, la relación secuencial de las violaciones denunciadas  y  su  impacto</w:t>
        <w:br/>
        <w:t>en dos corregimientos  del  municipio  de  Ituango  en  el  departamento  de</w:t>
        <w:br/>
        <w:t>Antioquia, la Comisión procedió a acumular ambos casos para  efectos  de  la</w:t>
        <w:br/>
        <w:t>decisión sobre el fondo.</w:t>
        <w:br/>
        <w:br/>
        <w:t>11.   El 11 de marzo de 2004, al no llegar a soluciones amistosas en  dichos</w:t>
        <w:br/>
        <w:t>casos, la Comisión, de conformidad con  el  artículo  50  de  la  Convención</w:t>
        <w:br/>
        <w:t>Americana, aprobó el Informe acumulado No. 23/04, mediante  el  cual  señaló</w:t>
        <w:br/>
        <w:t>que el Estado colombiano era responsable por la violación  de  los  derechos</w:t>
        <w:br/>
        <w:t>consagrados en los siguientes artículos de dicho instrumento:</w:t>
        <w:br/>
        <w:br/>
        <w:t xml:space="preserve"> a) 1.1 (Obligación de Respetar los Derechos), 4 (Derecho a la  Vida),  8.1</w:t>
        <w:br/>
        <w:t xml:space="preserve">    (Garantías Judiciales) y 25  (Protección  Judicial)  de  la  Convención</w:t>
        <w:br/>
        <w:t xml:space="preserve">    Americana, en perjuicio de los señores William Villa  García,  Graciela</w:t>
        <w:br/>
        <w:t xml:space="preserve">    Arboleda (viuda de García)  y  Héctor  Hernán  Correa  García,  quienes</w:t>
        <w:br/>
        <w:t xml:space="preserve">    perdieron la vida en los hechos ocurridos en  el  corregimiento  de  La</w:t>
        <w:br/>
        <w:t xml:space="preserve">    Granja;</w:t>
        <w:br/>
        <w:t xml:space="preserve"> b) 1.1 (Obligación de Respetar los Derechos), 4 (Derecho  a  la  Vida),  7</w:t>
        <w:br/>
        <w:t xml:space="preserve">    (Derecho a la Libertad  Personal),  8.1  (Garantías  Judiciales)  y  25</w:t>
        <w:br/>
        <w:t xml:space="preserve">    (Protección Judicial), en perjuicio del señor Jairo Sepúlveda;</w:t>
        <w:br/>
        <w:t xml:space="preserve"> c) 1.1 (Obligación de Respetar los Derechos), 4 (Derecho a la  Vida),  8.1</w:t>
        <w:br/>
        <w:t xml:space="preserve">    (Garantías Judiciales) y 25 (Protección Judicial) de la Convención,  en</w:t>
        <w:br/>
        <w:t xml:space="preserve">    perjuicio de Arnulfo Sánchez, José Darío Martínez,  Olcris  Fail  Díaz,</w:t>
        <w:br/>
        <w:t xml:space="preserve">    Omar de Jesús Ortiz Carmona, Fabio Antonio Zuleta  Zabala,  Otoniel  de</w:t>
        <w:br/>
        <w:t xml:space="preserve">    Jesús Tejada Jaramillo, Omar Iván Gutiérrez  Nohavá,  Guillermo  Andrés</w:t>
        <w:br/>
        <w:t xml:space="preserve">    Mendoza Posso, Nelson de Jesús Palacio Cárdenas, Luis  Modesto  Múnera,</w:t>
        <w:br/>
        <w:t xml:space="preserve">    Dora Luz Areiza y Alberto Correa, sumados al artículo 19 (Derechos  del</w:t>
        <w:br/>
        <w:t xml:space="preserve">    Niño) del mismo tratado, en perjuicio del niño Wilmar de Jesús Restrepo</w:t>
        <w:br/>
        <w:t xml:space="preserve">    Torres, quienes perdieron  la  vida  en  los  hechos  ocurridos  en  el</w:t>
        <w:br/>
        <w:t xml:space="preserve">    corregimiento de El Aro;</w:t>
        <w:br/>
        <w:t xml:space="preserve"> d) 1.1 (Obligación de Respetar los Derechos), 4 (Derecho  a  la  Vida),  5</w:t>
        <w:br/>
        <w:t xml:space="preserve">    (Derecho a la Integridad Personal), 7 (Derecho a la Libertad Personal),</w:t>
        <w:br/>
        <w:t xml:space="preserve">    8.1 (Garantías Judiciales) y 25 (Protección Judicial), en perjuicio  de</w:t>
        <w:br/>
        <w:t xml:space="preserve">    Marco Aurelio Areiza y Rosa Areiza Barrera; y</w:t>
        <w:br/>
        <w:t xml:space="preserve"> e) 21 (Derecho a la Propiedad) de la Convención Americana,  “en  perjuicio</w:t>
        <w:br/>
        <w:t xml:space="preserve">    de las familias identificadas […] en el párrafo 98 [de  dicho  informe]</w:t>
        <w:br/>
        <w:t xml:space="preserve">    damnificadas por los incendios y el robo de semovientes  instigado  por</w:t>
        <w:br/>
        <w:t xml:space="preserve">    los grupos paramilitares en El Aro, con la aquiescencia y  colaboración</w:t>
        <w:br/>
        <w:t xml:space="preserve">    de  agentes  del  Estado”.   Las   familias   identificadas   por   los</w:t>
        <w:br/>
        <w:t xml:space="preserve">    peticionarios y que aparecen en el párrafo 98 del referido informe son:</w:t>
        <w:br/>
        <w:t xml:space="preserve">    “Jesús María Restrepo y familia, Jahel Ester Arroyave y familia, Danilo</w:t>
        <w:br/>
        <w:t xml:space="preserve">    Tejada Jaramillo y familia, Mercedes Rosa Pérez y familia, María Esther</w:t>
        <w:br/>
        <w:t xml:space="preserve">    Orrego y familia, Rosa  María  Nohava  y  familia,  Libardo  Mendoza  y</w:t>
        <w:br/>
        <w:t xml:space="preserve">    familia, Myriam Lucía Areiza y familia, María Gloria Granda y  familia,</w:t>
        <w:br/>
        <w:t xml:space="preserve">    Martha Oliva Calle y familia, Magdalena Zabala y familia, Oswaldo  Pino</w:t>
        <w:br/>
        <w:t xml:space="preserve">    y familia, Luis Humberto Mendoza y  familia,  José  Dionisio  García  y</w:t>
        <w:br/>
        <w:t xml:space="preserve">    familia, Abdón Emilio Posada y familia, María Resfa Posso de  Areiza  y</w:t>
        <w:br/>
        <w:t xml:space="preserve">    familia, José Edilberto  Martínez  Restrepo  y  familia,  Omar  Alfredo</w:t>
        <w:br/>
        <w:t xml:space="preserve">    Torres Jaramillo y familia, Ricardo Alfredo Builes  y  familia,  Javier</w:t>
        <w:br/>
        <w:t xml:space="preserve">    García y familia, Bernardo María Jiménez  Lopera  y  familia,  Gilberto</w:t>
        <w:br/>
        <w:t xml:space="preserve">    Lopera y familia, Ramón Posada y familia, como víctimas de la violación</w:t>
        <w:br/>
        <w:t xml:space="preserve">    del derecho a la propiedad privada. Sin embargo [los representantes] no</w:t>
        <w:br/>
        <w:t xml:space="preserve">    aclara[ron] la relación individual o colectiva de  estas  personas  con</w:t>
        <w:br/>
        <w:t xml:space="preserve">    los bienes destruidos o sustraídos como consecuencia  del  accionar  de</w:t>
        <w:br/>
        <w:t xml:space="preserve">    grupos paramilitares y agentes del Estado”.</w:t>
        <w:br/>
        <w:br/>
        <w:t>12.   En dicho informe, la Comisión formuló determinadas recomendaciones.</w:t>
        <w:br/>
        <w:br/>
        <w:t>13.   El 30 de abril de 2004 la Comisión transmitió el informe de  fondo  al</w:t>
        <w:br/>
        <w:t>Estado y le otorgó un plazo de  dos  meses  para  que  informara  sobre  las</w:t>
        <w:br/>
        <w:t>medidas adoptadas para cumplir con  las  recomendaciones  formuladas  en  el</w:t>
        <w:br/>
        <w:t>mismo.</w:t>
        <w:br/>
        <w:br/>
        <w:t>14.   El 30 de julio de 2004 la Comisión, ante el incumplimiento del  Estado</w:t>
        <w:br/>
        <w:t>colombiano con las recomendaciones del informe aprobado de  acuerdo  con  el</w:t>
        <w:br/>
        <w:t>artículo 50 de la Convención, decidió someter el caso a la Corte.</w:t>
        <w:br/>
        <w:br/>
        <w:t xml:space="preserve">                                     IV</w:t>
        <w:br/>
        <w:t xml:space="preserve">                         Procedimiento ante la Corte</w:t>
        <w:br/>
        <w:br/>
        <w:t>15.   La Comisión presentó la demanda ante la Corte Interamericana el 30  de</w:t>
        <w:br/>
        <w:t>julio de 2004 (supra párr.  1),  a  la  cual  adjuntó  prueba  documental  y</w:t>
        <w:br/>
        <w:t>ofreció prueba testimonial y pericial. La Comisión designó como delegados  a</w:t>
        <w:br/>
        <w:t>la señora Susana Villarán y al señor Santiago A.  Canton,  y  como  asesores</w:t>
        <w:br/>
        <w:t>legales al señor Ariel Dulitzky  y  a  las  señoras  Verónica  Gómez,  Norma</w:t>
        <w:br/>
        <w:t>Colledani y Lilly Ching.</w:t>
        <w:br/>
        <w:br/>
        <w:t>16.   El 15 de septiembre de 2004 la Secretaría de  la  Corte  (en  adelante</w:t>
        <w:br/>
        <w:t>“la Secretaría”), previo examen preliminar de la demanda  realizado  por  el</w:t>
        <w:br/>
        <w:t>Presidente de la Corte (en adelante “el Presidente”), la notificó junto  con</w:t>
        <w:br/>
        <w:t>sus anexos a los representantes de las presuntas víctimas y  sus  familiares</w:t>
        <w:br/>
        <w:t>y al Estado.  A este  último  también  le  informó  sobre  los  plazos  para</w:t>
        <w:br/>
        <w:t>contestarla y designar su representación en el proceso.  Ese  mismo  día  la</w:t>
        <w:br/>
        <w:t>Secretaría, siguiendo instrucciones del Presidente, informó al Estado de  su</w:t>
        <w:br/>
        <w:t>derecho a designar un Juez ad hoc en el presente caso.</w:t>
        <w:br/>
        <w:br/>
        <w:t>17.   El 12 de noviembre de 2004 el Estado designó a  los  señores  Fernando</w:t>
        <w:br/>
        <w:t>Arboleda Ripoll, Felipe  Piquero  y  Luz  Marina  Gil  como  agente,  agente</w:t>
        <w:br/>
        <w:t>alterno y  asesora,  respectivamente.   Asimismo,  propuso  al  señor  Jaime</w:t>
        <w:br/>
        <w:t>Enrique Granados Peña como Juez ad hoc.</w:t>
        <w:br/>
        <w:br/>
        <w:t>18.   El 15 de noviembre de 2004 los representantes  remitieron  su  escrito</w:t>
        <w:br/>
        <w:t>de solicitudes, argumentos y pruebas (en adelante “escrito de solicitudes  y</w:t>
        <w:br/>
        <w:t>argumentos”), al cual acompañaron  prueba  documental  y  ofrecieron  prueba</w:t>
        <w:br/>
        <w:t>testimonial y  pericial.   En  dicho  escrito  anunciaron  que  “incluir[ían</w:t>
        <w:br/>
        <w:t>presuntas] víctimas adicionales  por  las  [supuestas]  violaciones  de  los</w:t>
        <w:br/>
        <w:t>derechos alegados” por la Comisión, así como “nuevas [presuntas] víctimas  y</w:t>
        <w:br/>
        <w:t>nuevos derechos [presuntamente] vulnerados no  contenidos  en  la  demanda”.</w:t>
        <w:br/>
        <w:t>En  este  sentido,  los  representantes  solicitaron   que   la   Corte   se</w:t>
        <w:br/>
        <w:t>pronunciara, además de los derechos  argumentados  por  la  Comisión  (supra</w:t>
        <w:br/>
        <w:t>párr. 3), sobre las presuntas violaciones de  los  derechos  consagrados  en</w:t>
        <w:br/>
        <w:t>los siguientes artículos de la Convención Americana:</w:t>
        <w:br/>
        <w:br/>
        <w:t xml:space="preserve"> a)  5.1  (Derecho  a  la  Integridad  Personal),  “en  perjuicio  de   las</w:t>
        <w:br/>
        <w:t xml:space="preserve">    [presuntas] víctimas ejecutadas [(supra párr. 3.a)] y sus familiares”;</w:t>
        <w:br/>
        <w:t xml:space="preserve"> b)  5.1  (Derecho  a  la  integridad  Personal),  “en  perjuicio  de   las</w:t>
        <w:br/>
        <w:t xml:space="preserve">    [presuntas] víctimas de desplazamiento  forzado  [(infra  párr  18.f)],</w:t>
        <w:br/>
        <w:t xml:space="preserve">    trabajos forzosos [(infra párr 18.c)] y […] pérdida de  bienes  [(infra</w:t>
        <w:br/>
        <w:t xml:space="preserve">    párr 18.e)]”;</w:t>
        <w:br/>
        <w:t xml:space="preserve"> c) 6 (Prohibición de la Esclavitud y Servidumbre),  en  perjuicio  de  los</w:t>
        <w:br/>
        <w:t xml:space="preserve">    señores Noveiri Antonio Jiménez Jiménez, Francisco Osvaldo Pino Posada,</w:t>
        <w:br/>
        <w:t xml:space="preserve">    Rodrigo Alberto Mendoza Posso y Omar Alfredo Torres Jaramillo.   Además</w:t>
        <w:br/>
        <w:t xml:space="preserve">    en perjuicio de los señores Milciades De Jesús Crespo, Ricardo Barrera,</w:t>
        <w:br/>
        <w:t xml:space="preserve">    Gilberto Lopera, Argemiro Echavarría, José Luis Palacio, Román Salazar,</w:t>
        <w:br/>
        <w:t xml:space="preserve">    William Chavarría,  Libardo  Carvajal,  Eduardo  Rua,  Eulicio  García,</w:t>
        <w:br/>
        <w:t xml:space="preserve">    Alberto Lopera “y de  aquellas  personas  [presuntamente]  obligadas  a</w:t>
        <w:br/>
        <w:t xml:space="preserve">    trabajos forzados cuya identidad se establezca en el proceso”;</w:t>
        <w:br/>
        <w:t xml:space="preserve"> d) 7 (Derecho a la Libertad Personal), en perjuicio de los  señores  Jairo</w:t>
        <w:br/>
        <w:t xml:space="preserve">    Sepúlveda, Marco Aurelio Areiza, Rosa Areiza,  Francisco  Osvaldo  Pino</w:t>
        <w:br/>
        <w:t xml:space="preserve">    Posada, Omar Alfredo Torres Jaramillo, Rodrigo Alberto Mendoza Posso  y</w:t>
        <w:br/>
        <w:t xml:space="preserve">    Noveiri Antonio Jiménez Jiménez.  Además en perjuicio  de  los  señores</w:t>
        <w:br/>
        <w:t xml:space="preserve">    Milciades De Jesús Crespo, Ricardo Barrera, Gilberto  Lopera,  Argemiro</w:t>
        <w:br/>
        <w:t xml:space="preserve">    Echavarría,  José  Luis  Palacio,  Román  Salazar,  William  Chavarría,</w:t>
        <w:br/>
        <w:t xml:space="preserve">    Libardo Carvajal, Eduardo Rua, Eulicio García,  Alberto  Lopera  “y  de</w:t>
        <w:br/>
        <w:t xml:space="preserve">    aquellas personas [presuntamente] obligadas a  trabajos  forzados  cuya</w:t>
        <w:br/>
        <w:t xml:space="preserve">    identidad se establezca en el proceso”;</w:t>
        <w:br/>
        <w:t xml:space="preserve"> e) 21 (Derecho a la Propiedad Privada), en perjuicio de los  señores  Luis</w:t>
        <w:br/>
        <w:t xml:space="preserve">    Humberto Mendoza Arroyave,  Libardo  Mendoza,  Francisco  Osvaldo  Pino</w:t>
        <w:br/>
        <w:t xml:space="preserve">    Posada,  Omar  Alfredo  Torres  Jaramillo,   Ricardo   Alfredo   Builes</w:t>
        <w:br/>
        <w:t xml:space="preserve">    Echeverri, Bernardo María Jiménez Lopera, María  Edilma  Torres,  María</w:t>
        <w:br/>
        <w:t xml:space="preserve">    Esther Jaramillo Torres, Francisco Eladio Ortiz Bedoya, Gustavo  Adolfo</w:t>
        <w:br/>
        <w:t xml:space="preserve">    Torres Jaramillo; de los herederos de  la  sucesión  el  señor  Arcadio</w:t>
        <w:br/>
        <w:t xml:space="preserve">    Londoño,  su  esposa  e  hijos:  María  Frecedis  Aristizábal  Cuartas,</w:t>
        <w:br/>
        <w:t xml:space="preserve">    Angélica María Londoño Aristizábal y Juan Manuel Londoño Aristizábal, y</w:t>
        <w:br/>
        <w:t xml:space="preserve">    de los herederos del señor Marco Aurelio Areiza Osorio,  son  ellos  su</w:t>
        <w:br/>
        <w:t xml:space="preserve">    esposa e hijos: Carlina  Tobón,  Lilian  Amparo,  Miriam  Lucía,  Mario</w:t>
        <w:br/>
        <w:t xml:space="preserve">    Alberto, Johny Aurelio y Gabriela Patricia Areiza Tobón.  Además de las</w:t>
        <w:br/>
        <w:t xml:space="preserve">    siguientes personas:  Argemiro  Arango,  Antonio  Muñoz,  Miguel  Angel</w:t>
        <w:br/>
        <w:t xml:space="preserve">    Echavarría, Alfonso Gómez, Hilda  Uribe,  Jesús  García  y  “las  demás</w:t>
        <w:br/>
        <w:t xml:space="preserve">    personas que perdieron propiedades y ganado, que se identifiquen en  el</w:t>
        <w:br/>
        <w:t xml:space="preserve">    transcurso del proceso”; y</w:t>
        <w:br/>
        <w:t xml:space="preserve"> f) 22.1 (Derecho de Circulación y de  Residencia),  en  perjuicio  de  los</w:t>
        <w:br/>
        <w:t xml:space="preserve">    señores María Libia  García  De  Correa,  Adán  Enrique  Correa  García</w:t>
        <w:br/>
        <w:t xml:space="preserve">    (Fallecido), Dora Luz Correa García, Mónica Liney Arango  Correa,  Ever</w:t>
        <w:br/>
        <w:t xml:space="preserve">    Andrés Arango Correa, Olga Regina Correa García, Yolima  Sirley  Zapata</w:t>
        <w:br/>
        <w:t xml:space="preserve">    Correa, Rodrigo Alexander Zapata Correa, Adrián Felipe  Zapata  Correa,</w:t>
        <w:br/>
        <w:t xml:space="preserve">    Olga Elena Zapata Correa, Sergio Andrés Zapata  Correa,  Jorge  Enrique</w:t>
        <w:br/>
        <w:t xml:space="preserve">    Correa García, Nubia De Los Dolores Correa García, Marta Cecilia  Ochoa</w:t>
        <w:br/>
        <w:t xml:space="preserve">    Correa, Mario Enrique Ochoa Correa, Javier Mauricio Ochoa Correa,  Luis</w:t>
        <w:br/>
        <w:t xml:space="preserve">    Gonzalo Correa García, Olga Cristina Correa Tobón, María  Elena  Correa</w:t>
        <w:br/>
        <w:t xml:space="preserve">    Tobón, Samuel Antonio Correa García,  María  Edilma  Torres  Jaramillo,</w:t>
        <w:br/>
        <w:t xml:space="preserve">    Miladis Del Carmen Restrepo  Torres,  Luis  Ufrán  Areiza  Posso,  Jael</w:t>
        <w:br/>
        <w:t xml:space="preserve">    Esther Arroyave Posso, Servando Antonio Areiza Pino, María Resfa  Posso</w:t>
        <w:br/>
        <w:t xml:space="preserve">    De Areiza, Nohelia Estella  Areiza  Arroyave,  Freidon  Esteban  Areiza</w:t>
        <w:br/>
        <w:t xml:space="preserve">    Arroyave, Robinson Argiro Areiza Arroyave, María Doralba Areiza  Posso,</w:t>
        <w:br/>
        <w:t xml:space="preserve">    Georgina Areiza Posso, Ligia Amanda Areiza Posso, María Bernarda Areiza</w:t>
        <w:br/>
        <w:t xml:space="preserve">    Posso, María Esther Orrego, María Elena Martínez Orrego,  Rosa  Delfina</w:t>
        <w:br/>
        <w:t xml:space="preserve">    Martínez Orrego, Carlos Arturo Martínez Orrego, José Edilberto Martínez</w:t>
        <w:br/>
        <w:t xml:space="preserve">    Orrego, Edilson Darío Orrego,  William  Andrés  Orrego,  Mercedes  Rosa</w:t>
        <w:br/>
        <w:t xml:space="preserve">    Patiño Orrego, Eligio Pérez  Aguirre,  Yamilcen  Eunice  Pérez  Areiza,</w:t>
        <w:br/>
        <w:t xml:space="preserve">    Julio Eliver Pérez Areiza, Eligio De Jesús Pérez  Areiza,  Omar  Daniel</w:t>
        <w:br/>
        <w:t xml:space="preserve">    Pérez Areiza, Ligia Lucía Pérez Areiza, Luis Humberto Mendoza Arroyave,</w:t>
        <w:br/>
        <w:t xml:space="preserve">    Fanny Del Socorro  Garro  Molina,  Juan  Carlos  Mendoza  Garro,  Fanny</w:t>
        <w:br/>
        <w:t xml:space="preserve">    Eugenia Mendoza Garro, Bernardo María Jiménez Lopera, Eugenio De  Jesús</w:t>
        <w:br/>
        <w:t xml:space="preserve">    Jiménez Jiménez, Emérida Del Carmen Jiménez, Rosa Adela Jiménez  Serna,</w:t>
        <w:br/>
        <w:t xml:space="preserve">    Nicanor De Jesús Jiménez Jiménez, Otoniel De  Jesús  Jiménez,  Diomedes</w:t>
        <w:br/>
        <w:t xml:space="preserve">    Javier Jiménez Jiménez, Beatriz Elena Jiménez  Jiménez,  Luis  Bernardo</w:t>
        <w:br/>
        <w:t xml:space="preserve">    Jiménez, Héctor José Jiménez, María Natividad Jiménez  Jiménez,  Fabián</w:t>
        <w:br/>
        <w:t xml:space="preserve">    De Jesús Jiménez Jiménez, Eleazar De  Jesús  Jiménez  Jiménez,  Noveiri</w:t>
        <w:br/>
        <w:t xml:space="preserve">    Antonio Jiménez Jiménez, María Esther Jaramillo Torres, Lucelly  Amparo</w:t>
        <w:br/>
        <w:t xml:space="preserve">    Posso Múnera, Omar Alfredo  Torres  Jaramillo  y  Rocío  Amparo  Posada</w:t>
        <w:br/>
        <w:t xml:space="preserve">    Molina.  “Además de todas las personas  de  quienes  se  establezca  la</w:t>
        <w:br/>
        <w:t xml:space="preserve">    identidad y que hayan sufrido desplazamiento forzado”.</w:t>
        <w:br/>
        <w:br/>
        <w:t>Finalmente, los representantes  solicitaron  a  la  Corte  que  ordenara  al</w:t>
        <w:br/>
        <w:t>Estado que adopte una serie  de  medidas  de  reparación  pecuniarias  y  no</w:t>
        <w:br/>
        <w:t>pecuniarias, así como el pago  de  las  costas  y  gastos  generados  en  la</w:t>
        <w:br/>
        <w:t>tramitación del caso ante el Sistema Interamericano  de  Protección  de  los</w:t>
        <w:br/>
        <w:t>Derechos Humanos.</w:t>
        <w:br/>
        <w:br/>
        <w:t>19.   El 14 de enero de 2005 el Estado presentó su escrito de  interposición</w:t>
        <w:br/>
        <w:t>de excepciones preliminares, contestación de la demanda y  observaciones  al</w:t>
        <w:br/>
        <w:t>escrito de solicitudes y  argumentos  de  los  representantes  (en  adelante</w:t>
        <w:br/>
        <w:t>“contestación de la demanda”), al cual adjuntó prueba documental  y  ofreció</w:t>
        <w:br/>
        <w:t>prueba testimonial y pericial. En  dicho  escrito  el  Estado  “acept[ó]  su</w:t>
        <w:br/>
        <w:t>responsabilidad  internacional  por  la  infracción  de  la  obligación   de</w:t>
        <w:br/>
        <w:t>respeto, en cuanto  toca  con  la  violación  de  los  derechos  a  la  vida</w:t>
        <w:br/>
        <w:t>[artículo 4 de la Convención Americana], a la integridad personal  [artículo</w:t>
        <w:br/>
        <w:t>5 de la Convención Americana], a la libertad  personal  [artículo  7  de  la</w:t>
        <w:br/>
        <w:t>Convención  Americana]  y  a  la  propiedad  privada  [artículo  21  de   la</w:t>
        <w:br/>
        <w:t>Convención Americana]” de aquellas personas señaladas en la  demanda  (supra</w:t>
        <w:br/>
        <w:t>párrs. 1 y 3).</w:t>
        <w:br/>
        <w:br/>
        <w:t>20.   El Estado señaló que, “en consecuencia con los  hechos  y  violaciones</w:t>
        <w:br/>
        <w:t>reconocidos en la contestación de la demanda  se  enc[ontraba]  dispuesto  a</w:t>
        <w:br/>
        <w:t>presentar una propuesta reparatoria concertada  con  los  peticionarios  que</w:t>
        <w:br/>
        <w:t>acredit[aran] debidamente su posición”.  Asímismo  el  Estado  “afirm[ó]  no</w:t>
        <w:br/>
        <w:t>haber incumplido deber convencional alguno  derivado”  de  los  artículos  6</w:t>
        <w:br/>
        <w:t>(Prohibición de la Esclavitud y Servidumbre), 19  (Derechos  del  Niño),  22</w:t>
        <w:br/>
        <w:t>(Derecho de Circulación y de Residencia),  8  (Garantías  Judiciales)  y  25</w:t>
        <w:br/>
        <w:t>(Protección  Judicial)  de  la  Convención  Americana.   Además,  el  Estado</w:t>
        <w:br/>
        <w:t>interpuso  una  excepción  preliminar  basada  en  la  supuesta   falta   de</w:t>
        <w:br/>
        <w:t>agotamiento de los recursos internos.</w:t>
        <w:br/>
        <w:br/>
        <w:t>21.   El 24 de febrero de 2005 los representantes presentaron  sus  alegatos</w:t>
        <w:br/>
        <w:t>sobre la excepción preliminar interpuesta por el Estado.</w:t>
        <w:br/>
        <w:br/>
        <w:t>22.   El 7 de marzo de 2005 la Comisión remitió sus alegatos escritos  sobre</w:t>
        <w:br/>
        <w:t>la excepción preliminar interpuesta por el Estado.</w:t>
        <w:br/>
        <w:br/>
        <w:t>23.   El 28 de julio de 2005 se notificó a  las  partes  la  Resolución  del</w:t>
        <w:br/>
        <w:t>Presidente de la Corte  (en  adelante  “el  Presidente”)  mediante  la  cual</w:t>
        <w:br/>
        <w:t>decidió convocar a las partes  a  una  audiencia  pública  en  la  sede  del</w:t>
        <w:br/>
        <w:t>Tribunal el 22 de septiembre de 2005, para  escuchar  las  declaraciones  de</w:t>
        <w:br/>
        <w:t>los testigos y peritos propuestos por las partes (infra párr. 42), así  como</w:t>
        <w:br/>
        <w:t>los alegatos finales orales  sobre  la  excepción  preliminar  y  eventuales</w:t>
        <w:br/>
        <w:t>fondo, reparaciones y costas.  Asimismo, en dicha Resolución  el  Presidente</w:t>
        <w:br/>
        <w:t>requirió que siete personas[1] propuestas como  testigos  por  la  Comisión;</w:t>
        <w:br/>
        <w:t>diez personas[2] propuestas como testigos  por  los  representantes,  y  los</w:t>
        <w:br/>
        <w:t>señores Bjorn Pettersson y Alfredo De los Ríos, propuestos como peritos  por</w:t>
        <w:br/>
        <w:t>los representantes, y el señor Hernán Sanín Posada,  propuesto  como  perito</w:t>
        <w:br/>
        <w:t>por  el  Estado,  prestaran  sus  testimonios  y  peritajes  a   través   de</w:t>
        <w:br/>
        <w:t>declaraciones  rendidas  ante  fedatario  público  (affidávits).  En   dicha</w:t>
        <w:br/>
        <w:t>Resolución, el Presidente rechazó por extemporáneo el testimonio  del  señor</w:t>
        <w:br/>
        <w:t>Jaime Jaramillo Panesso, propuesto por el Estado, y solicitó al  Estado  que</w:t>
        <w:br/>
        <w:t>remitiera el nombre de la persona cuya declaración  ofrecía  en  calidad  de</w:t>
        <w:br/>
        <w:t>Vicefiscal General de la Nación. Además, en esta  Resolución  el  Presidente</w:t>
        <w:br/>
        <w:t>comunicó a las partes que contaban con plazo hasta el 24 de octubre de  2005</w:t>
        <w:br/>
        <w:t>para presentar sus alegatos finales escritos sobre la  excepción  preliminar</w:t>
        <w:br/>
        <w:t>y eventuales fondo, reparaciones y costas.</w:t>
        <w:br/>
        <w:br/>
        <w:t>24.   El 4 de agosto de 2005 el Estado informó que el nombre de  la  persona</w:t>
        <w:br/>
        <w:t>cuya declaración ofrecía en calidad de Vicefiscal General de la  Nación  era</w:t>
        <w:br/>
        <w:t>Jorge Armando Otalora Gómez.</w:t>
        <w:br/>
        <w:br/>
        <w:t>25.   El 5 de agosto de  2005  el  Estado  solicitó  la  revocatoria  de  la</w:t>
        <w:br/>
        <w:t>decisión  de  rechazar  por  extemporáneo  el  testimonio  del  señor  Jaime</w:t>
        <w:br/>
        <w:t>Jaramillo Panesso contenida en la Resolución del Presidente de 28  de  julio</w:t>
        <w:br/>
        <w:t>de 2005 (supra párr. 23).</w:t>
        <w:br/>
        <w:br/>
        <w:t>26.   El 9 de agosto de 2005, siguiendo  instrucciones  del  Presidente,  se</w:t>
        <w:br/>
        <w:t>otorgó un plazo improrrogable de 3 días, contado a partir  de  la  recepción</w:t>
        <w:br/>
        <w:t>de la comunicación estatal de 5 de agosto de 2005, para que  la  Comisión  y</w:t>
        <w:br/>
        <w:t>los representantes presentaran las observaciones que estimaran  pertinentes.</w:t>
        <w:br/>
        <w:br/>
        <w:br/>
        <w:t>27.   El 12 de agosto de 2005 la  Comisión  presentó  sus  observaciones  al</w:t>
        <w:br/>
        <w:t>ofrecimiento del testigo Jorge Armando Otalora Gómez, Vicefiscal General  de</w:t>
        <w:br/>
        <w:t>la Nación, así como a la solicitud de revocatoria por parte  del  Estado  de</w:t>
        <w:br/>
        <w:t>la decisión de rechazar por  extemporáneo  el  testimonio  del  señor  Jaime</w:t>
        <w:br/>
        <w:t>Jaramillo Panesso contenida en la Resolución del Presidente de la  Corte  de</w:t>
        <w:br/>
        <w:t>28 de julio de 2005 (supra párr. 23).</w:t>
        <w:br/>
        <w:br/>
        <w:t>28.   El 19 de agosto de 2005 se notificó a las partes  una  Resolución  del</w:t>
        <w:br/>
        <w:t>Presidente de  la  Corte,  mediante  la  cual  se  convocó  a  los  testigos</w:t>
        <w:br/>
        <w:t>ofrecidos por el Estado, los señores Jorge Armando  Otalora  Gómez  y  Jaime</w:t>
        <w:br/>
        <w:t>Jaramillo Panesso, a que rindieran sus testimonios a través  de  declaración</w:t>
        <w:br/>
        <w:t>rendida ante fedatario público (affidávit), a más tardar el 2 de  septiembre</w:t>
        <w:br/>
        <w:t>de 2005.</w:t>
        <w:br/>
        <w:br/>
        <w:t>29.    El  19  de  agosto  de  2005  los  representantes   presentaron   sus</w:t>
        <w:br/>
        <w:t>observaciones a la solicitud de revocatoria  por  parte  del  Estado  de  la</w:t>
        <w:br/>
        <w:t>decisión  de  rechazar  por  extemporáneo  el  testimonio  del  señor  Jaime</w:t>
        <w:br/>
        <w:t>Jaramillo Panesso contenida en la Resolución del Presidente de la  Corte  de</w:t>
        <w:br/>
        <w:t>28 de julio de 2005 (supra párr. 23).  Las  referidas  observaciones  fueron</w:t>
        <w:br/>
        <w:t>recibidas en la Secretaría después de la notificación de la  Resolución  del</w:t>
        <w:br/>
        <w:t>Presidente de la Corte de 19 de agosto  de  2005,  motivo  por  el  cual  el</w:t>
        <w:br/>
        <w:t>referido escrito se rechazó por extemporáneo.</w:t>
        <w:br/>
        <w:br/>
        <w:t>30.   El 22 de agosto de 2005 el Estado presentó el  peritaje  rendido  ante</w:t>
        <w:br/>
        <w:t>fedatario público (affidávit) por el señor Hernán Sanín Posada.   El  16  de</w:t>
        <w:br/>
        <w:t>septiembre de 2005 el Estado presentó el original  y  los  anexos  de  dicho</w:t>
        <w:br/>
        <w:t>peritaje.</w:t>
        <w:br/>
        <w:br/>
        <w:t>31.    El  22  de  agosto  de  2005  los  representantes   presentaron   las</w:t>
        <w:br/>
        <w:t>declaraciones juradas de las diez personas que  fueran  solicitadas  por  el</w:t>
        <w:br/>
        <w:t>Presidente mediante la Resolución de 28 de julio  de  2005[3]  (supra  párr.</w:t>
        <w:br/>
        <w:t>23), así como el peritaje rendido ante fedatario público (affidávit) por  el</w:t>
        <w:br/>
        <w:t>señor Alfredo de los Ríos.</w:t>
        <w:br/>
        <w:br/>
        <w:t>32.   El 23 de  agosto  de  2005  la  Comisión  presentó  las  declaraciones</w:t>
        <w:br/>
        <w:t>juradas de seis personas que fueran solicitadas  por el Presidente  mediante</w:t>
        <w:br/>
        <w:t>la Resolución de 28 de julio  de  2005[4]  (supra  párr.  23).   Además,  la</w:t>
        <w:br/>
        <w:t>Comisión informó que desistía de la presentación de una declaración.</w:t>
        <w:br/>
        <w:br/>
        <w:t>33.    El  31   de   agosto   de   2005   los   representantes   solicitaron</w:t>
        <w:br/>
        <w:t>reconsideración de la Resolución del Presidente de la Corte de 28  de  julio</w:t>
        <w:br/>
        <w:t>de 2005, en lo que respecta a la forma de  recibir  el  peritaje  del  señor</w:t>
        <w:br/>
        <w:t>Bjorn Pettersson y, en sustitución a la  decisión  de  recibir  su  peritaje</w:t>
        <w:br/>
        <w:t>ante fedatario público,  éste  fuera  convocado  para  rendir  el  mismo  en</w:t>
        <w:br/>
        <w:t>audiencia pública.  Siguiendo instrucciones del Presidente, se otorgó  plazo</w:t>
        <w:br/>
        <w:t>hasta el 5  de  septiembre  de  2005  para  que  la  Comisión  y  el  Estado</w:t>
        <w:br/>
        <w:t>presentaran las observaciones que estimaran pertinentes.</w:t>
        <w:br/>
        <w:br/>
        <w:t>34.   El 6 de septiembre de 2005 la Comisión presentó sus  observaciones  al</w:t>
        <w:br/>
        <w:t>ofrecimiento del peritaje del señor Bjorn Pettersson en audiencia pública.</w:t>
        <w:br/>
        <w:br/>
        <w:t>35.   El 8 de septiembre de 2005 se informó a las partes  que  la  Corte  no</w:t>
        <w:br/>
        <w:t>estimaba necesario cambiar la forma de recibir el peritaje del  señor  Bjorn</w:t>
        <w:br/>
        <w:t>Petterson.  Sin embargo, el Tribunal decidió otorgar una prórroga  hasta  el</w:t>
        <w:br/>
        <w:t>20 de septiembre de  2005  para  que  los  representantes  remitieran  dicho</w:t>
        <w:br/>
        <w:t>peritaje mediante declaración jurada rendida ante fedatario público.</w:t>
        <w:br/>
        <w:br/>
        <w:t>36.   El 8 de septiembre de 2005 el Estado presentó sus observaciones a  las</w:t>
        <w:br/>
        <w:t>declaraciones testimoniales y periciales remitidas por  la  Comisión  y  los</w:t>
        <w:br/>
        <w:t>representantes. En dicho  escrito  el  Estado  señaló  que  los  testimonios</w:t>
        <w:br/>
        <w:t>presentados por la Comisión y  los  representantes,  así  como  el  peritaje</w:t>
        <w:br/>
        <w:t>presentado  por  los  representantes,  no  fueron  prestados  a  través   de</w:t>
        <w:br/>
        <w:t>declaración rendida ante fedatario público (affidávit), tal y como lo  prevé</w:t>
        <w:br/>
        <w:t>el Reglamento.</w:t>
        <w:br/>
        <w:br/>
        <w:t>37.   El 9  de  septiembre  de  2005  el  Estado  presentó  los  testimonios</w:t>
        <w:br/>
        <w:t>rendidos ante notario público por los señores Jorge Armando Otalora y  Jaime</w:t>
        <w:br/>
        <w:t>Jaramillo Panesso.</w:t>
        <w:br/>
        <w:br/>
        <w:t>38.   El 14 y 15 de septiembre de 2005 los  representantes  presentaron  sus</w:t>
        <w:br/>
        <w:t>observaciones al peritaje del señor Hernán Sanín Posada y a los  testimonios</w:t>
        <w:br/>
        <w:t>rendidos por los señores Jorge Armando Otalora  y  Jaime  Jaramillo  Panesso</w:t>
        <w:br/>
        <w:t>remitidos por el Estado.</w:t>
        <w:br/>
        <w:br/>
        <w:t>39.   El 14 de septiembre de 2005 la Comisión presentó sus  observaciones  a</w:t>
        <w:br/>
        <w:t>las declaraciones juradas presentadas  al  Tribunal  por  el  Estado  y  los</w:t>
        <w:br/>
        <w:t>representantes (supra párrs. 30, 31 y 37).</w:t>
        <w:br/>
        <w:br/>
        <w:t>40.   El 15 de septiembre de 2005 el  señor  Bjorn  Pettersson  presentó  un</w:t>
        <w:br/>
        <w:t>informe pericial,  en  respuesta  a  lo  solicitado  en  la  Resolución  del</w:t>
        <w:br/>
        <w:t>Presidente de 28 de julio de 2005 (supra párr. 23).</w:t>
        <w:br/>
        <w:br/>
        <w:t>41.   El 20 de septiembre de 2005 el Estado presentó  una  “reiteración  del</w:t>
        <w:br/>
        <w:t>reconocimiento de responsabilidad internacional efectuado en el  escrito  de</w:t>
        <w:br/>
        <w:t>contestación a la demanda”.</w:t>
        <w:br/>
        <w:br/>
        <w:t>42.   El 22 y 23 de  septiembre  de  2005  la  Corte  recibió  en  audiencia</w:t>
        <w:br/>
        <w:t>pública las declaraciones de los testigos y los dictámenes  de  los  peritos</w:t>
        <w:br/>
        <w:t>propuestos por las partes, y  escuchó  los  alegatos  de  la  Comisión,  los</w:t>
        <w:br/>
        <w:t>representantes y del Estado  sobre  la  excepción  preliminar  y  eventuales</w:t>
        <w:br/>
        <w:t>fondo, reparaciones y costas.   Comparecieron  ante  la  Corte:  a)  por  la</w:t>
        <w:br/>
        <w:t>Comisión Interamericana: Susana Villarán, delegada; y los señores Víctor  H.</w:t>
        <w:br/>
        <w:t>Madrigal Borloz, Juan Pablo Albán y las señoras Lilly Ching y Manuela  Cuvi,</w:t>
        <w:br/>
        <w:t>asesores legales; b) por los  representantes:  las  señoras  María  Victoria</w:t>
        <w:br/>
        <w:t>Fallon Morales y Patricia Fuenmayor Gómez, y el señor John  Arturo  Cárdenas</w:t>
        <w:br/>
        <w:t>Mesa, del Grupo Interdisciplinario por los  Derechos  Humanos;  y  el  señor</w:t>
        <w:br/>
        <w:t>Carlos Rodríguez Mejía y la  señora  Luz  Marina  Monzón  Cifuentes,  de  la</w:t>
        <w:br/>
        <w:t>Comisión Colmbiana de Juristas; y c) por el Estado: el señor Felipe  Piquero</w:t>
        <w:br/>
        <w:t>Villegas,  agente  principal;  la  señora  Luz  Marina  Gil  García,  agente</w:t>
        <w:br/>
        <w:t>alterno; las señoras Clara  Inés  Vargas  Silva,  Gladis  Álvarez  Arango  y</w:t>
        <w:br/>
        <w:t>Martha  Carrillo,  asesores;  y  los  señores  Julio  Aníbal  Riaño,  Carlos</w:t>
        <w:br/>
        <w:t>Rodríguez,  Dionisio  Araujo  y  Héctor  Adolfo  Sintura  Varela,  asesores.</w:t>
        <w:br/>
        <w:t>Asimismo,   comparecieron   un   testigo,   propuesto   por   la    Comisión</w:t>
        <w:br/>
        <w:t>Interamericana; dos testigos propuestos por los representantes; y  el  señor</w:t>
        <w:br/>
        <w:t>Carlos  Saavedra  Prado,  propuesto  como   testigo   por   el   Estado;   y</w:t>
        <w:br/>
        <w:t>comparecieron como peritos los señores Rodrigo Uprimny Yepes, propuesto  por</w:t>
        <w:br/>
        <w:t>la Comisión Interamericana, y Hernando Torres  Corredor,  propuesto  por  el</w:t>
        <w:br/>
        <w:t>Estado.</w:t>
        <w:br/>
        <w:br/>
        <w:t>43.   Durante la celebración de la audiencia pública  las  partes  aportaron</w:t>
        <w:br/>
        <w:t>diversos documentos (infra párrs. 118 y 119).</w:t>
        <w:br/>
        <w:br/>
        <w:t>44.   El 30 de septiembre de 2005 se solicitó  a  los  representantes  y  al</w:t>
        <w:br/>
        <w:t>Estado la remisión, a más tardar  el  24  de  octubre  de  2005,  de  varios</w:t>
        <w:br/>
        <w:t>documentos como  prueba  para  mejor  resolver  junto  con  sus  respectivos</w:t>
        <w:br/>
        <w:t>escritos  de  alegatos  finales.  Al  Estado  se  le  solicitó   información</w:t>
        <w:br/>
        <w:t>actualizada  sobre  los  procesos  penales,  contencioso  administrativos  y</w:t>
        <w:br/>
        <w:t>disciplinarios de La Granja y El Aro.  Asimismo, se solicitó al Estado  y  a</w:t>
        <w:br/>
        <w:t>los representantes la remisión de: a) una lista completa y  actualizada  con</w:t>
        <w:br/>
        <w:t>los nombres de todas las personas que habían sido presuntamente  desplazadas</w:t>
        <w:br/>
        <w:t>en relación con los hechos del presente caso; b) si dichas  personas  habían</w:t>
        <w:br/>
        <w:t>recibido ayuda o apoyo de cualquier  naturaleza  por  parte  del  Estado  en</w:t>
        <w:br/>
        <w:t>razón de dicha situación; y c) si  habían  acciones  de  tutela  y  procesos</w:t>
        <w:br/>
        <w:t>contencioso  administrativos  en  relación  con  el  desplazamiento  interno</w:t>
        <w:br/>
        <w:t>presentadas por las presuntas víctimas  o  sus  familiares.  Finalmente,  se</w:t>
        <w:br/>
        <w:t>solicitó a los representantes que suministraran “una relación de  los  daños</w:t>
        <w:br/>
        <w:t>sufridos por cada una de las presuntas víctimas señaladas en su  escrito  de</w:t>
        <w:br/>
        <w:t>solicitudes, argumentos y pruebas por la supuesta violación del artículo  21</w:t>
        <w:br/>
        <w:t>de la Convención Americana (Derecho a la Propiedad)”,  así  como  copias  de</w:t>
        <w:br/>
        <w:t>los documentos de identificación de algunas personas.</w:t>
        <w:br/>
        <w:br/>
        <w:t>45.   El 4 de octubre de 2005 la Comisión solicitó que la  Corte  mantuviera</w:t>
        <w:br/>
        <w:t>confidencialidad de la identidad  de  determinadas  personas  que  rindieron</w:t>
        <w:br/>
        <w:t>testimonio mediante declaraciones juradas rendidas ante fedatario público  o</w:t>
        <w:br/>
        <w:t>en audiencia pública ante la Corte.  Al  respecto,  siguiendo  instrucciones</w:t>
        <w:br/>
        <w:t>del Presidente, se otorgó un plazo hasta el 19 de octubre de 2005  para  que</w:t>
        <w:br/>
        <w:t>los representantes y el Estado presentaran las observaciones  que  estimaran</w:t>
        <w:br/>
        <w:t>pertinentes. Ni los representantes ni el  Estado  presentaron  observaciones</w:t>
        <w:br/>
        <w:t>al respecto.</w:t>
        <w:br/>
        <w:br/>
        <w:t>46.   El 20 de octubre de  2005  los  representantes  solicitaron  un  plazo</w:t>
        <w:br/>
        <w:t>adicional de cuatro días  para  la  presentación  de  sus  alegatos  finales</w:t>
        <w:br/>
        <w:t>escritos.   Siguiendo  instrucciones  del  Presidente,  se  informó  a   los</w:t>
        <w:br/>
        <w:t>representantes que, de conformidad con el punto resolutivo  decimocuarto  de</w:t>
        <w:br/>
        <w:t>la Resolución del Presidente de 28 de julio de 2005  (supra  párr.  23),  el</w:t>
        <w:br/>
        <w:t>plazo  para  la  presentación  de  los   alegatos   finales   escritos   era</w:t>
        <w:br/>
        <w:t>improrrogable.  Por  lo  anterior,  se  solicitó  a  los  representantes  la</w:t>
        <w:br/>
        <w:t>presentación  del  referido  escrito  de  alegatos  finales  a  la  brevedad</w:t>
        <w:br/>
        <w:t>posible.</w:t>
        <w:br/>
        <w:br/>
        <w:t>47.   El 24 de octubre de 2005 el  Estado  presentó  la  prueba  para  mejor</w:t>
        <w:br/>
        <w:t>resolver solicitada el 30 de septiembre  de  2005,  así  como  sus  alegatos</w:t>
        <w:br/>
        <w:t>finales escritos.  El original  de  dichos  escritos  y  sus  anexos  fueron</w:t>
        <w:br/>
        <w:t>recibidos en la Secretaría el 27 de octubre de 2005.</w:t>
        <w:br/>
        <w:br/>
        <w:t>48.   El 24 de octubre de  2005  la  Comisión  Interamericana  presentó  sus</w:t>
        <w:br/>
        <w:t>alegatos finales escritos.</w:t>
        <w:br/>
        <w:br/>
        <w:t>49.   El 25 de octubre de 2005 los representantes remitieron la prueba  para</w:t>
        <w:br/>
        <w:t>mejor resolver solicitada  el  29  de  septiembre  de  2005,  así  como  sus</w:t>
        <w:br/>
        <w:t>alegatos finales escritos.  El original de  dichos  escritos  y  sus  anexos</w:t>
        <w:br/>
        <w:t>fueron recibidos en la Secretaría el  28  de  octubre  de  2005.  En  dichos</w:t>
        <w:br/>
        <w:t>escritos los representantes  alegaron  la  existencia  de  nuevas  presuntas</w:t>
        <w:br/>
        <w:t>víctimas en relación con los artículos 21 y 22 de la Convención.</w:t>
        <w:br/>
        <w:br/>
        <w:t>50.   El 19 de abril de 2006 la Comisión  designó  como  delegado  al  señor</w:t>
        <w:br/>
        <w:t>Víctor Abramovich.</w:t>
        <w:br/>
        <w:br/>
        <w:t>51.   El  26  de  junio  de  2006  la  Secretaría  de  la  Corte,  siguiendo</w:t>
        <w:br/>
        <w:t>instrucciones del Presidente  y  en  los  términos  del  artículo  45.2  del</w:t>
        <w:br/>
        <w:t>Reglamento, solicitó al Estado y a los representantes  la  remisión,  a  más</w:t>
        <w:br/>
        <w:t>tardar el 29 de junio de 2006, de información oficial  en  relación  con  la</w:t>
        <w:br/>
        <w:t>expectativa de vida y el salario mínimo vigente en Colombia  para  los  años</w:t>
        <w:br/>
        <w:t>1996 hasta el presente.</w:t>
        <w:br/>
        <w:br/>
        <w:t>52.   El 28  y  29  de  junio  de  2006  el  Estado  y  los  representantes,</w:t>
        <w:br/>
        <w:t>respectivamente, presentaron la prueba para mejor resolver  que  había  sido</w:t>
        <w:br/>
        <w:t>solicitada por el Presidente (supra párr. 44).</w:t>
        <w:br/>
        <w:br/>
        <w:t>53.   El 28 de junio de 2006  el  Juez  ad  hoc  Granados  Peña  informó  al</w:t>
        <w:br/>
        <w:t>Tribunal que por causas de fuerza mayor no le sería  posible  asistir  a  la</w:t>
        <w:br/>
        <w:t>deliberación de la Sentencia en  el  presente  caso  e  hizo  referencia  al</w:t>
        <w:br/>
        <w:t>artículo  19.3  del  Reglamento.  Asimismo,  adjuntó  un  documento  con  su</w:t>
        <w:br/>
        <w:t>posición respecto del  presente  caso.  Dicha  comunicación  fue  puesta  en</w:t>
        <w:br/>
        <w:t>conocimiento del Pleno de la Corte.</w:t>
        <w:br/>
        <w:br/>
        <w:t>54.   El 29 de junio de 2006 el  Tribunal  consideró  los  motivos  por  los</w:t>
        <w:br/>
        <w:t>cuales se vio imposibilitado el Juez ad hoc para asistir a  la  deliberación</w:t>
        <w:br/>
        <w:t>del presente caso, y tomando  en  cuenta  que  fue  oportuna  y  debidamente</w:t>
        <w:br/>
        <w:t>convocado, que su comunicación fue recibida tan sólo  un  día  antes  de  la</w:t>
        <w:br/>
        <w:t>fecha de inicio de la referida  deliberación,  de  que  el  Tribunal  no  es</w:t>
        <w:br/>
        <w:t>permanente y programa con antelación la agenda de cada  sesión  de  todo  el</w:t>
        <w:br/>
        <w:t>año, se generó la imposibilidad de  reprogramar  la  deliberación  del  caso</w:t>
        <w:br/>
        <w:t>Ituango, razón por la cual la Corte decidió continuar  conociendo  del  caso</w:t>
        <w:br/>
        <w:t>sin su participación, en aplicación del artículo  19.3  del  Reglamento  del</w:t>
        <w:br/>
        <w:t>Tribunal.</w:t>
        <w:br/>
        <w:br/>
        <w:br/>
        <w:t xml:space="preserve">                                      V</w:t>
        <w:br/>
        <w:t xml:space="preserve">                           Consideraciones Previas</w:t>
        <w:br/>
        <w:br/>
        <w:t>55.   A continuación la Corte procederá a determinar: (a) los  alcances  del</w:t>
        <w:br/>
        <w:t>reconocimiento de responsabilidad internacional  efectuado  por  el  Estado;</w:t>
        <w:br/>
        <w:t>(b) la extensión de la controversia subsistente; y c)  la  determinación  de</w:t>
        <w:br/>
        <w:t>las presuntas víctimas del presente caso.</w:t>
        <w:br/>
        <w:br/>
        <w:t>a)    Reconocimiento de responsabilidad internacional</w:t>
        <w:br/>
        <w:br/>
        <w:t>56.   El artículo 53.2 del Reglamento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57.   La Corte Interamericana,  en  ejercicio  de  su  función  contenciosa,</w:t>
        <w:br/>
        <w:t>aplica e interpreta la Convención  Americana  y,  cuando  un  caso  ha  sido</w:t>
        <w:br/>
        <w:t>sometido  a  su   jurisdicción,   es   la   facultada   para   declarar   la</w:t>
        <w:br/>
        <w:t>responsabilidad internacional de  un  Estado  Parte  en  la  Convención  por</w:t>
        <w:br/>
        <w:t>violación a las disposiciones de esta[5].</w:t>
        <w:br/>
        <w:br/>
        <w:t>58.   El Tribunal, en el ejercicio  de  sus  poderes  inherentes  de  tutela</w:t>
        <w:br/>
        <w:t>judicial internacional de los  derechos  humanos,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 las  eventuales  reparaciones.   Para  estos  efectos,  el</w:t>
        <w:br/>
        <w:t>Tribunal analizará la situación planteada en cada caso concreto[6].</w:t>
        <w:br/>
        <w:br/>
        <w:t>59.   En la contestación de la demanda (supra párr. 19)  Colombia  reconoció</w:t>
        <w:br/>
        <w:t>su responsabilidad internacional por  la  violación  de  los  artículos  4.1</w:t>
        <w:br/>
        <w:t>(Derecho a la Vida), 5.1 (Derecho a la Integridad Personal), 7.1 (Derecho  a</w:t>
        <w:br/>
        <w:t>la Libertad Personal)  y  21.1  (Derecho  a  la  Propiedad  Privada)  de  la</w:t>
        <w:br/>
        <w:t>Convención, en perjuicio  de  aquellas  personas  señaladas  en  la  demanda</w:t>
        <w:br/>
        <w:t>presentada por la Comisión (supra párr. 3). Además,  el  Estado  indicó  que</w:t>
        <w:br/>
        <w:t>“en este caso, las referidas violaciones supon[ían]  una  infracción  de  la</w:t>
        <w:br/>
        <w:t>obligación  de  respetar  los  derechos  y  libertades  consagradas  en   la</w:t>
        <w:br/>
        <w:t>Convención (artículo 1.1 de la [misma]), la  cual  le  e[ra]  atribuible  al</w:t>
        <w:br/>
        <w:t>Estado, de  conformidad  con  el  derecho  internacional,  en  vista  de  la</w:t>
        <w:br/>
        <w:t>participación de agentes suyos en los hechos”.</w:t>
        <w:br/>
        <w:br/>
        <w:t>60.    Asimismo,  el  Estado  afirmó  no  haber  violado  los  artículos  19</w:t>
        <w:br/>
        <w:t>(Derechos  del  Niño),  8.1  (Garantías  Judiciales)  y   25.1   (Protección</w:t>
        <w:br/>
        <w:t>Judicial) de la Convención, alegados tanto por  la  Comisión  como  por  los</w:t>
        <w:br/>
        <w:t>representantes (supra párrs. 3 y 18), ni los artículos 6 (Prohibición de  la</w:t>
        <w:br/>
        <w:t>Esclavitud y Servidumbre) y 22 (Derecho de Circulación y de  Residencia)  de</w:t>
        <w:br/>
        <w:t>la Convención, alegados por los representantes (supra párr. 18).</w:t>
        <w:br/>
        <w:br/>
        <w:t>61.   Por otra parte, el Estado no se refirió a la  presunta  violación  del</w:t>
        <w:br/>
        <w:t>artículo  5  (Derecho  a  la  Integridad  Personal)  de  la  Convención,  en</w:t>
        <w:br/>
        <w:t>perjuicio de las personas ejecutadas y sus familiares,  de  conformidad  con</w:t>
        <w:br/>
        <w:t>lo  alegado  por  los  representantes  en  su  escrito  de   solicitudes   y</w:t>
        <w:br/>
        <w:t>argumentos.  Asimismo, Colombia no se refirió a  la  presunta  violación  de</w:t>
        <w:br/>
        <w:t>los artículos 5  (Derecho  a  la  Integridad  Personal),  7  (Derecho  a  la</w:t>
        <w:br/>
        <w:t>Libertad Personal) y 21 (Derecho a la Propiedad Privada) de  la  Convención,</w:t>
        <w:br/>
        <w:t>en perjuicio de las personas señaladas por los representantes en su  escrito</w:t>
        <w:br/>
        <w:t>de solicitudes y argumentos (supra párr. 18) y que  no  fueron  comprendidas</w:t>
        <w:br/>
        <w:t>dentro del  allanamiento  del  Estado  (supra  párr.  19).  Finalmente,  los</w:t>
        <w:br/>
        <w:t>representantes solicitaron que se incluyera como presuntas  víctimas  en  el</w:t>
        <w:br/>
        <w:t>presente caso, por la violación de los  artículos  5,  7,  21  y  22  de  la</w:t>
        <w:br/>
        <w:t>Convención,  a  “aquellas  personas  cuya  identidad  se  establezca  en  el</w:t>
        <w:br/>
        <w:t>proceso” ante la Corte (supra párr. 18).</w:t>
        <w:br/>
        <w:br/>
        <w:t>62.    En  su  contestación  de  la  demanda  el  Estado  señaló  que   “las</w:t>
        <w:br/>
        <w:t>reparaciones  reconocidas  por  el  Estado  […]   en   las   audiencias   de</w:t>
        <w:br/>
        <w:t>conciliación realizadas  ante  la  jurisdicción  contencioso  administrativa</w:t>
        <w:br/>
        <w:t>deberán considerarse justas y suficientes en relación con los derechos a  la</w:t>
        <w:br/>
        <w:t>vida y a la propiedad, en los casos concretos objeto  de  esta  diligencia”.</w:t>
        <w:br/>
        <w:t>Además, indicó que  se  encontraba  “dispuesto  a  presentar  una  propuesta</w:t>
        <w:br/>
        <w:t>reparatoria concertada con los peticionarios que  acrediten  debidamente  su</w:t>
        <w:br/>
        <w:t>posición”.  Finalmente, señaló que “el reconocimiento de las reparaciones  y</w:t>
        <w:br/>
        <w:t>costas está condicionado en todo caso  a  las  pruebas  [que]  presenten  la</w:t>
        <w:br/>
        <w:t>Comisión  y  los  peticionarios,  teniendo  en  cuenta  que[,]  aún  en   la</w:t>
        <w:br/>
        <w:t>aplicación del principio de  equidad,  los  principios  de  razonabilidad  y</w:t>
        <w:br/>
        <w:t>proporcionalidad  restringen  la  viabilidad  de  su  reconocimiento  a   la</w:t>
        <w:br/>
        <w:t>demostración cuantitativa y cualitativa de su causación y monto”.</w:t>
        <w:br/>
        <w:br/>
        <w:t>63.   El 20  de  septiembre  de  2005  el  Estado  reiteró  por  escrito  el</w:t>
        <w:br/>
        <w:t>reconocimiento   de   responsabilidad   internacional   efectuado   en    la</w:t>
        <w:br/>
        <w:t>contestación de la demanda (supra párr. 41) y señaló que la infracción a  la</w:t>
        <w:br/>
        <w:t>obligación de respetar los derechos consagrados en  la  Convención  “le  era</w:t>
        <w:br/>
        <w:t>atribuible, de conformidad con lo previsto en el derecho  internacional,  en</w:t>
        <w:br/>
        <w:t>vista de la participación –claramente ilegal y al  margen  de  los  mandatos</w:t>
        <w:br/>
        <w:t>institucionales- de agentes suyos en los hechos, reconocimiento que en  modo</w:t>
        <w:br/>
        <w:t>alguno   implica   ponderación   ni    valoración    de    responsabilidades</w:t>
        <w:br/>
        <w:t>individuales”.</w:t>
        <w:br/>
        <w:br/>
        <w:t>64.   Durante el transcurso de la audiencia  pública  (supra  párr.  42)  el</w:t>
        <w:br/>
        <w:t>Estado señaló que:</w:t>
        <w:br/>
        <w:br/>
        <w:t xml:space="preserve">      […] luego  de  ocurridos  los  lamentables  hechos  que  motivaron  el</w:t>
        <w:br/>
        <w:t xml:space="preserve">      presente  proceso,  las  autoridades   disciplinarias   y   judiciales</w:t>
        <w:br/>
        <w:t xml:space="preserve">      colombianas dieron inicio a las investigaciones y pusieron  en  marcha</w:t>
        <w:br/>
        <w:t xml:space="preserve">      los procedimientos de rigor, y han venido adoptando las decisiones que</w:t>
        <w:br/>
        <w:t xml:space="preserve">      en derecho ha correspondido. Esas autoridades, con base en las pruebas</w:t>
        <w:br/>
        <w:t xml:space="preserve">      recaudadas,  encontraron  que  las   incursiones   de   las   llamadas</w:t>
        <w:br/>
        <w:t xml:space="preserve">      Autodefensas Unidas de Colombia en las localidades de La Granja  y  El</w:t>
        <w:br/>
        <w:t xml:space="preserve">      Aro del Municipio de Ituango, ocurridos el 11 de junio de 1996 y entre</w:t>
        <w:br/>
        <w:t xml:space="preserve">      el 22 y el 26 de octubre de 1997, respectivamente, fueron planeadas  y</w:t>
        <w:br/>
        <w:t xml:space="preserve">      dirigidas por reconocidos jefes de esa organización  armada  ilegal  y</w:t>
        <w:br/>
        <w:t xml:space="preserve">      ejecutadas por hombres bajo su supervisión,  y  encontraron  asimismo,</w:t>
        <w:br/>
        <w:t xml:space="preserve">      que  agentes  estatales  participaron  en  algunas  de  las   acciones</w:t>
        <w:br/>
        <w:t xml:space="preserve">      criminales que se dieron en el marco  de  las  referidas  incursiones.</w:t>
        <w:br/>
        <w:t xml:space="preserve">      Pública y expresamente reitera el  reconocimiento  de  responsabilidad</w:t>
        <w:br/>
        <w:t xml:space="preserve">      efectuado al dar contestación a la demanda del presente  caso  [(supra</w:t>
        <w:br/>
        <w:t xml:space="preserve">      párr. 19).]</w:t>
        <w:br/>
        <w:br/>
        <w:br/>
        <w:t xml:space="preserve">      […]</w:t>
        <w:br/>
        <w:br/>
        <w:br/>
        <w:t xml:space="preserve">      Ratifica  que  este  reconocimiento  de  responsabilidad  no   implica</w:t>
        <w:br/>
        <w:t xml:space="preserve">      ponderación ni valoración de responsabilidades individuales.</w:t>
        <w:br/>
        <w:br/>
        <w:br/>
        <w:t xml:space="preserve">      Solicita a la […] Corte, su venia, para solicitar a la […] Comisión  y</w:t>
        <w:br/>
        <w:t xml:space="preserve">      a los representantes de las víctimas que hagan  conocer  a  todas  las</w:t>
        <w:br/>
        <w:t xml:space="preserve">      víctimas y a los familiares […] la anterior declaración del  Estado  y</w:t>
        <w:br/>
        <w:t xml:space="preserve">      en especial la siguiente  manifestación:  […]  Expresa  su  respeto  y</w:t>
        <w:br/>
        <w:t xml:space="preserve">      consideración por las víctimas y sus familiares y pide perdón  por  el</w:t>
        <w:br/>
        <w:t xml:space="preserve">      comportamiento equivocado e ilegítimo de algunos  de  sus  agentes  en</w:t>
        <w:br/>
        <w:t xml:space="preserve">      relación con los hechos del presente caso. [el  resaltado  no  es  del</w:t>
        <w:br/>
        <w:t xml:space="preserve">      original]</w:t>
        <w:br/>
        <w:br/>
        <w:t>65.   En su escrito de alegatos finales el Estado reiteró el  reconocimiento</w:t>
        <w:br/>
        <w:t>de responsabilidad realizado en la  contestación  de  la  demanda  y  en  la</w:t>
        <w:br/>
        <w:t>audiencia pública (supra párrs. 19, 63 y  64).   Asimismo,  Colombia  señaló</w:t>
        <w:br/>
        <w:t>que “resulta que buena parte del fondo del asunto ha  quedado  cubierto  por</w:t>
        <w:br/>
        <w:t>el reconocimiento  de  responsabilidad,  en  particular  lo  relativo  a  la</w:t>
        <w:br/>
        <w:t>participación de agentes estatales en algunas  de  las  acciones  criminales</w:t>
        <w:br/>
        <w:t>que se dieron en el marco de las incursiones de las Autodefensas  Unidas  de</w:t>
        <w:br/>
        <w:t>Colombia a las localidades de La  Granja  y  El  Aro”.   Además,  El  Estado</w:t>
        <w:br/>
        <w:t>consideró</w:t>
        <w:br/>
        <w:br/>
        <w:br/>
        <w:t xml:space="preserve">      que no quedaron comprendidos por el reconocimiento de responsabilidad,</w:t>
        <w:br/>
        <w:t xml:space="preserve">      en particular, los siguientes  asuntos  jurídicos  planteados  por  la</w:t>
        <w:br/>
        <w:t xml:space="preserve">      Comisión y por los representantes de las víctimas: (i)  la  existencia</w:t>
        <w:br/>
        <w:t xml:space="preserve">      de un retardo injustificado en la decisión de los  recursos  internos;</w:t>
        <w:br/>
        <w:t xml:space="preserve">      (ii) la violación de  los  artículos  8.1  y  25.1  de  la  Convención</w:t>
        <w:br/>
        <w:t xml:space="preserve">      Americana, en concordancia  con  el  artículo  1.1  (respecto  de  los</w:t>
        <w:br/>
        <w:t xml:space="preserve">      deberes de investigación, sanción y reparación) [de la  misma];  (iii)</w:t>
        <w:br/>
        <w:t xml:space="preserve">      la violación del artículo 22.1 de la  Convención  Americana;  (iv)  la</w:t>
        <w:br/>
        <w:t xml:space="preserve">      violación del artículo 19 de  la  Convención  [Americana];  y  (v)  lo</w:t>
        <w:br/>
        <w:t xml:space="preserve">      relativo a las medidas de reparación.</w:t>
        <w:br/>
        <w:br/>
        <w:t>66.   En la referida audiencia pública, en relación  con  el  reconocimiento</w:t>
        <w:br/>
        <w:t>de responsabilidad efectuado por el Estado,  la  Comisión  manifestó,  inter</w:t>
        <w:br/>
        <w:t>alia, lo siguiente:</w:t>
        <w:br/>
        <w:br/>
        <w:t xml:space="preserve">    […]  ha   tomado   nota   con   beneplácito   del   reconocimiento   de</w:t>
        <w:br/>
        <w:t xml:space="preserve">    responsabilidad que ha efectuado el […] Estado colombiano en su escrito</w:t>
        <w:br/>
        <w:t xml:space="preserve">    de contestación de la demanda y en varios  escritos  posteriores,  […],</w:t>
        <w:br/>
        <w:t xml:space="preserve">    sin perjuicio de lo anterior, la  Comisión  entiende  que  aún  existen</w:t>
        <w:br/>
        <w:t xml:space="preserve">    ciertas cuestiones que se encuentran en contención [.]</w:t>
        <w:br/>
        <w:br/>
        <w:t>67.   En dicha audiencia pública,  en  relación  con  el  reconocimiento  de</w:t>
        <w:br/>
        <w:t>responsabilidad efectuado por  el  Estado,  los  representantes  expresaron,</w:t>
        <w:br/>
        <w:t>inter alia, lo siguiente:</w:t>
        <w:br/>
        <w:br/>
        <w:br/>
        <w:t xml:space="preserve">    […] queremos solicitar a la  […]  Corte,  que  teniendo  en  cuenta  el</w:t>
        <w:br/>
        <w:t xml:space="preserve">    reconocimiento parcial de responsabilidad que ha  hecho  el  Estado  de</w:t>
        <w:br/>
        <w:t xml:space="preserve">    Colombia,  […]  incorpore  a  la   sentencia   el   reconocimiento   de</w:t>
        <w:br/>
        <w:t xml:space="preserve">    responsabilidad por la violación del derecho a la  vida  de  todas  las</w:t>
        <w:br/>
        <w:t xml:space="preserve">    víctimas, el reconocimiento parcial de responsabilidad de violación del</w:t>
        <w:br/>
        <w:t xml:space="preserve">    derecho a la integridad personal de cerca de  las  doscientas  víctimas</w:t>
        <w:br/>
        <w:t xml:space="preserve">    que están relacionadas en este proceso, que incorpore el reconocimiento</w:t>
        <w:br/>
        <w:t xml:space="preserve">    parcial de responsabilidad por la violación del derecho a  la  libertad</w:t>
        <w:br/>
        <w:t xml:space="preserve">    personal de sólo dos de  las  dieciocho  víctimas  que  sufrieron  esta</w:t>
        <w:br/>
        <w:t xml:space="preserve">    violación, y  el  reconocimiento  parcial  de  responsabilidad  por  la</w:t>
        <w:br/>
        <w:t xml:space="preserve">    violación del derecho a la propiedad privada de seis de  las  veintidós</w:t>
        <w:br/>
        <w:t xml:space="preserve">    víctimas cuya vulneración sufrieron ese derecho.</w:t>
        <w:br/>
        <w:br/>
        <w:t>68.   La Comisión señaló en su escrito de alegatos finales  que  “tanto  los</w:t>
        <w:br/>
        <w:t>hechos que han sido reconocidos como los que permanecen  en  controversia  y</w:t>
        <w:br/>
        <w:t>han sido probados, sustentan la responsabilidad estatal por la violación  de</w:t>
        <w:br/>
        <w:t>los artículos 4, 5, 7 y 21 de la Convención[,] en relación con  su  artículo</w:t>
        <w:br/>
        <w:t>1.1, como por  la  ausencia  del  debido  esclarecimiento  judicial  de  los</w:t>
        <w:br/>
        <w:t>hechos, la reparación de sus efectos  y  la  consecuente  violación  de  los</w:t>
        <w:br/>
        <w:t>artículos 8, 19, 22 y 25 [de dicho  Tratado]  que  aún  hacen  parte  de  la</w:t>
        <w:br/>
        <w:t>controversia”.</w:t>
        <w:br/>
        <w:br/>
        <w:t>69.   Los representantes no hicieron referencia  al  reconocimiento  parcial</w:t>
        <w:br/>
        <w:t>de responsabilidad internacional  del  Estado  en  su  escrito  de  alegatos</w:t>
        <w:br/>
        <w:t>finales.</w:t>
        <w:br/>
        <w:br/>
        <w:t xml:space="preserve">      i.    Reconocimiento del Estado en cuanto a los hechos</w:t>
        <w:br/>
        <w:br/>
        <w:t>70.    En  atención  al  reconocimiento  de  responsabilidad   internacional</w:t>
        <w:br/>
        <w:t>efectuado por el Estado (supra  párrs.  19,  59,  63,  y  64),  el  Tribunal</w:t>
        <w:br/>
        <w:t>considera que ha cesado la controversia sobre  los  hechos  alegados  en  la</w:t>
        <w:br/>
        <w:t>demanda (supra párrs. 1 y 2), con excepción  de  aquellos  relativos  a  las</w:t>
        <w:br/>
        <w:t>actuaciones llevadas a  cabo  en  las  jurisdicciones  penales,  contencioso</w:t>
        <w:br/>
        <w:t>administrativa y disciplinaria en el presente caso, la determinación de  las</w:t>
        <w:br/>
        <w:t>presuntas víctimas alegadas por los representantes, así como lo referente  a</w:t>
        <w:br/>
        <w:t>la determinación de las reparaciones y costas.</w:t>
        <w:br/>
        <w:br/>
        <w:t>71.   En consecuencia, la  Corte  considera  pertinente  abrir  un  capítulo</w:t>
        <w:br/>
        <w:t>acerca de los hechos  del  presente  caso,  que  abarque  tanto  los  hechos</w:t>
        <w:br/>
        <w:t>reconocidos por el Estado como los que resulten  probados  del  conjunto  de</w:t>
        <w:br/>
        <w:t>elementos que obran en el expediente.</w:t>
        <w:br/>
        <w:br/>
        <w:t xml:space="preserve">      ii.    Allanamiento del Estado en cuanto a las pretensiones de derecho</w:t>
        <w:br/>
        <w:br/>
        <w:t>72.   La Corte considera que es  pertinente  admitir  el  reconocimiento  de</w:t>
        <w:br/>
        <w:t>responsabilidad internacional efectuado por el Estado  por  las  violaciones</w:t>
        <w:br/>
        <w:t>de los derechos consagrados  en  las  siguientes  normas  de  la  Convención</w:t>
        <w:br/>
        <w:t>Americana que fueron alegadas en la demanda de la Comisión (supra  párrs.  1</w:t>
        <w:br/>
        <w:t>y 3): artículo 4 (Derecho a la Vida), en perjuicio de  los  señores  William</w:t>
        <w:br/>
        <w:t>de Jesús Villa García, María  Graciela  Arboleda  Rodríguez,  Héctor  Hernán</w:t>
        <w:br/>
        <w:t>Correa García, Jairo de Jesús  Sepúlveda  Arias,  Arnulfo  Sánchez  Álvarez,</w:t>
        <w:br/>
        <w:t>José Darío Martínez Pérez, Olcris Fail Díaz Pérez, Wilmar de Jesús  Restrepo</w:t>
        <w:br/>
        <w:t>Torres, Omar de Jesús Ortiz Carmona, Fabio Antonio  Zuleta  Zabala,  Otoniel</w:t>
        <w:br/>
        <w:t>de Jesús Tejada Jaramillo, Omar  Iván  Gutiérrez  Nohavá,  Guillermo  Andrés</w:t>
        <w:br/>
        <w:t>Mendoza Posso,  Nelson  de  Jesús  Palacio  Cárdenas,  Luis  Modesto  Múnera</w:t>
        <w:br/>
        <w:t>Posada, Dora Luz Areiza  Arroyave,  Alberto  Correa,  Marco  Aurelio  Areiza</w:t>
        <w:br/>
        <w:t>Osorio y Elvia Rosa Areiza Barrera; artículo  7.1  (Derecho  a  la  Libertad</w:t>
        <w:br/>
        <w:t>Personal), en perjuicio de los  señores  Jairo  de  Jesús  Sepúlveda  Arias,</w:t>
        <w:br/>
        <w:t>Marco Aurelio Areiza Osorio  y  Elvia  Rosa  Areiza  Barrera;  artículo  5.2</w:t>
        <w:br/>
        <w:t>(Derecho a la Integridad  Personal),  en  perjuicio  de  los  señores  Marco</w:t>
        <w:br/>
        <w:t>Aurelio Areiza Osorio y Elvia Rosa Areiza Barrera; y artículo 21.1  (Derecho</w:t>
        <w:br/>
        <w:t>a la Propiedad Privada), en perjuicio de los señores Luis Humberto  Mendoza,</w:t>
        <w:br/>
        <w:t>Libardo  Mendoza,  Francisco  Osvaldo  Pino  Posada,  Omar  Alfredo   Torres</w:t>
        <w:br/>
        <w:t>Jaramillo,  Ricardo  Alfredo  Builes  Echeverry  y  Bernardo  María  Jiménez</w:t>
        <w:br/>
        <w:t>Lopera, todos ellos en conexión con el artículo 1.1 (Obligación de  Respetar</w:t>
        <w:br/>
        <w:t>los Derechos) de dicho instrumento.</w:t>
        <w:br/>
        <w:br/>
        <w:t xml:space="preserve">      iii.  Pretensiones sobre reparaciones</w:t>
        <w:br/>
        <w:br/>
        <w:t>73.   Esta Corte hace notar que el Estado no se  allanó  a  ninguna  de  las</w:t>
        <w:br/>
        <w:t>pretensiones sobre reparaciones y costas planteadas por la  Comisión  y  los</w:t>
        <w:br/>
        <w:t>representantes (supra párr. 62).</w:t>
        <w:br/>
        <w:br/>
        <w:t>b)    Extensión de la controversia subsistente</w:t>
        <w:br/>
        <w:br/>
        <w:t>74.    En  su  escrito  de  solicitudes  y  argumentos  los   representantes</w:t>
        <w:br/>
        <w:t>incluyeron presuntas víctimas adicionales por las  violaciones  de  derechos</w:t>
        <w:br/>
        <w:t>alegados por la  Comisión,  nuevas  presuntas  víctimas  y  nuevos  derechos</w:t>
        <w:br/>
        <w:t>presuntamente vulnerados no contenidos en la demanda (supra párr. 18).</w:t>
        <w:br/>
        <w:br/>
        <w:t>75.   En su escrito de alegatos finales los representantes señalaron,  inter</w:t>
        <w:br/>
        <w:t>alia, que lo alegado respecto del niño Wilmar Restrepo era  “predicable  [a]</w:t>
        <w:br/>
        <w:t>los demás niños que fueron [presuntas] víctimas directas de  las  agresiones</w:t>
        <w:br/>
        <w:t>de los paramilitares y agentes del Estado colombiano en  los  corregimientos</w:t>
        <w:br/>
        <w:t>de La Granja y El Aro y respecto también de  los  menores  miembros  de  las</w:t>
        <w:br/>
        <w:t>familias víctimas de las violaciones cometidas en estos  hechos”.   En  este</w:t>
        <w:br/>
        <w:t>sentido solicitaron que “en aplicación del principio iura novit  curia,  [el</w:t>
        <w:br/>
        <w:t>Tribunal] se pronuncie sobre la misma violación que se dio respecto  de  los</w:t>
        <w:br/>
        <w:t>nietos de la señora Elvia  García  y  de  los  niños  que  habitaban  en  el</w:t>
        <w:br/>
        <w:t>corregimiento de  El  Aro”.   Asimismo,  señalaron  que  la  vulneración  al</w:t>
        <w:br/>
        <w:t>derecho a la propiedad “es predicable de todas las [presuntas] víctimas  que</w:t>
        <w:br/>
        <w:t>perdieron sus bienes y forma de vida en El Aro,  las  cuales  se  relacionan</w:t>
        <w:br/>
        <w:t>detalladamente en el escrito de pruebas para mejor resolver  solicitado  por</w:t>
        <w:br/>
        <w:t>la Corte, en  el  anexo  de  alegato  de  conclusión  y  en  el  acápite  de</w:t>
        <w:br/>
        <w:t>Reparaciones”.  Finalmente, los  representantes  solicitaron  que  la  Corte</w:t>
        <w:br/>
        <w:t>declare que el Estado ha violado el derecho de circulación y  residencia  de</w:t>
        <w:br/>
        <w:t>“724 personas individualizadas y que fije en equidad una indemnización  para</w:t>
        <w:br/>
        <w:t>cada una de ellas” (supra párr. 49).</w:t>
        <w:br/>
        <w:br/>
        <w:t>76.   El Estado negó haber  violado  los  artículos  6  (Prohibición  de  la</w:t>
        <w:br/>
        <w:t>Esclavitud y Servidumbre), 8.1  (Garantías  Judiciales),  19  (Derechos  del</w:t>
        <w:br/>
        <w:t>Niño), 22 (Derecho de  Circulación  y  de  Residencia)  y  25.1  (Protección</w:t>
        <w:br/>
        <w:t>Judicial) de la Convención, en perjuicio de las presuntas víctimas  alegadas</w:t>
        <w:br/>
        <w:t>por la Comisión y los representantes (supra párr. 20).</w:t>
        <w:br/>
        <w:br/>
        <w:t>77.   Asimismo, el  Estado  no  contestó  expresamente  los  planteos  sobre</w:t>
        <w:br/>
        <w:t>supuestas violaciones a los artículos 5 (Derecho a la Integridad  Personal),</w:t>
        <w:br/>
        <w:t>7 (Derecho a la Libertad Personal) y 21 (Derecho a la Propiedad Privada)  de</w:t>
        <w:br/>
        <w:t>la  Convención,  en  perjuicio   de   las   personas   señaladas   por   los</w:t>
        <w:br/>
        <w:t>representantes en su escrito de solicitudes y argumentos  y  que  no  fueron</w:t>
        <w:br/>
        <w:t>comprendidas dentro del allanamiento del Estado (supra párrs. 19, 59,  63  y</w:t>
        <w:br/>
        <w:t>64).</w:t>
        <w:br/>
        <w:br/>
        <w:t>78.   Conforme a los términos  en  que  se  han  expresado  las  partes,  el</w:t>
        <w:br/>
        <w:t>Tribunal considera que subsiste la controversia entre aquéllas en cuanto a:</w:t>
        <w:br/>
        <w:br/>
        <w:t xml:space="preserve">   a) la supuesta violación  del  artículo  5.1  (Derecho  a  la  Integridad</w:t>
        <w:br/>
        <w:t xml:space="preserve">      Personal) de la Convención, en perjuicio de las personas ejecutadas  y</w:t>
        <w:br/>
        <w:t xml:space="preserve">      sus familiares; así como de las presuntas víctimas  de  desplazamiento</w:t>
        <w:br/>
        <w:t xml:space="preserve">      forzado, trabajos forzosos y pérdida  de  sus  bienes  que  no  fueron</w:t>
        <w:br/>
        <w:t xml:space="preserve">      abarcados por el reconocimiento de responsabilidad del  Estado  (supra</w:t>
        <w:br/>
        <w:t xml:space="preserve">      párrs. 60 y 61);</w:t>
        <w:br/>
        <w:t xml:space="preserve">   b) la supuesta violación del artículo 6 (Prohibición de la  Esclavitud  y</w:t>
        <w:br/>
        <w:t xml:space="preserve">      Servidumbre) de la Convención, en perjuicio de las presuntas  víctimas</w:t>
        <w:br/>
        <w:t xml:space="preserve">      que fueron obligadas a arrear ganado con posterioridad a los hechos de</w:t>
        <w:br/>
        <w:t xml:space="preserve">      El Aro (supra párr. 60);</w:t>
        <w:br/>
        <w:t xml:space="preserve">   c) la supuesta violación del artículo 7 (Derecho a la Libertad  Personal)</w:t>
        <w:br/>
        <w:t xml:space="preserve">      de la Convención, en  perjuicio  de  las  personas  que  presuntamente</w:t>
        <w:br/>
        <w:t xml:space="preserve">      fueron privadas de su libertad durante los hechos de El Aro  y  fueran</w:t>
        <w:br/>
        <w:t xml:space="preserve">      señaladas por los  representantes  en  su  escrito  de  solicitudes  y</w:t>
        <w:br/>
        <w:t xml:space="preserve">      argumentos (supra párr. 61) y que no fueron  comprendidas  dentro  del</w:t>
        <w:br/>
        <w:t xml:space="preserve">      allanamiento del Estado (supra párrs. 19, 59, 63 y 64);</w:t>
        <w:br/>
        <w:t xml:space="preserve">   d) la presunta violación del  artículo  19  (Derechos  del  Niño)  de  la</w:t>
        <w:br/>
        <w:t xml:space="preserve">      Convención en perjuicio del niño Wilmar De Jesús Restrepo Torres y  de</w:t>
        <w:br/>
        <w:t xml:space="preserve">      “los demás niños que fueron víctimas directas de las agresiones de los</w:t>
        <w:br/>
        <w:t xml:space="preserve">      paramilitares y agentes del Estado colombiano en los corregimientos de</w:t>
        <w:br/>
        <w:t xml:space="preserve">      La Granja y El Aro y respecto también de los menores miembros  de  las</w:t>
        <w:br/>
        <w:t xml:space="preserve">      familias víctimas de las violaciones cometidas en estos hechos” (supra</w:t>
        <w:br/>
        <w:t xml:space="preserve">      párrs. 60, 61 y 75);</w:t>
        <w:br/>
        <w:t xml:space="preserve">   e) la supuesta violación del artículo 21 (Derecho a la Propiedad Privada)</w:t>
        <w:br/>
        <w:t xml:space="preserve">      de la Convención, en perjuicio  de  las  personas  señaladas  por  los</w:t>
        <w:br/>
        <w:t xml:space="preserve">      representantes en su escrito de solicitudes y argumentos (supra  párr.</w:t>
        <w:br/>
        <w:t xml:space="preserve">      18) y que no fueron comprendidas dentro del  allanamiento  del  Estado</w:t>
        <w:br/>
        <w:t xml:space="preserve">      (supra párrs. 19, 59, 63, 64 y 77), así como “de todas las [presuntas]</w:t>
        <w:br/>
        <w:t xml:space="preserve">      víctimas que perdieron sus bienes y forma  de  vida  en  El  Aro,  las</w:t>
        <w:br/>
        <w:t xml:space="preserve">      cuales se relacionan detalladamente en  el  escrito  de  pruebas  para</w:t>
        <w:br/>
        <w:t xml:space="preserve">      mejor resolver solicitado por la Corte, en  el  [escrito  de  alegatos</w:t>
        <w:br/>
        <w:t xml:space="preserve">      finales de los representantes en su] anexo de alegato de conclusión  y</w:t>
        <w:br/>
        <w:t xml:space="preserve">      en el acápite de Reparaciones” (supra párr. 75);</w:t>
        <w:br/>
        <w:t xml:space="preserve">   f) la supuesta violación del artículo 22 (Derecho  de  Circulación  y  de</w:t>
        <w:br/>
        <w:t xml:space="preserve">      Residencia)  de  la  Convención  en   perjuicio   de   “724   personas</w:t>
        <w:br/>
        <w:t xml:space="preserve">      individualizadas” que se vieron desplazadas como consecuencia  de  los</w:t>
        <w:br/>
        <w:t xml:space="preserve">      hechos del presente caso (supra párr. 75);</w:t>
        <w:br/>
        <w:t xml:space="preserve">   g) los hechos relativos a una supuesta violación  de  los  artículos  8.1</w:t>
        <w:br/>
        <w:t xml:space="preserve">      (Garantías Judiciales) y 25.1 (Protección Judicial) de la  Convención,</w:t>
        <w:br/>
        <w:t xml:space="preserve">      en relación con el artículo 1.1 de la misma, en perjuicio de todas las</w:t>
        <w:br/>
        <w:t xml:space="preserve">      presuntas víctimas y sus familiares; y</w:t>
        <w:br/>
        <w:t xml:space="preserve">   h) lo referente a la determinación de las reparaciones  y  costas  (supra</w:t>
        <w:br/>
        <w:t xml:space="preserve">      párr. 73).</w:t>
        <w:br/>
        <w:br/>
        <w:t xml:space="preserve">                                      *</w:t>
        <w:br/>
        <w:t xml:space="preserve">                                *          *</w:t>
        <w:br/>
        <w:br/>
        <w:t>79.   La Corte considera que  el  allanamiento  del  Estado  constituye  una</w:t>
        <w:br/>
        <w:t>contribución positiva al desarrollo de este proceso y a la vigencia  de  los</w:t>
        <w:br/>
        <w:t>principios que inspiran la Convención Americana[7]. En el caso  sub  judice,</w:t>
        <w:br/>
        <w:t>el Tribunal aprecia, particularmente,  la  manera  como  el  Estado  realizó</w:t>
        <w:br/>
        <w:t>también dicho reconocimiento en la audiencia pública del presente  caso,  es</w:t>
        <w:br/>
        <w:t>decir, a través de un acto de solicitud de perdón dirigido a  las  presuntas</w:t>
        <w:br/>
        <w:t>víctimas y a sus familiares (supra párr. 64).</w:t>
        <w:br/>
        <w:br/>
        <w:t>80.   Sin embargo, teniendo en cuenta las responsabilidades que le  incumben</w:t>
        <w:br/>
        <w:t>de proteger los derechos humanos y dada la naturaleza del presente caso,  el</w:t>
        <w:br/>
        <w:t>Tribunal estima que dictar una sentencia en la cual se determine  la  verdad</w:t>
        <w:br/>
        <w:t>de los hechos y todos los elementos del  fondo  del  asunto,  así  como  las</w:t>
        <w:br/>
        <w:t>correspondientes consecuencias, constituye una forma de reparación para  las</w:t>
        <w:br/>
        <w:t>presuntas víctimas y sus familiares y, a la vez, una manera de contribuir  a</w:t>
        <w:br/>
        <w:t>evitar que se repitan hechos similares[8].</w:t>
        <w:br/>
        <w:br/>
        <w:t>81.   Asimismo, sin perjuicio del allanamiento relativo a la  violación  del</w:t>
        <w:br/>
        <w:t>artículo 4 (Derecho a  la  Vida)  de  la  Convención,  en  relación  con  el</w:t>
        <w:br/>
        <w:t>artículo  1.1  (Obligación  de  Respetar  los  Derechos)  de  la  misma,  en</w:t>
        <w:br/>
        <w:t>perjuicio de las 19 personas ejecutadas en La Granja y El Aro  (supra  párr.</w:t>
        <w:br/>
        <w:t>3), la Corte considera indispensable hacer algunas precisiones  respecto  de</w:t>
        <w:br/>
        <w:t>ciertos puntos relacionados  con  las  obligaciones  establecidas  en  dicho</w:t>
        <w:br/>
        <w:t>artículo (infra párrs. 126 a 138).</w:t>
        <w:br/>
        <w:br/>
        <w:br/>
        <w:t>c)    Determinación de las presuntas víctimas en el presente caso</w:t>
        <w:br/>
        <w:br/>
        <w:t>82.   El artículo 61.1 de la Convención señala que:</w:t>
        <w:br/>
        <w:br/>
        <w:br/>
        <w:t xml:space="preserve">      [s]ólo los Estados Partes y la Comisión tienen derecho  a  someter  un</w:t>
        <w:br/>
        <w:t xml:space="preserve">      caso a la decisión de la Corte.</w:t>
        <w:br/>
        <w:br/>
        <w:t>83.   El artículo 2 inciso 30 del Reglamento señala que:</w:t>
        <w:br/>
        <w:br/>
        <w:t xml:space="preserve">      la expresión “presunta víctima” significa la persona  de  la  cual  se</w:t>
        <w:br/>
        <w:t xml:space="preserve">      alega han sido violados los derechos protegidos por la Convención.</w:t>
        <w:br/>
        <w:br/>
        <w:t>84.   El artículo 23.1 del Reglamento señala que:</w:t>
        <w:br/>
        <w:br/>
        <w:t xml:space="preserve">      [d]espués  de  admitida  la  demanda,  las  presuntas  víctimas,   sus</w:t>
        <w:br/>
        <w:t xml:space="preserve">      familiares  o  sus  representantes  debidamente   acreditados   podrán</w:t>
        <w:br/>
        <w:t xml:space="preserve">      presentar sus solicitudes, argumentos  y  pruebas  en  forma  autónoma</w:t>
        <w:br/>
        <w:t xml:space="preserve">      durante todo el proceso.</w:t>
        <w:br/>
        <w:br/>
        <w:t>85.   El artículo 33.1 del Reglamento señala que el escrito  de  la  demanda</w:t>
        <w:br/>
        <w:t>expresará:</w:t>
        <w:br/>
        <w:br/>
        <w:t xml:space="preserve">      las  pretensiones  (incluidas  las  referidas  a  las  reparaciones  y</w:t>
        <w:br/>
        <w:t xml:space="preserve">      costas); las partes en el caso;  la  exposición  de  los  hechos;  las</w:t>
        <w:br/>
        <w:t xml:space="preserve">      resoluciones de apertura del procedimiento y de  admisibilidad  de  la</w:t>
        <w:br/>
        <w:t xml:space="preserve">      denuncia por la Comisión; las pruebas ofrecidas con indicación de  los</w:t>
        <w:br/>
        <w:t xml:space="preserve">      hechos sobre los cuales versarán; la individualización de los testigos</w:t>
        <w:br/>
        <w:t xml:space="preserve">      y peritos y el objeto de sus declaraciones; los fundamentos de derecho</w:t>
        <w:br/>
        <w:t xml:space="preserve">      y las conclusiones pertinentes.  Además, la Comisión deberá  consignar</w:t>
        <w:br/>
        <w:t xml:space="preserve">      el nombre y la dirección del denunciante original, así como el  nombre</w:t>
        <w:br/>
        <w:t xml:space="preserve">      y la dirección  de  las  presuntas  víctimas,  sus  familiares  o  sus</w:t>
        <w:br/>
        <w:t xml:space="preserve">      representantes debidamente acreditados en caso de ser posible.</w:t>
        <w:br/>
        <w:br/>
        <w:t>86.   El artículo 44 del Reglamento señala que:</w:t>
        <w:br/>
        <w:br/>
        <w:t xml:space="preserve">      1. Las pruebas promovidas por las partes sólo serán admitidas  si  son</w:t>
        <w:br/>
        <w:t xml:space="preserve">      ofrecidas en la demanda y en su contestación  y  en  su  caso,  en  el</w:t>
        <w:br/>
        <w:t xml:space="preserve">      escrito de excepciones preliminares y en su contestación.</w:t>
        <w:br/>
        <w:br/>
        <w:br/>
        <w:t xml:space="preserve">      […]</w:t>
        <w:br/>
        <w:br/>
        <w:br/>
        <w:t xml:space="preserve">      3. Excepcionalmente la Corte podrá admitir una prueba si alguna de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br/>
        <w:t xml:space="preserve">      4.  En  el  caso  de  la  presunta  víctima,  sus  familiares  o   sus</w:t>
        <w:br/>
        <w:t xml:space="preserve">      representantes debidamente acreditados,  la  admisión  de  pruebas  se</w:t>
        <w:br/>
        <w:t xml:space="preserve">      regirá además por lo dispuesto en los artículos  23,  36  y  37.5  del</w:t>
        <w:br/>
        <w:t xml:space="preserve">      Reglamento.</w:t>
        <w:br/>
        <w:br/>
        <w:t>87.   El artículo 45 del Reglamento señala que en  cualquier  estado  de  la</w:t>
        <w:br/>
        <w:t>causa la Corte podrá:</w:t>
        <w:br/>
        <w:br/>
        <w:t xml:space="preserve">      1. Procurar de oficio toda prueba que considere útil.  En  particular,</w:t>
        <w:br/>
        <w:t xml:space="preserve">      podrá oír en calidad de testigo, perito o por otro título, a cualquier</w:t>
        <w:br/>
        <w:t xml:space="preserve">      persona cuyo testimonio, declaración u opinión estime pertinente.</w:t>
        <w:br/>
        <w:br/>
        <w:br/>
        <w:t xml:space="preserve">      2. Requerir de las partes el suministro de alguna prueba que esté a su</w:t>
        <w:br/>
        <w:t xml:space="preserve">      alcance o de cualquier explicación o declaración  que,  a  su  juicio,</w:t>
        <w:br/>
        <w:t xml:space="preserve">      pueda ser útil.</w:t>
        <w:br/>
        <w:br/>
        <w:br/>
        <w:t xml:space="preserve">      3. Solicitar a cualquier entidad, oficina, órgano o  autoridad  de  su</w:t>
        <w:br/>
        <w:t xml:space="preserve">      elección, que obtenga información, que exprese una opinión o que  haga</w:t>
        <w:br/>
        <w:t xml:space="preserve">      un informe o dictámen sobre un punto determinado. […]</w:t>
        <w:br/>
        <w:br/>
        <w:br/>
        <w:t xml:space="preserve">      4.  Comisionar a uno o  varios  de  sus  miembros  para  que  realicen</w:t>
        <w:br/>
        <w:t xml:space="preserve">      cualquier medida de instrucción, incluyendo audiencias de recepción de</w:t>
        <w:br/>
        <w:t xml:space="preserve">      prueba, ya sea en la sede de la Corte o fuera de ésta.</w:t>
        <w:br/>
        <w:br/>
        <w:t>88.   En el caso sub  judice,  los  representantes  han  incluido  presuntas</w:t>
        <w:br/>
        <w:t>“víctimas adicionales por las violaciones de los derechos alegados”  por  la</w:t>
        <w:br/>
        <w:t>Comisión en relación con los artículos 5, 7, 19 y 21  de  la  Convención  y,</w:t>
        <w:br/>
        <w:t>además,  incluyeron   presuntas   “nuevas   víctimas   y   nuevos   derechos</w:t>
        <w:br/>
        <w:t>[supuestamente] vulnerados no contenidos en la demanda” en relación con  los</w:t>
        <w:br/>
        <w:t>artículos 6 y 22 de la Convención (supra párrs. 18, 74 y 75).   Además,  los</w:t>
        <w:br/>
        <w:t>representantes señalaron que las presuntas violaciones de los  artículos  6,</w:t>
        <w:br/>
        <w:t>7, 21 y 22 de la  Convención  deberían  ser  consideradas  en  perjuicio  de</w:t>
        <w:br/>
        <w:t>aquellas personas cuya “identidad se  establezca  en  el  proceso”  ante  la</w:t>
        <w:br/>
        <w:t>Corte (supra párrs. 18).</w:t>
        <w:br/>
        <w:br/>
        <w:t>89.   Ya ha sido establecido por este Tribunal que, en  lo  que  respecta  a</w:t>
        <w:br/>
        <w:t>los hechos objeto del proceso, no es posible para los representantes  alegar</w:t>
        <w:br/>
        <w:t>nuevos hechos distintos de los planteados en la demanda,  sin  perjuicio  de</w:t>
        <w:br/>
        <w:t>exponer aquellos que permitan explicar, aclarar o  desestimar  los  que  han</w:t>
        <w:br/>
        <w:t>sido mencionados en la demanda, o bien, responder  a  las  pretensiones  del</w:t>
        <w:br/>
        <w:t>demandante[9]. Lo anterior no implica  en  modo  alguno  una  afectación  al</w:t>
        <w:br/>
        <w:t>objeto de la demanda o  un  menoscabo  o  vulneración  para  el  derecho  de</w:t>
        <w:br/>
        <w:t>defensa  del  Estado,  el  cual  tiene  las  oportunidades  procesales  para</w:t>
        <w:br/>
        <w:t>responder a los alegatos de la Comisión y de  los  representantes  en  todas</w:t>
        <w:br/>
        <w:t>las etapas del proceso. Corresponde a la Corte, finalmente, decidir en  cada</w:t>
        <w:br/>
        <w:t>caso acerca de la procedencia de alegatos de  tal  naturaleza  en  resguardo</w:t>
        <w:br/>
        <w:t>del equilibrio procesal de las partes[10].   Es  distinto  el  caso  de  los</w:t>
        <w:br/>
        <w:t>hechos supervinientes, que pueden presentarse por cualquiera de  las  partes</w:t>
        <w:br/>
        <w:t>en cualquier estado del proceso antes del dictado de la sentencia[11].</w:t>
        <w:br/>
        <w:br/>
        <w:t>90.    A  continuación  el  Tribunal  determinará,  de  conformidad  con  el</w:t>
        <w:br/>
        <w:t>Reglamento y su jurisprudencia, y tomando  en  cuenta  las  particularidades</w:t>
        <w:br/>
        <w:t>del caso en concreto, quienes de las personas que no  fueron  abarcadas  por</w:t>
        <w:br/>
        <w:t>el reconocimiento de responsabilidad estatal  serán  consideradas  presuntas</w:t>
        <w:br/>
        <w:t>víctimas en el presente caso.</w:t>
        <w:br/>
        <w:br/>
        <w:t>91.   La jurisprudencia en cuanto a la determinación de  presuntas  víctimas</w:t>
        <w:br/>
        <w:t>en casos ante esta Corte ha sido amplia, utilizando criterios  aplicables  a</w:t>
        <w:br/>
        <w:t>las circunstancias del caso.  Las presuntas víctimas deben  estar  señaladas</w:t>
        <w:br/>
        <w:t>en la demanda y en el informe de la Comisión según  el  artículo  50  de  la</w:t>
        <w:br/>
        <w:t>Convención.  Sin embargo, dado a la falta de  ello,  en  algunas  ocasiones,</w:t>
        <w:br/>
        <w:t>debido a las particularidades de cada caso, la  Corte  ha  considerado  como</w:t>
        <w:br/>
        <w:t>presuntas víctimas a  personas  que  no  fueron  alegadas  como  tal  en  la</w:t>
        <w:br/>
        <w:t>demanda, siempre y cuando se haya respetado el derecho  de  defensa  de  las</w:t>
        <w:br/>
        <w:t>partes y las presuntas víctimas guarden relación con  los  hechos  descritos</w:t>
        <w:br/>
        <w:t>en la demanda y con la prueba aportada ante la Corte[12].</w:t>
        <w:br/>
        <w:br/>
        <w:t>92.   Particularmente, en casos de masacres  o  de  múltiples  víctimas,  la</w:t>
        <w:br/>
        <w:t>Corte ha sido flexible en  la  identificación  de  presuntas  víctimas,  aun</w:t>
        <w:br/>
        <w:t>cuando éstas hayan sido alegadas en la demanda  de  la  Comisión  como  “los</w:t>
        <w:br/>
        <w:t>sobrevivientes” de la masacre y “sus familiares”, o cuando las partes  hayan</w:t>
        <w:br/>
        <w:t>presentado en escritos posteriores a la demanda información adicional  sobre</w:t>
        <w:br/>
        <w:t>la  identificación  de  las  presuntas  víctimas[13].  En  otros  casos   de</w:t>
        <w:br/>
        <w:t>masacres, la Corte ha considerado como presuntas víctimas  a  “las  personas</w:t>
        <w:br/>
        <w:t>identificadas por la Comisión en  su  demanda  […]  y  las  que  puedan  ser</w:t>
        <w:br/>
        <w:t>identificadas  con  posterioridad,  debido  a  que   las   complejidades   y</w:t>
        <w:br/>
        <w:t>dificultades presentadas al individualizarlas permiten presumir que hay  aún</w:t>
        <w:br/>
        <w:t>víctimas pendientes de determinación”[14].</w:t>
        <w:br/>
        <w:br/>
        <w:t>93.   En algunos casos, la Corte ha enfatizado que el derecho de defensa  de</w:t>
        <w:br/>
        <w:t>las partes es el criterio determinante[15].  Sin embargo, aun  en  presencia</w:t>
        <w:br/>
        <w:t>de objeciones por parte del Estado, la Corte ha considerado incluir a  tales</w:t>
        <w:br/>
        <w:t>presuntas nuevas víctimas[16].</w:t>
        <w:br/>
        <w:br/>
        <w:t>94.   En casos de múltiples presuntas  víctimas,  basándose  en  su  función</w:t>
        <w:br/>
        <w:t>jurisdiccional, y de conformidad con el artículo 62  de  la  Convención,  el</w:t>
        <w:br/>
        <w:t>cual indica que la Corte tiene  competencia  para  conocer  “cualquier  caso</w:t>
        <w:br/>
        <w:t>relativo  a  la  interpretación  y  aplicación  de  [la]  Convención”,  este</w:t>
        <w:br/>
        <w:t>Tribunal  ha  considerado  varias  medios  para  subsanar  “el  defecto  del</w:t>
        <w:br/>
        <w:t>desconocimiento o identificación de algunas de las  presuntas  víctimas”  en</w:t>
        <w:br/>
        <w:t>la demanda[17],  pero  cuyos  nombres  se  derivan  de  los  escritos  donde</w:t>
        <w:br/>
        <w:t>constaban otras presuntas víctimas.  Por ejemplo,  la  Corte  ha  solicitado</w:t>
        <w:br/>
        <w:t>que la Comisión subsane tal defecto mediante la presentación  de  listas  de</w:t>
        <w:br/>
        <w:t>presuntas  víctimas  identificadas  con  posterioridad  a  la   demanda[18].</w:t>
        <w:br/>
        <w:t>Asimismo,  en  casos  donde  las  presuntas  víctimas  “hayan  sido   o   no</w:t>
        <w:br/>
        <w:t>identificad[a]s  o  individualizad[a]s”  en  la  demanda[19],  la  Corte  ha</w:t>
        <w:br/>
        <w:t>ordenado que sea el Estado el que “individualice e identifique las  víctimas</w:t>
        <w:br/>
        <w:t>[…] así  como  sus  familiares”,  para  efectos  de  reparaciones[20].   Por</w:t>
        <w:br/>
        <w:t>último, la Corte ha tomado la iniciativa de subsanar, mediante  un  análisis</w:t>
        <w:br/>
        <w:t>propio de la prueba presentada por las partes, el defecto de  identificación</w:t>
        <w:br/>
        <w:t>de presuntas víctimas en la demanda, aun cuando las  partes  hayan  admitido</w:t>
        <w:br/>
        <w:t>que algunas personas “por  error  no  fueron  incluidas  en  las  listas  de</w:t>
        <w:br/>
        <w:t>presuntas víctimas”[21]. De manera  similar,  la  Corte  ha  declarado  como</w:t>
        <w:br/>
        <w:t>“posibles víctimas” a  personas  que  se  encontraban  identificadas  en  la</w:t>
        <w:br/>
        <w:t>prueba  aportada  por  las  partes,  aun  cuando  dichas  personas   no   se</w:t>
        <w:br/>
        <w:t>encontraban identificadas en la demanda de la Comisión[22].</w:t>
        <w:br/>
        <w:br/>
        <w:t>95.   De lo  anterior  se  desprende  que  la  identificación  de  presuntas</w:t>
        <w:br/>
        <w:t>víctimas en un caso, si bien se regirá según los parámetros establecidos  en</w:t>
        <w:br/>
        <w:t>la Convención y en el Reglamento de la Corte, el Tribunal, basándose  en  su</w:t>
        <w:br/>
        <w:t>función  jurisdiccional,  y  de  conformidad  con  el  artículo  62  de   la</w:t>
        <w:br/>
        <w:t>Convención, podrá  tomar  decisiones  al  respecto  tomando  en  cuenta  las</w:t>
        <w:br/>
        <w:t>particularidades de cada caso y los derechos respecto de los  cuales  se  ha</w:t>
        <w:br/>
        <w:t>alegado una violación, siempre y cuando se respete el derecho de defensa  de</w:t>
        <w:br/>
        <w:t>las partes  y  las  presuntas  víctimas  guarden  relación  con  los  hechos</w:t>
        <w:br/>
        <w:t>descritos en la demanda y con la prueba aportada ante la Corte.</w:t>
        <w:br/>
        <w:br/>
        <w:t>96.   De conformidad con los criterios  anteriormente  señalados,  la  Corte</w:t>
        <w:br/>
        <w:t>analizará la determinación de las presuntas víctimas  en  el  presente  caso</w:t>
        <w:br/>
        <w:t>que no fueron abarcados por el reconocimiento de  responsabilidad  efectuado</w:t>
        <w:br/>
        <w:t>por el Estado en los capítulos de fondo de cada supuesta violación alegada.</w:t>
        <w:br/>
        <w:br/>
        <w:t>97.   La Corte considera pertinente señalar su preocupación en relación  con</w:t>
        <w:br/>
        <w:t>la discrepancia que existe entre las personas señaladas por la  Comisión  en</w:t>
        <w:br/>
        <w:t>su informe basado  en  el  artículo  50  de  la  Convención  como  presuntas</w:t>
        <w:br/>
        <w:t>víctimas del artículo 21 de la misma, versus las  personas  alegadas  en  su</w:t>
        <w:br/>
        <w:t>demanda como presuntas víctimas de dicho artículo (supra  párrs.  3  y  11).</w:t>
        <w:br/>
        <w:t>La lista de personas en ambos escritos no coincide  ni  en  cantidad  ni  en</w:t>
        <w:br/>
        <w:t>identidad.  Asimismo, la Corte hace notar que las personas alegadas por  los</w:t>
        <w:br/>
        <w:t>representantes en su escrito de solicitudes  y  argumentos  tampoco  guardan</w:t>
        <w:br/>
        <w:t>relación con aquellas señaladas en  el  referido  informe  del  artículo  50</w:t>
        <w:br/>
        <w:t>(supra párrs. 11 y 18).</w:t>
        <w:br/>
        <w:br/>
        <w:t>98.   Este Tribunal se ha visto en la necesidad  de  efectuar  un  laborioso</w:t>
        <w:br/>
        <w:t>examen de  la  prueba  aportada  por  las  partes  orientado  a  reunir  los</w:t>
        <w:br/>
        <w:t>elementos  necesarios  para  la  identificación  precisa  de  las   víctimas</w:t>
        <w:br/>
        <w:t>teniendo en cuenta que la demanda de la  Comisión  no  contenía  información</w:t>
        <w:br/>
        <w:t>completa al respecto. La  Corte  observa  que  la  demanda  de  la  Comisión</w:t>
        <w:br/>
        <w:t>contiene referencias generales  a  las  víctimas  en  relación  con  algunos</w:t>
        <w:br/>
        <w:t>grupos  de  las  mismas,  tales  como   “17   arrieros”   o   “víctimas   de</w:t>
        <w:br/>
        <w:t>desplazamiento”, sin proveer  los  detalles  necesarios  para  la  apropiada</w:t>
        <w:br/>
        <w:t>identificación de presuntas víctimas individuales. La Corte  considera  que,</w:t>
        <w:br/>
        <w:t>de conformidad con el artículo 33.1 del Reglamento de la Corte,  corresponde</w:t>
        <w:br/>
        <w:t>a la Comisión, y no  a  este  Tribunal,  identificar  con  precisión  a  las</w:t>
        <w:br/>
        <w:t>presuntas víctimas en un caso ante la Corte.</w:t>
        <w:br/>
        <w:br/>
        <w:br/>
        <w:t xml:space="preserve">                                     VI</w:t>
        <w:br/>
        <w:br/>
        <w:t xml:space="preserve">                            Excepción Preliminar</w:t>
        <w:br/>
        <w:br/>
        <w:t>99.   En el escrito de contestación de  la  demanda  (supra  párr.  19),  el</w:t>
        <w:br/>
        <w:t>Estado interpuso una excepción preliminar basada en la “indebida  aplicación</w:t>
        <w:br/>
        <w:t>del requisito del previo agotamiento de los recursos internos”  previsto  en</w:t>
        <w:br/>
        <w:t>el artículo 46.1.a de la Convención.</w:t>
        <w:br/>
        <w:br/>
        <w:t>Alegatos del Estado</w:t>
        <w:br/>
        <w:br/>
        <w:t>100.  En cuanto a dicha excepción preliminar el Estado señaló que:</w:t>
        <w:br/>
        <w:br/>
        <w:t xml:space="preserve">      a)    el  sistema  interamericano  de  protección  y  respeto  de  los</w:t>
        <w:br/>
        <w:t xml:space="preserve">      derechos humanos tiene un carácter “subsidiario […] a  los  mecanismos</w:t>
        <w:br/>
        <w:t xml:space="preserve">      que los propios Estados han instituido para asegurar el respeto  y  la</w:t>
        <w:br/>
        <w:t xml:space="preserve">      garantía de los derechos y libertades en su ámbito interno”;</w:t>
        <w:br/>
        <w:br/>
        <w:br/>
        <w:t xml:space="preserve">      b)    de “manera oportuna, reiterativa y coherente el Estado se  opuso</w:t>
        <w:br/>
        <w:t xml:space="preserve">      a la admisión […] de est[os] Caso[s] por considerar que  los  recursos</w:t>
        <w:br/>
        <w:t xml:space="preserve">      internos no se habían agotado”;</w:t>
        <w:br/>
        <w:br/>
        <w:br/>
        <w:t xml:space="preserve">      c)    la Comisión redactó un informe  conjunto  en  los  casos  de  La</w:t>
        <w:br/>
        <w:t xml:space="preserve">      Granja y  El  Aro,  mediante  el  cual  consignó  sus  conclusiones  y</w:t>
        <w:br/>
        <w:t xml:space="preserve">      recomendaciones  al  respecto,  “sin  que  los  recursos  internos  se</w:t>
        <w:br/>
        <w:t xml:space="preserve">      hubieran agotado y sin que se diera un  retardo  injustificado  en  su</w:t>
        <w:br/>
        <w:t xml:space="preserve">      decisión”;</w:t>
        <w:br/>
        <w:br/>
        <w:br/>
        <w:t xml:space="preserve">      d)    “varios de los familiares de  las  presuntas  víctimas  que  han</w:t>
        <w:br/>
        <w:t xml:space="preserve">      concurrido al  trámite  internacional  ni  siquiera  acudieron  a  los</w:t>
        <w:br/>
        <w:t xml:space="preserve">      mecanismos  previstos  en  el   derecho   interno   para   buscar   la</w:t>
        <w:br/>
        <w:t xml:space="preserve">      indemnización de los perjuicios que alegan haber sufrido[, tales  como</w:t>
        <w:br/>
        <w:t xml:space="preserve">      la] acción civil autónoma o formulada dentro del proceso penal y  [la]</w:t>
        <w:br/>
        <w:t xml:space="preserve">      acción contencioso administrativa de reparación directa”;</w:t>
        <w:br/>
        <w:br/>
        <w:br/>
        <w:t xml:space="preserve">      e)    teniendo la Comisión la carga de la prueba de los hechos en  que</w:t>
        <w:br/>
        <w:t xml:space="preserve">      se funda su demanda, “no aparece ciertamente sustentación  alguna  [en</w:t>
        <w:br/>
        <w:t xml:space="preserve">      dicha demanda] ni de un agotamiento de los recursos  internos,  ni  de</w:t>
        <w:br/>
        <w:t xml:space="preserve">      que se haya presentado un retardo injustificado en  su  decisión  […].</w:t>
        <w:br/>
        <w:t xml:space="preserve">      Tampoco existió una sustentación específica del tema en  los  informes</w:t>
        <w:br/>
        <w:t xml:space="preserve">      de admisibilidad que la Comisión aprobó respecto de cada  uno  de  los</w:t>
        <w:br/>
        <w:t xml:space="preserve">      casos individualmente considerados”;</w:t>
        <w:br/>
        <w:br/>
        <w:br/>
        <w:t xml:space="preserve">      f)    “quedó claro durante el trámite ante la  Comisión  […]  que  los</w:t>
        <w:br/>
        <w:t xml:space="preserve">      recursos que existen en el orden interno para  la  protección  de  los</w:t>
        <w:br/>
        <w:t xml:space="preserve">      derechos  y  libertades  de  cuya  violación  trata  la  demanda   son</w:t>
        <w:br/>
        <w:t xml:space="preserve">      absolutamente  idóneos,  han  estado  siempre  a  disposición  de  las</w:t>
        <w:br/>
        <w:t xml:space="preserve">      presuntas víctimas y sus familiares y  han  sido  tramitados  por  las</w:t>
        <w:br/>
        <w:t xml:space="preserve">      autoridades  competentes,  en  la  forma  y  dentro  de  los  términos</w:t>
        <w:br/>
        <w:t xml:space="preserve">      prescritos por las normas internas”; y</w:t>
        <w:br/>
        <w:br/>
        <w:br/>
        <w:t xml:space="preserve">      g)    los recursos que existen en el orden interno para la  protección</w:t>
        <w:br/>
        <w:t xml:space="preserve">      de los derechos y libertades de cuya violación trata la demanda “están</w:t>
        <w:br/>
        <w:t xml:space="preserve">      aún en trámite. En algunos de ellos han recaído ya decisiones que  han</w:t>
        <w:br/>
        <w:t xml:space="preserve">      tutelado los derechos de las presuntas víctimas y sus  familiares,  en</w:t>
        <w:br/>
        <w:t xml:space="preserve">      algunos otros se esperan decisiones definitivas”.</w:t>
        <w:br/>
        <w:br/>
        <w:t>Alegatos de la Comisión</w:t>
        <w:br/>
        <w:br/>
        <w:t>101.  En cuanto a la excepción  preliminar  interpuesta  por  el  Estado  la</w:t>
        <w:br/>
        <w:t>Comisión señaló que:</w:t>
        <w:br/>
        <w:br/>
        <w:t xml:space="preserve">      a)    la Corte debiera proceder a “examinar la [excepción  preliminar]</w:t>
        <w:br/>
        <w:t xml:space="preserve">      junto con  el  fondo  del  asunto;  recha[zarla]  por  improcedente  e</w:t>
        <w:br/>
        <w:t xml:space="preserve">      infundada […] y reafirm[ar] su jurisdicción para examinar el fondo  de</w:t>
        <w:br/>
        <w:t xml:space="preserve">      la cuestión”;</w:t>
        <w:br/>
        <w:br/>
        <w:t xml:space="preserve">      b)    “la oportunidad procesal de presentar objeciones al  agotamiento</w:t>
        <w:br/>
        <w:t xml:space="preserve">      de recursos internos opera en  la  etapa  en  la  cual  [la  Comisión]</w:t>
        <w:br/>
        <w:t xml:space="preserve">      examina su admisibilidad”;</w:t>
        <w:br/>
        <w:br/>
        <w:t xml:space="preserve">      c)    “el contenido de las decisiones de admisibilidad adoptadas  [por</w:t>
        <w:br/>
        <w:t xml:space="preserve">      la Comisión] no debiera ser materia de  nuevo  examen  sustancial  [y]</w:t>
        <w:br/>
        <w:t xml:space="preserve">      debe considerarse como definitivo”;</w:t>
        <w:br/>
        <w:br/>
        <w:t xml:space="preserve">      d)    “sólo deben ser agotados los recursos  adecuados  para  subsanar</w:t>
        <w:br/>
        <w:t xml:space="preserve">      las violaciones presuntamente cometidas.  El  que  los  recursos  sean</w:t>
        <w:br/>
        <w:t xml:space="preserve">      adecuados significa que la función de esos recursos dentro del sistema</w:t>
        <w:br/>
        <w:t xml:space="preserve">      de derechos interno sea idónea para  proteger  la  situación  jurídica</w:t>
        <w:br/>
        <w:t xml:space="preserve">      infringida”;</w:t>
        <w:br/>
        <w:br/>
        <w:t xml:space="preserve">      e)    “los hechos alegados […] involucran la presunta  vulneración  de</w:t>
        <w:br/>
        <w:t xml:space="preserve">      derechos fundamentales no derogables, como la  vida  y  la  integridad</w:t>
        <w:br/>
        <w:t xml:space="preserve">      personal, que  se  traducen  en  la  legislación  interna  en  delitos</w:t>
        <w:br/>
        <w:t xml:space="preserve">      perseguibles de oficio y que por lo tanto es este  proceso,  impulsado</w:t>
        <w:br/>
        <w:t xml:space="preserve">      por el Estado mismo, el que debe ser [agotado]”;</w:t>
        <w:br/>
        <w:br/>
        <w:t xml:space="preserve">      f)    “los pronunciamientos de carácter  disciplinario  no  satisfacen</w:t>
        <w:br/>
        <w:t xml:space="preserve">      las  obligaciones  establecidas  por  la  Convención  en  materia   de</w:t>
        <w:br/>
        <w:t xml:space="preserve">      protección judicial, ya que no constituyen una vía eficaz y suficiente</w:t>
        <w:br/>
        <w:t xml:space="preserve">      para juzgar, sancionar y reparar las  consecuencias  de  la  ejecución</w:t>
        <w:br/>
        <w:t xml:space="preserve">      extrajudicial de personas protegidas por la Convención”;</w:t>
        <w:br/>
        <w:br/>
        <w:t xml:space="preserve">      g)     “en  cuanto  al  agotamiento  de  la  jurisdicción  contencioso</w:t>
        <w:br/>
        <w:t xml:space="preserve">      administrativa, […] este tipo de proceso constituye exclusivamente  un</w:t>
        <w:br/>
        <w:t xml:space="preserve">      mecanismo de supervisión de la  actividad  administrativa  del  Estado</w:t>
        <w:br/>
        <w:t xml:space="preserve">      encaminado a obtener indemnización por daños y perjuicios causados por</w:t>
        <w:br/>
        <w:t xml:space="preserve">      abuso de  autoridad.   En  general,  este  proceso  no  constituye  un</w:t>
        <w:br/>
        <w:t xml:space="preserve">      mecanismo adecuado, por sí solo, para reparar casos de  violaciones  a</w:t>
        <w:br/>
        <w:t xml:space="preserve">      los derechos humanos, por lo cual no es necesario que sea  agotado  en</w:t>
        <w:br/>
        <w:t xml:space="preserve">      un caso como el presente cuando existe otra vía para lograr  tanto  la</w:t>
        <w:br/>
        <w:t xml:space="preserve">      reparación del daño como el juzgamiento y sanciones exigidos”; y</w:t>
        <w:br/>
        <w:br/>
        <w:t xml:space="preserve">      h)    ha habido un retardo injustificado en la investigación penal  de</w:t>
        <w:br/>
        <w:t xml:space="preserve">      los hechos.</w:t>
        <w:br/>
        <w:br/>
        <w:br/>
        <w:t>Alegatos de los representantes</w:t>
        <w:br/>
        <w:br/>
        <w:t>102.  En cuanto a la excepción preliminar  interpuesta  por  el  Estado  los</w:t>
        <w:br/>
        <w:t>representantes señalaron que:</w:t>
        <w:br/>
        <w:br/>
        <w:t xml:space="preserve">      a)    la excepción preliminar “no tiene fundamento”  y  por  tanto  la</w:t>
        <w:br/>
        <w:t xml:space="preserve">      Corte debiera desestimarla;</w:t>
        <w:br/>
        <w:br/>
        <w:br/>
        <w:t xml:space="preserve">      b)     el  Estado  había  presentado  simultáneamente  una   excepción</w:t>
        <w:br/>
        <w:t xml:space="preserve">      preliminar y  un  reconocimiento  de  responsabilidad,  allanándose  a</w:t>
        <w:br/>
        <w:t xml:space="preserve">      varias de las pretensiones de la  demanda  de  la  Comisión,  lo  cual</w:t>
        <w:br/>
        <w:t xml:space="preserve">      “constituye  una   manifestación   posterior   de   renuncia   a   las</w:t>
        <w:br/>
        <w:t xml:space="preserve">      excepciones”;</w:t>
        <w:br/>
        <w:br/>
        <w:br/>
        <w:t xml:space="preserve">      c)    “[l]a idoneidad de los recursos se predica de la  capacidad  que</w:t>
        <w:br/>
        <w:t xml:space="preserve">      tienen esos recursos para conducir de manera efectiva a la  reparación</w:t>
        <w:br/>
        <w:t xml:space="preserve">      integral de las violaciones  alegadas[,  e]ntendiendo  por  reparación</w:t>
        <w:br/>
        <w:t xml:space="preserve">      integral la identificación, juzgamiento y sanción de los responsables,</w:t>
        <w:br/>
        <w:t xml:space="preserve">      como también las reparaciones que  tiendan  a  garantizar  que  hechos</w:t>
        <w:br/>
        <w:t xml:space="preserve">      similares no  volverán  a  ocurrir  y  que  los  daños  causados  sean</w:t>
        <w:br/>
        <w:t xml:space="preserve">      indemnizados”;</w:t>
        <w:br/>
        <w:br/>
        <w:t xml:space="preserve">      d)    el “proceso penal en el ámbito interno tiene  por  finalidad  la</w:t>
        <w:br/>
        <w:t xml:space="preserve">      identificación,  juzgamiento  y  sanción  de  los  responsables,  como</w:t>
        <w:br/>
        <w:t xml:space="preserve">      también el restablecimiento de los derechos y la indemnización de  los</w:t>
        <w:br/>
        <w:t xml:space="preserve">      perjuicios causados”. Por lo tanto, dicho recurso era el  que  “debían</w:t>
        <w:br/>
        <w:t xml:space="preserve">      agotar las [presuntas] víctimas  y  sus  familiares  para  obtener  la</w:t>
        <w:br/>
        <w:t xml:space="preserve">      protección  de  sus  derechos  en  los  términos  establecidos  en  la</w:t>
        <w:br/>
        <w:t xml:space="preserve">      Convención”;</w:t>
        <w:br/>
        <w:br/>
        <w:t xml:space="preserve">      e)    la determinación de responsabilidad de funcionarios públicos  en</w:t>
        <w:br/>
        <w:t xml:space="preserve">      el proceso disciplinario “solo se dirige a evaluar la  correspondencia</w:t>
        <w:br/>
        <w:t xml:space="preserve">      de su actuación frente a las normas que regulan el  desempeño  de  sus</w:t>
        <w:br/>
        <w:t xml:space="preserve">      funciones públicas”.   En  el  proceso  disciplinario  no  existe  “la</w:t>
        <w:br/>
        <w:t xml:space="preserve">      posibilidad  de  dirigirse  contra  todos   los   responsables,   sino</w:t>
        <w:br/>
        <w:t xml:space="preserve">      simplemente  contra  quienes  tengan  la   calidad   de   funcionarios</w:t>
        <w:br/>
        <w:t xml:space="preserve">      públicos”.  Asimismo, “dentro de  la  investigación  disciplinaria  no</w:t>
        <w:br/>
        <w:t xml:space="preserve">      está previsto el acceso de las [presuntas] víctimas y sus familiares a</w:t>
        <w:br/>
        <w:t xml:space="preserve">      la misma”.  Por lo anterior, el proceso  disciplinario  no  tiene  “el</w:t>
        <w:br/>
        <w:t xml:space="preserve">      alcance de la sanción en los términos previstos por la Convención”;</w:t>
        <w:br/>
        <w:br/>
        <w:t xml:space="preserve">      f)     la  indemnización  económica  disponible  mediante  el  proceso</w:t>
        <w:br/>
        <w:t xml:space="preserve">      contencioso administrativo “no puede entenderse  como  una  reparación</w:t>
        <w:br/>
        <w:t xml:space="preserve">      integral en los términos de la Convención [ya que] solo se  ocupa  del</w:t>
        <w:br/>
        <w:t xml:space="preserve">      aspecto económico, dejando de lado el restablecimiento de los derechos</w:t>
        <w:br/>
        <w:t xml:space="preserve">      a través de  la  determinación  de  la  verdad  y  la  identificación,</w:t>
        <w:br/>
        <w:t xml:space="preserve">      juzgamiento y sanción de los responsables”; y</w:t>
        <w:br/>
        <w:br/>
        <w:br/>
        <w:t xml:space="preserve">      g)    al momento en que se presentaron los casos de El Aro y La Granja</w:t>
        <w:br/>
        <w:t xml:space="preserve">      ante el sistema  interamericano,  “el  curso  de  las  investigaciones</w:t>
        <w:br/>
        <w:t xml:space="preserve">      emprendidas  con  ocasión  de  los  hechos  no   presentaban   avances</w:t>
        <w:br/>
        <w:t xml:space="preserve">      significativos pese al tiempo  transcurrido  y  [dichos  retrasos]  no</w:t>
        <w:br/>
        <w:t xml:space="preserve">      tenían   justificación”.    Los   “avances    posteriores    de    las</w:t>
        <w:br/>
        <w:t xml:space="preserve">      investigaciones no inciden en la valoración del agotamiento previo  de</w:t>
        <w:br/>
        <w:t xml:space="preserve">      los recursos internos”.</w:t>
        <w:br/>
        <w:br/>
        <w:t>Consideraciones de la Corte</w:t>
        <w:br/>
        <w:br/>
        <w:t>103.  En el  presente  caso  el  Estado  ha  reconocido  su  responsabilidad</w:t>
        <w:br/>
        <w:t>internacional por la violación de los artículos 4 (Derechos a  la  Vida),  5</w:t>
        <w:br/>
        <w:t>(Derecho a la Integridad Personal), 7 (Derecho a la Libertad Personal) y  21</w:t>
        <w:br/>
        <w:t>(Derecho a la Propiedad Privada) de la Convención Americana respecto de  las</w:t>
        <w:br/>
        <w:t>personas señaladas en la demanda (supra párrs. 19, 59, 63 y 64).</w:t>
        <w:br/>
        <w:br/>
        <w:t>104.   Al  haber  efectuado  un  reconocimiento  de  responsabilidad  en  el</w:t>
        <w:br/>
        <w:t>presente caso, el Estado ha aceptado implícitamente la plena competencia  de</w:t>
        <w:br/>
        <w:t>la Corte para conocer del mismo[23], por  lo  cual  Colombia  ha  renunciado</w:t>
        <w:br/>
        <w:t>tácitamente a la excepción preliminar interpuesta. Además, el  contenido  de</w:t>
        <w:br/>
        <w:t>dicha excepción se  encuentra  íntimamente  relacionado  con  el  fondo  del</w:t>
        <w:br/>
        <w:t>presente asunto, en particular en lo referente a la  supuesta  violación  de</w:t>
        <w:br/>
        <w:t>los artículos 8 y 25  de  la  Convención.  Por  lo  tanto,  dicha  excepción</w:t>
        <w:br/>
        <w:t>preliminar debe  ser  desestimada  y  la  Corte  se  pronunciará  sobre  los</w:t>
        <w:br/>
        <w:t>alegatos  de  las  partes  al   respecto   en   los   capítulos   de   fondo</w:t>
        <w:br/>
        <w:t>correspondientes de la presente Sentencia (infra párrs. 283 y siguientes).</w:t>
        <w:br/>
        <w:br/>
        <w:t xml:space="preserve">                                     VII</w:t>
        <w:br/>
        <w:t xml:space="preserve">                                   Prueba</w:t>
        <w:br/>
        <w:br/>
        <w:t>105.  Antes de examinar las pruebas ofrecidas, la Corte formulará,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106.  En materia  probatoria  rige  el  principio  del  contradictorio,  que</w:t>
        <w:br/>
        <w:t>respeta el derecho de defensa de las partes. El artículo 44  del  Reglamento</w:t>
        <w:br/>
        <w:t>contempla este principio, en lo que atañe  a  la  oportunidad  en  que  debe</w:t>
        <w:br/>
        <w:t>ofrecerse la prueba para que haya igualdad entre las partes[24].</w:t>
        <w:br/>
        <w:br/>
        <w:t>107.  Según la práctica del Tribunal, al inicio de cada  etapa  procesal  en</w:t>
        <w:br/>
        <w:t>la primera oportunidad que se les concede  para  pronunciarse  por  escrito,</w:t>
        <w:br/>
        <w:t>las partes deben señalar qué pruebas ofrecerán. Además, en ejercicio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expresamente[25].</w:t>
        <w:br/>
        <w:br/>
        <w:t>108.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 concreto  y  teniendo  presentes  los  límites  que</w:t>
        <w:br/>
        <w:t>impone el respeto a la seguridad jurídica y al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no ha adoptado una rígida determinación del quantum  de  la  prueba</w:t>
        <w:br/>
        <w:t>necesaria para fundar un fallo. Este criterio es válido para los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experiencia[26].</w:t>
        <w:br/>
        <w:br/>
        <w:t>109.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 solicitada  por  el  Tribunal  y  su</w:t>
        <w:br/>
        <w:t>Presidente, así como la prueba pericial y testimonial rendida ante la  Corte</w:t>
        <w:br/>
        <w:t>durante la audiencia pública, todo lo cual  conforma  el  acervo  probatorio</w:t>
        <w:br/>
        <w:t>del presente caso. Para ello el Tribunal se atendrá a los principios  de  la</w:t>
        <w:br/>
        <w:t>sana crítica, dentro del marco legal correspondiente.</w:t>
        <w:br/>
        <w:br/>
        <w:br/>
        <w:br/>
        <w:t xml:space="preserve">                            A)  Prueba documental</w:t>
        <w:br/>
        <w:br/>
        <w:br/>
        <w:t>110.  La Comisión, los representantes y el Estado  remitieron  declaraciones</w:t>
        <w:br/>
        <w:t>juradas,  así  como  declaraciones  testimoniales  y  dictámenes  periciales</w:t>
        <w:br/>
        <w:t>rendidos ante fedatario público (affidávits), en respuesta  a  lo  dispuesto</w:t>
        <w:br/>
        <w:t>por el Presidente en sus Resoluciones de 28 de julio de  2005  (supra  párr.</w:t>
        <w:br/>
        <w:t>23) y 19 de agosto de 2005 (supra párr. 28).  Debido a  que  la  mayoría  de</w:t>
        <w:br/>
        <w:t>los 16  testigos  solicitaron  que  sus  identidades  fueran  mantenidas  en</w:t>
        <w:br/>
        <w:t>confidencialidad, solicitud que fue reiterada por la Comisión  (supra  párr.</w:t>
        <w:br/>
        <w:t>45), por  temor  a  sufrir  represalias  por  sus  declaraciones,  la  Corte</w:t>
        <w:br/>
        <w:t>procederá a resumir  dichas  declaraciones,  evitando  hacer  alusiones  que</w:t>
        <w:br/>
        <w:t>puedan llevar a la identificación de los declarantes o  de  sus  familiares.</w:t>
        <w:br/>
        <w:t>Asimismo,  la  Corte  procederá  a  resumir  los  dictámenes  periciales   a</w:t>
        <w:br/>
        <w:t>continuación.</w:t>
        <w:br/>
        <w:br/>
        <w:br/>
        <w:t xml:space="preserve">                                 Testimonios</w:t>
        <w:br/>
        <w:br/>
        <w:br/>
        <w:t>a)    Testimonios propuestos por la Comisión Interamericana[27]</w:t>
        <w:br/>
        <w:br/>
        <w:br/>
        <w:t>La Comisión presentó  las  declaraciones  testimoniales  de  seis  personas,</w:t>
        <w:br/>
        <w:t>incluyendo a residentes, comerciantes y autoridades civiles  de  El  Aro  al</w:t>
        <w:br/>
        <w:t>momento de los hechos, quienes señalaron, inter alia, lo  que  se  resume  a</w:t>
        <w:br/>
        <w:t>continuación.</w:t>
        <w:br/>
        <w:br/>
        <w:t>El Aro era un pueblo donde la gente se  dedicaba  al  campo,  al  criado  de</w:t>
        <w:br/>
        <w:t>ganado  y  donde  habitaban  entre  trescientas  (300)  a  quinientas  (500)</w:t>
        <w:br/>
        <w:t>personas.  En mula una persona puede durar seis horas para llegar a  El  Aro</w:t>
        <w:br/>
        <w:t>desde Puerto Escondido u ocho  horas  desde  Puerto  Valdivia.   El  Aro  se</w:t>
        <w:br/>
        <w:t>consideraba una zona de influencia guerrillera, debido a  que  el  “Nudo  de</w:t>
        <w:br/>
        <w:t>Paramillo” queda ahí, que es la unión de tres  cordilleras  desde  donde  se</w:t>
        <w:br/>
        <w:t>puede desplazar a diferentes lugares. La zona es  un  punto  estratégico  de</w:t>
        <w:br/>
        <w:t>tránsito de cuatro grupos: el Ejército, la policía, los paramilitares  y  la</w:t>
        <w:br/>
        <w:t>guerrilla.  Los paramilitares  comenzaron  a  llegar  “años  antes”  de  que</w:t>
        <w:br/>
        <w:t>ocurrieran los hechos en El Aro en 1997.  En 1996  hubo  una  incursión  que</w:t>
        <w:br/>
        <w:t>llegó hasta Santa Rita.  Aproximadamente dos  meses  antes  de  la  masacre,</w:t>
        <w:br/>
        <w:t>llegaron al sector “la Esmeralda” pero no llegaron hasta la cabecera  urbana</w:t>
        <w:br/>
        <w:t>de El Aro. Los paramilitares entraban a El Aro por  Puerto  Valdivia.  Antes</w:t>
        <w:br/>
        <w:t>del año 1994 no había en Puerto Valdivia ni Ejército ni autoridad de ley.</w:t>
        <w:br/>
        <w:br/>
        <w:t>Los paramilitares llevaban mapas de todos los corregimientos y municipios  y</w:t>
        <w:br/>
        <w:t>marcaban con una equis roja aquellos que pensaban destruir.  El  Aro  estaba</w:t>
        <w:br/>
        <w:t>marcado con una equis roja en uno de eso  mapas,  lo  cual  fue  debidamente</w:t>
        <w:br/>
        <w:t>notificado al Alcalde de Ituango y otros Concejales.  Ante  esta  situación,</w:t>
        <w:br/>
        <w:t>“como dos meses antes de la toma”, la Junta de  Acción  Comunal  de  El  Aro</w:t>
        <w:br/>
        <w:t>pidió protección a la Gobernación del Estado, la cual no fue  otorgada.  Las</w:t>
        <w:br/>
        <w:t>autoridades locales comenzaron a llamar “a toda parte, a la cuarta  brigada,</w:t>
        <w:br/>
        <w:t>al batallón Girardot, hasta la fiscalía en Yarumal”.  Les  respondieron  que</w:t>
        <w:br/>
        <w:t>“no ha[bía] tropa  disponible”  porque  todas  habían  sido  repartidas  con</w:t>
        <w:br/>
        <w:t>propósito de las elecciones que se estaban llevando a cabo en esos días.</w:t>
        <w:br/>
        <w:br/>
        <w:t>En octubre de 1997, antes  de  la  masacre,  los  paramilitares  se  reunían</w:t>
        <w:br/>
        <w:t>diariamente con miembros del Ejército en la  zona  de  Cachirimé  y  Tarazá.</w:t>
        <w:br/>
        <w:t>Muchas familias “decían que fueron los paramilitares con el Ejército que  se</w:t>
        <w:br/>
        <w:t>metieron a El Aro”.  Entre los soldados  identificados  se  encontraban  los</w:t>
        <w:br/>
        <w:t>conocidos como “piña”, “el burro” y  el  cabo  Alzate,  a  quien  le  decían</w:t>
        <w:br/>
        <w:t>“Rambo” o “Kamiski”. Incluso se comentaba que el encargado del  Ejército  en</w:t>
        <w:br/>
        <w:t>Puerto Valdivia,  se había convertido en paramilitar.</w:t>
        <w:br/>
        <w:br/>
        <w:t>Los paramilitares entraron  a  El  Aro  el  25  de  octubre  de  1997.   Las</w:t>
        <w:br/>
        <w:t>elecciones estaban programadas  para  llevarse  a  cabo  el  domingo  26  de</w:t>
        <w:br/>
        <w:t>octubre de 1997. El sábado 25 de octubre se  escucharon  “ráfagas  de  fusil</w:t>
        <w:br/>
        <w:t>[y] muchas explosiones”. En la mañana de ese sábado  “llegó  un  helicóptero</w:t>
        <w:br/>
        <w:t>blanco” que “hizo unas ráfagas de tiros” y “cogió rumbo  al  Cauca  arriba”.</w:t>
        <w:br/>
        <w:t>Al llegar unos hombres armados, estos  dijeron:  “nosotros  somos  las  Auto</w:t>
        <w:br/>
        <w:t>Defensas Campesinas y necesitamos que nos vengan  a  acompañar  un  poco  al</w:t>
        <w:br/>
        <w:t>parque”. Los hombres armados acusaban a los residentes  de  El  Aro  de  ser</w:t>
        <w:br/>
        <w:t>guerrilleros.  Estos hombres agarrraron a varias personas del pueblo  y  los</w:t>
        <w:br/>
        <w:t>llevaron al centro de la plaza, los insultaron e hicieron poner boca  abajo,</w:t>
        <w:br/>
        <w:t>en donde procedieron a matar a varias personas.</w:t>
        <w:br/>
        <w:br/>
        <w:t>Entre las personas muertas en esta incursión paramilitar se encontraban las</w:t>
        <w:br/>
        <w:t>siguientes: Wilmar Restrepo Torres, Mario  Torres,  Mario  Iván,  Dora  Luz</w:t>
        <w:br/>
        <w:t>Areiza, Aurelio  Areiza,  Arnulfo  Sánchez,  Luis  Modesto  Múnera,  Nelson</w:t>
        <w:br/>
        <w:t>Palacio, Alberto Correa, y Guillermo Andrés Mendoza.</w:t>
        <w:br/>
        <w:br/>
        <w:t>El domingo 26 de octubre los paramilitares dieron permiso de enterrar a  los</w:t>
        <w:br/>
        <w:t>muertos. La gente que murió en El Aro era “gente honesta y trabajadora,  que</w:t>
        <w:br/>
        <w:t>[…] no tenía vinculo ni con la guerrilla  ni  con  los  paramilitares.  Eran</w:t>
        <w:br/>
        <w:t>finqueros”.</w:t>
        <w:br/>
        <w:br/>
        <w:t>La noche del robo de ganado en El Aro andaban con los soldados dos  personas</w:t>
        <w:br/>
        <w:t>“de apariencia muy extraña, los cuales no portaban el uniforme del  Ejército</w:t>
        <w:br/>
        <w:t>adecuado”, vestidos en “uniforme camuflado, iban fuertemente armados,  y  su</w:t>
        <w:br/>
        <w:t>corte de pelo y apariencia no [era] militar”.  El  Teniente  Bolaños  ordenó</w:t>
        <w:br/>
        <w:t>que cerraran todos los establecimientos del corregimiento  de  El  Aro.  Las</w:t>
        <w:br/>
        <w:t>dos personas acompañaron al Ejército a cerrar todos los  negocios  del  área</w:t>
        <w:br/>
        <w:t>que se llama El Retén. A las cuatro de la mañana, bajaron el  ganado  de  la</w:t>
        <w:br/>
        <w:t>finca “La María” a la finca “El Pescado.” El ganado provenía de  las  fincas</w:t>
        <w:br/>
        <w:t>entre Puerto Valdivia y El Aro, las cuales quedaron sin  ningún  animal.  El</w:t>
        <w:br/>
        <w:t>ganado fue montado en camiones y trasladado  para  Caucasia.   Miembros  del</w:t>
        <w:br/>
        <w:t>Ejército iban arreando  el  ganado.  Varios  residentes  de  El  Aro  fueron</w:t>
        <w:br/>
        <w:t>obligados a arrear el ganado. Cuando a los 15  días  fueron  a  ver  si  les</w:t>
        <w:br/>
        <w:t>pagaban, les dijeron que los iban a matar.</w:t>
        <w:br/>
        <w:br/>
        <w:t>El Gobernador de  Antioquia  envió  un  telegrama  al  Inspector  de  Puerto</w:t>
        <w:br/>
        <w:t>Valdivia solicitándole a  éste  que  se  comunicara  con  el  Secretario  de</w:t>
        <w:br/>
        <w:t>Gobierno, quien, a su vez, le solicitó que se comunicara con  el  comandante</w:t>
        <w:br/>
        <w:t>del  Ejército  del  área  y  solicitara  ayuda  para  recoger  los  ganados.</w:t>
        <w:br/>
        <w:t>Posteriormente el oficial llamó al Teniente Bolaños, quien le respondió  que</w:t>
        <w:br/>
        <w:t>eran “unos guerrilleros, que ese ganado era de la guerrilla, que eso  ya  se</w:t>
        <w:br/>
        <w:t>lo habían llevado”.</w:t>
        <w:br/>
        <w:br/>
        <w:t>El martes o miércoles posteriores a la  incursión  paramilitar,  un  oficial</w:t>
        <w:br/>
        <w:t>civil que fue testigo de los hechos informó  lo  sucedido  al  doctor  Amado</w:t>
        <w:br/>
        <w:t>Muñoz, Jefe de Gobierno local, quien le solicitó que “no comentara  nada”  y</w:t>
        <w:br/>
        <w:t>que no hiciera ningún informe al respecto.</w:t>
        <w:br/>
        <w:br/>
        <w:t>A raíz de estos hechos  se  desplazaron  aproximadamente  trescientas  (300)</w:t>
        <w:br/>
        <w:t>personas  hacia  Puerto  Valdivia.  Al  pasar  sobre  el  río   Cauca,   los</w:t>
        <w:br/>
        <w:t>desplazados vieron  soldados  del  Ejército  en  un  lado  del  puente  y  a</w:t>
        <w:br/>
        <w:t>paramilitares en el otro lado. Los paramilitares les dieron la orden  a  los</w:t>
        <w:br/>
        <w:t>desplazados de no decir  nada  sobre  lo  sucedido  en  El  Aro.  En  Puerto</w:t>
        <w:br/>
        <w:t>Valdivia los desplazados debían inscribirse en el colegio, en donde “se  les</w:t>
        <w:br/>
        <w:t>prestó ayuda”.  Sin embargo, todos ellos “quedaron muy mal, porque  a  mucha</w:t>
        <w:br/>
        <w:t>gente le quitaron el ganado, las mulas”.   “Todos  quedaron  pobres”.  Mucha</w:t>
        <w:br/>
        <w:t>gente nunca regresó a El Aro. Algunos aún no vuelven por no tener  garantías</w:t>
        <w:br/>
        <w:t>de seguridad.  Los paramilitares continúan llevándose las bestias del  área.</w:t>
        <w:br/>
        <w:br/>
        <w:br/>
        <w:t>En la oficina de inspección en Puerto Escondido, un grupo  de  paramilitares</w:t>
        <w:br/>
        <w:t>había usado y tirado “registros civiles, de nacimiento,  de  matrimonio  […]</w:t>
        <w:br/>
        <w:t>como si fuera papel higiénico”.</w:t>
        <w:br/>
        <w:br/>
        <w:t>La situación de los paramilitares y otros grupos, el miedo de  otra  masacre</w:t>
        <w:br/>
        <w:t>y la desaparición de su trabajo y forma de vida hacen  que  los  desplazados</w:t>
        <w:br/>
        <w:t>no quieran regresar permanente a El Aro. Algunos regresaron a El Aro,  otros</w:t>
        <w:br/>
        <w:t>se quedaron en Puerto Valdivia y unos fueron a Medellín.</w:t>
        <w:br/>
        <w:br/>
        <w:t>b)    Testimonios propuestos por los representantes[28]</w:t>
        <w:br/>
        <w:br/>
        <w:br/>
        <w:t>Los representantes  presentaron  las  declaraciones  testimoniales  de  diez</w:t>
        <w:br/>
        <w:t>personas, incluyendo a familiares de presuntas víctimas y residentes  de  El</w:t>
        <w:br/>
        <w:t>Aro al momento de los hechos, quienes  señalaron,  inter  alia,  lo  que  se</w:t>
        <w:br/>
        <w:t>resume a continuación.</w:t>
        <w:br/>
        <w:br/>
        <w:t>Los responsables de los hechos  en  El  Aro  “se  habían  identificado  como</w:t>
        <w:br/>
        <w:t>autodefensas”.  Cuando llegaron al  pueblo,  los  paramilitares  llevaron  a</w:t>
        <w:br/>
        <w:t>varios pobladores a la plaza, los arrojaron al  suelo  y  los  colocaron  en</w:t>
        <w:br/>
        <w:t>fila. Los  paramilitares  acusaron  a  todos  de  ser  colaboradores  de  la</w:t>
        <w:br/>
        <w:t>guerrilla. Extendieron a las personas boca abajo, los  pisotearon,  y  luego</w:t>
        <w:br/>
        <w:t>les dispararon.</w:t>
        <w:br/>
        <w:br/>
        <w:t>Cuando llegó un helicóptero, los paramilitares dijeron que el  pasajero  era</w:t>
        <w:br/>
        <w:t>Carlos Castaño.  El pasajero del helicóptero se dirigió a la  Inspección  de</w:t>
        <w:br/>
        <w:t>Policía y habló con los que ahí se encontraban,  incluyendo  a  uno  que  le</w:t>
        <w:br/>
        <w:t>decían “” y un  soldado  conocido  como  “Rambo”.   A  “Junior”  también  le</w:t>
        <w:br/>
        <w:t>llamaron de Mauricio. Entre los  aproximadamente  doscientos  (200)  hombres</w:t>
        <w:br/>
        <w:t>que incursionaron en El Aro, algunos eran conocidos como “Cobra”,  “Pescado”</w:t>
        <w:br/>
        <w:t>y “El Tigre”. Los paramilitares se relacionaban con  miembros  del  Ejército</w:t>
        <w:br/>
        <w:t>en Puerto Valdivia, incluso con  “Rambo”,  quien  era  moreno  y  muy  alto.</w:t>
        <w:br/>
        <w:t>“Rambo” había subido con soldados a El Aro ocho días antes de la  masacre  y</w:t>
        <w:br/>
        <w:t>fue visto posteriormente en Puerto Valdivia.</w:t>
        <w:br/>
        <w:br/>
        <w:t>Luego de matar a varios residentes del pueblo,  los  paramilitares  quemaron</w:t>
        <w:br/>
        <w:t>las casas, los locales y los ranchos a su alrededor entre los días jueves  y</w:t>
        <w:br/>
        <w:t>viernes. El sábado los paramilitares salieron del pueblo  luego  de  haberlo</w:t>
        <w:br/>
        <w:t>incendiado.  El Aro “quedó acabado”.  Los civiles enterraron a los  muertos.</w:t>
        <w:br/>
        <w:br/>
        <w:br/>
        <w:t>Entre las personas muertas en esta incursión paramilitar se encontraban  las</w:t>
        <w:br/>
        <w:t>siguientes: Guillermo Andrés Mendoza Posso, Nelson  Palacio,  Marco  Aurelio</w:t>
        <w:br/>
        <w:t>Areiza,  Wilmar  Restrepo  Torres,  Darío  Martínez,  Luis  Modesto  Múnera,</w:t>
        <w:br/>
        <w:t>Alberto Correa, Dora  Luz  Areiza,  Favio  Zuleta,  Omar  Ortiz,  Omar  Iván</w:t>
        <w:br/>
        <w:t>Gutiérrez, Otoniel Tejada Jaramillo y Rosa Barrera.</w:t>
        <w:br/>
        <w:br/>
        <w:t>El comandante paramilitar obligó a algunos residentes de  El  Aro  a  arrear</w:t>
        <w:br/>
        <w:t>ganado, enterrar los muertos y a cargar todo lo que ellos  ordenaran.  Entre</w:t>
        <w:br/>
        <w:t>las personas obligadas a arrear el ganado se encontraban  los  señores  Omar</w:t>
        <w:br/>
        <w:t>Alfredo Torres Jaramillo, Libardo Carvajal, Román Salazar,  Tomás  Monsalve,</w:t>
        <w:br/>
        <w:t>Omar Iván Gutiérrez, Nobeires Antonio  Jiménez,  Milciades  Crespo,  Eulicio</w:t>
        <w:br/>
        <w:t>García,  Ricardo  Barrera,  Rodrigo  Alberto   Mendoza,   Gilberto   Lopera,</w:t>
        <w:br/>
        <w:t>Francisco Osvaldo Pino Posada, Eduardo Rúa, uno que era conocido como  Pipe,</w:t>
        <w:br/>
        <w:t>y otros. En total hubo “17  arrieros”. Los paramilitares  amenazaron  a  los</w:t>
        <w:br/>
        <w:t>arrieros de muerte si intentaban fugarse.</w:t>
        <w:br/>
        <w:br/>
        <w:t>Los paramilitares ordenaron a  los  arrieros  a  recoger  ganado  en  varios</w:t>
        <w:br/>
        <w:t>lugares, incluyendo las fincas conocidas  como  Montebello,  Manzanares,  La</w:t>
        <w:br/>
        <w:t>Floresta, La Planta y La María, cerca de Puerto Valdivia. Entre esas  fincas</w:t>
        <w:br/>
        <w:t>tenían entre novecientas (900) y mil doscientas (1.200)  reses.  Para  sacar</w:t>
        <w:br/>
        <w:t>al ganado, hicieron que cerraran los negocios y se metiera la gente  en  las</w:t>
        <w:br/>
        <w:t>casas. El oficial del Ejército conocido como “Rambo” se encontraba  con  los</w:t>
        <w:br/>
        <w:t>paramilitares cuando sacaron el ganado de Puerto Valdivia. En  El  Aro,  por</w:t>
        <w:br/>
        <w:t>el lado de  Bellavista,  una  tropa  de  gente  vestida  con  uniformes  del</w:t>
        <w:br/>
        <w:t>Ejército subió un lote de ganado bastante grande. Desde el  lunes  hasta  el</w:t>
        <w:br/>
        <w:t>domingo los arrieros permanecieron cuidando el ganado. El sábado  estuvieron</w:t>
        <w:br/>
        <w:t>en  El  Llano,  recogiendo  ganado  de  todas  las  fincas.  El  lunes   los</w:t>
        <w:br/>
        <w:t>paramilitares hablaron  con  los  militares  en  la  finca  La  Planta.  Los</w:t>
        <w:br/>
        <w:t>paramilitares enviaron una vaca a los soldados para que la  utilizaran  como</w:t>
        <w:br/>
        <w:t>alimento. En la finca El  Catorce  los  paramilitares  separaron  doce  (12)</w:t>
        <w:br/>
        <w:t>reses de las mejores para los soldados. Llegaron a la  finca  El  Pescado  y</w:t>
        <w:br/>
        <w:t>embarcaron el ganado en quince (15) a veinte (20) camiones que  salieron  en</w:t>
        <w:br/>
        <w:t>dirección a la costa. El Ejército se  encontraba  a  dos  cuadras  de  donde</w:t>
        <w:br/>
        <w:t>estaban montando el ganado en camiones en la finca El Pescado, “y no  hacían</w:t>
        <w:br/>
        <w:t>nada”.</w:t>
        <w:br/>
        <w:br/>
        <w:t>Un paramilitar informó a los arrieros que se fueran a sus casas y que a  los</w:t>
        <w:br/>
        <w:t>tres días bajaran a La Caucana para que les  pagaran  por  las  mulas  y  el</w:t>
        <w:br/>
        <w:t>ganado.  A los tres días bajaron a dicho lugar, pero los  paramilitares  les</w:t>
        <w:br/>
        <w:t>informaron que debían regresar en ocho días más por  el  referido  pago.   A</w:t>
        <w:br/>
        <w:t>los ocho días regresaron y tampoco recibieron su pago ni les devolvieron  el</w:t>
        <w:br/>
        <w:t>ganado. Los paramilitares amenazaron de muerte a los arrieros “si volvían  a</w:t>
        <w:br/>
        <w:t>molestar”, por lo que no insistieron más.</w:t>
        <w:br/>
        <w:br/>
        <w:t>En un intento  de  recuperar  su  ganado,  hablaron  con  el  Secretario  de</w:t>
        <w:br/>
        <w:t>Gobierno del Departamento, quien les dijo que el ganado “estaba detenido”  y</w:t>
        <w:br/>
        <w:t>que no se preocuparan.  Después pasaron  a  hablar  con  un  oficial  de  la</w:t>
        <w:br/>
        <w:t>Cuarta  Brigada  y  le  solicitaron  mayor  protección  en  la  zona.   Éste</w:t>
        <w:br/>
        <w:t>respondió que el ganado y la zona estaban seguros con el Ejército.</w:t>
        <w:br/>
        <w:br/>
        <w:t>Luego de la masacre, toda la gente del pueblo salió desplazada hacia  Puerto</w:t>
        <w:br/>
        <w:t>Valdivia. En Puerto Valdivia los desplazados se quedaron en un  colegio.   A</w:t>
        <w:br/>
        <w:t>los quince días el Ejército les informó que podían  regresar  a  sus  casas.</w:t>
        <w:br/>
        <w:t>Para ese entonces ya habían sacado todo el ganado de la  región  por  Puerto</w:t>
        <w:br/>
        <w:t>Valdivia.</w:t>
        <w:br/>
        <w:br/>
        <w:t>Los desplazados no sólo perdieron sus papeles  legales  sino  que  perdieron</w:t>
        <w:br/>
        <w:t>todos sus recuerdos, tales como las fotografías, las imágenes de los  santos</w:t>
        <w:br/>
        <w:t>que tenían colgadas en sus casas, así como toda su  ropa  y  lo  que  habían</w:t>
        <w:br/>
        <w:t>construido durante su vida.  La mayoría de los  desplazados  consideran  que</w:t>
        <w:br/>
        <w:t>seguirán desplazados porque no hay esperanza de volver a  conseguir  lo  que</w:t>
        <w:br/>
        <w:t>tenían en El Aro, ya que “queda complicada la situación, como hay  guerrilla</w:t>
        <w:br/>
        <w:t>en una aparte y en  otras  paramilitares”.  Los  paramilitares  han  seguido</w:t>
        <w:br/>
        <w:t>robando ganado y matando gente.</w:t>
        <w:br/>
        <w:br/>
        <w:t>Los hechos de El Aro dejaron muy afectados económicamente y  físicamente  a</w:t>
        <w:br/>
        <w:t>todas las familias. La región quedó totalmente en la  ruina.  Prácticamente</w:t>
        <w:br/>
        <w:t>todas las familias perdieron todo. El que tenía ganado, producto de toda la</w:t>
        <w:br/>
        <w:t>vida trabajando, quedó con las manos vacías.  Los que tenían casa, quedaron</w:t>
        <w:br/>
        <w:t>sin casa, y los que tenían tierra, la tuvieron que abandonar. A los que  no</w:t>
        <w:br/>
        <w:t>les quemaron la casa, les robaron los muebles, los animales  o  lo  poquito</w:t>
        <w:br/>
        <w:t>que tenían.  Han sido pocas las personas que se han logrado  recuperar.  La</w:t>
        <w:br/>
        <w:t>gente no ha  regresado  a  la  zona  porque  aún  existe  la  presencia  de</w:t>
        <w:br/>
        <w:t>guerrilleros y paramilitares, quienes han saqueado lo  poquito  que  tienen</w:t>
        <w:br/>
        <w:t>los campesinos, robándoles las mulas y el ganado, evitando que la población</w:t>
        <w:br/>
        <w:t>pueda salir adelante. Los pocos residentes que  regresaron  a  El  Aro  han</w:t>
        <w:br/>
        <w:t>sufrido mucho y se encuentran en una situación muy precaria.</w:t>
        <w:br/>
        <w:br/>
        <w:t>La vida de las familias cambió mucho después de la incursión paramilitar  en</w:t>
        <w:br/>
        <w:t>El Aro.  Para  reconstruir  sus  vidas  tuvieron  que  empezar  desde  cero,</w:t>
        <w:br/>
        <w:t>“aguantando hambre”.  Mucha gente no volvió, sobretodo los que  perdieron  a</w:t>
        <w:br/>
        <w:t>sus familiares. Mucha gente no  se  ha  podido  recuperar,  y  al  estar  ya</w:t>
        <w:br/>
        <w:t>ancianos se les hace mucho más difícil alcanzar una recuperación  económica.</w:t>
        <w:br/>
        <w:t xml:space="preserve"> Algunos de los hijos de las presuntas víctimas no  pudieron  continuar  sus</w:t>
        <w:br/>
        <w:t>estudios.  Muchos familiares continúan  con  miedo,  muchos  no  han  podido</w:t>
        <w:br/>
        <w:t>encontrar trabajo, viven enfermos y con  mucha  tristeza,  “como  si  ya  no</w:t>
        <w:br/>
        <w:t>quisieran vivir”, y los  niños  en  las  noches  se  levantan  gritando  por</w:t>
        <w:br/>
        <w:t>pesadillas. La unión familiar se desintegró.  A raíz de los hechos,  algunos</w:t>
        <w:br/>
        <w:t>familiares sufrieron traumas sicológicos.</w:t>
        <w:br/>
        <w:br/>
        <w:br/>
        <w:t>c)    Testimonios propuestos por el Estado</w:t>
        <w:br/>
        <w:br/>
        <w:t>1.    Jorge Armando Otalora Gómez, Vicefiscal General de la Nación</w:t>
        <w:br/>
        <w:br/>
        <w:t>A partir de los hechos de La  Granja  tanto  la  Policía  como  la  Fiscalía</w:t>
        <w:br/>
        <w:t>Seccional  de  Ituango  iniciaron  investigaciones   preliminares   de   los</w:t>
        <w:br/>
        <w:t>homicidios ocurridos en dicho corregimiento los días 11 y  12  de  junio  de</w:t>
        <w:br/>
        <w:t>1996.  Dada “la gravedad de los hechos y complejidad geográfica y  de  orden</w:t>
        <w:br/>
        <w:t>público”, el 20 de noviembre de  1996  la  Fiscalía  General  de  la  Nación</w:t>
        <w:br/>
        <w:t>decidió reasignar a la Unidad Nacional de Derechos Humanos la  investigación</w:t>
        <w:br/>
        <w:t>de los hechos.</w:t>
        <w:br/>
        <w:br/>
        <w:t>El 17 de junio de 1999 “una vez evaluado el acervo probatorio recaudado,  se</w:t>
        <w:br/>
        <w:t>dio inicio a la etapa instructiva  y  se  ordenó  vincular  formalmente”  al</w:t>
        <w:br/>
        <w:t>Subteniente del Ejercito Nacional y Comandante de la Policía de Ituango,  el</w:t>
        <w:br/>
        <w:t>señor José Vicente Castro; al Teniente del Ejercito  Nacional  y  Comandante</w:t>
        <w:br/>
        <w:t>del Batallón Girardot, con sede en Ituango, Jorge Alexander Sánchez  Castro;</w:t>
        <w:br/>
        <w:t>y a los civiles Jaime Angulo Osorio, Francisco Angulo  Osorio,  Hernando  de</w:t>
        <w:br/>
        <w:t>Jesús Álvarez Gómez, Manuel Remigio Fonnegra  Piedrahita  y  Carlos  Castaño</w:t>
        <w:br/>
        <w:t>Gil, este último “miembro de las autodefensas unidas de Colombia”.</w:t>
        <w:br/>
        <w:br/>
        <w:t>Como resultado de las indagaciones de una comisión  judicial  de  la  Unidad</w:t>
        <w:br/>
        <w:t>Nacional de Derechos Humanos y de las pruebas practicadas  por  ésta  en  el</w:t>
        <w:br/>
        <w:t>lugar de los hechos, “la Fiscalía General de la  Nación  halló  mérito  para</w:t>
        <w:br/>
        <w:t>vincular como presuntos responsables de los hechos”  a  los  señores  Carlos</w:t>
        <w:br/>
        <w:t>Antonio  Carvajal  Jaramillo,  Jairo  Castañeda,  Gilberto  Tamayo  Rengifo,</w:t>
        <w:br/>
        <w:t>Orlando de Jesús Mazo Mazo e Isaías Montes Hernández, alias  “Junior”,  este</w:t>
        <w:br/>
        <w:t>último “jefe de las autodefensas del noroeste antioqueño”.</w:t>
        <w:br/>
        <w:br/>
        <w:t>“[L]os resultados de la actividad judicial de la  Fiscalía  General”  en  el</w:t>
        <w:br/>
        <w:t>lapso comprendido entre el 23 de diciembre de 2002 hasta el  5  de  mayo  de</w:t>
        <w:br/>
        <w:t>2003 “permitieron imponer medida de aseguramiento consistente  en  detención</w:t>
        <w:br/>
        <w:t>preventiva sin beneficio de  excarcelación  en  contra  de”  las  siguientes</w:t>
        <w:br/>
        <w:t>personas: Carlos Antonio Carvajal Jaramillo, por los delitos de extorsión  y</w:t>
        <w:br/>
        <w:t>concierto para delinquir,  Gilberto  Tamayo  Rengifo,  por  los  delitos  de</w:t>
        <w:br/>
        <w:t>concierto para delinquir, terrorismo y extorsión, Hernando de Jesús  Álvarez</w:t>
        <w:br/>
        <w:t>Gómez, por los delitos de concierto para delinquir, extorsión y  terrorismo,</w:t>
        <w:br/>
        <w:t>Jairo Castañeda, por el delito de concierto  para  delinquir,  Orlando  Mazo</w:t>
        <w:br/>
        <w:t>Mazo por los delitos de concierto para delinquir, extorsión y  terrorismo  e</w:t>
        <w:br/>
        <w:t>Isaías  Montes  Hernández,  por  el  delito  de  concierto  para  delinquir,</w:t>
        <w:br/>
        <w:t>extorsión y terrorismo.</w:t>
        <w:br/>
        <w:br/>
        <w:t>El 14 de noviembre de 2003 se condenó al señor  José  Vicente  Castro  a  31</w:t>
        <w:br/>
        <w:t>años de prisión, decisión que fue  revocada  por  el  Tribunal  Superior  de</w:t>
        <w:br/>
        <w:t>Antioquia el 12 de julio de 2004.  El 8 de julio de 2005 el Juzgado  Primero</w:t>
        <w:br/>
        <w:t>Especializado de Antioquia condenó a los  señores  Jorge  Alexander  Sánchez</w:t>
        <w:br/>
        <w:t>Castro a 31 años de prisión; Orlando  De  Jesus  Mazo  Mazo  a  12  años  de</w:t>
        <w:br/>
        <w:t>prisión; Gilberto Antonio Tamayo Rengifo a 12  años  de  prisión;  y  Carlos</w:t>
        <w:br/>
        <w:t>Antonio Carvajal Jaramillo a 7 años de prisión, todos ellos por los  delitos</w:t>
        <w:br/>
        <w:t>de concierto para delinquir y homicidio agravado.   En  el  caso  del  señor</w:t>
        <w:br/>
        <w:t>José Vicente Castro, la decisión que lo absolvió se  encuentra  en  revisión</w:t>
        <w:br/>
        <w:t>ante la Corte Suprema de Justicia. En el caso de Hernando de  Jesús  Álvarez</w:t>
        <w:br/>
        <w:t>se dispuso cesación de procedimiento por muerte del acusado.  Frente  a  los</w:t>
        <w:br/>
        <w:t>paramilitares Carlos Castaño e Isaías Montes Hernández la investigación  aún</w:t>
        <w:br/>
        <w:t>está en curso y “próxima a calificar”.</w:t>
        <w:br/>
        <w:br/>
        <w:t>En relación con los hechos de El Aro ocurridos entre el 22 y 26  de  octubre</w:t>
        <w:br/>
        <w:t>de 1997, la Fiscalía General de la Nación asumió la investigación de  manera</w:t>
        <w:br/>
        <w:t>oficiosa, por conducto de la Fiscalía delegada ante el circuito  de  Ituango</w:t>
        <w:br/>
        <w:t>y de la Fiscalía delegada de Yarumal.   El  20  de  noviembre  de  1997  las</w:t>
        <w:br/>
        <w:t>investigaciones se reasignaron a la Unidad Segunda de la  Fiscalía  regional</w:t>
        <w:br/>
        <w:t>de Medellín.</w:t>
        <w:br/>
        <w:br/>
        <w:t>El 19 de marzo de  1999  “la  Fiscalía  General  dispuso  vincular  mediante</w:t>
        <w:br/>
        <w:t>indagatoria” a los señores Carlos Castaño Gil y Francisco Enrique  Villalba.</w:t>
        <w:br/>
        <w:t>Este último fue escuchado en indagatoria el 4 de junio de 1999  y  el  1  de</w:t>
        <w:br/>
        <w:t>julio de 1999 “se le resolvió situación jurídica […] imponiéndole medida  de</w:t>
        <w:br/>
        <w:t>aseguramiento  consistente  en  detención  preventiva   sin   beneficio   de</w:t>
        <w:br/>
        <w:t>excarcelación […] en concurso por homicidio múltiple”.</w:t>
        <w:br/>
        <w:br/>
        <w:t>Desde el mes de abril de 1998 la Unidad Nacional de Derechos  Humanos  había</w:t>
        <w:br/>
        <w:t>ordenado una inspección judicial al proceso disciplinario para  el  traslado</w:t>
        <w:br/>
        <w:t>de pruebas, con el propósito de establecer el nombre  de  los  miembros  que</w:t>
        <w:br/>
        <w:t>integraban el batallón Girardot destacado en la zona para la  época  de  los</w:t>
        <w:br/>
        <w:t>hechos.</w:t>
        <w:br/>
        <w:br/>
        <w:t>“[E]l 24 de febrero de  2000  se  ordenó  la  vinculación  de”  los  señores</w:t>
        <w:br/>
        <w:t>Salvatore Mancuso Gómez y Alexander Mercado Fonseca, “miembros de las  AUC”.</w:t>
        <w:br/>
        <w:t>El 22 de abril de 2003 el Juez Segundo Penal del Circuito  Especializado  de</w:t>
        <w:br/>
        <w:t>Antioquia condenó a 40 años de  prisión  a  los  señores  Salvatore  Mancuso</w:t>
        <w:br/>
        <w:t>Gómez y Carlos Castaño Gil por los  delitos  de  concierto  para  delinquir,</w:t>
        <w:br/>
        <w:t>homicidio múltiple agravado  y  hurto  calificado  y  agravado.  Se  condenó</w:t>
        <w:br/>
        <w:t>igualmente en tal decisión a pena de 33 años de prisión al  señor  Francisco</w:t>
        <w:br/>
        <w:t>Villalba Hernández, la  cual  cumple  en  la  penitenciaria  de  Itagüí,  en</w:t>
        <w:br/>
        <w:t>Antioquia.</w:t>
        <w:br/>
        <w:br/>
        <w:t>Se trasladó a la investigación penal el fallo disciplinario  en  contra  del</w:t>
        <w:br/>
        <w:t>Teniente del Ejército, el señor Everardo Bolaños Galindo y el cabo  primero,</w:t>
        <w:br/>
        <w:t>el señor Germán Antonio  Alzate  Cardona,  por  colaboración  y  omisión  en</w:t>
        <w:br/>
        <w:t>relación con los  hechos  ocurridos  en  el  corregimiento  de  El  Aro.  El</w:t>
        <w:br/>
        <w:t>traslado de esta prueba  permitió  al  Fiscal  de  conocimiento  ordenar  la</w:t>
        <w:br/>
        <w:t>vinculación de dichas personas  al  proceso  penal.   El  cabo  primero  fue</w:t>
        <w:br/>
        <w:t>declarado persona ausente el 11 de enero de 2005, y se determinó  que  usaba</w:t>
        <w:br/>
        <w:t>el alias de “Rambo”. Mediante resolución de 1 de marzo de  2005  “el  Fiscal</w:t>
        <w:br/>
        <w:t>de conocimiento resolvió la situación jurídica  de  [los  señores]  Everardo</w:t>
        <w:br/>
        <w:t>Bolaños Galindo y […] Germán  Antonio  Alzate  Cardona,  profiriendo  en  su</w:t>
        <w:br/>
        <w:t>contra medida de  aseguramiento  consistente  en  detención  preventiva  sin</w:t>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con los delitos de terrorismo,  homicidio  agravado,</w:t>
        <w:br/>
        <w:t>hurto  calificado  y  agravado”.   El  señor  Everardo  Bolaños  Galindo  se</w:t>
        <w:br/>
        <w:t>encuentra privado de la libertad a órdenes del Juzgado  Único  Especializado</w:t>
        <w:br/>
        <w:t>de Florencia, Caquetá, por su presunta  participación  en  hechos  acaecidos</w:t>
        <w:br/>
        <w:t>durante los años 2002 y 2003.</w:t>
        <w:br/>
        <w:br/>
        <w:t>Finalmente,  existen  dificultades  en  la  investigación  derivadas  de  la</w:t>
        <w:br/>
        <w:t>ubicación geográfica y la situación de orden público  que  prevalece  en  la</w:t>
        <w:br/>
        <w:t>zona. Asimismo, en la primera etapa de la  investigación  no  se  contó  con</w:t>
        <w:br/>
        <w:t>testimonios concluyentes debido  al  temor  derivado  de  las  presencia  de</w:t>
        <w:br/>
        <w:t>actores ilegales en el lugar. Posteriormente, los casos se  incorporaron  al</w:t>
        <w:br/>
        <w:t>Comité Especial de Impulso, creado por la Vicepresidencia  de  la  República</w:t>
        <w:br/>
        <w:t>como proyecto de política pública  dentro  del  marco  de  lucha  contra  la</w:t>
        <w:br/>
        <w:t>impunidad, integrado por la Procuraduría General de la Nación, Jueces de  la</w:t>
        <w:br/>
        <w:t>Republica y la Fiscalía General de la Nación, que recibe  el  acompañamiento</w:t>
        <w:br/>
        <w:t>de la Oficina del Alto Comisionado de las Naciones Unidas para los  Derechos</w:t>
        <w:br/>
        <w:t>Humanos en Colombia y  que  está  auspiciada  con  recursos  de  cooperación</w:t>
        <w:br/>
        <w:t>internacional.</w:t>
        <w:br/>
        <w:br/>
        <w:t>2.    Jaime Jaramillo Panneso, Consejero de Paz y Cultura de la  Gobernación</w:t>
        <w:br/>
        <w:t>de Antioquia</w:t>
        <w:br/>
        <w:br/>
        <w:t>“Podrían  ser  unas  quince  o  veinte  familias”  las  desplazadas  en   el</w:t>
        <w:br/>
        <w:t>corregimiento de El Aro con ocasión de la incursión de octubre de 1997.</w:t>
        <w:br/>
        <w:br/>
        <w:t>La Gobernación ofreció asistencia  alimenticia  para  los  desplazados,  así</w:t>
        <w:br/>
        <w:t>como protección y ayuda para regresar a sus viviendas. Por la dispersión  en</w:t>
        <w:br/>
        <w:t>que se encontraban las familias era difícil ubicarlas y  apoyarlas.  Algunas</w:t>
        <w:br/>
        <w:t>de estas ayudas se hicieron  en  coordinación  con  la  Red  de  Solidaridad</w:t>
        <w:br/>
        <w:t>Social.</w:t>
        <w:br/>
        <w:br/>
        <w:t>La Gobernación  de  Antioquia,  a  través  de  los  consejos  de  seguridad,</w:t>
        <w:br/>
        <w:t>coordinaba las acciones de la Fuerza Pública, e impulsaba las tareas con  la</w:t>
        <w:br/>
        <w:t>Fiscalía, la Defensoría del Pueblo y la Procuraduría.  Esto  es  lo  que  el</w:t>
        <w:br/>
        <w:t>Gobernador  denominó  REDIS  (Redes  de  Información  de  Seguridad),  donde</w:t>
        <w:br/>
        <w:t>participaban no sólo los integrantes de la Fuerza Pública, sino también  los</w:t>
        <w:br/>
        <w:t>organismos de control e investigación.</w:t>
        <w:br/>
        <w:br/>
        <w:br/>
        <w:br/>
        <w:br/>
        <w:t xml:space="preserve">                                  Peritajes</w:t>
        <w:br/>
        <w:br/>
        <w:br/>
        <w:t>a)    Peritajes propuestos por los representantes</w:t>
        <w:br/>
        <w:br/>
        <w:t xml:space="preserve">     1. Bjorn Pettersson,  consultor  independiente  en  el  campo  de  los</w:t>
        <w:br/>
        <w:t xml:space="preserve">        derechos humanos y  especialmente  en  el  tema  de  desplazamiento</w:t>
        <w:br/>
        <w:t xml:space="preserve">        interno</w:t>
        <w:br/>
        <w:br/>
        <w:t>A través  de  las  múltiples  entrevistas  y  visitas  de  campo  realizadas</w:t>
        <w:br/>
        <w:t>concluyó que: a) las autoridades no  adoptaron  las  medidas  preventivas  a</w:t>
        <w:br/>
        <w:t>pesar de saber que existía una incursión  paramilitar  en  Ituango;  b)  las</w:t>
        <w:br/>
        <w:t>masacres en Ituango fueron realizadas por grupos paramilitares que  actuaron</w:t>
        <w:br/>
        <w:t>conjuntamente con las fuerzas armadas de Colombia, o que al  menos  contaron</w:t>
        <w:br/>
        <w:t>con la aquiescencia o tolerancia de éstas;  y  c)  a  un  número  grande  de</w:t>
        <w:br/>
        <w:t>personas se les obligó a desplazarse sin asistencia de emergencia, ni  apoyo</w:t>
        <w:br/>
        <w:t>estatal para su nuevo establecimiento y reintegración voluntaria.</w:t>
        <w:br/>
        <w:br/>
        <w:t>Los actos supuestamente perpetrados por  grupos  paramilitares,  tales  como</w:t>
        <w:br/>
        <w:t>mutilaciones y otras  torturas  seguidas  por  ejecuciones  extrajudiciales,</w:t>
        <w:br/>
        <w:t>habían sido realizados con "extrema brutalidad".</w:t>
        <w:br/>
        <w:br/>
        <w:t>El  grupo  paramilitar  involucrado  permaneció  varios  días  en  la  zona,</w:t>
        <w:br/>
        <w:t>recibiendo apoyo militar y logístico de las fuerzas armadas colombianas.</w:t>
        <w:br/>
        <w:br/>
        <w:t>En relación a los desplazamientos  forzados,  el  Estado  colombiano  estaba</w:t>
        <w:br/>
        <w:t>obligado,  de  conformidad  con  la  legislación  local,  así  como  con  la</w:t>
        <w:br/>
        <w:t>normativa  internacional,  a  lo  siguiente:  a)  prevenir  la   masacre   y</w:t>
        <w:br/>
        <w:t>desplazamiento; b) investigar los actos violentos, llevar a cabo  juicios  y</w:t>
        <w:br/>
        <w:t>sancionar a los responsables; c)  proteger  a  la  población  desplazada  de</w:t>
        <w:br/>
        <w:t>violaciones  adicionales;  d)  proveer  a  los  desplazados  con  asistencia</w:t>
        <w:br/>
        <w:t>humanitaria en las áreas  de  alimentación,  vivienda,  salud,  educación  y</w:t>
        <w:br/>
        <w:t>vestimenta; y e) asegurar el retorno seguro y voluntario a sus hogares,  así</w:t>
        <w:br/>
        <w:t>como la reintegración local o el nuevo establecimiento  en  otra  parte  del</w:t>
        <w:br/>
        <w:t>país.</w:t>
        <w:br/>
        <w:br/>
        <w:t>La población desplazada se encontraba sin acceso a los servicios  de  salud,</w:t>
        <w:br/>
        <w:t>alimentación, vivienda y educación.</w:t>
        <w:br/>
        <w:br/>
        <w:t>Las medidas impulsadas por el Estado para que los desplazados  regresaran  a</w:t>
        <w:br/>
        <w:t>sus comunidades de origen se  impulsaron  sin  que  se  pudieran  garantizar</w:t>
        <w:br/>
        <w:t>condiciones de seguridad mínimas y sin que hubieran desaparecido las  causas</w:t>
        <w:br/>
        <w:t>que generaron el desplazamiento.</w:t>
        <w:br/>
        <w:br/>
        <w:t>La posibilidad de retorno de las personas  desplazadas  de  Ituango  no  era</w:t>
        <w:br/>
        <w:t>factible debido a la presencia  de  grupos  paramilitares  en  el  norte  de</w:t>
        <w:br/>
        <w:t>Antioquia, así como de la colaboración de ciertos sectores  de  las  fuerzas</w:t>
        <w:br/>
        <w:t>armadas colombianas.</w:t>
        <w:br/>
        <w:br/>
        <w:t>Los principios  rectores  de  la  obligación  del  Estado  respecto  de  los</w:t>
        <w:br/>
        <w:t>desplazados son: a) las autoridades  competentes  tienen  la  obligación  de</w:t>
        <w:br/>
        <w:t>establecer las condiciones y medios  que  permitan  el  regreso  voluntario,</w:t>
        <w:br/>
        <w:t>seguro y digno  de  los  desplazados  a  su  hogar  o  a  su  reasentamiento</w:t>
        <w:br/>
        <w:t>voluntario en alguna  otra  parte  del  país;  y  b)  el  Estado  tendrá  la</w:t>
        <w:br/>
        <w:t>obligación de reparar a los desplazados de Ituango que no puedan retornar  y</w:t>
        <w:br/>
        <w:t>recuperar sus bienes perdidos.</w:t>
        <w:br/>
        <w:br/>
        <w:t>A nivel interno, el Decreto No. 2569 del 12 de diciembre de  2000  introdujo</w:t>
        <w:br/>
        <w:t>la posibilidad del cese de la condición  de  desplazado  y  habla  sobre  la</w:t>
        <w:br/>
        <w:t>exclusión  del  Registro   Único   de   Población   Desplazada.   La   Corte</w:t>
        <w:br/>
        <w:t>Constitucional colombiana, en la sentencia T-327 del 26 de  marzo  de  2001,</w:t>
        <w:br/>
        <w:t>se pronunció a favor de  las  personas  desplazadas  a  quienes  no  se  les</w:t>
        <w:br/>
        <w:t>permitió ingresar al Registro Único  de  la  Población  Desplazada.   En  la</w:t>
        <w:br/>
        <w:t>referida sentencia se diferencia entre la "condición  de  desplazado"  y  la</w:t>
        <w:br/>
        <w:t>"situación de facto para ser desplazado". La primera es  un  requisito  para</w:t>
        <w:br/>
        <w:t>tener  acceso  al  apoyo  del  Gobierno,  por  lo  que   requiere   de   una</w:t>
        <w:br/>
        <w:t>certificación formal  como  persona  desplazada,  mientras  que  la  segunda</w:t>
        <w:br/>
        <w:t>correspondería a una situación meramente de hecho,  la  cual  no  tiene  que</w:t>
        <w:br/>
        <w:t>estar certificada por el Gobierno. Asimismo, el cese del  desplazamiento  no</w:t>
        <w:br/>
        <w:t>tiene un límite temporal, por lo que una  persona  sigue  siendo  desplazada</w:t>
        <w:br/>
        <w:t>hasta que pueda retornar bajo condiciones de seguridad y cuando  las  causas</w:t>
        <w:br/>
        <w:t>del desplazamiento en la zona de expulsión hayan sido eliminadas.</w:t>
        <w:br/>
        <w:br/>
        <w:t>2.    Alfredo De los Ríos, psiquiatra</w:t>
        <w:br/>
        <w:br/>
        <w:t>Entre los efectos psicológicos y físicos de los familiares de las  presuntas</w:t>
        <w:br/>
        <w:t>víctimas se encuentran los  siguientes:  ansiedad,  dificultades  escolares,</w:t>
        <w:br/>
        <w:t>nerviosismo, depresión,  sentimiento  de  soledad  y  dolor,  resentimiento,</w:t>
        <w:br/>
        <w:t>rabia, rencor, tristeza, falta de ánimo,  bajo  apetito,  temor,  confusión,</w:t>
        <w:br/>
        <w:t>insomnio, pesimismo, inapetencia y deseos de morir, entre otros.</w:t>
        <w:br/>
        <w:br/>
        <w:t>El desplazamiento conlleva a una situación  que  atenta  contra  el  proceso</w:t>
        <w:br/>
        <w:t>normal de duelo de los familiares de las víctimas, ya que éstos  habitan  en</w:t>
        <w:br/>
        <w:t>lugares lejanos y las familias se encuentran dispersas, lo  cual  impide  la</w:t>
        <w:br/>
        <w:t>realización de actos colectivos, ritos, celebraciones y  el  establecimiento</w:t>
        <w:br/>
        <w:t>de un vínculo con lugares y objetos relacionados con el pariente muerto.</w:t>
        <w:br/>
        <w:br/>
        <w:t>La mayoría de las presuntas víctimas que murieron en El Aro y en  La  Granja</w:t>
        <w:br/>
        <w:t>fueron hombres.   El  desplazamiento  que  se  produjo  por  la  muerte  del</w:t>
        <w:br/>
        <w:t>pariente principal en dichos corregimientos no solo afectó a las  esposas  y</w:t>
        <w:br/>
        <w:t>a los hijos, sino que en varios  casos  también  a  los  sobrinos  y  a  los</w:t>
        <w:br/>
        <w:t>nietos, porque en el ataque todos quedaban amenazados y temerosos.</w:t>
        <w:br/>
        <w:br/>
        <w:t>La  pérdida  económica  de  manera  abrupta  y  en  condiciones  de  terror,</w:t>
        <w:br/>
        <w:t>arbitrariedad,  impotencia  e  indefensión,  genera  un  efecto   traumático</w:t>
        <w:br/>
        <w:t>adicional a las rabias  y  rencores  acumulados  contra  los  causantes  del</w:t>
        <w:br/>
        <w:t>desastre, pero también contra las instancias que  deberían  evitarlo  o  que</w:t>
        <w:br/>
        <w:t>tienen la función de ofrecer protección.</w:t>
        <w:br/>
        <w:br/>
        <w:t>El proyecto de vida de los familiares se ha visto truncado.  Muchos  de  los</w:t>
        <w:br/>
        <w:t>hijos de las  presuntas  víctimas  tuvieron  que  retirarse  del  estudio  y</w:t>
        <w:br/>
        <w:t>comenzar a trabajar para ayudar a la supervivencia familiar.</w:t>
        <w:br/>
        <w:br/>
        <w:t>La ausencia de esclarecimiento de los hechos se convierte en un  factor  que</w:t>
        <w:br/>
        <w:t>aumenta la sensación de injusticia y abandono estatal.</w:t>
        <w:br/>
        <w:br/>
        <w:t>Los efectos  psicológicos  en  los  familiares  de  las  presuntas  víctimas</w:t>
        <w:br/>
        <w:t>podrían atenderse y mejorarse con intervención de personal experto en  salud</w:t>
        <w:br/>
        <w:t>mental.</w:t>
        <w:br/>
        <w:br/>
        <w:br/>
        <w:t>b)    Peritaje propuesto por el Estado</w:t>
        <w:br/>
        <w:br/>
        <w:t>1.    Hernán de Jesus Sanín Posada, Superintendente de Vigilancia y</w:t>
        <w:br/>
        <w:t>Seguridad Privada de Colombia</w:t>
        <w:br/>
        <w:br/>
        <w:t>El inciso primero del artículo 365 de la Constitución Política  consagra  la</w:t>
        <w:br/>
        <w:t>política estatal en materia  de  vigilancia  y  seguridad  privada  como  un</w:t>
        <w:br/>
        <w:t>servicio  público  inherente  a  la  finalidad  social  del   Estado.    Por</w:t>
        <w:br/>
        <w:t>disposición constitucional, su  regulación,  control  y  vigilancia  son  de</w:t>
        <w:br/>
        <w:t>reserva del Estado. Como servicio público puede  ser  prestado  directamente</w:t>
        <w:br/>
        <w:t>por el Estado o indirectamente a través de  comunidades  organizadas  o  por</w:t>
        <w:br/>
        <w:t>particulares.</w:t>
        <w:br/>
        <w:br/>
        <w:t>Los servicios de vigilancia y seguridad privada están regulados por  la  ley</w:t>
        <w:br/>
        <w:t>de la Superintendencia de Vigilancia y Seguridad Privada.  Dichos  servicios</w:t>
        <w:br/>
        <w:t>se  definen  como  las  actividades  remuneradas  o  en  beneficio  de   una</w:t>
        <w:br/>
        <w:t>organización  pública  o  privada  que  desarrollan  personas  naturales   o</w:t>
        <w:br/>
        <w:t>jurídicas tendientes a prevenir o detener perturbaciones a  la  seguridad  y</w:t>
        <w:br/>
        <w:t>tranquilidad individual en lo relacionado con la vida y los  bienes  propios</w:t>
        <w:br/>
        <w:t>o de terceros y la fabricación, instalación, comercialización y  utilización</w:t>
        <w:br/>
        <w:t>de equipos para vigilancia y seguridad privada, blindajes y transportes  con</w:t>
        <w:br/>
        <w:t>este mismo fin. Los medios para prestación  de  servicios  de  vigilancia  y</w:t>
        <w:br/>
        <w:t>seguridad privada deben ser autorizados por la ley y/o  la  Superintendencia</w:t>
        <w:br/>
        <w:t>de Vigilancia y Seguridad Privada.</w:t>
        <w:br/>
        <w:br/>
        <w:t>Cuando el servicio es prestado indirectamente por  el  Estado  a  través  de</w:t>
        <w:br/>
        <w:t>comunidades  organizadas  o  particulares,   ejerce   especial   control   y</w:t>
        <w:br/>
        <w:t>vigilancia  para  garantizar  su  efectividad.   Su   estructura   orgánica,</w:t>
        <w:br/>
        <w:t>objetivos, funciones y  régimen  sancionatorio,  están  determinados  en  el</w:t>
        <w:br/>
        <w:t>Decreto 2453 de 1993.</w:t>
        <w:br/>
        <w:br/>
        <w:t>La competencia de la Superintendencia para aplicar regímenes  sancionatorios</w:t>
        <w:br/>
        <w:t>surge de su condición de autoridad de alta policía  administrativa,  con  el</w:t>
        <w:br/>
        <w:t>fin  de  garantizar  la  eficaz  y  adecuada  prestación  de  los  servicios</w:t>
        <w:br/>
        <w:t>vigilados.</w:t>
        <w:br/>
        <w:br/>
        <w:t>La Resolución 368  de  27  de  abril  de  1995  fijó  criterios  técnicos  y</w:t>
        <w:br/>
        <w:t>jurídicos y señaló un procedimiento para el desarrollo de los  servicios  de</w:t>
        <w:br/>
        <w:t>vigilancia y seguridad privada, como son los “especiales” de  que  trata  el</w:t>
        <w:br/>
        <w:t>artículo 39 del Decreto 356 de 1994.  Según este  acto  administrativo,  las</w:t>
        <w:br/>
        <w:t>personas jurídicas de derecho público o privado a quienes se les  autorizara</w:t>
        <w:br/>
        <w:t>a prestar este tipo  de  servicios  con  el  objeto  de  proveer  su  propia</w:t>
        <w:br/>
        <w:t>seguridad  se  denominarían  “Convivir”.   El  propósito   de   denominación</w:t>
        <w:br/>
        <w:t>específica, fue garantizar un control y seguimiento efectivo en el logro  de</w:t>
        <w:br/>
        <w:t>los fines y actividades de este tipo de personas jurídicas.</w:t>
        <w:br/>
        <w:br/>
        <w:t>La Resolución 368 de 1995 fue revocada mediante Resolución  7164  de  22  de</w:t>
        <w:br/>
        <w:t>octubre  de  1997,  al  considerarse  que  la  Superintendencia  carecía  de</w:t>
        <w:br/>
        <w:t>facultades para asignar nombre a los servicios  de  vigilancia  y  seguridad</w:t>
        <w:br/>
        <w:t>privada. Sin embargo, mantuvo su  propósito  de  control  y  vigilancia,  al</w:t>
        <w:br/>
        <w:t>confirmar las normas de procedimiento para el desarrollo de estos  servicios</w:t>
        <w:br/>
        <w:t>especiales.</w:t>
        <w:br/>
        <w:br/>
        <w:t>Los servicios especiales de vigilancia y seguridad privada de que  trata  el</w:t>
        <w:br/>
        <w:t>artículo 39 del Decreto 356 de 1994 y el Decreto 2974 de  1997,  fundamentan</w:t>
        <w:br/>
        <w:t>su existencia en circunstancias  excepcionales  de  amenaza  y  riesgo  para</w:t>
        <w:br/>
        <w:t>comunidades.   Gracias  a  los  avances  en  protección  y  seguridad,   los</w:t>
        <w:br/>
        <w:t>requerimientos   para   este    tipo    de    servicios    han    disminuido</w:t>
        <w:br/>
        <w:t>considerablemente.  Es así como a la fecha solamente existen  tres  personas</w:t>
        <w:br/>
        <w:t>jurídicas autorizadas para prestar este tipo de servicios especiales.   Cabe</w:t>
        <w:br/>
        <w:t>destacar  que  las  autoridades  locales  administrativas  constituidas  por</w:t>
        <w:br/>
        <w:t>sufragio directo, como responsables del orden  público  y  del  servicio  de</w:t>
        <w:br/>
        <w:t>policía en sus regiones, juegan un especial papel en el otorgamiento de  los</w:t>
        <w:br/>
        <w:t>permisos y licencias para la prestación de estos  servicios  especiales,  en</w:t>
        <w:br/>
        <w:t>tanto solo se conceden con el aval previo de las mismas.</w:t>
        <w:br/>
        <w:br/>
        <w:t>Para mantener los servicios de vigilancia y seguridad privada  en  el  marco</w:t>
        <w:br/>
        <w:t>de la Constitución y la Ley, la Superintendencia ejerce un estricto  control</w:t>
        <w:br/>
        <w:t>y seguimiento en la revisión minuciosa  del  cumplimiento  de  requisitos  y</w:t>
        <w:br/>
        <w:t>condiciones para obtener los  permisos  o  licencias  de  funcionamiento  en</w:t>
        <w:br/>
        <w:t>todos los  servicios  de  vigilancia,  así  como  en  la  ejecución  de  las</w:t>
        <w:br/>
        <w:t>actividades objeto del servicio  autorizado  y  en  la  verificación  de  la</w:t>
        <w:br/>
        <w:t>permanencia de los requisitos de vigencia y renovación de dichos permisos  o</w:t>
        <w:br/>
        <w:t>licencias.</w:t>
        <w:br/>
        <w:br/>
        <w:t>Continuando con estas actividades la  Superintendencia  se  está  preparando</w:t>
        <w:br/>
        <w:t>para una reestructuración legal y administrativa que le  permitirá  disponer</w:t>
        <w:br/>
        <w:t>de  mejores  recursos  humanos,  técnicos  y  físicos  que   garanticen   el</w:t>
        <w:br/>
        <w:t>fortalecimiento de los controles  y  la  confianza  de  la  sociedad  en  la</w:t>
        <w:br/>
        <w:t>calidad y eficiencia técnica y profesional del sector  de  la  vigilancia  y</w:t>
        <w:br/>
        <w:t>seguridad privada.</w:t>
        <w:br/>
        <w:br/>
        <w:t xml:space="preserve">                      B) Prueba Testimonial y Pericial</w:t>
        <w:br/>
        <w:br/>
        <w:t>111.  El 22 y 23 de  septiembre  de  2005  la  Corte  recibió  en  audiencia</w:t>
        <w:br/>
        <w:t>pública las declaraciones de los  testigos  y  peritos  propuestos  por  las</w:t>
        <w:br/>
        <w:t>partes. En  vista  de  que  varios  de  los  testigos  solicitaron  que  sus</w:t>
        <w:br/>
        <w:t>identidades fueran  mantenidas  en  confidencialidad,  por  temor  a  sufrir</w:t>
        <w:br/>
        <w:t>represalias por sus declaraciones,  la  Corte  procederá  a  resumir  dichas</w:t>
        <w:br/>
        <w:t>declaraciones de manera general, evitando hacer alusiones que puedan  llevar</w:t>
        <w:br/>
        <w:t>a la identificación de los declarantes o de sus  familiares.   Asimismo,  la</w:t>
        <w:br/>
        <w:t>Corte procederá a resumir los dictámenes periciales a continuación.</w:t>
        <w:br/>
        <w:br/>
        <w:br/>
        <w:t xml:space="preserve">                                 Testimonios</w:t>
        <w:br/>
        <w:br/>
        <w:br/>
        <w:t>a)    Testigo propuesto por la Comisión Interamericana[29]</w:t>
        <w:br/>
        <w:br/>
        <w:t>Antes del mes de octubre de 1997 el corregimiento de El Aro  era  un  pueblo</w:t>
        <w:br/>
        <w:t>en el cual vivían  más  o  menos  setecientas  u  ochocientas  personas.  La</w:t>
        <w:br/>
        <w:t>presencia paramilitar en dicho corregimiento comenzó a partir del año  1996.</w:t>
        <w:br/>
        <w:br/>
        <w:br/>
        <w:t>El 25 de octubre de 1997 llegaron a El Aro unas “tropas de paramilitares”  y</w:t>
        <w:br/>
        <w:t>formaron una balacera a la entrada del caserío. Entre  éstos  se  encontraba</w:t>
        <w:br/>
        <w:t>un miembro del Ejército  conocido  como  “Rambo”.  El  grupo  armado  estaba</w:t>
        <w:br/>
        <w:t>vestido con uniformes de soldados, con ropa verde oscura. Algunos  de  ellos</w:t>
        <w:br/>
        <w:t>tenían una prenda  militar  en  la  camisa  que  decía  “Ejército  Nacional,</w:t>
        <w:br/>
        <w:t>Batallón Girardot”.</w:t>
        <w:br/>
        <w:br/>
        <w:t>El testigo fue obligado a traer equipo de una finca cercana  denominada  “el</w:t>
        <w:br/>
        <w:t>Paraíso” y a descargar unas mulas que llevaban otros  equipajes  y  personas</w:t>
        <w:br/>
        <w:t>que el grupo había matado en su camino.  Esa noche el referido grupo  armado</w:t>
        <w:br/>
        <w:t>violó a tres o cuatros mujeres.  Al día siguiente se les  permitió  enterrar</w:t>
        <w:br/>
        <w:t>los cadáveres de  los  pobladores  que  habían  sido  ejecutados  hasta  ese</w:t>
        <w:br/>
        <w:t>momento. El Aro quedó todo destruido. En el pueblo existían  entre  “noventa</w:t>
        <w:br/>
        <w:t>o cien casas”.</w:t>
        <w:br/>
        <w:br/>
        <w:br/>
        <w:t>El grupo armado robó las pertenencias de las casas de los pobladores  de  El</w:t>
        <w:br/>
        <w:t>Aro y una gran cantidad de ganado.   La  gente  fue  obligada  a  arrear  su</w:t>
        <w:br/>
        <w:t>propio  ganado.  Solicitaron  ayuda  de  una  tropa  del  Ejército  que   se</w:t>
        <w:br/>
        <w:t>encontraba en “El  Socorro”  para  que  decomisara  el  ganado  robado.  Los</w:t>
        <w:br/>
        <w:t>oficiales  del  Ejército  les  contestaron  que  ese  ganado  “ya   est[aba]</w:t>
        <w:br/>
        <w:t>decomisado” y que se fueran tranquilos para  Puerto  Valdivia,  donde  había</w:t>
        <w:br/>
        <w:t>como “ochocientos” desplazados. Una noche el Ejército hizo un  tiroteo,  por</w:t>
        <w:br/>
        <w:t>lo cual todo la gente se encerró en sus casas. En  ese  momento  pasaron  el</w:t>
        <w:br/>
        <w:t>ganado rumbo a otra población. El testigo perdió  el  ganado,  la  casa,  su</w:t>
        <w:br/>
        <w:t>trabajo y todas sus pertenencias.</w:t>
        <w:br/>
        <w:br/>
        <w:t>b)    Testigos propuestos por los representantes[30]</w:t>
        <w:br/>
        <w:br/>
        <w:t>En la época de los noventa en la zona del Municipio de  Ituango  intervenían</w:t>
        <w:br/>
        <w:t>distintos actores  en  los  conflictos  que  se  venían  desarrollando.  Las</w:t>
        <w:br/>
        <w:t>guerrillas de las FARC tenían diez o doce años de haberse  “asentado  dentro</w:t>
        <w:br/>
        <w:t>de la vida del Municipio y [de] las fuerzas del Estado representadas  en  el</w:t>
        <w:br/>
        <w:t>Ejército y en la Policía”.</w:t>
        <w:br/>
        <w:br/>
        <w:t>Ante esta situación se organizó un Consejo Departamental del  Gobierno  para</w:t>
        <w:br/>
        <w:t>tratar el tema de la seguridad en el Municipio.  A  partir  de  entonces,  a</w:t>
        <w:br/>
        <w:t>través del impulso de ganaderos  y  algunos  líderes  políticos,  surgió  la</w:t>
        <w:br/>
        <w:t>propuesta de instalar “las asociaciones Convivir”  en  Ituango,  las  cuales</w:t>
        <w:br/>
        <w:t>eran “grupos paramilitares” que operaban dentro de un marco  legal.   Dichas</w:t>
        <w:br/>
        <w:t>asociaciones se definían como “cooperativas de seguridad privada”  y  tenían</w:t>
        <w:br/>
        <w:t>plena connivencia con el Ejército y la policía. A partir de  su  instalación</w:t>
        <w:br/>
        <w:t>comienzan a producirse una gran cantidad de desapariciones y se  registraron</w:t>
        <w:br/>
        <w:t>más  de  doscientas  muertes,  siendo  éste  “el  modus  operandi   de   los</w:t>
        <w:br/>
        <w:t>paramilitares”.</w:t>
        <w:br/>
        <w:br/>
        <w:t>El 11 de junio de 1996  llegaron  a  una  de  las  casas  del  corregimiento</w:t>
        <w:br/>
        <w:t>hombres armados y, tras forzar la  puerta,  uno  de  ellos  logró  entrar  y</w:t>
        <w:br/>
        <w:t>agarrar de un brazo al señor Héctor Hernán, quien sufría de retardo  mental.</w:t>
        <w:br/>
        <w:t xml:space="preserve"> Todo pasó en pocos minutos.   Se escuchó un disparó seguido de  las  quejas</w:t>
        <w:br/>
        <w:t>de Héctor Hernán. No había ninguna autoridad civil o militar  en  La  Granja</w:t>
        <w:br/>
        <w:t>cuando ocurrieron los hechos.   Las  presuntas  víctimas  de  La  Granja  no</w:t>
        <w:br/>
        <w:t>recibieron ayuda posterior por  parte  del  Estado.  Algunos  hijos  de  los</w:t>
        <w:br/>
        <w:t>habitantes se fueron del  corregimiento,  lo  cual  ha  dificultado  que  se</w:t>
        <w:br/>
        <w:t>puedan reunir con frecuencia.</w:t>
        <w:br/>
        <w:br/>
        <w:t>A partir de la masacre en El  Aro  en  1997  se  produjo  un  desplazamiento</w:t>
        <w:br/>
        <w:t>masivo y no han existido condiciones de seguridad adecuadas para regresar.</w:t>
        <w:br/>
        <w:br/>
        <w:br/>
        <w:br/>
        <w:t>c)    Testigo propuesto por el Estado</w:t>
        <w:br/>
        <w:br/>
        <w:br/>
        <w:t>1.    Germán Saavedra Prado, miembro del Ejército colombiano</w:t>
        <w:br/>
        <w:br/>
        <w:br/>
        <w:t>En el año 1995 tenía el rango de Mayor del  Ejército  y  se  desempeñó  como</w:t>
        <w:br/>
        <w:t>oficial S3 de operaciones del  Batallón  Girardot,  en  el  Departamento  de</w:t>
        <w:br/>
        <w:t>Antioquia.</w:t>
        <w:br/>
        <w:br/>
        <w:t>El Municipio de Ituango se encuentra ubicado en la Cordillera  Occidental  y</w:t>
        <w:br/>
        <w:t>es un área estratégica en razón de que facilita mucho a los grupos  ilegales</w:t>
        <w:br/>
        <w:t>hacer sus desplazamientos hacia otros departamentos. Es por  ello  que  este</w:t>
        <w:br/>
        <w:t>tipo de grupos  tenían  gran  capacidad  de  concentración  en  esa  zona  y</w:t>
        <w:br/>
        <w:t>fácilmente podían concentrarse  ochocientos  sujetos  e  incursionar  a  las</w:t>
        <w:br/>
        <w:t>diferentes localidades. Además, por esos tiempos  estaban  en  pleno  apogeo</w:t>
        <w:br/>
        <w:t>los cultivos de amapola, lo cual trajo consigo la  disputa  por  el  dominio</w:t>
        <w:br/>
        <w:t>del área.</w:t>
        <w:br/>
        <w:br/>
        <w:t>Se conocía de la presencia en la zona de Antioquia de grupos  paramilitares.</w:t>
        <w:br/>
        <w:t>La situación se tornó “difícil” por las amenazas de estos grupos  al  margen</w:t>
        <w:br/>
        <w:t>de la ley.</w:t>
        <w:br/>
        <w:br/>
        <w:br/>
        <w:t>El Batallón Girardot para ese entonces tenía limitaciones, pues no tenía  la</w:t>
        <w:br/>
        <w:t>capacidad  de  “mantener  el  control  territorial  en  razón   a   que   la</w:t>
        <w:br/>
        <w:t>jurisdicción de esa unidad […] era muy extensa”. Debido a que esa  zona  fue</w:t>
        <w:br/>
        <w:t>objeto de una “incursión guerrillera” en 1995, a  unos  dieciocho  o  veinte</w:t>
        <w:br/>
        <w:t>kilómetros del corregimiento de La Granja, se instaló una  compañía  militar</w:t>
        <w:br/>
        <w:t>de aproximadamente  ciento  veinte  hombres  que  tenían  el  desarrollo  de</w:t>
        <w:br/>
        <w:t>operaciones en diferentes sectores  del  Municipio  de  Ituango.  El  tiempo</w:t>
        <w:br/>
        <w:t>razonable para desplazarse hacia La Granja era de unos cinco, seis  o  siete</w:t>
        <w:br/>
        <w:t>días, dependiendo la situación de amenaza; y  hacia  El  Aro  fácilmente  se</w:t>
        <w:br/>
        <w:t>demoraría unos quince días.  Tras un aviso por parte de la  población  civil</w:t>
        <w:br/>
        <w:t>de que se encontraban en riesgo, las autoridades  militares  debían  primero</w:t>
        <w:br/>
        <w:t>analizar cuáles eran los riesgos  y  la  amenaza  y  entonces  aplicar  “las</w:t>
        <w:br/>
        <w:t>normas establecidas para hacer [los] desplazamientos mediante una  orden  de</w:t>
        <w:br/>
        <w:t>operaciones”. El tiempo que se invertía usualmente en  la  planificación  de</w:t>
        <w:br/>
        <w:t>las operaciones podía durar de ocho días a un mes,  dependiendo  de  cómo  y</w:t>
        <w:br/>
        <w:t>por cuántas fuentes  llegara  la  información.  De  la  población  civil  se</w:t>
        <w:br/>
        <w:t>buscaba el apoyo de información pero no se podía  “obligar  a  la  población</w:t>
        <w:br/>
        <w:t>civil a que [hiciera] algún procedimiento militar o táctico”.</w:t>
        <w:br/>
        <w:br/>
        <w:t xml:space="preserve">                                  Peritajes</w:t>
        <w:br/>
        <w:br/>
        <w:br/>
        <w:t>d)    Perito propuesto por la Comisión Interamericana</w:t>
        <w:br/>
        <w:br/>
        <w:t>1.    Rodrigo Uprimny Yepes, abogado</w:t>
        <w:br/>
        <w:br/>
        <w:t>En  la  jurisdicción  contencioso  administrativa  de  Colombia  existe   la</w:t>
        <w:br/>
        <w:t>posibilidad de interponer diferentes acciones, las más importantes  son:  la</w:t>
        <w:br/>
        <w:t>acción de nulidad, la acción de nulidad  y  restablecimiento,  así  como  la</w:t>
        <w:br/>
        <w:t>acción de reparación directa. Por medio de la “acción de nulidad”  se  puede</w:t>
        <w:br/>
        <w:t>pedir  la  anulación  de  un  acto  administrativo  por  distintos  factores</w:t>
        <w:br/>
        <w:t>establecidos en la ley. Esta acción pública ciudadana no  tiene  término  de</w:t>
        <w:br/>
        <w:t>caducidad. La “acción de nulidad y restablecimiento” es  aquella  por  medio</w:t>
        <w:br/>
        <w:t>de la cual un particular afectado puede solicitar no sólo la  anulación  del</w:t>
        <w:br/>
        <w:t>acto administrativo, sino el restablecimiento en su derecho y  eventualmente</w:t>
        <w:br/>
        <w:t>una reparación. Esta acción expira  a  los  cuatro  meses  a  partir  de  la</w:t>
        <w:br/>
        <w:t>notificación del  correspondiente  acto  administrativo.   A  través  de  la</w:t>
        <w:br/>
        <w:t>acción de “reparación directa” una persona puede demandar al Estado ante  la</w:t>
        <w:br/>
        <w:t>jurisdicción  contenciosa  administrativa  con  el  fin   de   obtener   una</w:t>
        <w:br/>
        <w:t>declaración de responsabilidad por un daño antijurídico que  la  víctima  no</w:t>
        <w:br/>
        <w:t>tiene por qué  soportar  y  una  orden  de  reparación  consistente  en  una</w:t>
        <w:br/>
        <w:t>indemnización monetaria.</w:t>
        <w:br/>
        <w:br/>
        <w:br/>
        <w:t>La  acción  que  parecería  idónea  para  ser   planteada   frente   a   los</w:t>
        <w:br/>
        <w:t>acontecimientos que se analizan  en  el  presente  caso  es  la  “acción  de</w:t>
        <w:br/>
        <w:t>reparación directa”, la cual tiene un término de caducidad  de  dos  años  a</w:t>
        <w:br/>
        <w:t>partir de la ocurrencia de los hechos.</w:t>
        <w:br/>
        <w:br/>
        <w:br/>
        <w:t>La jurisdicción contencioso administrativa ha  tenido  algunos  “logros”  en</w:t>
        <w:br/>
        <w:t>materias relacionadas con derechos humanos. Existe “cierta  similitud  entre</w:t>
        <w:br/>
        <w:t>la jurisdicción contencioso administrativo y la  jurisdicción  internacional</w:t>
        <w:br/>
        <w:t>en derechos humanos”. Sin embargo, el recurso contencioso administrativo  de</w:t>
        <w:br/>
        <w:t>reparación  directa  “no  es  un  sustituto  idóneo”  de   la   jurisdicción</w:t>
        <w:br/>
        <w:t>internacional de  los  derechos  humanos,  pues  tiene  obvias  limitaciones</w:t>
        <w:br/>
        <w:t>debido a su naturaleza, reglamentación y limitaciones fácticas funcionales.</w:t>
        <w:br/>
        <w:br/>
        <w:br/>
        <w:t>La primera de estas limitaciones se refiere al fundamento de la  declaración</w:t>
        <w:br/>
        <w:t>de responsabilidad  en  la  jurisdicción  contenciosa  administrativa.  Este</w:t>
        <w:br/>
        <w:t>fundamento  es  limitado,  pues  en  dicha  jurisdicción  no   se   “examina</w:t>
        <w:br/>
        <w:t>obligatoriamente  el  cumplimiento  de   los   estándares   y   obligaciones</w:t>
        <w:br/>
        <w:t>internacionales de derechos  humanos”.  Por  el  contrario,  en  el  proceso</w:t>
        <w:br/>
        <w:t>contencioso administrativo se determina si “hay un daño que es imputable  al</w:t>
        <w:br/>
        <w:t>Estado y, conforme a la Constitución, si ese daño es antijurídico,  pero  la</w:t>
        <w:br/>
        <w:t>noción de daño antijurídico no quiere decir  daño  derivado  de  una  acción</w:t>
        <w:br/>
        <w:t>antijurídica del  Estado,  sino  daño  que  la  víctima  no  tiene  por  qué</w:t>
        <w:br/>
        <w:t>soportar,  venga  este  daño  de  una  acción  jurídica  o  de  una   acción</w:t>
        <w:br/>
        <w:t>antijurídica del Estado”. Ello es distinto a cuando se  declara  la  ruptura</w:t>
        <w:br/>
        <w:t>de una obligación  en  materia  de  derechos  humanos.   Incluso  cuando  el</w:t>
        <w:br/>
        <w:t>Consejo de Estado en una sentencia declara a la Nación  responsable  por  la</w:t>
        <w:br/>
        <w:t>muerte de determinada persona, no puede entenderse que  es  una  declaración</w:t>
        <w:br/>
        <w:t>de responsabilidad del Estado por violar el derecho a  la  vida,  pues,  por</w:t>
        <w:br/>
        <w:t>ejemplo, puede tratarse de un desafortunado accidente de tránsito, en  donde</w:t>
        <w:br/>
        <w:t>el Estado debe reparar pero no hay  un  sentido  estricto  de  violación  al</w:t>
        <w:br/>
        <w:t>derecho a la vida. Se declara la responsabilidad del Estado por  la  muerte,</w:t>
        <w:br/>
        <w:t>pero no por la “violación de  determinada  cláusula  de  la  Constitución  o</w:t>
        <w:br/>
        <w:t>determinada cláusula de los Tratados de Derechos Humanos”.</w:t>
        <w:br/>
        <w:br/>
        <w:br/>
        <w:t>La segunda limitación hace referencia al significado simbólico y la  función</w:t>
        <w:br/>
        <w:t>jurídica específica de la declaración de responsabilidad en la  jurisdicción</w:t>
        <w:br/>
        <w:t>contenciosa administrativa. En cuanto  al  significado  simbólico  de  dicha</w:t>
        <w:br/>
        <w:t>declaración, una de las  satisfacciones  que  las  víctimas  buscan  en  las</w:t>
        <w:br/>
        <w:t>instancias internacionales de derechos humanos es precisamente que surja  el</w:t>
        <w:br/>
        <w:t>reconocimiento de la responsabilidad del Estado. Lo anterior  no  sucede  en</w:t>
        <w:br/>
        <w:t>la  jurisdicción  contenciosa  administrativa,  pues   la   declaración   de</w:t>
        <w:br/>
        <w:t>responsabilidad se desvaloriza ya que no es obligatoriamente un reproche  en</w:t>
        <w:br/>
        <w:t>derechos  humanos  ni  una  rehabilitación  de   las   víctimas,   sino   la</w:t>
        <w:br/>
        <w:t>constatación  de  la  ocurrencia  de  un  daño  antijurídico  que  debe  ser</w:t>
        <w:br/>
        <w:t>reparado.  De esta manera queda en el mismo  punto  una  declaración  porque</w:t>
        <w:br/>
        <w:t>ocurrió un accidente  imputable  a  un  auto  de  la  administración  y  una</w:t>
        <w:br/>
        <w:t>declaración de responsabilidad del Estado por una desaparición  forzada.  En</w:t>
        <w:br/>
        <w:t>relación con la función jurídica específica de la  referida  declaración  de</w:t>
        <w:br/>
        <w:t>responsabilidad, a diferencia de los tribunales internacionales de  derechos</w:t>
        <w:br/>
        <w:t>humanos, el Consejo de Estado no establece los alcances de las  obligaciones</w:t>
        <w:br/>
        <w:t>del Estado “para orientar en su accionar futuro”.</w:t>
        <w:br/>
        <w:br/>
        <w:br/>
        <w:t>Una tercera limitación tiene que ver con el tipo  de  remedio  judicial  que</w:t>
        <w:br/>
        <w:t>establece la  jurisdicción  contenciosa  administrativa  cuando  declara  la</w:t>
        <w:br/>
        <w:t>responsabilidad del  Estado  por  un  daño  antijurídico:  la  indemnización</w:t>
        <w:br/>
        <w:t>monetaria.  Este tipo de reparación  es  limitada  frente  a  la  noción  de</w:t>
        <w:br/>
        <w:t>reparación prevista en el  derecho  internacional  que  no  sólo  supone  la</w:t>
        <w:br/>
        <w:t>indemnización,   sino   también   la   restitución,   la   reparación,    la</w:t>
        <w:br/>
        <w:t>rehabilitación y la garantía de no repetición.</w:t>
        <w:br/>
        <w:br/>
        <w:br/>
        <w:t>Una cuarta limitación tiene relación específica  con  las  garantías  de  no</w:t>
        <w:br/>
        <w:t>repetición, pues la jurisdicción  contenciosa  administrativa  no  establece</w:t>
        <w:br/>
        <w:t>medidas para tal efecto, por lo  cual  difícilmente  puede  ser  considerada</w:t>
        <w:br/>
        <w:t>como una instancia que logre apropiadamente ese tipo de garantías. A  través</w:t>
        <w:br/>
        <w:t>de esta jurisdicción no es posible que se ordene reabrir  una  investigación</w:t>
        <w:br/>
        <w:t>disciplinaria.</w:t>
        <w:br/>
        <w:br/>
        <w:br/>
        <w:t>Por último, a las anteriores limitaciones sobre la naturaleza jurídica y  la</w:t>
        <w:br/>
        <w:t>reglamentación del proceso contencioso  administrativo  habría  que  agregar</w:t>
        <w:br/>
        <w:t>unas “limitaciones  fácticas  funcionales”  relativas  a  los  problemas  de</w:t>
        <w:br/>
        <w:t>“acceso” y los de “congestión y morosidad”. En cuanto al acceso,  la  acción</w:t>
        <w:br/>
        <w:t>de reparación nunca es  oficiosa,  debe  ser  presentada  por  medio  de  un</w:t>
        <w:br/>
        <w:t>abogado y ante  determinado  distrito,  que  sólo  opera  en  las  capitales</w:t>
        <w:br/>
        <w:t>departamentales, “muchas veces muy lejos de donde  ocurren  las  más  graves</w:t>
        <w:br/>
        <w:t>violaciones de derechos humanos en Colombia”. Además, el  Estado  no  cuenta</w:t>
        <w:br/>
        <w:t>con jueces administrativos, los cuales “están en la ley  pero  no  han  sido</w:t>
        <w:br/>
        <w:t>implementados”. Si bien existe la Defensoría Pública,  la  cual  opera  para</w:t>
        <w:br/>
        <w:t>suministrar abogados a los acusados de  escasos  recursos  en  los  procesos</w:t>
        <w:br/>
        <w:t>penales, no existe asistencia judicial por parte del Estado  a  víctimas  de</w:t>
        <w:br/>
        <w:t>escasos recursos para que  puedan  eventualmente  presentar  una  acción  de</w:t>
        <w:br/>
        <w:t>reparación directa.  En cuanto a los problemas de  congestión  y  morosidad,</w:t>
        <w:br/>
        <w:t>surge del propio informe del Consejo  Superior  de  la  Judicatura  que,  en</w:t>
        <w:br/>
        <w:t>promedio, los casos ante la jurisdicción  contenciosa  administrativa  duran</w:t>
        <w:br/>
        <w:t>aproximadamente trece años en ser resueltos de manera definitiva.</w:t>
        <w:br/>
        <w:br/>
        <w:br/>
        <w:t>A pesar de  que  la  acción  de  reparación  directa  ante  la  jurisdicción</w:t>
        <w:br/>
        <w:t>contenciosa administrativa cumple una función democrática importante  en  la</w:t>
        <w:br/>
        <w:t>sociedad colombiana, que es la  de  una  especie  de  seguro  colectivo  por</w:t>
        <w:br/>
        <w:t>daños, centrados en la indemnización monetaria, siendo esto  muy  importante</w:t>
        <w:br/>
        <w:t>para paliar, a veces, la  falta  de  justicia  en  violaciones  de  derechos</w:t>
        <w:br/>
        <w:t>humanos, ello no hace de dicha acción un mecanismo idóneo para  reparar  las</w:t>
        <w:br/>
        <w:t>graves violaciones de derechos humanos en los términos que lo  ha  entendido</w:t>
        <w:br/>
        <w:t>la doctrina y la jurisprudencia internacional en la materia.</w:t>
        <w:br/>
        <w:br/>
        <w:br/>
        <w:t>En Colombia  se  puede  conciliar  dentro  de  la  jurisdicción  contencioso</w:t>
        <w:br/>
        <w:t>administrativa, pero si frente a los estándares de derechos  humanos  ya  es</w:t>
        <w:br/>
        <w:t>precario, en  términos  de  remedio  judicial,  una  simple  declaración  de</w:t>
        <w:br/>
        <w:t>responsabilidad  extracontractual  del  Estado  como  satisfacción   a   las</w:t>
        <w:br/>
        <w:t>víctimas, resulta más precario aún una audiencia de conciliación y el  valor</w:t>
        <w:br/>
        <w:t>simbólico de una declaración de responsabilidad derivada de ésta.</w:t>
        <w:br/>
        <w:br/>
        <w:br/>
        <w:t>El instrumento idóneo para garantizar la reparación  integral  en  Colombia,</w:t>
        <w:br/>
        <w:t>incluyendo el deber de investigar y sancionar a los responsables en el  caso</w:t>
        <w:br/>
        <w:t>de violaciones de  derechos  humanos,  cumpliendo  con  la  garantía  de  no</w:t>
        <w:br/>
        <w:t>repetición, es la jurisdicción penal, pues en caso de recurrir únicamente  a</w:t>
        <w:br/>
        <w:t>la  jurisdicción  contencioso  administrativa  podría  llegarse  al  “efecto</w:t>
        <w:br/>
        <w:t>perverso de una especie de rutinización de los costos de las violaciones  de</w:t>
        <w:br/>
        <w:t>derechos humanos”.</w:t>
        <w:br/>
        <w:br/>
        <w:br/>
        <w:t>Si  bien  podría  existir   una   complementariedad   entre   la   instancia</w:t>
        <w:br/>
        <w:t>internacional en materia de derechos humanos y la  jurisdicción  contenciosa</w:t>
        <w:br/>
        <w:t>administrativa, en el entendido de que una reparación monetaria  otorgada  a</w:t>
        <w:br/>
        <w:t>una víctima en el  ámbito  interno  podría  ser  tomada  en  cuenta  por  la</w:t>
        <w:br/>
        <w:t>instancia internacional y evitar así un doble  pago  de  indemnización,  esa</w:t>
        <w:br/>
        <w:t>complementariedad no convierte a la acción  de  reparación  “en  una  acción</w:t>
        <w:br/>
        <w:t>idónea para  la  reparación  integral  de  graves  violaciones  de  derechos</w:t>
        <w:br/>
        <w:t>humanos” y, por lo  tanto,  “no  constituiría  un  recurso  judicial  a  ser</w:t>
        <w:br/>
        <w:t>agotado”.</w:t>
        <w:br/>
        <w:br/>
        <w:br/>
        <w:t>e)    Perito propuesto por el Estado</w:t>
        <w:br/>
        <w:br/>
        <w:t>1.    Hernando Torres Corredor, abogado</w:t>
        <w:br/>
        <w:br/>
        <w:t>En 1991 se dio una respuesta a nivel constitucional a las insuficiencias  en</w:t>
        <w:br/>
        <w:t>la eficacia  de  la  administración  de  justicia.  Para  tales  efectos  la</w:t>
        <w:br/>
        <w:t>Constitución de 1991 generó “o bien transformaciones,  o  bien  creación  de</w:t>
        <w:br/>
        <w:t>nuevas instituciones”.  La misma Constitución integra el derecho  interno  y</w:t>
        <w:br/>
        <w:t>el derecho internacional. Los  cambios  realizados  no  fueron  de  carácter</w:t>
        <w:br/>
        <w:t>puramente  estructural  jurídico,  sino  también   en   relación   con   las</w:t>
        <w:br/>
        <w:t>estrategias de los aparatos estatales. Es  así  como  se  crearon  la  Corte</w:t>
        <w:br/>
        <w:t>Constitucional, el Consejo Superior de la Judicatura y la  Fiscalía  General</w:t>
        <w:br/>
        <w:t>de la Nación; además, se mejoró la Defensoría del Pueblo y se transformó  la</w:t>
        <w:br/>
        <w:t>Procuraduría General de la Nación.  La nueva Constitución  permitió  que  se</w:t>
        <w:br/>
        <w:t>dictara un nuevo Código de Procedimiento Penal, y a partir  de  entonces  se</w:t>
        <w:br/>
        <w:t>inició un trayecto que en el término de quince  años  ha  permitido  que  se</w:t>
        <w:br/>
        <w:t>pasara de un “sistema inquisitivo a un  sistema  […]  acusatorio  mixto,  [y</w:t>
        <w:br/>
        <w:t>finalmente] a un sistema […] acusatorio puro”.</w:t>
        <w:br/>
        <w:br/>
        <w:br/>
        <w:t>En  relación  con  la  jurisdicción  contenciosa  administrativa,  ésta   es</w:t>
        <w:br/>
        <w:t>colectiva y está integrada por un Consejo de Estado que  tiene  tres  salas,</w:t>
        <w:br/>
        <w:t>una sala general,  una  sala  contencioso  administrativo,  y  una  sala  de</w:t>
        <w:br/>
        <w:t>consulta y servicio civil.  Ante dicha jurisdicción se  pueden  ejercer  las</w:t>
        <w:br/>
        <w:t>siguientes  acciones:  de  nulidad,  de  nulidad  y  reestablecimiento   del</w:t>
        <w:br/>
        <w:t>derecho,  de reparación directa y la contractual.   Al  referirse  al  plazo</w:t>
        <w:br/>
        <w:t>razonable en esta jurisdicción  es  importante  tomar  en  cuenta  la  carga</w:t>
        <w:br/>
        <w:t>laboral que tienen los magistrados de los tribunales administrativos.</w:t>
        <w:br/>
        <w:br/>
        <w:br/>
        <w:t>El mecanismo de la conciliación, como método alternativo  para  solución  de</w:t>
        <w:br/>
        <w:t>controversias, ha facilitado de alguna manera un camino exitoso frente a  la</w:t>
        <w:br/>
        <w:t>gran congestión. La conciliación incluso está consagrada no solamente en  lo</w:t>
        <w:br/>
        <w:t>contencioso, sino en lo penal. Tratándose de  derechos  humanos  se  precisa</w:t>
        <w:br/>
        <w:t>que la conciliación tiene efecto de cosa juzgada.</w:t>
        <w:br/>
        <w:br/>
        <w:br/>
        <w:t>En cuanto a las  decisiones  en  materia  de  reparación  directa  por  daño</w:t>
        <w:br/>
        <w:t>antijurídico, los  jueces  de  la  jurisdicción  contenciosa  administrativa</w:t>
        <w:br/>
        <w:t>tienen algunas barreras en relación con la legislación  actual  para  fallar</w:t>
        <w:br/>
        <w:t>más allá del marco de las pretensiones que les han sido formuladas, pero  la</w:t>
        <w:br/>
        <w:t>jurisprudencia está abriendo el camino.</w:t>
        <w:br/>
        <w:br/>
        <w:br/>
        <w:t>Por medio de la acción de reparación directa se pueden ordenar  reparaciones</w:t>
        <w:br/>
        <w:t>no pecuniarias, de acuerdo con el mandato constitucional, atendiendo  a  los</w:t>
        <w:br/>
        <w:t>parámetros de la legislación internacional de reparación integral del  daño.</w:t>
        <w:br/>
        <w:t>El perito no tiene conocimiento de alguna sentencia del  Consejo  de  Estado</w:t>
        <w:br/>
        <w:t>en la que se ordene la investigación, juzgamiento y sanción de  responsables</w:t>
        <w:br/>
        <w:t>de una violación de derechos humanos.</w:t>
        <w:br/>
        <w:br/>
        <w:br/>
        <w:t>La duración media de la acción de reparación directa es entre cinco y  siete</w:t>
        <w:br/>
        <w:t>años. En segunda instancia un proceso  puede  demorar,  en  promedio,  entre</w:t>
        <w:br/>
        <w:t>cuatro y ocho años. Debido a la magnitud de la mora judicial, el Consejo  de</w:t>
        <w:br/>
        <w:t>Estado  tiene  una  Comisión  Legislativa  que  está  revisando  el   Código</w:t>
        <w:br/>
        <w:t>Contencioso Administrativo.</w:t>
        <w:br/>
        <w:br/>
        <w:br/>
        <w:t>Los  tribunales  contenciosos  administrativos  a  través   de   la   acción</w:t>
        <w:br/>
        <w:t>contenciosa administrativa de reparación directa no pueden  disponer  la  no</w:t>
        <w:br/>
        <w:t>repetición de las conductas que violan los derechos humanos, la  persecución</w:t>
        <w:br/>
        <w:t>penal  de  los  infractores  o,  entre  otras  medidas  de   reparación   no</w:t>
        <w:br/>
        <w:t>pecuniaria, la erección de monumentos. Sin embargo, el perito considera  que</w:t>
        <w:br/>
        <w:t>el escenario jurídico esta dado para esa ruta, pero aún no  ha  ocurrido  en</w:t>
        <w:br/>
        <w:t>ninguna oportunidad.</w:t>
        <w:br/>
        <w:br/>
        <w:t xml:space="preserve">                         C) Valoración de la Prueba</w:t>
        <w:br/>
        <w:br/>
        <w:t>Valoración de la Prueba Documental</w:t>
        <w:br/>
        <w:br/>
        <w:t>112.  En  este  caso,  como  en  otros[31],  el  Tribunal  admite  el  valor</w:t>
        <w:br/>
        <w:t>probatorio de los documentos presentados por las partes  en  su  oportunidad</w:t>
        <w:br/>
        <w:t>procesal o como prueba para mejor resolver de conformidad  con  el  artículo</w:t>
        <w:br/>
        <w:t>45.2 de su Reglamento, que no fueron controvertidos  ni  objetados,  y  cuya</w:t>
        <w:br/>
        <w:t>autenticidad no fue cuestionada.</w:t>
        <w:br/>
        <w:br/>
        <w:t>113.  En relación con las declaraciones rendidas ante fedatario público  por</w:t>
        <w:br/>
        <w:t>los testigos y peritos propuestos por  las  partes  (supra  párr.  110),  de</w:t>
        <w:br/>
        <w:t>conformidad con lo dispuesto por el artículo 47.3 del Reglamento  y  por  el</w:t>
        <w:br/>
        <w:t>Presidente mediante Resoluciones de 28 de julio de 2005 y 19  de  agosto  de</w:t>
        <w:br/>
        <w:t>2005 (supra párrs. 23 y 28), la Corte las admite en  cuanto  concuerden  con</w:t>
        <w:br/>
        <w:t>el objeto establecido en dichas Resoluciones y las  valora  en  el  conjunto</w:t>
        <w:br/>
        <w:t>del acervo probatorio, aplicando las reglas de la sana crítica y tomando  en</w:t>
        <w:br/>
        <w:t>cuenta las observaciones presentadas por las partes (supra párrs. 29,  38  y</w:t>
        <w:br/>
        <w:t>39).</w:t>
        <w:br/>
        <w:br/>
        <w:t>114.  En relación con las declaraciones juradas no rendidas  ante  fedatario</w:t>
        <w:br/>
        <w:t>público por los testigos propuestos tanto  por  la  Comisión  como  por  los</w:t>
        <w:br/>
        <w:t>representantes, así como por los peritos propuestos por los  representantes,</w:t>
        <w:br/>
        <w:t>la Corte las admite en cuanto concuerden con el objeto que fue  definido  en</w:t>
        <w:br/>
        <w:t>la Resolución de 28 de julio de 2005  y  las  aprecia  en  el  conjunto  del</w:t>
        <w:br/>
        <w:t>acervo probatorio, aplicando las reglas de la  sana  crítica  y  tomando  en</w:t>
        <w:br/>
        <w:t>cuenta las objeciones presentadas  por  el  Estado  (supra  párr.  36).   El</w:t>
        <w:br/>
        <w:t>Tribunal ha admitido en otras ocasiones declaraciones juradas que no  fueron</w:t>
        <w:br/>
        <w:t>rendidas ante fedatario público, cuando no se afecta la  seguridad  jurídica</w:t>
        <w:br/>
        <w:t>y el equilibrio procesal entre las partes[32].</w:t>
        <w:br/>
        <w:br/>
        <w:t>115.   Los  representantes  objetaron  el  informe  pericial  rendido   ante</w:t>
        <w:br/>
        <w:t>fedatario público (affidávit) por el señor Hernan  de  Jesús  Sanín  Posada,</w:t>
        <w:br/>
        <w:t>presentado  por  el  Estado,  argumentando  que  no  eran  ciertas   algunas</w:t>
        <w:br/>
        <w:t>conclusiones realizadas por el perito (supra párr.  38).   Al  respecto,  la</w:t>
        <w:br/>
        <w:t>Corte admite dicho informe pericial en cuanto concuerde con  el  objeto  que</w:t>
        <w:br/>
        <w:t>fue definido en la Resolución de 28 de julio de 2005  y  lo  aprecia  en  el</w:t>
        <w:br/>
        <w:t>conjunto del acervo probatorio, aplicando las reglas de la  sana  crítica  y</w:t>
        <w:br/>
        <w:t>tomando en cuenta las objeciones presentadas por los representantes.</w:t>
        <w:br/>
        <w:br/>
        <w:t>116.  La Comisión objetó  la  declaración  rendida  ante  fedatario  público</w:t>
        <w:br/>
        <w:t>(affidávit) por el señor Jorge Armando  Otalora  Gómez,  presentada  por  el</w:t>
        <w:br/>
        <w:t>Estado, en cuanto a “la relación de hechos referida en las páginas  1  a  7,</w:t>
        <w:br/>
        <w:t>respecto de los hechos de La Granja, y páginas  7  a  13,  [por  cuanto]  no</w:t>
        <w:br/>
        <w:t>constituyen un testimonio”, y que, por  tanto,  “los  hechos  ahí  referidos</w:t>
        <w:br/>
        <w:t>deben darse por probados únicamente en tanto la […] Corte  disponga  de  los</w:t>
        <w:br/>
        <w:t>documentos judiciales en los que están registrados” (supra  párr.  39).   Al</w:t>
        <w:br/>
        <w:t>respecto la Corte admite  dicha  declaración  en  cuanto  concuerde  con  el</w:t>
        <w:br/>
        <w:t>objeto que fue definido en la Resolución  de  28  de  julio  de  2005  y  la</w:t>
        <w:br/>
        <w:t>aprecia en el conjunto del acervo probatorio, aplicando  las  reglas  de  la</w:t>
        <w:br/>
        <w:t>sana  crítica  y  tomando  en  cuenta  las  objeciones  presentadas  por  la</w:t>
        <w:br/>
        <w:t>Comisión.</w:t>
        <w:br/>
        <w:br/>
        <w:t>117.   Los  representantes  objetaron  las   declaraciones   rendidas   ante</w:t>
        <w:br/>
        <w:t>fedatario público (affidávit) por los señores Jorge Armando Otalora Gómez  y</w:t>
        <w:br/>
        <w:t>Jaime Jaramillo Panneso, presentadas por el Estado, en cuanto  éstas  fueron</w:t>
        <w:br/>
        <w:t>remitidas de manera extemporánea, un día después de vencido  el  plazo  para</w:t>
        <w:br/>
        <w:t>su presentación (supra párr. 38).  Al respecto, la Corte considera  que,  si</w:t>
        <w:br/>
        <w:t>bien dichas declaraciones fueron presentadas  el  día  9  de  septiembre  de</w:t>
        <w:br/>
        <w:t>2005, cuando el plazo para su presentación vencía el día 8 de septiembre  de</w:t>
        <w:br/>
        <w:t>2005, dicho  retraso  no  afectó  la  seguridad  jurídica  y  el  equilibrio</w:t>
        <w:br/>
        <w:t>procesal  entre  las  partes.   Por  tanto,  el   Tribunal   admite   dichas</w:t>
        <w:br/>
        <w:t>declaraciones en cuanto concuerden con el objeto  que  fue  definido  en  la</w:t>
        <w:br/>
        <w:t>Resolución de 19 de agosto de 2005 y las aprecia en el conjunto  del  acervo</w:t>
        <w:br/>
        <w:t>probatorio, aplicando las reglas de la sana crítica y tomando en cuenta  las</w:t>
        <w:br/>
        <w:t>objeciones presentadas por los representantes.</w:t>
        <w:br/>
        <w:br/>
        <w:t>118.  La Corte considera útiles para la resolución  del  presente  caso  los</w:t>
        <w:br/>
        <w:t>documentos presentados por los representantes el 23 de  septiembre  de  2005</w:t>
        <w:br/>
        <w:t>(supra párr.  43),  los  cuales  consisten  en  poderes  de  representación,</w:t>
        <w:br/>
        <w:t>cédulas, un registro civil de  matrimonio,  así  como  algunas  partidas  de</w:t>
        <w:br/>
        <w:t>bautismo y registros civiles de nacimiento de algunas presuntas  víctimas  y</w:t>
        <w:br/>
        <w:t>sus familiares, máxime cuando no fueron controvertidos ni objetados,  ni  su</w:t>
        <w:br/>
        <w:t>autenticidad o veracidad fueron puestas en duda, por lo cual  este  Tribunal</w:t>
        <w:br/>
        <w:t>los agrega al acervo probatorio, de conformidad con el   artículo  45.1  del</w:t>
        <w:br/>
        <w:t>Reglamento.</w:t>
        <w:br/>
        <w:br/>
        <w:t>119.  La Corte considera útiles para la resolución  del  presente  caso  los</w:t>
        <w:br/>
        <w:t>documentos presentados  por  el  Estado  y  los  representantes  durante  la</w:t>
        <w:br/>
        <w:t>audiencia pública celebrada los días 22 y 23 de septiembre  de  2005  (supra</w:t>
        <w:br/>
        <w:t>párr. 43), así como aquellos  presentados  como  anexos  a  sus  respectivos</w:t>
        <w:br/>
        <w:t>escritos de alegatos finales (supra  párrs.  47  y  49),  máxime  cuando  no</w:t>
        <w:br/>
        <w:t>fueron controvertidos ni objetados, ni su autenticidad  o  veracidad  fueron</w:t>
        <w:br/>
        <w:t>puestas en duda, por lo cual este Tribunal los agrega al acervo  probatorio,</w:t>
        <w:br/>
        <w:t>de conformidad con el  artículo 45.1 del Reglamento.</w:t>
        <w:br/>
        <w:br/>
        <w:t>120.  En cuanto a los documentos remitidos como prueba para  mejor  resolver</w:t>
        <w:br/>
        <w:t>por el Estado y los representantes los días 24  y  25  de  octubre  de  2005</w:t>
        <w:br/>
        <w:t>(supra párrs. 47 y 49), respectivamente, así  como  aquellos  remitidos  los</w:t>
        <w:br/>
        <w:t>días 28 y 29 de junio de 2006 por el  Estado  y  los  representantes  (supra</w:t>
        <w:br/>
        <w:t>párr. 52), respectivamente, la Corte los incorpora al acervo probatorio  del</w:t>
        <w:br/>
        <w:t>presente caso en  aplicación  de  lo  dispuesto  en  el  artículo  45.2  del</w:t>
        <w:br/>
        <w:t>Reglamento.</w:t>
        <w:br/>
        <w:br/>
        <w:t>121.  En materia tanto de fondo como de reparaciones, las  declaraciones  de</w:t>
        <w:br/>
        <w:t>las presuntas víctimas, así como las de sus familiares,  son  útiles  en  la</w:t>
        <w:br/>
        <w:t>medida en que pueden proporcionar  mayor  información  sobre  las   alegadas</w:t>
        <w:br/>
        <w:t>violaciones que pudieren haber sido perpetradas y  sus  consecuencias.   Sin</w:t>
        <w:br/>
        <w:t>embargo, dichas declaraciones  no  pueden  ser  valoradas  aisladamente  por</w:t>
        <w:br/>
        <w:t>tratarse de presuntas víctimas  o  sus  familiares  que  tienen  un  interés</w:t>
        <w:br/>
        <w:t>directo en este caso, sino deben serlo dentro del conjunto  de  las  pruebas</w:t>
        <w:br/>
        <w:t>del proceso[33].</w:t>
        <w:br/>
        <w:br/>
        <w:t>122.  En cuanto a los documentos de prensa presentados por las partes,  este</w:t>
        <w:br/>
        <w:t>Tribunal ha considerado que podrían ser  apreciados  cuando  recojan  hechos</w:t>
        <w:br/>
        <w:t>públicos y notorios o declaraciones de funcionarios  del  Estado,  o  cuando</w:t>
        <w:br/>
        <w:t>corroboren aspectos relacionados con el caso[34].</w:t>
        <w:br/>
        <w:br/>
        <w:t>123.  En aplicación de lo dispuesto en el artículo 45.1 del  Reglamento,  la</w:t>
        <w:br/>
        <w:t>Corte incorpora al  acervo  probatorio  del  presente  caso  las  siguientes</w:t>
        <w:br/>
        <w:t>pruebas evacuadas en el Caso de la “Masacre de Mapiripan”, ya  que  resultan</w:t>
        <w:br/>
        <w:t>útiles para la resolución del mismo: Ley 48 de  16  de  diciembre  de  1968;</w:t>
        <w:br/>
        <w:t>Decreto legislativo 3398 de 24 de diciembre de 1965, así como  los  Decretos</w:t>
        <w:br/>
        <w:t>0180 de 27 de enero de 1988, 0815 de 19 de abril  de  1989,  1194  de  8  de</w:t>
        <w:br/>
        <w:t>junio de 1989, 3030/90 de 14 de diciembre de 1990, 2266 de 4 de  octubre  de</w:t>
        <w:br/>
        <w:t>1991, 324 de 25 de febrero de 2000, 128 de 22 de enero de 2003, 3360  de  24</w:t>
        <w:br/>
        <w:t>de noviembre de 2003, 2767 de 31 de agosto de 2004, 250 de 7 de  febrero  de</w:t>
        <w:br/>
        <w:t>2005 y las leyes 387 de 18 julio  de  1997,  200  de  1995,  548  de  23  de</w:t>
        <w:br/>
        <w:t>diciembre de 1999, 782 de 23 de diciembre de 2002 y 418 de 26  de  diciembre</w:t>
        <w:br/>
        <w:t>de 1997; las sentencias de 17 de marzo  de  1998  emitida  por  el  Tribunal</w:t>
        <w:br/>
        <w:t>Superior Militar, 25 de mayo  de  1989  emitida  por  la  Corte  Suprema  de</w:t>
        <w:br/>
        <w:t>Justicia, 14 de abril de 1998 emitida por el Tribunal Nacional, 28  de  mayo</w:t>
        <w:br/>
        <w:t>de 1997 emitida por el Juzgado Regional de Cúcuta, C-225/95 de  18  de  mayo</w:t>
        <w:br/>
        <w:t>de 1995 emitida por la Corte Constitucional, todas de Colombia;  el  informe</w:t>
        <w:br/>
        <w:t>del Relator Especial de las Naciones Unidas  sobre  ejecuciones  sumarias  o</w:t>
        <w:br/>
        <w:t>arbitrarias sobre la visita a Colombia realizada del 11 al 20 de octubre  de</w:t>
        <w:br/>
        <w:t>1989 (E/CN.4/1990/22/Add.1 de 24 de enero  de  1990);  Informes  del  Alto/a</w:t>
        <w:br/>
        <w:t>Comisionado/a de las Naciones Unidas para  los  Derechos  Humanos  sobre  la</w:t>
        <w:br/>
        <w:t>situación de los derechos humanos en Colombia de  1998,  2000,  2001,  2002,</w:t>
        <w:br/>
        <w:t>2003, 2004 y 2005; Consejo Económico y Social, Informe del Relator  Especial</w:t>
        <w:br/>
        <w:t>sobre una vivienda adecuada como elemento integrante del derecho a un  nivel</w:t>
        <w:br/>
        <w:t>de vida adecuado y sobre el derecho de no discriminación  a  este  respecto,</w:t>
        <w:br/>
        <w:t>E/CN.4/2005/48, 3 de marzo de 2005; Observaciones finales del Comité de  los</w:t>
        <w:br/>
        <w:t>Derechos del Niño: Colombia, 16/10/2000, CRC/C/15/Add.137,  25º  período  de</w:t>
        <w:br/>
        <w:t>sesiones, Comité  de  los  Derechos  del  Niño;  Informe  del  Representante</w:t>
        <w:br/>
        <w:t>Especial del Secretario General encargado de la cuestión  de  los  niños  en</w:t>
        <w:br/>
        <w:t>los conflictos armados. Doc. de  la  Asamblea  General  de  Naciones  Unidas</w:t>
        <w:br/>
        <w:t>A/54/430 de 1 de octubre de 1999; Informe de la Comisión  Interamericana  de</w:t>
        <w:br/>
        <w:t>Derechos Humanos sobre el Proceso de Desmovilización en Colombia emitido  el</w:t>
        <w:br/>
        <w:t>13 de diciembre de 2004,  OEA/Ser.L/V/II.120  Doc.  60;  Registro  Único  de</w:t>
        <w:br/>
        <w:t>Población  Desplazada,  número   acumulado   de   personas   incluidas   por</w:t>
        <w:br/>
        <w:t>desplazamiento hasta el 31 de agosto de 2005; Alto Comisionado para  la  Paz</w:t>
        <w:br/>
        <w:t>en Colombia, Diálogos y Negociación, Grupos de  Autodefensa;  Informe  Anual</w:t>
        <w:br/>
        <w:t>de Derechos Humanos y  Derecho  Internacional  Humanitario  2002  y  Avances</w:t>
        <w:br/>
        <w:t>Período Presidencial 2003, emitido por el Ministerio de Defensa Nacional  de</w:t>
        <w:br/>
        <w:t>la República de Colombia; y peritaje del señor Federico Andreu rendido  ante</w:t>
        <w:br/>
        <w:t>la Corte Interamericana durante la audiencia pública celebrada el día  7  de</w:t>
        <w:br/>
        <w:t>marzo de 2005 en el caso de la “Masacre de Mapiripán”.</w:t>
        <w:br/>
        <w:br/>
        <w:t>Valoración de la Prueba Testimonial y Pericial</w:t>
        <w:br/>
        <w:br/>
        <w:t>124.   En  relación  con  las  declaraciones  rendidas  por   los   testigos</w:t>
        <w:br/>
        <w:t>propuestos por la Comisión, por los representantes y por el  Estado,  y  los</w:t>
        <w:br/>
        <w:t>peritos propuestos por la Comisión y por el Estado  (supra  párr.  111),  la</w:t>
        <w:br/>
        <w:t>Corte las admite en cuanto concuerden  con  el  objeto  establecido  por  el</w:t>
        <w:br/>
        <w:t>Presidente mediante la Resolución de 28 de julio de 2005 (supra  párr.  23),</w:t>
        <w:br/>
        <w:t>y les  reconoce  valor  probatorio,  tomando  en  cuenta  las  observaciones</w:t>
        <w:br/>
        <w:t>realizadas por las partes.  Este Tribunal estima que el  testimonio  de  las</w:t>
        <w:br/>
        <w:t>personas que fueron convocadas a la audiencia pública en  el  presente  caso</w:t>
        <w:br/>
        <w:t>(supra párrs. 42) no pueden  ser  valorados  aisladamente  por  tratarse  de</w:t>
        <w:br/>
        <w:t>presuntas víctimas y tener un interés  directo  en  este  caso,  sino  deben</w:t>
        <w:br/>
        <w:t>serlo dentro del conjunto de las pruebas del proceso.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125.  De conformidad con el reconocimiento de responsabilidad efectuado  por</w:t>
        <w:br/>
        <w:t>el Estado (supra párrs. 19, 59,  63  y  64)  y  de  acuerdo  con  el  acervo</w:t>
        <w:br/>
        <w:t>probatorio del presente caso, la Corte  considera  probados  los  siguientes</w:t>
        <w:br/>
        <w:t>hechos[35]:</w:t>
        <w:br/>
        <w:br/>
        <w:t xml:space="preserve">      El conflicto armado interno en Colombia y los grupos armados ilegales</w:t>
        <w:br/>
        <w:t xml:space="preserve">      denominados “paramilitares”</w:t>
        <w:br/>
        <w:br/>
        <w:t>125.1       A partir de la década de los sesenta del siglo XX  surgieron  en</w:t>
        <w:br/>
        <w:t>Colombia diversos grupos guerrilleros, por cuya actividad el Estado  declaró</w:t>
        <w:br/>
        <w:t>“turbado el orden público y en estado  de  sitio  el  territorio  nacional”.</w:t>
        <w:br/>
        <w:t>Ante esta situación, el 24 de diciembre de 1965 el Estado emitió el  Decreto</w:t>
        <w:br/>
        <w:t>Legislativo 3398, el cual tenía una vigencia transitoria, pero fue  adoptado</w:t>
        <w:br/>
        <w:t>como legislación permanente mediante la Ley 48 de 1968. Los artículos  25  y</w:t>
        <w:br/>
        <w:t>33  del  referido  Decreto  Legislativo  dieron  fundamento  legal  para  la</w:t>
        <w:br/>
        <w:t>creación de “grupos de autodefensa”[36].  Tales  grupos  tenían  como  fines</w:t>
        <w:br/>
        <w:t>principales el auxiliar a la Fuerza Pública en  operaciones  antisubversivas</w:t>
        <w:br/>
        <w:t>y defenderse de los grupos guerrilleros.  El Estado  les  otorgaba  permisos</w:t>
        <w:br/>
        <w:t>para el porte y tenencia de armas, así como apoyo logístico[37].</w:t>
        <w:br/>
        <w:br/>
        <w:t>125.2       En la década de los  ochenta  del  siglo  XX,  principalmente  a</w:t>
        <w:br/>
        <w:t>partir  de  1985,  se  hizo  notorio  que  muchos  “grupos  de  autodefensa”</w:t>
        <w:br/>
        <w:t>cambiaron sus  objetivos  y  se  convirtieron  en  grupos  de  delincuencia,</w:t>
        <w:br/>
        <w:t>comúnmente llamados “paramilitares”.  Estos  se  desarrollaron  primeramente</w:t>
        <w:br/>
        <w:t>en la región del Magdalena Medio y se fueron extendiendo  a  otras  regiones</w:t>
        <w:br/>
        <w:t>del país[38].</w:t>
        <w:br/>
        <w:br/>
        <w:t>125.3             El  27  de  enero  de  1988  Colombia  emitió  el  Decreto</w:t>
        <w:br/>
        <w:t>Legislativo 0180.  En este decreto se tipificó, inter alia, la  pertenencia,</w:t>
        <w:br/>
        <w:t>promoción y dirección de grupos de  sicarios,  así  como  la  fabricación  o</w:t>
        <w:br/>
        <w:t>tráfico de armas y municiones de uso privativo de las  Fuerzas  Militares  o</w:t>
        <w:br/>
        <w:t>de  Policía  Nacional.   Posteriormente,  este   decreto   fue   elevado   a</w:t>
        <w:br/>
        <w:t>legislación permanente mediante el Decreto 2266 de 1991[39].</w:t>
        <w:br/>
        <w:br/>
        <w:t>125.4       El 19 de abril de 1989 se emitió el Decreto  0815,  mediante  el</w:t>
        <w:br/>
        <w:t>cual se suspendió la vigencia del parágrafo 3 del artículo  33  del  Decreto</w:t>
        <w:br/>
        <w:t>legislativo 3398 de  1965,  el  cual  facultaba  al  Ministerio  de  Defensa</w:t>
        <w:br/>
        <w:t>Nacional para autorizar  a  los  particulares  el  porte  de  armas  de  uso</w:t>
        <w:br/>
        <w:t>privativo de  las  Fuerzas  Armadas  (supra  párr.  125.1).  Posteriormente,</w:t>
        <w:br/>
        <w:t>mediante sentencia de 25 de mayo de  1989,  la  Corte  Suprema  de  Justicia</w:t>
        <w:br/>
        <w:t>declaró “inexequible” el referido parágrafo 3 del artículo  33  del  Decreto</w:t>
        <w:br/>
        <w:t>legislativo 3398 de 1965[40].</w:t>
        <w:br/>
        <w:br/>
        <w:t>125.5       El 8 de junio de 1989 el Estado emitió el Decreto 1194  “por  el</w:t>
        <w:br/>
        <w:t>cual se adiciona el Decreto legislativo 0180 de 1988, para sancionar  nuevas</w:t>
        <w:br/>
        <w:t>modalidades  delictivas,  por  requerirlo  el  restablecimiento  del   orden</w:t>
        <w:br/>
        <w:t>público”.  En  este  decreto  se  tipificó,  inter  alia,  la   pertenencia,</w:t>
        <w:br/>
        <w:t>instrucción,   entrenamiento,   promoción,    financiación,    organización,</w:t>
        <w:br/>
        <w:t>dirección, fomento  y  ejecución  de  “grupos  armados  de  los  denominados</w:t>
        <w:br/>
        <w:t>comúnmente escuadrones de la  muerte,  bandas  de  sicarios  o  de  justicia</w:t>
        <w:br/>
        <w:t>privada, equivocadamente denominados paramilitares”. Asimismo,  se  estipuló</w:t>
        <w:br/>
        <w:t>como agravante de las anteriores conductas  el  que  fueran  “cometidas  por</w:t>
        <w:br/>
        <w:t>miembros activos o retirados de la Fuerzas  Militares  o  de  Policía  o  de</w:t>
        <w:br/>
        <w:t>organismos de seguridad  del  Estado”.   Posteriormente,  este  decreto  fue</w:t>
        <w:br/>
        <w:t>elevado a legislación permanente mediante el Decreto 2266 emitido  el  4  de</w:t>
        <w:br/>
        <w:t>octubre de 1991[41].</w:t>
        <w:br/>
        <w:br/>
        <w:t>125.6       El 14 de diciembre de 1990 el Estado emitió el Decreto  3030/90,</w:t>
        <w:br/>
        <w:t>“por medio del cual se establecen los requisitos para  la  rebaja  de  penas</w:t>
        <w:br/>
        <w:t>por confesión de delitos cometidos hasta el 5 de septiembre de 1990”[42].</w:t>
        <w:br/>
        <w:br/>
        <w:t>125.7       El 17 de diciembre de 1993 se emitió el Decreto 2535,  que  tuvo</w:t>
        <w:br/>
        <w:t>por objeto “fijar normas y requisitos para la tenencia y el porte de  armas,</w:t>
        <w:br/>
        <w:t>municiones explosivos y sus accesorios  [y]  señalar  el  régimen  de  [los]</w:t>
        <w:br/>
        <w:t>servicios de vigilancia y seguridad privada”. En su artículo 9  dispone  que</w:t>
        <w:br/>
        <w:t>“las armas de uso restringido son armas de guerra o de uso privativo  de  la</w:t>
        <w:br/>
        <w:t>fuerza pública, que de manera excepcional, pueden ser autorizadas  con  base</w:t>
        <w:br/>
        <w:t>en la  facultad  discrecional  de  la  autoridad  competente,  para  defensa</w:t>
        <w:br/>
        <w:t>personal especial”[43].</w:t>
        <w:br/>
        <w:br/>
        <w:t>125.8       El 11 de febrero de 1994 el Estado emitió el  Decreto  356,  que</w:t>
        <w:br/>
        <w:t>tiene  por  objeto  “establecer  el  estatuto   para   la   prestación   por</w:t>
        <w:br/>
        <w:t>particulares  de  servicios  de  vigilancia  y  seguridad  privada”.  En  su</w:t>
        <w:br/>
        <w:t>artículo 39 se consideró  como  “especial”  un   servicio  de  vigilancia  y</w:t>
        <w:br/>
        <w:t>seguridad privada cuando debe emplear “armas de fuego de uso restringido”  y</w:t>
        <w:br/>
        <w:t>actuar “con técnicas y procedimientos distintos  de  los  establecidos  para</w:t>
        <w:br/>
        <w:t>otros servicios de vigilancia y seguridad privada”.  Asimismo, se  establece</w:t>
        <w:br/>
        <w:t>que el control de la Superintendencia de Vigilancia y Seguridad Privada  era</w:t>
        <w:br/>
        <w:t>facultativo y con cargo a la entidad vigilada[44].</w:t>
        <w:br/>
        <w:br/>
        <w:t>125.9       El 27 de abril de  1995  la  Superintendencia  de  Vigilancia  y</w:t>
        <w:br/>
        <w:t>Seguridad Privada emitió  la  Resolución  368.  en  la  que  fijó  criterios</w:t>
        <w:br/>
        <w:t>técnicos y jurídicos y señaló  procedimientos  para  el  desarrollo  de  los</w:t>
        <w:br/>
        <w:t>servicios  especiales  de  vigilancia  y  seguridad  privada  que  trata  el</w:t>
        <w:br/>
        <w:t>artículo  39  del  Decreto  356,  denominando  a   dichas   entidades   como</w:t>
        <w:br/>
        <w:t>“Convivir”[45].</w:t>
        <w:br/>
        <w:br/>
        <w:t>125.10           El 6 de julio de  1995  la  Corte  Constitucional  declaró,</w:t>
        <w:br/>
        <w:t>inter alia, “inexequible” la expresión “de guerra o de uso privativo  de  la</w:t>
        <w:br/>
        <w:t>fuerza pública”, contenida en el artículo 9 del Decreto 2535 de 1993  (supra</w:t>
        <w:br/>
        <w:t>párr. 125.7), al considerar que tal disposición vulneraba  el  artículo  216</w:t>
        <w:br/>
        <w:t>de la Constitución porque “en ningún  caso  los  particulares  pueden  estar</w:t>
        <w:br/>
        <w:t>colocados en la posibilidad de sustituir a la fuerza pública”[46].</w:t>
        <w:br/>
        <w:br/>
        <w:t>125.11           El 22 de octubre de 1997 la Superintendencia de  Vigilancia</w:t>
        <w:br/>
        <w:t>y Seguridad Privada emitió la Resolución 7164, mediante la  cual  revocó  su</w:t>
        <w:br/>
        <w:t>anterior Resolución No. 368  (supra  párr.  125.9),  al  considerar  que  la</w:t>
        <w:br/>
        <w:t>Superintendencia de Vigilancia y Seguridad Privada no tenía facultades  para</w:t>
        <w:br/>
        <w:t>asignar nombre a los  servicios  de  vigilancia  y  seguridad  privada,  sin</w:t>
        <w:br/>
        <w:t>embargo,  mantuvo  el  propósito  de  control   y   vigilancia   de   dichas</w:t>
        <w:br/>
        <w:t>entidades[47].</w:t>
        <w:br/>
        <w:br/>
        <w:t>125.12           El 7 de noviembre  de  1997  la  Corte  Constitucional,  al</w:t>
        <w:br/>
        <w:t>estudiar las normas del Decreto 356 de 1994, encontró que, en primer  lugar,</w:t>
        <w:br/>
        <w:t>si bien el Estado puede  delegar  en  los  particulares  la  prestación  del</w:t>
        <w:br/>
        <w:t>servicio  público  de  seguridad  y  vigilancia,  los  llamados   “servicios</w:t>
        <w:br/>
        <w:t>espaciales de vigilancia y seguridad privada” no podían usar  armas  de  uso</w:t>
        <w:br/>
        <w:t>restringido; en segundo lugar, que el  control  de  la  Superintendencia  de</w:t>
        <w:br/>
        <w:t>Vigilancia y Seguridad Privada debería ser obligatorio y no facultativo;  y,</w:t>
        <w:br/>
        <w:t>en  tercer  lugar,  que  no  podían  acudir  a  “técnicas  y  procedimientos</w:t>
        <w:br/>
        <w:t>distintos a los establecidos para otros servicios de vigilancia y  seguridad</w:t>
        <w:br/>
        <w:t>privada”[48].</w:t>
        <w:br/>
        <w:br/>
        <w:t>125.13           El 16 de diciembre de 1997 el Estado emitió el Decreto  No.</w:t>
        <w:br/>
        <w:t>2974, el cual tuvo como finalidad establecer parámetros y criterios para  el</w:t>
        <w:br/>
        <w:t>desarrollo de las actividades a cargo de  los  Servicios  Especiales  y  los</w:t>
        <w:br/>
        <w:t>Servicios Comunitarios de Vigilancia y Seguridad Privada, que permitieran  a</w:t>
        <w:br/>
        <w:t>la Superintendencia de Vigilancia y Seguridad Privada  ejercer  sobre  ellas</w:t>
        <w:br/>
        <w:t>un control eficaz y oportuno[49].</w:t>
        <w:br/>
        <w:br/>
        <w:t>125.14           El 26 de diciembre de 1997 el Estado promulgó la  Ley  418,</w:t>
        <w:br/>
        <w:t>“por la  cual  se  consagran  unos  instrumentos  para  la  búsqueda  de  la</w:t>
        <w:br/>
        <w:t>convivencia, la eficacia de la justicia y se  dictan  otras  disposiciones”.</w:t>
        <w:br/>
        <w:t>Esta ley fue prorrogada mediante la Ley 548 de 23 de diciembre de 1999 y  la</w:t>
        <w:br/>
        <w:t>Ley 782 de 23 de diciembre de 2002[50].</w:t>
        <w:br/>
        <w:br/>
        <w:t>125.15           El 25 de febrero de 2000 se emitió el Decreto 324, “por  el</w:t>
        <w:br/>
        <w:t>cual se crea el Centro de coordinación de la  lucha  contra  los  grupos  de</w:t>
        <w:br/>
        <w:t>autodefensas ilegales y demás grupos al margen de la ley”[51].</w:t>
        <w:br/>
        <w:br/>
        <w:t>125.16           En agosto de  2002  algunos  líderes  de  las  Autodefensas</w:t>
        <w:br/>
        <w:t>Unidas de Colombia (en adelante “las AUC”) hicieron pública su intención  de</w:t>
        <w:br/>
        <w:t>negociar términos para la desmovilización de sus fuerzas[52].</w:t>
        <w:br/>
        <w:br/>
        <w:t>125.17           El 22 de enero de 2003 el Estado  emitió  el  Decreto  128,</w:t>
        <w:br/>
        <w:t>según el cual se establecen  “beneficios  jurídicos  socioeconómicos”  y  de</w:t>
        <w:br/>
        <w:t>otra índole para las “organizaciones armadas al margen de  la  ley”  que  se</w:t>
        <w:br/>
        <w:t>hayan sometido al programa de desmovilización. El artículo  13  del  Decreto</w:t>
        <w:br/>
        <w:t>contempla que</w:t>
        <w:br/>
        <w:br/>
        <w:t xml:space="preserve">      […] tendrán derecho al indulto, suspensión condicional de la ejecución</w:t>
        <w:br/>
        <w:t xml:space="preserve">      de la  pena,  la  cesación  de  procedimiento,  la  preclusión  de  la</w:t>
        <w:br/>
        <w:t xml:space="preserve">      instrucción o la resolución inhibitoria, según el estado del  proceso,</w:t>
        <w:br/>
        <w:t xml:space="preserve">      los  desmovilizados  que  hubieren  formado  parte  de  organizaciones</w:t>
        <w:br/>
        <w:t xml:space="preserve">      armadas al margen  de  la  ley,  respecto  de  los  cuales  el  Comité</w:t>
        <w:br/>
        <w:t xml:space="preserve">      Operativo para la Dejación de las Armas –CODA– expida la certificación</w:t>
        <w:br/>
        <w:t xml:space="preserve">      […]</w:t>
        <w:br/>
        <w:br/>
        <w:br/>
        <w:t>125.18           A su vez, el artículo 21 de dicho Decreto excluye del  goce</w:t>
        <w:br/>
        <w:t>de estos beneficios</w:t>
        <w:br/>
        <w:br/>
        <w:t xml:space="preserve">      [a] quienes estén  siendo  procesados  o  hayan  sido  condenados  por</w:t>
        <w:br/>
        <w:t xml:space="preserve">      delitos que de acuerdo a la Constitución Política, a la ley  o  a  los</w:t>
        <w:br/>
        <w:t xml:space="preserve">      tratados internacionales  suscritos  y  ratificados  por  Colombia  no</w:t>
        <w:br/>
        <w:t xml:space="preserve">      puedan recibir esta clase de beneficios[53].</w:t>
        <w:br/>
        <w:br/>
        <w:t>125.19      El 24 de noviembre de 2003 el  Estado  emitió  el  Decreto  3360</w:t>
        <w:br/>
        <w:t>“por el cual se reglamenta la Ley 418 de 1997, prorrogada y  modificada  por</w:t>
        <w:br/>
        <w:t>la Ley 548 de 1999 y por la Ley 782 de 2002”. De  acuerdo  con  uno  de  sus</w:t>
        <w:br/>
        <w:t>considerandos, “es necesario fijar condiciones de procedimiento  específicas</w:t>
        <w:br/>
        <w:t>para facilitar la desmovilización colectiva de  grupos  armados  organizados</w:t>
        <w:br/>
        <w:t>al margen de la ley, en el marco de acuerdos con el Gobierno Nacional”[54].</w:t>
        <w:br/>
        <w:br/>
        <w:t>125.20           El 31 de agosto de 2004 el Estado emitió el  Decreto  2767.</w:t>
        <w:br/>
        <w:t>De acuerdo con uno de sus considerandos, era “necesario  fijar  condiciones,</w:t>
        <w:br/>
        <w:t>que de manera precisa y clara,  permitan  establecer  competencias,  asignar</w:t>
        <w:br/>
        <w:t>funciones y desarrollar los procedimientos para acceder  a los beneficios  a</w:t>
        <w:br/>
        <w:t>que se refiere la Ley [418 de 1997, prorrogada y modificada  por la Ley  548</w:t>
        <w:br/>
        <w:t>de  1999  y  la  Ley  782  de  2002],  una  vez  iniciado  el   proceso   de</w:t>
        <w:br/>
        <w:t>desmovilización voluntaria”[55].</w:t>
        <w:br/>
        <w:br/>
        <w:t>125.21           El 15 de julio de 2003 se firmó el Acuerdo de Santa  Fe  de</w:t>
        <w:br/>
        <w:t>Ralito, en el cual el Gobierno y  las  AUC  convinieron  la  desmovilización</w:t>
        <w:br/>
        <w:t>total de las fuerzas de éstas antes del 31 de diciembre  de  2005.  En  2003</w:t>
        <w:br/>
        <w:t>las AUC contaban con aproximadamente 13500 miembros. El 25 de  noviembre  de</w:t>
        <w:br/>
        <w:t>2003 entregaron armas 874 integrantes del “Bloque Cacique Nutibara”  de  las</w:t>
        <w:br/>
        <w:t>AUC. A inicios de diciembre de 2004 fueron desmovilizados alrededor de  1400</w:t>
        <w:br/>
        <w:t>miembros del Frente “Catatumbo” e, incluyendo  este  número,  a  finales  de</w:t>
        <w:br/>
        <w:t>2004 se había realizado la desmovilización de alrededor de 3000 miembros  de</w:t>
        <w:br/>
        <w:t>la AUC. En el año 2005 aproximadamente 7000 integrantes  de  varios  bloques</w:t>
        <w:br/>
        <w:t>de las AUC dejaron sus armas[56].</w:t>
        <w:br/>
        <w:br/>
        <w:t>125.22           El 22 de junio de 2005  el  Congreso  de  la  República  de</w:t>
        <w:br/>
        <w:t>Colombia aprobó la Ley No. 975, llamada “Ley de Justicia  y  Paz”,  “por  la</w:t>
        <w:br/>
        <w:t>cual se dictan disposiciones para la reincorporación de miembros  de  grupos</w:t>
        <w:br/>
        <w:t>armados organizados al margen de la ley, que contribuyan de manera  efectiva</w:t>
        <w:br/>
        <w:t>a la consecución de la paz nacional y se  dictan  otras  disposiciones  para</w:t>
        <w:br/>
        <w:t>acuerdos humanitarios”, la cual fue sancionada y publicada el  25  de  julio</w:t>
        <w:br/>
        <w:t>de 2005[57].</w:t>
        <w:br/>
        <w:br/>
        <w:t>125.23            Se  ha  estimado  que   los   grupos   paramilitares   son</w:t>
        <w:br/>
        <w:t>responsables de numerosos asesinatos  cometidos  con  motivos  políticos  en</w:t>
        <w:br/>
        <w:t>Colombia y de una gran parte de  las  violaciones  de  derechos  humanos  en</w:t>
        <w:br/>
        <w:t>general[58].</w:t>
        <w:br/>
        <w:br/>
        <w:t>125.24           A  partir  de  1997,  se  ha  documentado  en  Colombia  la</w:t>
        <w:br/>
        <w:t>existencia de numerosos casos de vinculación entre paramilitares y  miembros</w:t>
        <w:br/>
        <w:t>de la fuerza pública en relación con hechos similares a los ocurridos en  el</w:t>
        <w:br/>
        <w:t>presente caso, así como actitudes omisivas de parte  de  integrantes  de  la</w:t>
        <w:br/>
        <w:t>fuerza pública respecto de las acciones de dichos grupos. Según  el  informe</w:t>
        <w:br/>
        <w:t>de 1997 de la Oficina de la Alta Comisionada de  Naciones  Unidas  para  los</w:t>
        <w:br/>
        <w:t>Derechos Humanos, los actos cometidos  por  paramilitares  constituyeron  el</w:t>
        <w:br/>
        <w:t>mayor número de violaciones de derechos humanos reportados  en  el  país  en</w:t>
        <w:br/>
        <w:t>1997, incluidas masacres, desapariciones forzadas y toma de rehenes[59].</w:t>
        <w:br/>
        <w:br/>
        <w:br/>
        <w:t>125.25           La impunidad de  las  violaciones  de  derechos  humanos  y</w:t>
        <w:br/>
        <w:t>derecho internacional humanitario  cometidas  por  los  paramilitares  y  la</w:t>
        <w:br/>
        <w:t>connivencia entre estos grupos y  la  fuerza  pública,  es  consecuencia  de</w:t>
        <w:br/>
        <w:t>procesos penales y de investigaciones disciplinarias abiertos en  su  contra</w:t>
        <w:br/>
        <w:t>que no desembocan en el  establecimiento  de  responsabilidades  ni  en  las</w:t>
        <w:br/>
        <w:t>correspondientes sanciones[60].</w:t>
        <w:br/>
        <w:br/>
        <w:t xml:space="preserve">      Respecto del contexto histórico de Ituango</w:t>
        <w:br/>
        <w:br/>
        <w:t>125.26           El Municipio de Ituango se  ubica  en  la  zona  norte  del</w:t>
        <w:br/>
        <w:t>departamento de Antioquia en Colombia y se divide en los  corregimientos  de</w:t>
        <w:br/>
        <w:t>La Granja, Santa Rita y El Aro.</w:t>
        <w:br/>
        <w:br/>
        <w:t>125.27            La  economía  en  Ituango  es  eminentemente  agrícola   y</w:t>
        <w:br/>
        <w:t>ganadera.</w:t>
        <w:br/>
        <w:br/>
        <w:t>125.28           La creciente incursión de grupos armados disidentes  en  la</w:t>
        <w:br/>
        <w:t>zona trajo aparejado un  incremento  de  la  actividad  de  las  estructuras</w:t>
        <w:br/>
        <w:t>denominadas paramilitares o de “autodefensa”, así como una  mayor  presencia</w:t>
        <w:br/>
        <w:t>del Ejército Nacional.</w:t>
        <w:br/>
        <w:br/>
        <w:t>125.29            Hacia  el  año  1996  se  encontraban  acantonadas  en  el</w:t>
        <w:br/>
        <w:t>Municipio de Ituango las tropas del Batallón de Infantería  N°  10  “Coronel</w:t>
        <w:br/>
        <w:t>Atanasio Girardot”.  Además del Ejército Nacional, el Municipio  de  Ituango</w:t>
        <w:br/>
        <w:t>contaba con una Estación de Policía con aproximadamente veinte agentes.</w:t>
        <w:br/>
        <w:br/>
        <w:t xml:space="preserve">      A.    Hechos relativos a La Granja</w:t>
        <w:br/>
        <w:br/>
        <w:t xml:space="preserve">    i)      La incursión armada</w:t>
        <w:br/>
        <w:br/>
        <w:t>125.30           En los primeros meses del año 1996, distintos  sectores  de</w:t>
        <w:br/>
        <w:t>la  sociedad,  encabezados  por  el  doctor  Jesús  María  Valle  Jaramillo,</w:t>
        <w:br/>
        <w:t>expresaron a las autoridades del departamento su temor  y  preocupación  por</w:t>
        <w:br/>
        <w:t>la posibilidad de una incursión armada paramilitar en la zona de Ituango.</w:t>
        <w:br/>
        <w:br/>
        <w:t>125.31           Al respecto,  el  Teniente  del  Ejército  Jorge  Alexander</w:t>
        <w:br/>
        <w:t>Sánchez Castro indicó, en el marco de una reunión del Consejo  Municipal  de</w:t>
        <w:br/>
        <w:t>Seguridad efectuado el 14 de mayo de 1996, que el Ejército tenía retenes  en</w:t>
        <w:br/>
        <w:t>lugares  estratégicos  del  área  para  vigilar  todas  las  entradas  a  la</w:t>
        <w:br/>
        <w:t>población.</w:t>
        <w:br/>
        <w:br/>
        <w:t>125.32           El 10 de junio de 1996 el  Comando  del  Batallón  Girardot</w:t>
        <w:br/>
        <w:t>dio la orden de retirar la mayoría de las unidades que operaban en  la  zona</w:t>
        <w:br/>
        <w:t>y desplazarlas al sector de Santa Lucía  y  otras  veredas  alejadas  de  La</w:t>
        <w:br/>
        <w:t>Granja.</w:t>
        <w:br/>
        <w:br/>
        <w:t>125.33           El 11 de junio de 1996  cerca  de  22  hombres  fuertemente</w:t>
        <w:br/>
        <w:t>armados con fusiles y  revólveres,  miembros  de  grupos  paramilitares,  se</w:t>
        <w:br/>
        <w:t>dirigieron en dos camionetas al municipio  de  Ituango,  específicamente  al</w:t>
        <w:br/>
        <w:t>corregimiento de La Granja. El grupo paramilitar inició su recorrido en  las</w:t>
        <w:br/>
        <w:t>cercanías del municipio de San Andrés de Cuerquia,  donde  pasaron  a  corta</w:t>
        <w:br/>
        <w:t>distancia de un comando de policía,  sin  que  la  fuerza  pública  adoptara</w:t>
        <w:br/>
        <w:t>medida alguna para detenerlos.</w:t>
        <w:br/>
        <w:br/>
        <w:t>125.34           Asimismo, los  paramilitares  fueron  divisados  en  varias</w:t>
        <w:br/>
        <w:t>ocasiones durante el transcurso del recorrido, primero por ocupantes  de  un</w:t>
        <w:br/>
        <w:t>bus de trasporte público que recorría la  ruta  entre  Medellín  e  Ituango,</w:t>
        <w:br/>
        <w:t>luego por los ocupantes del bus que realizaba dicha ruta en sentido  inverso</w:t>
        <w:br/>
        <w:t>y por habitantes del sitio conocido como El Filo  de  la  Aurora,  donde  el</w:t>
        <w:br/>
        <w:t>grupo permaneció por espacio de dos horas aproximadamente.</w:t>
        <w:br/>
        <w:br/>
        <w:t>125.35           Al arribar al corregimiento de La Granja los  paramilitares</w:t>
        <w:br/>
        <w:t>ordenaron el cierre de  los  establecimientos  públicos.  Una  vez  que  los</w:t>
        <w:br/>
        <w:t>paramilitares tomaron control del corregimiento  se  inició  una  cadena  de</w:t>
        <w:br/>
        <w:t>ejecuciones selectivas, sin que se encontrara  oposición  por  parte  de  la</w:t>
        <w:br/>
        <w:t>Fuerza Pública y a la vista de los pobladores del corregimiento.</w:t>
        <w:br/>
        <w:br/>
        <w:t xml:space="preserve">    ii)     Personas ejecutadas en La Granja</w:t>
        <w:br/>
        <w:br/>
        <w:t>125.36           En primer término, en la tarde del 11 de junio de 1996,  el</w:t>
        <w:br/>
        <w:t>grupo armado ilegal se dirigió al lugar de  trabajo  del  señor  William  de</w:t>
        <w:br/>
        <w:t>Jesús Villa García, donde fue asesinado con ráfagas de armas  de  fuego  que</w:t>
        <w:br/>
        <w:t>le causaron diez impactos de  bala.  Al  momento  de  su  muerte,  el  señor</w:t>
        <w:br/>
        <w:t>William de Jesús Villa García tenía 25 años de edad, estaba  casado  con  la</w:t>
        <w:br/>
        <w:t>señora Miryam Henao Carmona y se desempeñaba como albañil.  Sus padres  eran</w:t>
        <w:br/>
        <w:t>Alfredo Villa Zuleta y Carmen Emilia García[61].</w:t>
        <w:br/>
        <w:br/>
        <w:t>125.37           Seguidamente, ese mismo día, los paramilitares  irrumpieron</w:t>
        <w:br/>
        <w:t>en la vivienda del señor Adán Enrique Correa, en donde procedieron  a  matar</w:t>
        <w:br/>
        <w:t>al  señor  Héctor  Hernán  Correa  García,  causándole   múltiples   heridas</w:t>
        <w:br/>
        <w:t>producidas por arma de fuego.  El señor Héctor Hernán  Correa  García  tenía</w:t>
        <w:br/>
        <w:t>37 años de edad[62], trabajaba como agricultor,  era  soltero  y  sufría  de</w:t>
        <w:br/>
        <w:t>discapacidad mental. Al momento de su muerte se  hallaba  en  la  residencia</w:t>
        <w:br/>
        <w:t>con su padre, Adán Enrique Correa  García,  su  madre,  María  Libia  García</w:t>
        <w:br/>
        <w:t>Correa, y un sobrino de diez años de edad, Jorge Correa Sánchez.   Los  ocho</w:t>
        <w:br/>
        <w:t>hermanos del señor Héctor Hernán Correa García eran Dora Luz,  Olga  Regina,</w:t>
        <w:br/>
        <w:t>Jorge Enrique, Alba Cecilia,  Nubia  de  los  Dolores,  Gloria  Lucía,  Luis</w:t>
        <w:br/>
        <w:t>Gonzalo y Samuel Antonio, todos ellos de apellido Correa García.  La  muerte</w:t>
        <w:br/>
        <w:t>del señor Héctor Hernán Correa García generó un gran dolor a  su  familia  y</w:t>
        <w:br/>
        <w:t>los obligó a desplazarse a distintos lugares del país.</w:t>
        <w:br/>
        <w:br/>
        <w:t>125.38           Luego, ese mismo día, los paramilitares se dirigieron a  la</w:t>
        <w:br/>
        <w:t>finca del señor Hugo Espinal Lópera  donde,  tras  interrogar  a  la  señora</w:t>
        <w:br/>
        <w:t>María Graciela Arboleda Rodríguez sobre el paradero de éste,  dieron  muerte</w:t>
        <w:br/>
        <w:t>a la señora María Graciela Arboleda  Rodríguez  con  arma  blanca  y  varios</w:t>
        <w:br/>
        <w:t>impactos de bala.  La señora María Graciela Arboleda Rodríguez  se  dedicaba</w:t>
        <w:br/>
        <w:t>a labores domésticas, tenía 47 años de edad,  era  viuda  y  madre  de  seis</w:t>
        <w:br/>
        <w:t>hijos. Sus padres son el señor Adán  Antonio  Arboleda  y  la  señora  María</w:t>
        <w:br/>
        <w:t>Isabel Rodríguez[63].</w:t>
        <w:br/>
        <w:br/>
        <w:t>125.39           Posteriormente los paramilitares abandonaron el  lugar  con</w:t>
        <w:br/>
        <w:t>dirección a la zona urbana de  Ituango.   Una  vez  allí  se  dirigieron  al</w:t>
        <w:br/>
        <w:t>Politécnico Colombiano Jaime Isaza  Cadavid,  desde  donde  se  llevaron  al</w:t>
        <w:br/>
        <w:t>Coordinador del Centro, el señor Jairo de Jesús Sepúlveda Arias, de 38  años</w:t>
        <w:br/>
        <w:t>de edad.  Al día siguiente, el 12 de junio de 1996, su  cuerpo  sin  vida  y</w:t>
        <w:br/>
        <w:t>con cuatro impactos de bala fue  encontrado  en  un  paraje  de  El  Líbano,</w:t>
        <w:br/>
        <w:t>localizado en la carretera que conduce del municipio de Ituango a  Medellín.</w:t>
        <w:br/>
        <w:t xml:space="preserve"> Sus padres eran los señores Abraham  Sepúlveda  y  María  Inés  Arias.   El</w:t>
        <w:br/>
        <w:t>señor Jairo de Jesús Sepúlveda Arias era docente y residía con su madre.</w:t>
        <w:br/>
        <w:br/>
        <w:t>125.40           Una vez perpetradas las referidas  ejecuciones  selectivas,</w:t>
        <w:br/>
        <w:t>los paramilitares abandonaron el área de La Granja sin  encontrar  oposición</w:t>
        <w:br/>
        <w:t>alguna por parte de la Fuerza Pública.</w:t>
        <w:br/>
        <w:br/>
        <w:t xml:space="preserve">    iv)     Investigaciones penales</w:t>
        <w:br/>
        <w:br/>
        <w:t>125.41           A partir de los hechos de La Granja tanto la  Policía  como</w:t>
        <w:br/>
        <w:t>la Fiscalía Seccional de Ituango y  la  Procuraduría  General  de  Antioquia</w:t>
        <w:br/>
        <w:t>iniciaron   investigaciones   preliminares   de   lo   ocurrido   en   dicho</w:t>
        <w:br/>
        <w:t>corregimiento.   El  12  de  junio  de  1996  se  inició  la   investigación</w:t>
        <w:br/>
        <w:t>preliminar por la muerte del señor Jairo de Jesús Sepúlveda  Arias.   El  19</w:t>
        <w:br/>
        <w:t>de junio de 1996 se anexó a dicha investigación preliminar  las  diligencias</w:t>
        <w:br/>
        <w:t>adelantadas con ocasión de la muerte de los señores William de  Jesús  Villa</w:t>
        <w:br/>
        <w:t>García, Héctor Hernán Correa García y  María  Graciela  Arboleda  Rodríguez.</w:t>
        <w:br/>
        <w:t>Dada la gravedad de los hechos y complejidad geográfica y de orden  público,</w:t>
        <w:br/>
        <w:t>el 20 de noviembre de 1996  la  investigación  de  los  hechos  pasó  de  la</w:t>
        <w:br/>
        <w:t>Fiscalía General de la Nación a la Unidad Nacional de Derechos Humanos.</w:t>
        <w:br/>
        <w:br/>
        <w:t>125.42           Desde noviembre de 1996 hasta mediados  del  año  1999,  la</w:t>
        <w:br/>
        <w:t>Unidad   Nacional   de   Derechos   Humanos   realizó   varias   diligencias</w:t>
        <w:br/>
        <w:t>investigativas,  incluyendo  la  recepción  de  declaraciones,  inspecciones</w:t>
        <w:br/>
        <w:t>judiciales y la búsqueda de testigos.</w:t>
        <w:br/>
        <w:br/>
        <w:t>125.43           El 17 de junio de 1999, tres años después  de  ocurrida  la</w:t>
        <w:br/>
        <w:t>masacre en La Granja, la Unidad Nacional de Derechos Humanos de la  Fiscalía</w:t>
        <w:br/>
        <w:t>General  de  la  Nación  resolvió  proferir  resolución   de   apertura   de</w:t>
        <w:br/>
        <w:t>instrucción.  En esa oportunidad, dispuso la vinculación y la imposición  de</w:t>
        <w:br/>
        <w:t>medida de aseguramiento, consistente en detención preventiva, en  contra  de</w:t>
        <w:br/>
        <w:t>los  civiles  Jaime  y  Francisco  Angulo  Osorio,  quienes  se  encontraban</w:t>
        <w:br/>
        <w:t>detenidos en virtud de otros procesos.  Sin embargo, con  posterioridad  fue</w:t>
        <w:br/>
        <w:t>revocada la medida de aseguramiento en su contra.  Asimismo,  se  vinculó  a</w:t>
        <w:br/>
        <w:t>los señores  Hernando  de  Jesús  Álvarez  Gómez,  Manuel  Remigio  Fonnegra</w:t>
        <w:br/>
        <w:t>Piedrahita y Carlos Castaño Gil, y se ordenó sus capturas.</w:t>
        <w:br/>
        <w:br/>
        <w:t>125.44            En  esa  misma  fecha  se  ordenó  la  vinculación  a   la</w:t>
        <w:br/>
        <w:t>investigación  de  dos  agentes  estatales,  Comandante  de  la  Policía  en</w:t>
        <w:br/>
        <w:t>Ituango, señor José Vicente Castro, y el Teniente del  Ejercito  Nacional  y</w:t>
        <w:br/>
        <w:t>Comandante del Batallón Girardot,  con  sede  en  Ituango,  el  señor  Jorge</w:t>
        <w:br/>
        <w:t>Alexander Sánchez Castro, por los delitos de coautoría  en  la  conformación</w:t>
        <w:br/>
        <w:t>de grupos de justicia  privada,  homicidios  agravados  y  secuestro  simple</w:t>
        <w:br/>
        <w:t>agravado a título de  dolo  por  omisión  impropia.   Asimismo,  en  aquella</w:t>
        <w:br/>
        <w:t>oportunidad  se  decretó  auto  de  prisión  preventiva  en  contra  de  los</w:t>
        <w:br/>
        <w:t>mencionados agentes estatales.</w:t>
        <w:br/>
        <w:br/>
        <w:t>125.45           El 2 de junio de 2000  se  vinculó  al  proceso  a  algunos</w:t>
        <w:br/>
        <w:t>miembros de las Autodefensas Unidas de Colombia  (en  adelante  “AUC”),  los</w:t>
        <w:br/>
        <w:t>civiles Jhon Jairo Mazo Pino, Lider Yamil Concha Rengifo,  Gilberto  Antonio</w:t>
        <w:br/>
        <w:t>Tamayo Rengifo y Jorge Alberto Muletón Montoya.</w:t>
        <w:br/>
        <w:br/>
        <w:t>125.46            El  30  de  agosto  de  2001  se  profirió  resolución  de</w:t>
        <w:br/>
        <w:t>acusación en contra del comandante de la policía acantonado  en  Ituango  al</w:t>
        <w:br/>
        <w:t>momento de los hechos, el señor José Vicente  Castro.   El  juzgado  Primero</w:t>
        <w:br/>
        <w:t>Penal del Circuito Especializado de Antioquia, mediante sentencia  de  fecha</w:t>
        <w:br/>
        <w:t>14 de noviembre de 2003, condenó  a  31  años  de  prisión  a  José  Vicente</w:t>
        <w:br/>
        <w:t>Castro,  “por  omisión  en  el  delito  de  homicidio  agravado  con   fines</w:t>
        <w:br/>
        <w:t>terroristas”.  Esta decisión fue revocada en su totalidad  por  el  Tribunal</w:t>
        <w:br/>
        <w:t>Superior de Antioquia, siete meses después, el 12 de julio de  2004.   El  2</w:t>
        <w:br/>
        <w:t>de septiembre de 2005 la Fiscalía radicó ante la Corte Suprema  de  Justicia</w:t>
        <w:br/>
        <w:t>una Acción de Revisión en contra del fallo de 12 de julio de 2004.</w:t>
        <w:br/>
        <w:br/>
        <w:t>125.47           El 20 de agosto de 2002 se  profirió  medida  de  detención</w:t>
        <w:br/>
        <w:t>preventiva en contra de los civiles Hernando de Jesús  Álvarez  Gómez,  Jhon</w:t>
        <w:br/>
        <w:t>Jairo Mazo Pino, Gilberto Antonio Tamayo Rengifo  y  Jorge  Alberto  Muletón</w:t>
        <w:br/>
        <w:t>Montoya.</w:t>
        <w:br/>
        <w:br/>
        <w:t>125.48           En diciembre del año 2002 la Fiscalía e  investigadores  de</w:t>
        <w:br/>
        <w:t>la  Unidad  Nacional  de  Derechos  Humanos  realizaron  investigaciones  en</w:t>
        <w:br/>
        <w:t>Ituango, incluyendo inspecciones en la  Registraduría  del  Estado  Civil  y</w:t>
        <w:br/>
        <w:t>Tesorería Municipal, y recibieron 30 declaraciones.</w:t>
        <w:br/>
        <w:br/>
        <w:t>125.49            El  10  de  noviembre  de  2003   la   Fiscalía   profirió</w:t>
        <w:br/>
        <w:t>resoluciones de acusación contra  los  señores  Hernando  de  Jesús  Álvarez</w:t>
        <w:br/>
        <w:t>Gómez, Gilberto Antonio Tamayo Rengifo y Orlando de  Jesús  Mazo  Mazo,  por</w:t>
        <w:br/>
        <w:t>los delitos de concierto para  delinquir,  terrorismo  y  extorsión;  contra</w:t>
        <w:br/>
        <w:t>Carlos Antonio  Carvajal  Jaramillo,  por  los  delitos  de  concierto  para</w:t>
        <w:br/>
        <w:t>delinquir y extorsión, y contra Jorge Alexander Sánchez Castro, Capitán  del</w:t>
        <w:br/>
        <w:t>Ejército Nacional, por los delitos de concierto  para  delinquir,  homicidio</w:t>
        <w:br/>
        <w:t>agravado y extorsión agravada.</w:t>
        <w:br/>
        <w:br/>
        <w:t>125.50           En el mes de septiembre de 2004 la Fiscalía realizó  nuevas</w:t>
        <w:br/>
        <w:t>investigaciones, recibiendo declaraciones  y  practicando  inspecciones  que</w:t>
        <w:br/>
        <w:t>permitieron individualizar e identificar al presunto jefe financiero de  las</w:t>
        <w:br/>
        <w:t>AUC para la época de los hechos.  El 8 de septiembre de 2004 se  dispuso  su</w:t>
        <w:br/>
        <w:t>vinculación  a  la  investigación,  se  impuso   medida   de   aseguramiento</w:t>
        <w:br/>
        <w:t>consistente en detención preventiva y se ordenó su captura.</w:t>
        <w:br/>
        <w:br/>
        <w:t>125.51           El 8 de julio de 2005 el Juzgado Primero  Especializado  de</w:t>
        <w:br/>
        <w:t>Antioquia profirió sentencia condenatoria en contra  de  los  señores  Jorge</w:t>
        <w:br/>
        <w:t>Alexander Sánchez Castro, Teniente del Ejército Nacional,  a  31  años,  por</w:t>
        <w:br/>
        <w:t>los delitos de concierto  para  delinquir  y  homicidio  agravado;  Gilberto</w:t>
        <w:br/>
        <w:t>Antonio Tamayo Rengifo  a  12  años,  por  los  delitos  de  concierto  para</w:t>
        <w:br/>
        <w:t>delinquir y homicidio agravado; Orlando de Jesús Mazo Mazo a  12  años,  por</w:t>
        <w:br/>
        <w:t>los delitos de concierto para  delinquir  y  homicidio  agravado,  y  Carlos</w:t>
        <w:br/>
        <w:t>Antonio Carvajal Jaramillo a 7 años,  por  los  delitos  de  concierto  para</w:t>
        <w:br/>
        <w:t>delinquir y homicidio agravado.  Por  su  muerte,  se  dispuso  cesación  de</w:t>
        <w:br/>
        <w:t>procedimiento respecto de Hernando de Jesús Álvarez Gómez.</w:t>
        <w:br/>
        <w:br/>
        <w:t>125.52           La orden de detención en contra de Orlando  de  Jesús  Mazo</w:t>
        <w:br/>
        <w:t>no ha sido ejecutada.</w:t>
        <w:br/>
        <w:br/>
        <w:t xml:space="preserve">    v)      Procesos disciplinarios en relación con La Granja</w:t>
        <w:br/>
        <w:br/>
        <w:t>125.53           El 4 de mayo de 2000  la  Procuraduría  Delegada  para  las</w:t>
        <w:br/>
        <w:t>Fuerzas Militares resolvió  archivar  la  indagación  preliminar  adelantada</w:t>
        <w:br/>
        <w:t>contra los oficiales del Ejército, Mayor Jorge Enrique Fernández  Mendoza  y</w:t>
        <w:br/>
        <w:t>Teniente  Jorge  Alexander  Sánchez  Castro,  al  encontrar  que  éstos   no</w:t>
        <w:br/>
        <w:t>incurrieron en omisión constitutiva de falta disciplinaria.   Además,  dicha</w:t>
        <w:br/>
        <w:t>Procuraduría Delegada para las Fuerzas Militares compulsó copias  del  fallo</w:t>
        <w:br/>
        <w:t>a la Procuraduría Regional de Antioquia, por razones  de  competencia,  para</w:t>
        <w:br/>
        <w:t>que ésta adelantara  una  investigación  disciplinaria  en  contra  de  José</w:t>
        <w:br/>
        <w:t>Vicente Castro, Comandante de la Estación de Policía de Ituango.</w:t>
        <w:br/>
        <w:br/>
        <w:t>125.54           El 19 de septiembre de 2001  la  Procuraduría  Regional  de</w:t>
        <w:br/>
        <w:t>Antioquia resolvió declarar  la  prescripción  de  la  acción  disciplinaria</w:t>
        <w:br/>
        <w:t>contra el señor José Vicente Castro, en aplicación de los artículos 34 y  54</w:t>
        <w:br/>
        <w:t>de la Ley 200 de 1995, por haber  transcurrido  más  de  cinco  años  de  la</w:t>
        <w:br/>
        <w:t>ocurrencia de los hechos en La Granja de 11 de junio de 1996.</w:t>
        <w:br/>
        <w:br/>
        <w:t xml:space="preserve">      B.    Hechos relativos a El Aro</w:t>
        <w:br/>
        <w:br/>
        <w:t xml:space="preserve">    i)      La incursión armada</w:t>
        <w:br/>
        <w:br/>
        <w:t>125.55           Una vez consumada la incursión en La  Granja,  miembros  de</w:t>
        <w:br/>
        <w:t>la  sociedad   civil   del   Municipio   de   Ituango   elevaron   numerosas</w:t>
        <w:br/>
        <w:t>comunicaciones a distintas autoridades estatales con el fin de  solicitarles</w:t>
        <w:br/>
        <w:t>la adopción de medidas para garantizar la vida y la integridad  personal  de</w:t>
        <w:br/>
        <w:t>la población civil amenazada por el accionar de los grupos al margen  de  la</w:t>
        <w:br/>
        <w:t>ley.  Entre estas personas se destacó el  abogado  y  defensor  de  derechos</w:t>
        <w:br/>
        <w:t>humanos Jesús María  Valle  Jaramillo,  quien  elevó  comunicaciones  a  las</w:t>
        <w:br/>
        <w:t>autoridades departamentales informándoles sobre la presencia paramilitar  en</w:t>
        <w:br/>
        <w:t>la región.  El 20 de noviembre de 1996 se  comunicó  con  el  Gobernador  de</w:t>
        <w:br/>
        <w:t>Antioquia y con el Defensor del Pueblo de Medellín con el fin  de  solicitar</w:t>
        <w:br/>
        <w:t>protección para la población de Ituango.  Dicha solicitud  fue  reiterada  y</w:t>
        <w:br/>
        <w:t>ampliada   el   20   de   enero   de   1997   por   la   entonces   Comisión</w:t>
        <w:br/>
        <w:t>Intercongregacional de Justicia y Paz.  En esa oportunidad, la  petición  de</w:t>
        <w:br/>
        <w:t>protección y atención a  la  zona  se  remitió  también  a  las  autoridades</w:t>
        <w:br/>
        <w:t>nacionales.</w:t>
        <w:br/>
        <w:br/>
        <w:t>125.56           Con  anterioridad  a  la  incursión  en  El  Aro  el  grupo</w:t>
        <w:br/>
        <w:t>paramilitar se  había  reunido  en  el  municipio  de  Puerto  Valdivia  con</w:t>
        <w:br/>
        <w:t>miembros del batallón Girardot del Ejército.</w:t>
        <w:br/>
        <w:br/>
        <w:t>125.57           En este contexto, entre los días 22  de  octubre  y  12  de</w:t>
        <w:br/>
        <w:t>noviembre  del  año  1997  tuvo  lugar  una  incursión  paramilitar  en   el</w:t>
        <w:br/>
        <w:t>corregimiento de Builópolis, más conocido en la región de  Ituango  como  El</w:t>
        <w:br/>
        <w:t>Aro.   La  cadena  de  ejecuciones  selectivas  perpetradas  por  un   grupo</w:t>
        <w:br/>
        <w:t>paramilitar que se movilizó por varios  días  a  pie  con  la  aquiescencia,</w:t>
        <w:br/>
        <w:t>tolerancia o apoyo de miembros  de  la  Fuerza  Pública,  se  inició  en  el</w:t>
        <w:br/>
        <w:t>corregimiento de Puerto Valdivia, punto de partida de su recorrido.</w:t>
        <w:br/>
        <w:br/>
        <w:t xml:space="preserve">    ii)     Personas ejecutadas en El Aro</w:t>
        <w:br/>
        <w:br/>
        <w:t>125.58           El  22  de  octubre  de  1997  aproximadamente  30  hombres</w:t>
        <w:br/>
        <w:t>armados y vestidos con prendas de uso militar llegaron por vía  terrestre  a</w:t>
        <w:br/>
        <w:t>la finca de propiedad del señor Omar de Jesús Ortiz Carmona, ubicada  en  la</w:t>
        <w:br/>
        <w:t>vereda de Puquí, en el corregimiento de  Puerto  Valdivia,  departamento  de</w:t>
        <w:br/>
        <w:t>Antioquia. Ahí reunieron a todos los trabajadores y les  preguntaron  acerca</w:t>
        <w:br/>
        <w:t>de la guerrilla.  Seguidamente, aislaron del grupo a  los  señores  Omar  de</w:t>
        <w:br/>
        <w:t>Jesús Ortiz Carmona y Fabio Antonio Zuleta Zabala y  les  propinaron  varios</w:t>
        <w:br/>
        <w:t>impactos de bala que les ocasionaron la muerte.</w:t>
        <w:br/>
        <w:br/>
        <w:t>125.59           El señor Omar de Jesús  Ortiz  Carmona  era  dueño  de  una</w:t>
        <w:br/>
        <w:t>finca y tenía 30 años al momento de su muerte.  Su compañera permanente  era</w:t>
        <w:br/>
        <w:t>María Oliva Calle Fernández[64].  Era hijo de María Libia Carmona  de  Ortiz</w:t>
        <w:br/>
        <w:t>y Jesús María Ortiz[65], y tenía  dos  hermanas,  Rosángela  y  Gudiela  del</w:t>
        <w:br/>
        <w:t>Carmen Ortiz Carmona. Sus hijos son Omar Alveiro Ortiz  Calle,  Juan  Carlos</w:t>
        <w:br/>
        <w:t>Ortiz Callo, Deisy Tatiana Ortiz Calle, Johan Daniel Ortiz Calle y  Cristian</w:t>
        <w:br/>
        <w:t>de  Jesús  Calle.   Tras  su  muerte,  la  familia  se  vio   muy   afectada</w:t>
        <w:br/>
        <w:t>emocionalmente.</w:t>
        <w:br/>
        <w:br/>
        <w:t>125.60           El señor Fabio Antonio Zuleta Zabala trabajaba en la  finca</w:t>
        <w:br/>
        <w:t>del señor Omar de Jesús Ortiz Carmona y tenía  54  años  al  momento  de  su</w:t>
        <w:br/>
        <w:t>muerte.  Vivía con su compañera permanente  por  más  de  diez  años,  María</w:t>
        <w:br/>
        <w:t>Graciela Cossio Jaramillo[66], y sus hijos, Carlos Adrián, Yeison  Andrés  y</w:t>
        <w:br/>
        <w:t>Juan Felipe Zuleta Cossio[67].  Es hijo  de  María  Magdalena  Zabala[68]  y</w:t>
        <w:br/>
        <w:t>Roberto Zuleta[69], y sus  hermanos  son  Margarita,  Araccelly,  Rodrigo  y</w:t>
        <w:br/>
        <w:t>Orlando, todos de apellido Zuleta Zabala.  Tenía también una  media  hermana</w:t>
        <w:br/>
        <w:t>por  parte  de  su  madre,   llamada   Celia   Monsalve   Zabala.    Ayudaba</w:t>
        <w:br/>
        <w:t>económicamente a sus padres, además de proveer para sus hijos  y  compañera.</w:t>
        <w:br/>
        <w:t>Como consecuencia de la muerte del señor Fabio  Antonio  Zuleta  Zabala,  su</w:t>
        <w:br/>
        <w:t>compañera permanente perdió el sustento económico de la familia, por lo  que</w:t>
        <w:br/>
        <w:t>los hijos de éste tuvieron que irse a Medellín a vivir  con  Celia  Monsalve</w:t>
        <w:br/>
        <w:t>Zabala, media hermana de la presunta víctima, quien  asumió  el  cuidado  de</w:t>
        <w:br/>
        <w:t>ellos.  La familia entera se vio gravemente afectada por la muerte de  Fabio</w:t>
        <w:br/>
        <w:t>Antonio, la cual generó la separación de la familia, puesto que ahora  viven</w:t>
        <w:br/>
        <w:t>en distintos lugares.</w:t>
        <w:br/>
        <w:br/>
        <w:t>125.61           Seguidamente, ese mismo día,  en  la  finca  denominada  La</w:t>
        <w:br/>
        <w:t>Planta, el grupo armado asesinó al señor Arnulfo Sánchez Álvarez, quien  era</w:t>
        <w:br/>
        <w:t>una persona de avanzada edad.  Era propietario de  tierras,  en  las  cuales</w:t>
        <w:br/>
        <w:t>cultivaba frutos y tenía ganado[70].  Su esposa era  la  señora  Teresa  del</w:t>
        <w:br/>
        <w:t>Niño Jesús Álvarez Palacio[71], con quien procreó una hija de  nombre  Vilma</w:t>
        <w:br/>
        <w:t>Ester Sánchez Álvarez[72].</w:t>
        <w:br/>
        <w:br/>
        <w:t>125.62           Luego el grupo paramilitar inició su recorrido  a  pie  con</w:t>
        <w:br/>
        <w:t>dirección al corregimiento de El Aro, que se sitúa a seis  horas  de  Puerto</w:t>
        <w:br/>
        <w:t>Valdivia.</w:t>
        <w:br/>
        <w:br/>
        <w:t>125.63           El 23 de octubre de 1997 los paramilitares arribaron  a  la</w:t>
        <w:br/>
        <w:t>residencia  de  la  señora  Martha  Cecilia  Jiménez  en  Puerto  Escondido,</w:t>
        <w:br/>
        <w:t>saquearon  su  tienda,  hurtaron  90  reses  y  frente  a  toda  su  familia</w:t>
        <w:br/>
        <w:t>asesinaron a su cónyuge Omar Iván Gutiérrez Nohavá, quien tenía 32  años  de</w:t>
        <w:br/>
        <w:t>edad al momento de su  muerte,  trabajaba  en  su  propia  finca,  tenía  un</w:t>
        <w:br/>
        <w:t>negocio  de  abarrotes,  el  cual  fue   saqueado   durante   la   incursión</w:t>
        <w:br/>
        <w:t>paramilitar, y una bodega. Tenía dos hijas, Eliana Juliet y  Juliana  Andrea</w:t>
        <w:br/>
        <w:t>Gutiérrez Jiménez, quienes presenciaron la muerte de su padre.  Era hijo  de</w:t>
        <w:br/>
        <w:t>José Aníbal Gutiérrez Jaramillo y Rosa María  Nohavá  de  Gutiérrez.   Tenía</w:t>
        <w:br/>
        <w:t>tres hermanos, Fabio Arley, Rosmira  y  María  Luciria,  todos  de  apellido</w:t>
        <w:br/>
        <w:t>Gutiérrez Nohavá, así como tres medios  hermanos  por  parte  de  su  madre,</w:t>
        <w:br/>
        <w:t>Víctor Manuel, Jair Ovidio y Walter Alirio, todos de apellido Tobón  Nohavá.</w:t>
        <w:br/>
        <w:t xml:space="preserve"> Además de proveer para su familia,  asistía  económicamente  a  su  sobrina</w:t>
        <w:br/>
        <w:t>Jésica Natalia Martínez Gutiérrez.  La muerte de Omar Iván  afectó  mucho  a</w:t>
        <w:br/>
        <w:t>su familia, especialmente a su hermana  Lucira,  madre  de  Jésica  Natalia,</w:t>
        <w:br/>
        <w:t>quien, junto con un sobrino llamado Francisco Daniel Córdoba,  presenció  la</w:t>
        <w:br/>
        <w:t>muerte de su ser querido[73].</w:t>
        <w:br/>
        <w:br/>
        <w:t>125.64            Ese  mismo  día,  al  salir  del  embarcadero  en   Puerto</w:t>
        <w:br/>
        <w:t>Escondido, los paramilitares asesinaron  a  Olcris  Fail  Díaz  Pérez,  José</w:t>
        <w:br/>
        <w:t>Darío Martínez Pérez y a Otoniel de Jesús Tejada Jaramillo.</w:t>
        <w:br/>
        <w:br/>
        <w:t>125.65           El señor Olcris Fail Díaz Pérez tenía 26  años  al  momento</w:t>
        <w:br/>
        <w:t>de su muerte,  se  dedicaba  a  labores  de  agricultura  en  una  finca  de</w:t>
        <w:br/>
        <w:t>propiedad de sus padres y vivía con sus padres  y  hermanos.   Era  hijo  de</w:t>
        <w:br/>
        <w:t>Mercedes Rosa Pérez Pino y Heriberto Díaz Díaz[74], y sus hermanos eran  Luz</w:t>
        <w:br/>
        <w:t>Nelly, Deicy Berenice,  Iraima,  Alexander  de  Jesús  y  Noelia,  todos  de</w:t>
        <w:br/>
        <w:t>apellido Díaz Pérez. La  muerte  del  señor  Olcris  Fail  Días  Pérez  tuvo</w:t>
        <w:br/>
        <w:t>consecuencias graves para su familia, la cual se desplazó de  El  Aro  hacía</w:t>
        <w:br/>
        <w:t>Yarumal, dejando su finca y sus bienes. Igualmente, la  salud  de  su  padre</w:t>
        <w:br/>
        <w:t>empeoró como consecuencia de la muerte de  Olcris  Fail  Díaz  Pérez  y  del</w:t>
        <w:br/>
        <w:t>desplazamiento de la familia. Su hermana Noelia sufrió mucho con  la  muerte</w:t>
        <w:br/>
        <w:t>de su hermano[75].</w:t>
        <w:br/>
        <w:br/>
        <w:t>125.66           El señor  José  Darío  Martínez  Pérez  tenía  46  años  al</w:t>
        <w:br/>
        <w:t>momento de su muerte. Su compañera permanente era María  Esther  Orrego[76],</w:t>
        <w:br/>
        <w:t>con quien tuvo cuatro hijos, María Elena,  Rosa  Delfina,  Carlos  Arturo  y</w:t>
        <w:br/>
        <w:t>José Edilberto, todos ellos de apellido Martínez Orrego.  Asimismo,  figuran</w:t>
        <w:br/>
        <w:t>dos hijos no reconocidos, Edilson Darío Orrego y William Andrés Orrego,  así</w:t>
        <w:br/>
        <w:t>como una hija de crianza, Mercedes Rosa Patiño  Orrego.   Tenía  un  hermano</w:t>
        <w:br/>
        <w:t>llamado Heraldo Enrique Martínez Pérez[77].</w:t>
        <w:br/>
        <w:br/>
        <w:t>125.67           El señor Otoniel de Jesús Tejada Jaramillo  tenía  40  años</w:t>
        <w:br/>
        <w:t>al momento de su muerte.  Su esposa, María Eugenia Gaviria Vélez,  presenció</w:t>
        <w:br/>
        <w:t>la tortura y muerte de su esposo. Sus padres eran Israel  Antonio  Tejada  y</w:t>
        <w:br/>
        <w:t>María Dolores Jaramillo Oquendo.  Su  hermano  es  Danilo  de  Jesús  Tejada</w:t>
        <w:br/>
        <w:t>Jaramillo[78].</w:t>
        <w:br/>
        <w:br/>
        <w:t>125.68            En  su  recorrido  del  23  de   octubre   de   1997   los</w:t>
        <w:br/>
        <w:t>paramilitares también asesinaron al niño Wilmar de  Jesús  Restrepo  Torres,</w:t>
        <w:br/>
        <w:t>de catorce años de edad, y al señor Alberto Correa,  cuando  se  encontraban</w:t>
        <w:br/>
        <w:t>realizando labores de agricultura en la finca Mundo Nuevo.</w:t>
        <w:br/>
        <w:br/>
        <w:t>125.69           El señor Alberto Correa trabajaba como agricultor y  estaba</w:t>
        <w:br/>
        <w:t>casado con la  señora  Mercedes  Barrera[79],  quien  falleció  poco  tiempo</w:t>
        <w:br/>
        <w:t>después de la muerte de su esposo y no tuvieron hijos[80].</w:t>
        <w:br/>
        <w:br/>
        <w:t>125.70           El niño Wilmar de Jesús Restrepo Torres era hijo  de  Jesús</w:t>
        <w:br/>
        <w:t>María Restrepo Ospino y María  Edilma  Torres  Jaramillo[81]  y  hermano  de</w:t>
        <w:br/>
        <w:t>Miladis, Gema Inés, Guido Manuel (fallecido),  Nicolás  Albeiro,  Maryori  y</w:t>
        <w:br/>
        <w:t>Llover Arley, todos de apellido Restrepo Torres. La  familia  de  Wilmar  de</w:t>
        <w:br/>
        <w:t>Jesús Restrepo Torres se vio gravemente afectada por su  muerte  puesto  que</w:t>
        <w:br/>
        <w:t>él era el hijo menor y ayudaba en  el  sostenimiento  económico  del  hogar.</w:t>
        <w:br/>
        <w:t>Miladis del Carmen Restrepo Torres[82],  hermana  de  la  presunta  víctima,</w:t>
        <w:br/>
        <w:t>sufrió profundo dolor como consecuencia de la trágica muerte y sintió  mucha</w:t>
        <w:br/>
        <w:t>rabia, en particular porque tuvieron que llevar el  cadáver  de  su  hermano</w:t>
        <w:br/>
        <w:t>amarrado a un mula. La familia de Wilmar  de  Jesús  Restrepo  Torres  tenía</w:t>
        <w:br/>
        <w:t>algunos  cultivos  de  caña,  los  cuales  tuvieron   que   descuidar   como</w:t>
        <w:br/>
        <w:t>consecuencia de la muerte del menor y a que la  región  quedó  prácticamente</w:t>
        <w:br/>
        <w:t>destrozada y consumida en la pobreza luego de la incursión  paramilitar[83].</w:t>
        <w:br/>
        <w:br/>
        <w:br/>
        <w:t>125.71            El  sábado  25  de  octubre  de  1997  los   paramilitares</w:t>
        <w:br/>
        <w:t>arribaron al corregimiento de El Aro, donde procedieron  a  reunir  a  todos</w:t>
        <w:br/>
        <w:t>los habitantes del lugar en  el  parque  central  del  poblado.   Luego  los</w:t>
        <w:br/>
        <w:t>paramilitares procedieron a asesinar a Guillermo Andrés Mendoza Posso,  Luis</w:t>
        <w:br/>
        <w:t>Modesto Múnera Posada y Nelson de Jesús Palacio Cárdenas.</w:t>
        <w:br/>
        <w:br/>
        <w:t>125.72           El señor Guillermo Andrés Mendoza Posso tenía  21  años  de</w:t>
        <w:br/>
        <w:t>edad al momento de su muerte y era dueño de una cantina[84].  Vivía con  sus</w:t>
        <w:br/>
        <w:t>padres,  Libardo  Mendoza  y  Leticia  Posso  Molina,  a   quienes   ayudaba</w:t>
        <w:br/>
        <w:t>económicamente.   Tenía  ocho  hermanos,  Viviana  Yanet,  Magnolia  Emilce,</w:t>
        <w:br/>
        <w:t>Beatriz Amalia, Rodrigo Alberto,  Diego  Fernando,  Jovanny  Alcides,  Diana</w:t>
        <w:br/>
        <w:t>Patricia y Jael Rocio, todos de apellido Mendoza Posso.</w:t>
        <w:br/>
        <w:br/>
        <w:t>125.73           El señor Luis  Modesto  Múnera  Posada  tenía  60  años  al</w:t>
        <w:br/>
        <w:t>momento de su muerte y se desempeñaba como obrero  de  la  municipalidad  de</w:t>
        <w:br/>
        <w:t>Ituango.  Su esposa era María Gloria Granada  López,  con  quien  tuvo  seis</w:t>
        <w:br/>
        <w:t>hijos, Astrid Elena,  María  Clementina,  Aracelly,  Gloria  Emilsen,  Marta</w:t>
        <w:br/>
        <w:t>Consuelo y Juan Alberto, todos ellos de  apellido  Múnera  Granada[85].   Su</w:t>
        <w:br/>
        <w:t>muerte fue muy sentida por su familia y los habitantes  de  El  Aro,  puesto</w:t>
        <w:br/>
        <w:t>que era una persona muy estimada por todos[86].</w:t>
        <w:br/>
        <w:br/>
        <w:t>125.74           El señor Nelson de Jesús Palacio Cárdenas era mayordomo  de</w:t>
        <w:br/>
        <w:t>la finca Manzanares al  momento  de  su  muerte.   Vivía  con  su  compañera</w:t>
        <w:br/>
        <w:t>permanente,  Gladis  Helena  Jaramillo  Cano,  con  quien  tuvo  dos  hijos,</w:t>
        <w:br/>
        <w:t>Alexander  y  Nelson  Adrián  Palacio  Jaramillo,   a   quienes   sustentaba</w:t>
        <w:br/>
        <w:t>económicamente.  También tuvo un  hijo  con  la  señora  Aura  Estela  Posso</w:t>
        <w:br/>
        <w:t>Múnera, John Freddy Palacio Posso[87].</w:t>
        <w:br/>
        <w:br/>
        <w:t>125.75           Asimismo, el 25 de octubre de 1997, el señor Marco  Aurelio</w:t>
        <w:br/>
        <w:t>Areiza Osorio, comerciante  de  64  años  de  edad,  fue  obligado  por  los</w:t>
        <w:br/>
        <w:t>paramilitares a que los acompañara a las cercanías del cementerio, donde  lo</w:t>
        <w:br/>
        <w:t>amarraron y torturaron hasta causarle la muerte. Su cuerpo presentó  señales</w:t>
        <w:br/>
        <w:t>de tortura en los ojos, los oídos, el pecho,  los  órganos  genitales  y  la</w:t>
        <w:br/>
        <w:t>boca. Al momento de su muerte estaba separado de su  esposa,  Carlina  Tobón</w:t>
        <w:br/>
        <w:t>Gutiérrez, con quien tuvo cinco hijos, Lilian Amparo, Mario Alberto,  Miriam</w:t>
        <w:br/>
        <w:t>Lucía, Johnny Aurelio y Gabriela, todos de apellido Areiza Tobón.  El  señor</w:t>
        <w:br/>
        <w:t>Marco Aurelio Areiza Osorio aportaba económicamente para  su  esposa  y  sus</w:t>
        <w:br/>
        <w:t>hijos.  Convivía con la señora Rosa María Posada, con quien tuvo dos  hijos,</w:t>
        <w:br/>
        <w:t>José Leonel y Marco Aurelio Areiza Posada.  Era dueño de una finca,  ganado,</w:t>
        <w:br/>
        <w:t>una carnicería y algunas propiedades.   Los  paramilitares  saquearon  todas</w:t>
        <w:br/>
        <w:t>las propiedades que tenía y se apropiaron del ganado.  Perdió  entre  150  y</w:t>
        <w:br/>
        <w:t>200 reses, dos fincas, más de 20 marranos y una tienda[88].</w:t>
        <w:br/>
        <w:br/>
        <w:t>125.76            En  un  salón  anexo  a  la  iglesia   los   paramilitares</w:t>
        <w:br/>
        <w:t>torturaron y asesinaron a la señora Elvia Rosa Areiza Barrera,  de  30  años</w:t>
        <w:br/>
        <w:t>de edad, quien se desempeñaba como empleada  doméstica  de  la  casa  cural.</w:t>
        <w:br/>
        <w:t>Estaba casada con Eligio Pérez Aguirre, con quien tenía cinco  hijos,  Ligia</w:t>
        <w:br/>
        <w:t>Lucía, Eligio de Jesús, Omar Daniel, Yamilse Eunice y  Julio  Eliver,  todos</w:t>
        <w:br/>
        <w:t>de apellido Pérez  Areiza[89].  Sus  padres  eran  Gabriel  Ángel  Areiza  y</w:t>
        <w:br/>
        <w:t>Mercedes Rosa Barrera[90]. Su familia  se  desplazó  a  otras  ciudades  por</w:t>
        <w:br/>
        <w:t>motivo de los hechos y regresaron tres años después a la región[91].</w:t>
        <w:br/>
        <w:br/>
        <w:t>125.77           Asimismo, el  30  de  octubre  de  1997  los  paramilitares</w:t>
        <w:br/>
        <w:t>mataron a la señora Dora Luz Areiza Arroyave, de  21  años  de  edad,  quien</w:t>
        <w:br/>
        <w:t>había sido señalada como integrante de  la  guerrilla.   Al  momento  de  su</w:t>
        <w:br/>
        <w:t>muerte vivía con sus padres, Luis Ufrán Areiza Posso y Jael Esther  Arroyave</w:t>
        <w:br/>
        <w:t>Posso, y tenía tres hermanos, Noelia Estelia,  Freidon  Esteban  y  Robinson</w:t>
        <w:br/>
        <w:t>Argiro, todos ellos de apellido  Areiza  Arroyave[92].   La  familia  de  la</w:t>
        <w:br/>
        <w:t>señora Dora Luz Areiza Arroyave se desplazó a raíz de los  hechos,  viviendo</w:t>
        <w:br/>
        <w:t>en  condiciones  muy  precarias,  y  han  expresado  miedo   de   volver   a</w:t>
        <w:br/>
        <w:t>Ituango[93].</w:t>
        <w:br/>
        <w:br/>
        <w:t>125.78           Debido al  estado  de  descomposición  de  algunos  de  los</w:t>
        <w:br/>
        <w:t>muertos, los habitantes de El Aro procedieron a darles sepultura sin que  se</w:t>
        <w:br/>
        <w:t>hiciera presente alguna autoridad estatal.</w:t>
        <w:br/>
        <w:br/>
        <w:t>125.79           Antes de retirarse de El Aro los paramilitares  destruyeron</w:t>
        <w:br/>
        <w:t>e incendiaron gran parte de las casas del casco  urbano,  quedando  a  salvo</w:t>
        <w:br/>
        <w:t>sólo una capilla y ocho viviendas.</w:t>
        <w:br/>
        <w:br/>
        <w:t xml:space="preserve">    iii)    Ayuda otorgada a los familiares de presuntas víctimas</w:t>
        <w:br/>
        <w:t xml:space="preserve">    ejecutadas</w:t>
        <w:br/>
        <w:br/>
        <w:t>125.80           Los siguientes familiares de presuntas víctimas  ejecutadas</w:t>
        <w:br/>
        <w:t>durante los hechos de El Aro recibieron un seguro de vida por  parte  de  la</w:t>
        <w:br/>
        <w:t>Red de Solidaridad Social:</w:t>
        <w:br/>
        <w:br/>
        <w:t xml:space="preserve">   a) la  señora  Gladis  Elena  Jaramillo  Cano  recibió  $7.500.000  pesos</w:t>
        <w:br/>
        <w:t xml:space="preserve">      colombianos en agosto 28 de 2000, como seguro  por  la  muerte  de  su</w:t>
        <w:br/>
        <w:t xml:space="preserve">      esposo, el señor Nelson de Jesús Palacio Cárdenas;</w:t>
        <w:br/>
        <w:br/>
        <w:br/>
        <w:t xml:space="preserve">   b)  los  señores  Libardo  Mendoza  y  María  Leticia  Posso   recibieron</w:t>
        <w:br/>
        <w:t xml:space="preserve">      $5.000.000 pesos colombianos cada uno, en el año 1999, como seguro por</w:t>
        <w:br/>
        <w:t xml:space="preserve">      la muerte de su hijo Guillermo Andrés Mendoza Poso; y</w:t>
        <w:br/>
        <w:br/>
        <w:br/>
        <w:t xml:space="preserve">   c)  la  señora  Carlina  Tobón  recibió  la  suma  de  $5.000.000   pesos</w:t>
        <w:br/>
        <w:t xml:space="preserve">      colombianos como seguro por la muerte de su  esposo,  el  señor  Marco</w:t>
        <w:br/>
        <w:t xml:space="preserve">      Aurelio Areiza Osorio.  Asimismo, los siguientes hijos del señor Marco</w:t>
        <w:br/>
        <w:t xml:space="preserve">      Aurelio Areiza Osorio  recibieron  la  cantidad  de  $1.000.000  pesos</w:t>
        <w:br/>
        <w:t xml:space="preserve">      colombianos: Miriam Lucía,  Lilian  Amparo,  Yonny  Aurelio,  Gabriela</w:t>
        <w:br/>
        <w:t xml:space="preserve">      Patricia y  Mario Alberto, todos ellos de apellido Areiza Tobón.</w:t>
        <w:br/>
        <w:br/>
        <w:t xml:space="preserve">    iv)     Pérdida de propiedad privada</w:t>
        <w:br/>
        <w:br/>
        <w:t>125.81           Las personas que perdieron sus bienes en El Aro fueron:</w:t>
        <w:br/>
        <w:br/>
        <w:t xml:space="preserve">   1. Bernardo María Jiménez Lópera, quien perdió 36 cabezas de ganado,  así</w:t>
        <w:br/>
        <w:t xml:space="preserve">      como la finca Sevilla, la cual fue incendiada[94];</w:t>
        <w:br/>
        <w:t xml:space="preserve">   2. Francisco Osvaldo Pino Posada, quien perdió seis novillas para cría  y</w:t>
        <w:br/>
        <w:t xml:space="preserve">      tres atados de ganado[95];</w:t>
        <w:br/>
        <w:t xml:space="preserve">   3. Libardo Mendoza, quien perdió 51  cabezas  de  ganado,  20  vacas,  18</w:t>
        <w:br/>
        <w:t xml:space="preserve">      destetes y una mula, así como  la  finca  La  Floresta,  la  cual  fue</w:t>
        <w:br/>
        <w:t xml:space="preserve">      incendiada[96];</w:t>
        <w:br/>
        <w:t xml:space="preserve">   4. Luis Humberto Mendoza Arroyave, quien perdió 20 cabezas de ganado y su</w:t>
        <w:br/>
        <w:t xml:space="preserve">      vivienda, la cual fue incendiada[97];</w:t>
        <w:br/>
        <w:t xml:space="preserve">   5. Omar Alfredo Torres Jaramillo, quien perdió su vivienda[98];</w:t>
        <w:br/>
        <w:t xml:space="preserve">   6. Ricardo Alfredo Builes Echeverri, quien perdió 81 cabezas  de  ganado,</w:t>
        <w:br/>
        <w:t xml:space="preserve">      15 atados, 31 vacas, 18 novillas y 2 toros[99];</w:t>
        <w:br/>
        <w:t xml:space="preserve">   7. Albeiro Restrepo, quien perdió su vivienda[100];</w:t>
        <w:br/>
        <w:t xml:space="preserve">   8. Alfonso Gómez, quien perdió su vivienda, la cual fue incendiada[101];</w:t>
        <w:br/>
        <w:t xml:space="preserve">   9. Amparo Posada, quien perdió su vivienda[102];</w:t>
        <w:br/>
        <w:t xml:space="preserve">  10. Antonio Muñóz: quien perdió su  vivienda  y  un  negocio,  los  cuales</w:t>
        <w:br/>
        <w:t xml:space="preserve">      fueron incendiados[103];</w:t>
        <w:br/>
        <w:t xml:space="preserve">  11. Arcadio Londoño, quien perdió 10 atados,  40  vacas,  50  novillos,  5</w:t>
        <w:br/>
        <w:t xml:space="preserve">      toros y 5 toretes, así como una finca, la cual fue incendiada[104];</w:t>
        <w:br/>
        <w:t xml:space="preserve">  12. Argemira Crespo, quien perdió su vivienda[105];</w:t>
        <w:br/>
        <w:t xml:space="preserve">  13. Argemiro González, quien perdió su negocio[106];</w:t>
        <w:br/>
        <w:t xml:space="preserve">  14. Aurelio Sepúlveda, quien perdió su vivienda[107];</w:t>
        <w:br/>
        <w:t xml:space="preserve">  15. Berta Inés Mendoza Arroyave, quien perdió su vivienda y 6 vacas[108];</w:t>
        <w:br/>
        <w:t xml:space="preserve">  16. Carlos Gutiérrez, quien perdió su vivienda[109];</w:t>
        <w:br/>
        <w:t xml:space="preserve">  17. Carlos Mendoza, quien perdió su vivienda[110];</w:t>
        <w:br/>
        <w:t xml:space="preserve">  18. Clara López, quien perdió su vivienda[111];</w:t>
        <w:br/>
        <w:t xml:space="preserve">  19. Dario Mora, quien perdió su vivienda[112];</w:t>
        <w:br/>
        <w:t xml:space="preserve">  20. Fabio de Jesús Tobón Gutiérrez, quien perdió ganado[113];</w:t>
        <w:br/>
        <w:t xml:space="preserve">  21. Francisco Eladio Ortiz Bedoya, quien perdió ganado[114];</w:t>
        <w:br/>
        <w:t xml:space="preserve">  22. Gilberto Lópera, quien perdió  ganado  y  su  vivienda,  la  cual  fue</w:t>
        <w:br/>
        <w:t xml:space="preserve">      incendiada[115];</w:t>
        <w:br/>
        <w:t xml:space="preserve">  23. Gildardo Jaramillo, quien perdió su negocio de cantina[116];</w:t>
        <w:br/>
        <w:t xml:space="preserve">  24. Gustavo Adolfo Torres Jaramillo, quien perdió dos  casas,  las  cuales</w:t>
        <w:br/>
        <w:t xml:space="preserve">      fueron incendiadas, así como cuatro vacas[117];</w:t>
        <w:br/>
        <w:t xml:space="preserve">  25. Hermilda Correa, quien perdió su vivienda[118];</w:t>
        <w:br/>
        <w:t xml:space="preserve">  26. Hilda Uribe, quien perdió ganado[119];</w:t>
        <w:br/>
        <w:t xml:space="preserve">  27. Jaime Posso, quien perdió ganado[120];</w:t>
        <w:br/>
        <w:t xml:space="preserve">  28. Javier García, quien perdió ganado[121];</w:t>
        <w:br/>
        <w:t xml:space="preserve">  29. José Gilberto López Areiza, quien perdió ganado[122];</w:t>
        <w:br/>
        <w:t xml:space="preserve">  30. José Noe Pelaez Chavarría, quien perdió tres mulas[123];</w:t>
        <w:br/>
        <w:t xml:space="preserve">  31. José Torres, quien perdió ganado[124];</w:t>
        <w:br/>
        <w:t xml:space="preserve">  32. Judith Molina, quien perdió ganado y su vivienda[125];</w:t>
        <w:br/>
        <w:t xml:space="preserve">  33. Lucelly Torres Jaramillo, quien perdió su vivienda[126];</w:t>
        <w:br/>
        <w:t xml:space="preserve">  34. Luis Argemiro Arango, quien perdió su vivienda[127];</w:t>
        <w:br/>
        <w:t xml:space="preserve">  35. Luis Carlos Mendoza Rúa, quien perdió su vivienda, 30 reses de  ganado</w:t>
        <w:br/>
        <w:t xml:space="preserve">      vacuno y 4 mulas[128];</w:t>
        <w:br/>
        <w:t xml:space="preserve">  36. Marcelino Barrera, quien perdió su negocio[129];</w:t>
        <w:br/>
        <w:t xml:space="preserve">  37. Marco Aurelio Areiza Osorio, quien fuera ejecutado, perdió entre 150 y</w:t>
        <w:br/>
        <w:t xml:space="preserve">      200 reses de ganado, así como varios locales de venta y  una  cochera,</w:t>
        <w:br/>
        <w:t xml:space="preserve">      los cuales fueron incendiados[130];</w:t>
        <w:br/>
        <w:t xml:space="preserve">  38. María Edilma Torres Jaramillo, quien perdió su vivienda, la  cual  fue</w:t>
        <w:br/>
        <w:t xml:space="preserve">      incendiada[131];</w:t>
        <w:br/>
        <w:t xml:space="preserve">  39. María Esther Jaramillo Torres, quien perdió su vivienda, la  cual  fue</w:t>
        <w:br/>
        <w:t xml:space="preserve">      incendiada[132];</w:t>
        <w:br/>
        <w:t xml:space="preserve">  40. María Vásquez, quien perdió su vivienda[133];</w:t>
        <w:br/>
        <w:t xml:space="preserve">  41. Mercedes Jiménez, quien perdió su vivienda[134];</w:t>
        <w:br/>
        <w:t xml:space="preserve">  42. Miguel Chavaría, quien perdió ganado y su vivienda[135];</w:t>
        <w:br/>
        <w:t xml:space="preserve">  43. Miguel Ángel Echavarría, quien perdió ganado y su  vivienda,  la  cual</w:t>
        <w:br/>
        <w:t xml:space="preserve">      fue incendiada[136];</w:t>
        <w:br/>
        <w:t xml:space="preserve">  44. Miriam Cuadros, quien perdió su vivienda[137];</w:t>
        <w:br/>
        <w:t xml:space="preserve">  45. Nelson de Jesús Palacio Cárdenas,  quien  fue  ejecutado  en  El  Aro,</w:t>
        <w:br/>
        <w:t xml:space="preserve">      perdió su vivienda[138];</w:t>
        <w:br/>
        <w:t xml:space="preserve">  46. Omar Iván Gutiérrez Nohavá, quien fue ejecutado en El Aro,  perdió  90</w:t>
        <w:br/>
        <w:t xml:space="preserve">      reses de ganado, una fina y un negocio de abarrotes[139];</w:t>
        <w:br/>
        <w:t xml:space="preserve">  47. Rafael Ángel Piedrahita Areiza, quien perdió 20 reses de ganado y  una</w:t>
        <w:br/>
        <w:t xml:space="preserve">      finca, la cual fue incendiada[140];</w:t>
        <w:br/>
        <w:t xml:space="preserve">  48. Rafael Ángel Piedrahita Henao, quien perdió dos mulas de ganado  y  su</w:t>
        <w:br/>
        <w:t xml:space="preserve">      vivienda, la cual fue incendiada[141];</w:t>
        <w:br/>
        <w:t xml:space="preserve">  49. Rafael Posada, quien perdió ganado[142];</w:t>
        <w:br/>
        <w:t xml:space="preserve">  50.  Ramón  Molina  Torres,  quien  perdió  su  vivienda,  la   cual   fue</w:t>
        <w:br/>
        <w:t xml:space="preserve">      incendiada[143];</w:t>
        <w:br/>
        <w:t xml:space="preserve">  51. Ramón Posada, quien perdió ganado y su vivienda[144];</w:t>
        <w:br/>
        <w:t xml:space="preserve">  52. Ricardo Barrera, quien perdió su vivienda[145];</w:t>
        <w:br/>
        <w:t xml:space="preserve">  53. Rodrigo Alberto Mendoza Posso, quien perdió ganado[146];</w:t>
        <w:br/>
        <w:t xml:space="preserve">  54. Samuel Martínez, quien perdió su vivienda[147];</w:t>
        <w:br/>
        <w:t xml:space="preserve">  55. Santiago Martínez, quien perdió su finca[148];</w:t>
        <w:br/>
        <w:t xml:space="preserve">  56. Santiago Serna, quien perdió su vivienda[149];</w:t>
        <w:br/>
        <w:t xml:space="preserve">  57. Vicente Posada, quien perdió su vivienda, la cual fue incendiada[150];</w:t>
        <w:br/>
        <w:t xml:space="preserve">  58. Amado Jaramillo Cano, quien perdió su vivienda[151]; y</w:t>
        <w:br/>
        <w:t xml:space="preserve">  59. Servando Antonio Areiza, quien perdió 4 “bestias” y su vivienda[152].</w:t>
        <w:br/>
        <w:br/>
        <w:t xml:space="preserve">    iv)     Sustracción y arriado de ganado</w:t>
        <w:br/>
        <w:br/>
        <w:t>125.82           El grupo  paramilitar  obligó  y  forzó,  bajo  amenaza  de</w:t>
        <w:br/>
        <w:t>muerte, a 17 residentes del área a arrear ganado robado durante  17  días  a</w:t>
        <w:br/>
        <w:t>varios puntos de  destino.   Los  arrieros  no  recibieron  ningún  tipo  de</w:t>
        <w:br/>
        <w:t>remuneración por el trabajo realizado.</w:t>
        <w:br/>
        <w:br/>
        <w:t>125.83            Las  personas  obligadas  a  arrear  ganado   fueron   las</w:t>
        <w:br/>
        <w:t>siguientes: Francisco Osvaldo Pino Posada, Omar  Alfredo  Torres  Jaramillo,</w:t>
        <w:br/>
        <w:t>Rodrigo Alberto Mendoza Posso, Noveiri Antonio  Jiménez  Jiménez,  Milciades</w:t>
        <w:br/>
        <w:t>de Jesús Crespo, Ricardo  Barrera,  Gilberto  Lopera,  Argemiro  Echavarría,</w:t>
        <w:br/>
        <w:t>José Luis  Palacio,  Román  Salazar,  William  Chavaría,  Libardo  Carvajal,</w:t>
        <w:br/>
        <w:t>Eduardo Rua, Eulicio García, Alberto Lopera, Tomás Monsalve y Felipe  Gómez.</w:t>
        <w:br/>
        <w:br/>
        <w:br/>
        <w:t>125.84           Durante la incursión, los paramilitares  sustrajeron  entre</w:t>
        <w:br/>
        <w:t>800 y 1.200 cabezas de ganado  caballar,  mular  y  vacuno  perteneciente  a</w:t>
        <w:br/>
        <w:t>varias fincas del  área.   El  ganado  fue  llevado  primeramente  al  sitio</w:t>
        <w:br/>
        <w:t>denominado “La Planta”, a quince minutos a pie del casco  urbano  de  Puerto</w:t>
        <w:br/>
        <w:t>Valdivia, y eventualmente fue embarcado hacia la Caucana, corregimiento  del</w:t>
        <w:br/>
        <w:t>municipio de Tarazá.  El  ganado  fue  trasladado  en  plena  autopista  que</w:t>
        <w:br/>
        <w:t>conduce a la Costa Atlántica.</w:t>
        <w:br/>
        <w:br/>
        <w:t>125.85           Miembros del  Ejército  tenían  conocimiento  del  hurto  y</w:t>
        <w:br/>
        <w:t>traslado del ganado, e incluso impusieron un toque de queda a la  población,</w:t>
        <w:br/>
        <w:t>cerrando los negocios comerciales nocturnos de dicha  localidad  para  poder</w:t>
        <w:br/>
        <w:t>evacuar por plena vía pública, sin testigos, el ganado, del cual también  se</w:t>
        <w:br/>
        <w:t>lucraron algunos militares, pues dispusieron de  unos  semovientes  para  su</w:t>
        <w:br/>
        <w:t>consumo interno.</w:t>
        <w:br/>
        <w:br/>
        <w:t>125.86           Agentes  de  las  fuerzas  armadas  no  sólo  prestaron  su</w:t>
        <w:br/>
        <w:t>aquiescencia a  los  actos  perpetrados  por  los  paramilitares,  sino  que</w:t>
        <w:br/>
        <w:t>también se produjeron instancias de participación  y  colaboración  directa.</w:t>
        <w:br/>
        <w:t>Efectivamente, la participación  de  agentes  del  Estado  en  la  incursión</w:t>
        <w:br/>
        <w:t>armada no se limitó a  facilitar  el  ingreso  de  los  paramilitares  a  la</w:t>
        <w:br/>
        <w:t>región, sino que también omitieron asistir a la población civil  durante  el</w:t>
        <w:br/>
        <w:t>desarrollo de aquélla y durante la sustracción y  traslado  del  ganado  del</w:t>
        <w:br/>
        <w:t>área.</w:t>
        <w:br/>
        <w:br/>
        <w:t xml:space="preserve">    v)      Investigaciones Penales</w:t>
        <w:br/>
        <w:br/>
        <w:t>125.87           Los hechos de El Aro fueron inicialmente  investigados  por</w:t>
        <w:br/>
        <w:t>la Fiscalía General de la Nación, por conducto de la Fiscalía delegada  ante</w:t>
        <w:br/>
        <w:t>el circuito de Ituango y de la Fiscalía  delegada  de  Yarumal.   El  20  de</w:t>
        <w:br/>
        <w:t>noviembre de 1997 las investigaciones se reasignaron a la entonces  Fiscalía</w:t>
        <w:br/>
        <w:t>Regional de Medellín.  La investigación fue remitida el 23 de julio de  1999</w:t>
        <w:br/>
        <w:t>a la Unidad Nacional de Derechos Humanos de  la  Fiscalía  General  bajo  el</w:t>
        <w:br/>
        <w:t>radicado No. UDH-525.</w:t>
        <w:br/>
        <w:br/>
        <w:t>125.88           Entre los meses de noviembre de 1997 y febrero de  1998  la</w:t>
        <w:br/>
        <w:t>Fiscalía General recibió varias declaraciones de testigos  y  familiares  de</w:t>
        <w:br/>
        <w:t>las presuntas víctimas, ordenó y llevó  a  cabo  diligencias  investigativas</w:t>
        <w:br/>
        <w:t>para  determinar  la  identidad  de  las  personas  involucradas  y  realizó</w:t>
        <w:br/>
        <w:t>inspecciones judiciales en el corregimiento.</w:t>
        <w:br/>
        <w:br/>
        <w:t>125.89           El 19  de  marzo  de  1998  la  Fiscalía  General  resolvió</w:t>
        <w:br/>
        <w:t>proferir resolución de apertura de instrucción y dispuso la  vinculación  de</w:t>
        <w:br/>
        <w:t>los señores Carlos Castaño Gil y Francisco  Enrique  Villalba  Hernández  al</w:t>
        <w:br/>
        <w:t>proceso.  El 4 de junio de 1999 se declaró a Carlos Castaño persona  ausente</w:t>
        <w:br/>
        <w:t>y se escuchó en indagatoria a Francisco Enrique Villalba  Hernández.   El  1</w:t>
        <w:br/>
        <w:t>de julio de 1999 se profirió orden de captura contra Carlos  Castaño  Gil  y</w:t>
        <w:br/>
        <w:t>Francisco Villalba Hernández por homicidio en  concurso  y  conformación  de</w:t>
        <w:br/>
        <w:t>grupos de justicia privada.</w:t>
        <w:br/>
        <w:br/>
        <w:t>125.90           El 29 de marzo de 1999 la  Fiscalía  Delegada  ante  Jueces</w:t>
        <w:br/>
        <w:t>Regionales realizó exhumaciones de varios  cadáveres  con  la  finalidad  de</w:t>
        <w:br/>
        <w:t>realizar  necropsias  y  lograr  la  identificación  de  éstos.   En   dicha</w:t>
        <w:br/>
        <w:t>diligencia pudieron identificar los restos  mortales  de  los  señores  Luis</w:t>
        <w:br/>
        <w:t>Modesto Múnera Posada,  Marco  Aurelio  Areiza,  Nelson  de  Jesús  Palacios</w:t>
        <w:br/>
        <w:t>Cárdenas, Andrés Mendoza y Alberto Correa.</w:t>
        <w:br/>
        <w:br/>
        <w:t>125.91           El 24 de febrero de 2000 se ordenó la  vinculación  de  los</w:t>
        <w:br/>
        <w:t>señores Salvatore Mancuso Gómez, Alexander Mercado Fonseca  y  Héctor  Darío</w:t>
        <w:br/>
        <w:t>Gallego Meza a la investigación. El 21 de septiembre de 2000  se  declararon</w:t>
        <w:br/>
        <w:t>personas ausentes a Salvatore Mancuso y Aleander Mercado Fonseca. El  23  de</w:t>
        <w:br/>
        <w:t>febrero de  2001 se profirió orden de captura contra los  señores  Salvatore</w:t>
        <w:br/>
        <w:t>Mancuso Gómez y Alexander Mercado Fonseca.</w:t>
        <w:br/>
        <w:br/>
        <w:t>125.92           El 10 de septiembre  de  2001  el  fiscal  de  conocimiento</w:t>
        <w:br/>
        <w:t>profirió resolución  acusatoria  contra  los  señores  Carlos  Castaño  Gil,</w:t>
        <w:br/>
        <w:t>Francisco Enrique Villalba Hernández, Salvatore Mancuso  Gómez  y  Alexander</w:t>
        <w:br/>
        <w:t>Mercado Fonseca como  presuntos  coautores  del  delito  de  concierto  para</w:t>
        <w:br/>
        <w:t>delinquir en concurso con homicidio agravado y hurto calificado y  agravado.</w:t>
        <w:br/>
        <w:br/>
        <w:br/>
        <w:t>125.93           El 22 de  abril  de  2003  el  Juzgado  Segundo  Penal  del</w:t>
        <w:br/>
        <w:t>Circuito Especializado  de  Antioquia  dictó  sentencia  en  contra  de  los</w:t>
        <w:br/>
        <w:t>señores Carlos Castaño Gil, Salvatore  Mancuso  Gómez  y  Francisco  Enrique</w:t>
        <w:br/>
        <w:t>Villalba Hernández, condenando a los primeros dos a 40 años  de  prisión,  y</w:t>
        <w:br/>
        <w:t>al último a 33 años de prisión, por el homicidio de 15  personas,  concierto</w:t>
        <w:br/>
        <w:t>para delinquir y por el concurso homogéneo de hurto agravado  y  calificado.</w:t>
        <w:br/>
        <w:t>Con la excepción de Francisco Enrique Villalba, quien se encuentra  detenido</w:t>
        <w:br/>
        <w:t>cumpliendo pena de  prisión  por  otros  delitos,  los  civiles  mencionados</w:t>
        <w:br/>
        <w:t>–incluyendo importantes líderes paramilitares— fueron juzgados y  condenados</w:t>
        <w:br/>
        <w:t>en ausencia y las órdenes  de  detención  en  su  contra  aun  no  han  sido</w:t>
        <w:br/>
        <w:t>ejecutadas.</w:t>
        <w:br/>
        <w:br/>
        <w:t>125.94           El 6 de febrero de 2004  se  trasladó  a  la  investigación</w:t>
        <w:br/>
        <w:t>penal el fallo disciplinario (infra párr. 125.98 y 125.100)  en  contra  del</w:t>
        <w:br/>
        <w:t>Teniente del Ejército, el señor Everardo Bolaños Galindo y el cabo  primero,</w:t>
        <w:br/>
        <w:t>el señor Germán Antonio  Alzate  Cardona,  por  colaboración  y  omisión  en</w:t>
        <w:br/>
        <w:t>relación con los hechos ocurridos en el corregimiento de El Aro.  El  16  de</w:t>
        <w:br/>
        <w:t>diciembre de 2004 dichas personas fueron vinculadas  al  proceso  penal.  El</w:t>
        <w:br/>
        <w:t>cabo primero fue declarado persona ausente el 11 de enero de 2005.  El 1  de</w:t>
        <w:br/>
        <w:t>marzo de 2005 se profirió orden de captura en contra de éstos.  El  Teniente</w:t>
        <w:br/>
        <w:t>del Ejército se encuentra privado de su libertad  en  la  cárcel  de  máxima</w:t>
        <w:br/>
        <w:t>seguridad de Cómbita.</w:t>
        <w:br/>
        <w:br/>
        <w:t>125.95            Testigos,  abogados  y  fiscales   involucrados   en   las</w:t>
        <w:br/>
        <w:t>investigaciones de los hechos de El Aro han debido abandonar la  zona  o  el</w:t>
        <w:br/>
        <w:t>país por razones de seguridad.</w:t>
        <w:br/>
        <w:br/>
        <w:t xml:space="preserve">    vi)     Procesos disciplinarios</w:t>
        <w:br/>
        <w:br/>
        <w:t>125.96           El 7 y 11 de diciembre de 1998 la  Procuraduría  provincial</w:t>
        <w:br/>
        <w:t>de Caucasia, en razón de que los supuestos hechos no habían  sido  cometidos</w:t>
        <w:br/>
        <w:t>por miembros del Ejército, sino por paramilitares, resolvió archivar  varios</w:t>
        <w:br/>
        <w:t>procesos disciplinarios relacionados con los siguientes hechos  en  El  Aro:</w:t>
        <w:br/>
        <w:t>(1) el hurto de varias cabezas de ganado de la finca  de  Bernardo  Jiménez,</w:t>
        <w:br/>
        <w:t>en los días 20 y 28  de  octubre  de  1997;  (2)  la  muerte  de  Omar  Iván</w:t>
        <w:br/>
        <w:t>Gutiérrez Nohavá, ocurrida el 23 de octubre de  1997;  y  (3)  el  hurto  de</w:t>
        <w:br/>
        <w:t>ganado ocurrido en la finca de los hermanos García Lopera, el 25 de  octubre</w:t>
        <w:br/>
        <w:t>de 1997.</w:t>
        <w:br/>
        <w:br/>
        <w:t>125.97           El 10 de agosto de  2001  la  Procuraduría  General  de  la</w:t>
        <w:br/>
        <w:t>Nación  resolvió  archivar  un  proceso  disciplinario  relacionado  con  la</w:t>
        <w:br/>
        <w:t>presunta responsabilidad del Mayor General Carlos  Ospina  Ovalle  “y  otros</w:t>
        <w:br/>
        <w:t>miembros del Ejército”, por “los hechos ocurridos a finales  de  octubre  de</w:t>
        <w:br/>
        <w:t>1997 en el corregimiento de El  Aro”.   La  Procuraduría  no  consideró  que</w:t>
        <w:br/>
        <w:t>existía prueba suficiente para  responsabilizar  al  Ejército  de  presuntas</w:t>
        <w:br/>
        <w:t>omisiones en relación con tales hechos.</w:t>
        <w:br/>
        <w:br/>
        <w:t>125.98           El 30  de  julio  de  2001,  a  raíz  de  múltiples  quejas</w:t>
        <w:br/>
        <w:t>presentadas desde el año 1997 con motivos  de  los  hechos  en  El  Aro,  la</w:t>
        <w:br/>
        <w:t>Procuraduría Delegada Disciplinaria para la Defensa de los Derechos  Humanos</w:t>
        <w:br/>
        <w:t>ordenó la apertura de una investigación  disciplinaria  contra  el  Teniente</w:t>
        <w:br/>
        <w:t>capitán Germán Morantes Hernández, el Teniente Everardo  Bolaños  Galindo  y</w:t>
        <w:br/>
        <w:t>el cabo primero Germán Antonio Alzate Cardona.</w:t>
        <w:br/>
        <w:br/>
        <w:t>125.99            El  28  de  enero  de  2002   la   Procuraduría   Delegada</w:t>
        <w:br/>
        <w:t>Disciplinaria para  la  Defensa  de  los  Derechos  Humanos  se  inhibió  de</w:t>
        <w:br/>
        <w:t>proseguir actuación disciplinaria en  contra  del  Teniente  capitán  Germán</w:t>
        <w:br/>
        <w:t>Morantes Hernández y  resolvió  formular  cargos  disciplinarios  contra  el</w:t>
        <w:br/>
        <w:t>Teniente Everardo  Bolaños  Galindo  y  el  capitán  Germán  Antonio  Alzate</w:t>
        <w:br/>
        <w:t>Cardona.</w:t>
        <w:br/>
        <w:br/>
        <w:t>125.100      El  30  de  septiembre  de  2002   la   Procuraduría   Delegada</w:t>
        <w:br/>
        <w:t>Disciplinaria para la Defensa de los Derechos Humanos resolvió sancionar  al</w:t>
        <w:br/>
        <w:t>Teniente Everardo Bolaños Galindo y al cabo primero  Germán  Antonio  Alzate</w:t>
        <w:br/>
        <w:t>Cardona, alias “Rambo”, destituyéndolos  de  sus  cargos  como  funcionarios</w:t>
        <w:br/>
        <w:t>públicos por hallarlos responsables de haber  colaborado  y  facilitado  con</w:t>
        <w:br/>
        <w:t>dolo la incursión paramilitar en El Aro y la sustracción de  ganado.   El  1</w:t>
        <w:br/>
        <w:t>de noviembre de 2002, ante  un  recurso  de  apelación  presentado  por  las</w:t>
        <w:br/>
        <w:t>personas mencionadas anteriormente, dicho fallo fue  confirmado  en  segunda</w:t>
        <w:br/>
        <w:t>instancia por la  Sala  Disciplinaria  de  la  Procuraduría  General  de  la</w:t>
        <w:br/>
        <w:t>Nación.</w:t>
        <w:br/>
        <w:br/>
        <w:t xml:space="preserve">    vii)    Procesos contencioso administrativos</w:t>
        <w:br/>
        <w:br/>
        <w:t>125.101     En el caso de El Aro se  interpusieron  quince  demandas  en  la</w:t>
        <w:br/>
        <w:t>jurisdicción  contencioso  administrativa.   De  ellas,  trece  (13)  fueron</w:t>
        <w:br/>
        <w:t>conciliadas y mediante Resolución del  Ministerio  de  Defensa  Nacional  se</w:t>
        <w:br/>
        <w:t>dispuso el pago de las  sumas  conciliadas,  más  los  intereses  devengados</w:t>
        <w:br/>
        <w:t>desde la conciliación hasta el momento de la liquidación.   Los  demandantes</w:t>
        <w:br/>
        <w:t>en dichos procesos fueron:</w:t>
        <w:br/>
        <w:br/>
        <w:t>|Demandantes           |Número de     |Número de  |</w:t>
        <w:br/>
        <w:t>|                      |Radicado en el|Resolución |</w:t>
        <w:br/>
        <w:t>|                      |Tribunal      |del        |</w:t>
        <w:br/>
        <w:t>|                      |Administrativo|Ministerio |</w:t>
        <w:br/>
        <w:t>|                      |de Antioquia  |de Defensa |</w:t>
        <w:br/>
        <w:t>|1. Familiares de Luis |983184, auto  |No. 1459 de|</w:t>
        <w:br/>
        <w:t>|Modesto Múnera:       |de 3 de marzo |12 de      |</w:t>
        <w:br/>
        <w:t>|María Gloria Granda   |de 2005       |septiembre |</w:t>
        <w:br/>
        <w:t>|(conyuge), Astrid     |              |de 2005    |</w:t>
        <w:br/>
        <w:t>|Elena Munera Granda,  |              |           |</w:t>
        <w:br/>
        <w:t>|María Clementina      |              |           |</w:t>
        <w:br/>
        <w:t>|Múnera Granda,        |              |           |</w:t>
        <w:br/>
        <w:t>|Aracelly Munera       |              |           |</w:t>
        <w:br/>
        <w:t>|Granda, Gloria Emilse |              |           |</w:t>
        <w:br/>
        <w:t>|Munera Granda, Martha |              |           |</w:t>
        <w:br/>
        <w:t>|Consuelo Munera       |              |           |</w:t>
        <w:br/>
        <w:t>|Granda, Juan Alberto  |              |           |</w:t>
        <w:br/>
        <w:t>|Munera Granda y Martín|              |           |</w:t>
        <w:br/>
        <w:t>|Horacio Munera.       |              |           |</w:t>
        <w:br/>
        <w:t>|2.   Familiares de    |983186, auto  |No. 1462 de|</w:t>
        <w:br/>
        <w:t>|José Darío Martínez   |de 8 de marzo |12 de      |</w:t>
        <w:br/>
        <w:t>|Pérez:                |de 2005       |septiembre |</w:t>
        <w:br/>
        <w:t>|María Esther Orrego,  |              |de 2005    |</w:t>
        <w:br/>
        <w:t>|María Helena Martinez |              |           |</w:t>
        <w:br/>
        <w:t>|Orrego, Rosa Delfina  |              |           |</w:t>
        <w:br/>
        <w:t>|Martinez Orrego ,     |              |           |</w:t>
        <w:br/>
        <w:t>|Carlos Arturo Martinez|              |           |</w:t>
        <w:br/>
        <w:t>|Orrego, Jose Edilberto|              |           |</w:t>
        <w:br/>
        <w:t>|Martinez Orrego,      |              |           |</w:t>
        <w:br/>
        <w:t>|Edilson Dario Orrego, |              |           |</w:t>
        <w:br/>
        <w:t>|William Andres Orrego,|              |           |</w:t>
        <w:br/>
        <w:t>|Mercedes Rosa Patiño  |              |           |</w:t>
        <w:br/>
        <w:t>|Orrego                |              |           |</w:t>
        <w:br/>
        <w:t>|3.   Familiares de    |983422, auto  |No. 1456 de|</w:t>
        <w:br/>
        <w:t>|Olcris Fail Díaz      |de 3 de       |12 de      |</w:t>
        <w:br/>
        <w:t>|Pérez:                |febrero de    |septiembre |</w:t>
        <w:br/>
        <w:t>|Mercedes Rosa Perez de|2005          |de 2005    |</w:t>
        <w:br/>
        <w:t>|Diaz (madre), Luz     |              |           |</w:t>
        <w:br/>
        <w:t>|Nelly Diaz Perez,     |              |           |</w:t>
        <w:br/>
        <w:t>|Deicy Berenice Diaz   |              |           |</w:t>
        <w:br/>
        <w:t>|Perez, Iraima Diaz    |              |           |</w:t>
        <w:br/>
        <w:t>|Perez, Alexander de   |              |           |</w:t>
        <w:br/>
        <w:t>|Jesús Diaz Perez,     |              |           |</w:t>
        <w:br/>
        <w:t>|Nohelia Diaz Perez    |              |           |</w:t>
        <w:br/>
        <w:t>|4.   Familiares de    |983932, auto  |No. 1456 de|</w:t>
        <w:br/>
        <w:t>|Omar Iván Gutiérrez   |de 3 de       |12 de      |</w:t>
        <w:br/>
        <w:t>|Nohavá:               |febrero de    |septiembre |</w:t>
        <w:br/>
        <w:t>|Jose Anibal Gutierrez |2005          |de 2005    |</w:t>
        <w:br/>
        <w:t>|Jaramillo (padre),    |              |           |</w:t>
        <w:br/>
        <w:t>|Rosa María Nohavá de  |              |           |</w:t>
        <w:br/>
        <w:t>|Gutierrez (madre),    |              |           |</w:t>
        <w:br/>
        <w:t>|Fabio Arley Gutierrez |              |           |</w:t>
        <w:br/>
        <w:t>|Nohava, Rosmira       |              |           |</w:t>
        <w:br/>
        <w:t>|Gutierrez Nohava,     |              |           |</w:t>
        <w:br/>
        <w:t>|María Luciria         |              |           |</w:t>
        <w:br/>
        <w:t>|Gutierrez Nohava,     |              |           |</w:t>
        <w:br/>
        <w:t>|Victor Manuel Tobon   |              |           |</w:t>
        <w:br/>
        <w:t>|Nohava, y Jésica      |              |           |</w:t>
        <w:br/>
        <w:t>|Natalia Martinez      |              |           |</w:t>
        <w:br/>
        <w:t>|Gutierrez (sobrina).  |              |           |</w:t>
        <w:br/>
        <w:t>|5.   Familiares de    |991783, auto  |No. 1456 de|</w:t>
        <w:br/>
        <w:t>|Marco Aurelio Areiza: |de 3 de       |12 de      |</w:t>
        <w:br/>
        <w:t>|Carlina Tobon de      |febrero de    |septiembre |</w:t>
        <w:br/>
        <w:t>|Areiza (conyuge),     |2005          |de 2005    |</w:t>
        <w:br/>
        <w:t>|Yonny Aurelio Areiza  |              |           |</w:t>
        <w:br/>
        <w:t>|Tobon (hijo), Miryam  |              |           |</w:t>
        <w:br/>
        <w:t>|Lucia Areiza Tobon    |              |           |</w:t>
        <w:br/>
        <w:t>|(hijo), Mario Alberto |              |           |</w:t>
        <w:br/>
        <w:t>|Areiza Tobon (hijo),  |              |           |</w:t>
        <w:br/>
        <w:t>|herederos de Tobon    |              |           |</w:t>
        <w:br/>
        <w:t>|Areiza (Carlina Tobon,|              |           |</w:t>
        <w:br/>
        <w:t>|Lilian Amparo, Miriam |              |           |</w:t>
        <w:br/>
        <w:t>|Lucia, Mario Alberto, |              |           |</w:t>
        <w:br/>
        <w:t>|Johnny Aurelio y      |              |           |</w:t>
        <w:br/>
        <w:t>|Gabriela Areiza       |              |           |</w:t>
        <w:br/>
        <w:t>|Tobon).               |              |           |</w:t>
        <w:br/>
        <w:t>|6.   Familiares de    |991276, auto  |No. 1458 de|</w:t>
        <w:br/>
        <w:t>|Otoniel de Jesús      |de 25 de enero|12 de      |</w:t>
        <w:br/>
        <w:t>|Tejada Jaramillo:     |de 2005       |septiembre |</w:t>
        <w:br/>
        <w:t>|Danilo de Jesús Tejada|              |de 2005    |</w:t>
        <w:br/>
        <w:t>|Jaramillo (hermano) y |              |           |</w:t>
        <w:br/>
        <w:t>|María Dolores         |              |           |</w:t>
        <w:br/>
        <w:t>|Jaramillo (madre)     |              |           |</w:t>
        <w:br/>
        <w:t>|7.  Nelson de Jesús   |991270, auto  |No. 1460 de|</w:t>
        <w:br/>
        <w:t>|Palacio Cárdenas:     |de 8 de marzo |12 de      |</w:t>
        <w:br/>
        <w:t>|Gladys Helena         |de 2005       |septiembre |</w:t>
        <w:br/>
        <w:t>|Jaramillo Cano        |              |de 2005    |</w:t>
        <w:br/>
        <w:t>|(compañera), Alexander|              |           |</w:t>
        <w:br/>
        <w:t>|Palacio Jaramillo,    |              |           |</w:t>
        <w:br/>
        <w:t>|Nelson Adrian Palacio |              |           |</w:t>
        <w:br/>
        <w:t>|Jaramillo (hijos de la|              |           |</w:t>
        <w:br/>
        <w:t>|víctima)              |              |           |</w:t>
        <w:br/>
        <w:t>|8.   Wilmar de Jesús  |991784, auto  |No. 1465 de|</w:t>
        <w:br/>
        <w:t>|Restrepo Torres:      |de 6 de       |12 de      |</w:t>
        <w:br/>
        <w:t>|Jesús María Restrepo, |diciembre de  |septiembre |</w:t>
        <w:br/>
        <w:t>|(padre)               |2004          |de 2005    |</w:t>
        <w:br/>
        <w:t>|9.  Guillermo Andrés  |983185, 6 de  |No. 1465 de|</w:t>
        <w:br/>
        <w:t>|Mendoza Posso:        |diciembre de  |12 de      |</w:t>
        <w:br/>
        <w:t>|Libardo Mendoza       |2004          |septiembre |</w:t>
        <w:br/>
        <w:t>|(padre), Leticia Posso|              |de 2005    |</w:t>
        <w:br/>
        <w:t>|Molina (madre),       |              |           |</w:t>
        <w:br/>
        <w:t>|Viviana Yanet Mendoza |              |           |</w:t>
        <w:br/>
        <w:t>|Posso, Magnolia Emilce|              |           |</w:t>
        <w:br/>
        <w:t>|Mendoza Posso, Jael   |              |           |</w:t>
        <w:br/>
        <w:t>|Rocio Mendoza Posso,  |              |           |</w:t>
        <w:br/>
        <w:t>|Beatriz Amalia Mendoza|              |           |</w:t>
        <w:br/>
        <w:t>|Posso, Rodrigo Alberto|              |           |</w:t>
        <w:br/>
        <w:t>|Mendoza Posso, Diego  |              |           |</w:t>
        <w:br/>
        <w:t>|Fernando Mendoza      |              |           |</w:t>
        <w:br/>
        <w:t>|Posso, Diana Patricia |              |           |</w:t>
        <w:br/>
        <w:t>|Mendoza Posso, y      |              |           |</w:t>
        <w:br/>
        <w:t>|Jovanny Alcides       |              |           |</w:t>
        <w:br/>
        <w:t>|Mendoza Posso .       |              |           |</w:t>
        <w:br/>
        <w:t>|10.  Arcadio Londoño: |993471, auto  |1465 de 12 |</w:t>
        <w:br/>
        <w:t>|Rodolfo Andres Londoño|de 6 de       |de         |</w:t>
        <w:br/>
        <w:t>|de la Espriella, Jorge|diciembre de  |septiembre |</w:t>
        <w:br/>
        <w:t>|Junior Londoño de la  |2004          |de 2005    |</w:t>
        <w:br/>
        <w:t>|Espriella, Angélica   |              |           |</w:t>
        <w:br/>
        <w:t>|María Londoño         |              |           |</w:t>
        <w:br/>
        <w:t>|Aristizabal, Juan     |              |           |</w:t>
        <w:br/>
        <w:t>|Manuel Londoño        |              |           |</w:t>
        <w:br/>
        <w:t>|Aristizabal, Gilberto |              |           |</w:t>
        <w:br/>
        <w:t>|Londoño Velasquez,    |              |           |</w:t>
        <w:br/>
        <w:t>|Liliana Andrea Londoño|              |           |</w:t>
        <w:br/>
        <w:t>|Vega, Diana Carolina  |              |           |</w:t>
        <w:br/>
        <w:t>|Londoño Vega .        |              |           |</w:t>
        <w:br/>
        <w:t>|11.  Luis Humberto    |991519, auto  |1464 de 12 |</w:t>
        <w:br/>
        <w:t>|Mendoza Arroyave      |de 25 de enero|de         |</w:t>
        <w:br/>
        <w:t>|                      |de 2005       |septiembre |</w:t>
        <w:br/>
        <w:t>|                      |              |de 2005    |</w:t>
        <w:br/>
        <w:t>|12.  Ricardo Alfredo  |983482, auto  |1456 de 12 |</w:t>
        <w:br/>
        <w:t>|Builes Echeverry      |de 3 de       |de         |</w:t>
        <w:br/>
        <w:t>|                      |febrero de    |septiembre |</w:t>
        <w:br/>
        <w:t>|                      |2005          |de 2005    |</w:t>
        <w:br/>
        <w:t>|13.  Francisco Eladio |991510, auto  |1463 de 12 |</w:t>
        <w:br/>
        <w:t>|Ortiz Bedoya          |de 8 de marzo |de         |</w:t>
        <w:br/>
        <w:t>|                      |de 2005       |septiembre |</w:t>
        <w:br/>
        <w:t>|                      |              |de 2005    |</w:t>
        <w:br/>
        <w:br/>
        <w:t>125.102     El 2 de julio de 2004 el Tribunal  Administrativo  de  Antioquia</w:t>
        <w:br/>
        <w:t>dictó sentencia en relación con una demanda de reparación directa contra  el</w:t>
        <w:br/>
        <w:t>Estado, por supuesta falla en el servicio por parte del  Ejército  Nacional,</w:t>
        <w:br/>
        <w:t>la cual ocasionó la muerte de los señores  Fabio  Antonio  Zuleta  Zabala  y</w:t>
        <w:br/>
        <w:t>Omar Ortiz Carmona, el 22 de  octubre  de  1997  en  El  Aro.   El  Tribunal</w:t>
        <w:br/>
        <w:t>Administrativo negó las pretensiones de  la  demanda  en  vista  de  que  la</w:t>
        <w:br/>
        <w:t>prueba  allegada  al  proceso  no  permitía  “deducir   la   responsabilidad</w:t>
        <w:br/>
        <w:t>administrativa del Ejército Nacional”.</w:t>
        <w:br/>
        <w:br/>
        <w:t>125.103     El 2  de  septiembre  de  2004  el  Tribunal  Administrativo  de</w:t>
        <w:br/>
        <w:t>Antioquia dictó sentencia en relación con una demanda de reparación  directa</w:t>
        <w:br/>
        <w:t>contra el Estado, por supuesta falla en el servicio por parte  del  Ejército</w:t>
        <w:br/>
        <w:t>Nacional, la cual ocasionó la muerte de Dora Luz Areiza Arroyave, el  25  de</w:t>
        <w:br/>
        <w:t>octubre de 1997, en El Aro.  El  Tribunal  Administrativo  encontró  que  la</w:t>
        <w:br/>
        <w:t>muerte de Dora Luz Areiza Arroyave  no  estaba  “comprobada  debidamente,  a</w:t>
        <w:br/>
        <w:t>través del registro civil de defunción, prueba que no puede ser  reemplazada</w:t>
        <w:br/>
        <w:t>por testimonios”, por lo cual negó las pretensiones de la demanda.</w:t>
        <w:br/>
        <w:br/>
        <w:t xml:space="preserve">      El desplazamiento interno en Colombia y sus consecuencias en el caso</w:t>
        <w:br/>
        <w:t xml:space="preserve">      de los corregimiento de La Granja y El Aro</w:t>
        <w:br/>
        <w:br/>
        <w:t>125.104     El problema del  desplazamiento  forzado  interno  en  Colombia,</w:t>
        <w:br/>
        <w:t>cuya dinámica actual tuvo su inicio  en  la  década  de  los  años  ochenta,</w:t>
        <w:br/>
        <w:t>afecta a grandes masas poblacionales  y  se  va  agravando  progresivamente.</w:t>
        <w:br/>
        <w:t>Según fuentes  gubernamentales,  de  1995  a  2002  se  registraron  985.212</w:t>
        <w:br/>
        <w:t>personas desplazadas. Según el Alto Comisionado de Naciones Unidas para  los</w:t>
        <w:br/>
        <w:t>Derechos Humanos, si bien se ha observado una  reducción  en  el  número  de</w:t>
        <w:br/>
        <w:t>nuevos casos de desplazamiento, en  2004  el  número  total  de  desplazados</w:t>
        <w:br/>
        <w:t>aumentó en relación con años anteriores. La Red de Solidaridad Social  tiene</w:t>
        <w:br/>
        <w:t>registrados  alrededor  de  1.5  millones  de   personas   desplazadas[153],</w:t>
        <w:br/>
        <w:t>mientras que otras fuentes gubernamentales hablan de entre 2.5 y 3  millones</w:t>
        <w:br/>
        <w:t>de desplazados[154].</w:t>
        <w:br/>
        <w:br/>
        <w:t>125.105     Se ha determinado que la crisis  humanitaria  provocada  por  el</w:t>
        <w:br/>
        <w:t>fenómeno del desplazamiento interno es  de  tal  magnitud  que  implica  una</w:t>
        <w:br/>
        <w:t>violación  “masiva,  prolongada  y   sistemática”   de   diversos   derechos</w:t>
        <w:br/>
        <w:t>fundamentales de este grupo[155].</w:t>
        <w:br/>
        <w:br/>
        <w:t>125.106      Los  motivos  y  las  manifestaciones  de   la   vulnerabilidad</w:t>
        <w:br/>
        <w:t>acentuada  en  los  desplazados  han  sido  caracterizadas  desde   diversas</w:t>
        <w:br/>
        <w:t>perspectivas. Dicha vulnerabilidad es reforzada por su proveniencia rural  y</w:t>
        <w:br/>
        <w:t>se  han  determinado  graves  repercusiones  psicológicas  en  las  personas</w:t>
        <w:br/>
        <w:t>afectadas. Este problema afecta con especial fuerza a las  mujeres,  quienes</w:t>
        <w:br/>
        <w:t>principalmente son cabezas de hogar y representan más  de  la  mitad  de  la</w:t>
        <w:br/>
        <w:t>población desplazada. En general, las mujeres, los niños y los  jóvenes  son</w:t>
        <w:br/>
        <w:t>los  grupos  más  afectados   por   el   desplazamiento.   La   crisis   del</w:t>
        <w:br/>
        <w:t>desplazamiento interno provoca, a su vez, una crisis de seguridad, dado  que</w:t>
        <w:br/>
        <w:t>los grupos de desplazados internos se convierten en un nuevo foco o  recurso</w:t>
        <w:br/>
        <w:t>de reclutamiento para las propios grupos paramilitares,  de  narcotráfico  y</w:t>
        <w:br/>
        <w:t>de la guerrilla. El retorno de los desplazados  a  sus  hogares  carece,  en</w:t>
        <w:br/>
        <w:t>muchos casos, de las condiciones necesarias de seguridad y de dignidad  para</w:t>
        <w:br/>
        <w:t>ellos[156].</w:t>
        <w:br/>
        <w:br/>
        <w:t>125.107     Los departamentos más afectadas  por  dicho  fenómeno  han  sido</w:t>
        <w:br/>
        <w:t>Antioquia, Santander, Meta, Córdoba y Boyacá,  como  regiones  “responsables</w:t>
        <w:br/>
        <w:t>por la expulsión” de la mayoría de la población afectada. Por su parte,  los</w:t>
        <w:br/>
        <w:t>departamentos de  Cundinamarca,  Santander,  Antioquia,  Córdoba,  Norte  de</w:t>
        <w:br/>
        <w:t>Santander,  Boyacá  y  Atlántico  han  recibido  la  mayor  parte   de   los</w:t>
        <w:br/>
        <w:t>desplazados[157].</w:t>
        <w:br/>
        <w:br/>
        <w:t>125.108     Se han desarrollado una gran variedad de políticas  públicas  en</w:t>
        <w:br/>
        <w:t>relación con el problema del  desplazamiento,  incluyendo  múltiples  leyes,</w:t>
        <w:br/>
        <w:t>decretos, documentos del Consejo Nacional de  Política  Económica  y  Social</w:t>
        <w:br/>
        <w:t>(CONPES), resoluciones y directivas presidenciales, y programas de apoyo  de</w:t>
        <w:br/>
        <w:t>personas o de organismos particulares o internacionales. Entre  estos,  cabe</w:t>
        <w:br/>
        <w:t>destacar la Ley 387 de 18 de julio de 1997, “por la cual se adoptan  medidas</w:t>
        <w:br/>
        <w:t>para la prevención del  desplazamiento  forzado;  la  atención,  protección,</w:t>
        <w:br/>
        <w:t>consolidación y estabilización socioeconómica de  los  desplazados  internos</w:t>
        <w:br/>
        <w:t>por la violencia en la República de Colombia”;  el  Decreto  250  de  07  de</w:t>
        <w:br/>
        <w:t>febrero de 2005, “por el cual se expide el Plan Nacional  para  la  Atención</w:t>
        <w:br/>
        <w:t>Integral a la Población Desplazada  por  la  Violencia  y  se  dictan  otras</w:t>
        <w:br/>
        <w:t>disposiciones”; y el Decreto 2007 de 24 de septiembre de 2001, “por el  cual</w:t>
        <w:br/>
        <w:t>se reglamentan parcialmente los artículos 7, 17 y 19 de la Ley 387 de  1997,</w:t>
        <w:br/>
        <w:t>en lo relativo a la oportuna atención a la población  rural  desplazada  por</w:t>
        <w:br/>
        <w:t>la violencia, en el marco del retorno voluntario a su lugar de origen  o  de</w:t>
        <w:br/>
        <w:t>su reasentamiento en otro lugar y se adoptan medidas tendientes  a  prevenir</w:t>
        <w:br/>
        <w:t>esta situación”[158].</w:t>
        <w:br/>
        <w:br/>
        <w:t>125.109     A  pesar  de  las  acciones  realizadas  por  algunas  entidades</w:t>
        <w:br/>
        <w:t>estatales para mitigar los problemas  de  la  población  desplazada,  y  los</w:t>
        <w:br/>
        <w:t>importantes avances obtenidos, no ha  sido  posible  proteger  integralmente</w:t>
        <w:br/>
        <w:t>los  derechos  de  la  población  desplazada,  debido  principalmente  a  la</w:t>
        <w:br/>
        <w:t>precariedad de la capacidad institucional  para  implementar  las  políticas</w:t>
        <w:br/>
        <w:t>estatales y la asignación insuficiente de recursos[159].</w:t>
        <w:br/>
        <w:br/>
        <w:t>125.110     Las masacres ocurridas en La Granja y  El  Aro,  aunadas,  inter</w:t>
        <w:br/>
        <w:t>alia, al miedo de que se repitieran  hechos  similares,  al  amedrentamiento</w:t>
        <w:br/>
        <w:t>por parte de paramilitares, a las vivencias de los días  en  que  ocurrieron</w:t>
        <w:br/>
        <w:t>las masacres y los daños  sufridos  provocó  el  desplazamiento  interno  de</w:t>
        <w:br/>
        <w:t>familias enteras en dichos corregimientos.</w:t>
        <w:br/>
        <w:br/>
        <w:t>125.111     Luis Humberto Mendoza Arroyave  y  Julio  Eliver  Pérez  Areiza,</w:t>
        <w:br/>
        <w:t>quienes aparecen en el Registro Único de  Población  Desplazada,  junto  con</w:t>
        <w:br/>
        <w:t>sus grupos familiares, recibieron ayuda económica por parte  del  Estado  en</w:t>
        <w:br/>
        <w:t>razón de su condición de personas desplazadas[160].</w:t>
        <w:br/>
        <w:br/>
        <w:t>125.112     El registro de población desplazada que llevaba la Dirección  de</w:t>
        <w:br/>
        <w:t>Derechos Humanos del Ministerio del Interior para la época de los hechos  no</w:t>
        <w:br/>
        <w:t>contaba con información completa de la  población  desplazada  de  los  años</w:t>
        <w:br/>
        <w:t>1995 a 1999[161].</w:t>
        <w:br/>
        <w:br/>
        <w:t>125.113     Los habitantes desplazados en El Aro y La Granja  que  han  sido</w:t>
        <w:br/>
        <w:t>identificados en el procedimiento ante la Corte son aquellos mencionados  en</w:t>
        <w:br/>
        <w:t>el Anexo IV de esta Sentencia.</w:t>
        <w:br/>
        <w:br/>
        <w:t xml:space="preserve">      Con respecto a los daños causados a los familiares de las presuntas</w:t>
        <w:br/>
        <w:t xml:space="preserve">      víctimas y las costas y gastos</w:t>
        <w:br/>
        <w:br/>
        <w:t>125.114     Debido a las características en que se desarrollaron los  hechos</w:t>
        <w:br/>
        <w:t>del presente caso, los familiares de las presuntas víctimas,  así  como  los</w:t>
        <w:br/>
        <w:t>pobladores sobrevivientes de La Granja  y  El  Aro  padecieron  un  profundo</w:t>
        <w:br/>
        <w:t>sufrimiento, así como daños materiales; en algunos casos su salud  física  y</w:t>
        <w:br/>
        <w:t>psicológica se vio afectada, sus  relaciones  sociales  y  laborales  fueron</w:t>
        <w:br/>
        <w:t>impactadas, se alteró la dinámica de sus familias.</w:t>
        <w:br/>
        <w:br/>
        <w:t>125.115           La  Comisión  Colombiana   de    Juristas   y   el   Grupo</w:t>
        <w:br/>
        <w:t>Interdisciplinario  de  los  Derechos  Humanos  han  incurrido   en   gastos</w:t>
        <w:br/>
        <w:t>relacionados con el trámite del presente caso ante los órganos  del  Sistema</w:t>
        <w:br/>
        <w:t>Interamericano de Protección de los Derechos Humanos, en  representación  de</w:t>
        <w:br/>
        <w:t>algunos de los familiares de las presuntas víctimas[162].</w:t>
        <w:br/>
        <w:br/>
        <w:t xml:space="preserve">                                     IX</w:t>
        <w:br/>
        <w:t xml:space="preserve">                    Artículo 4 de la Convención Americana</w:t>
        <w:br/>
        <w:t xml:space="preserve">                             (Derecho a la Vida)</w:t>
        <w:br/>
        <w:t xml:space="preserve">                 en relación con el artículo 1.1 de la misma</w:t>
        <w:br/>
        <w:br/>
        <w:t>126.  El Estado ha  reconocido  su  responsabilidad  por  la  violación  del</w:t>
        <w:br/>
        <w:t>artículo 4 (Derecho a la Vida) de la Convención  Americana  en  el  presente</w:t>
        <w:br/>
        <w:t>caso (supra párrs. 59, 64, 65 y 72).  No obstante, de acuerdo a lo  señalado</w:t>
        <w:br/>
        <w:t>en  la  sección  denominada  “Consideraciones  Previas”   de   la   presente</w:t>
        <w:br/>
        <w:t>Sentencia,  la  Corte  considera  indispensable  hacer  algunas  precisiones</w:t>
        <w:br/>
        <w:t>respecto de ciertos puntos relacionados con  las  obligaciones  establecidas</w:t>
        <w:br/>
        <w:t>en dicho artículo (supra párr. 81).</w:t>
        <w:br/>
        <w:br/>
        <w:t>127.  El artículo 4.1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128.  El derecho a la vida es  un  derecho  humano  fundamental,  cuyo  goce</w:t>
        <w:br/>
        <w:t>pleno es un prerrequisito para el  disfrute  de  todos  los  demás  derechos</w:t>
        <w:br/>
        <w:t>humanos[163].  De no ser respetado, todos los derechos carecen  de  sentido.</w:t>
        <w:br/>
        <w:t>En razón de dicho carácter, no  son  admisibles  enfoques  restrictivos  del</w:t>
        <w:br/>
        <w:t>mismo[164].  De conformidad con el  artículo  27.2  de  la  Convención  este</w:t>
        <w:br/>
        <w:t>derecho forma parte del núcleo inderogable,  pues  se  encuentra  consagrado</w:t>
        <w:br/>
        <w:t>como uno de los derechos que no puede ser suspendido  en  casos  de  guerra,</w:t>
        <w:br/>
        <w:t>peligro público u otras amenazas a  la  independencia  o  seguridad  de  los</w:t>
        <w:br/>
        <w:t>Estados Partes[165].</w:t>
        <w:br/>
        <w:br/>
        <w:t>129.   En  virtud  de  este  papel  fundamental  que  se  le  asigna  en  la</w:t>
        <w:br/>
        <w:t>Convención, los Estados tienen la obligación de garantizar  la  creación  de</w:t>
        <w:br/>
        <w:t>las condiciones necesarias para que  no  se  produzcan  violaciones  de  ese</w:t>
        <w:br/>
        <w:t>derecho inalienable, así como  el  deber  de  impedir  que  sus  agentes,  o</w:t>
        <w:br/>
        <w:t>particulares, atenten contra el mismo[166]. El  objeto  y  propósito  de  la</w:t>
        <w:br/>
        <w:t>Convención, como instrumento para la protección  del  ser  humano,  requiere</w:t>
        <w:br/>
        <w:t>que el derecho a la vida sea interpretado  y  aplicado  de  manera  que  sus</w:t>
        <w:br/>
        <w:t>salvaguardas sean prácticas y efectivas (effet utile)[167].</w:t>
        <w:br/>
        <w:br/>
        <w:t>130.   La  Corte  ha  señalado  en  su  jurisprudencia  constante   que   el</w:t>
        <w:br/>
        <w:t>cumplimiento  de  las  obligaciones  impuestas  por  el  artículo  4  de  la</w:t>
        <w:br/>
        <w:t>Convención Americana, relacionado con el artículo 1.1 de la misma,  no  sólo</w:t>
        <w:br/>
        <w:t>presupone que  ninguna  persona  sea  privada  de  su  vida  arbitrariamente</w:t>
        <w:br/>
        <w:t>(obligación negativa), sino que además requiere, a la luz de  su  obligación</w:t>
        <w:br/>
        <w:t>de garantizar el pleno y libre ejercicio de los derechos  humanos,  que  los</w:t>
        <w:br/>
        <w:t>Estados adopten todas las medidas apropiadas para proteger  y  preservar  el</w:t>
        <w:br/>
        <w:t>derecho a la vida (obligación positiva) de quienes  se  encuentren  bajo  su</w:t>
        <w:br/>
        <w:t>jurisdicción[168].</w:t>
        <w:br/>
        <w:br/>
        <w:t>131.  Esta protección activa del derecho a la vida por parte del  Estado  no</w:t>
        <w:br/>
        <w:t>sólo involucra a sus legisladores, sino  a  toda  institución  estatal  y  a</w:t>
        <w:br/>
        <w:t>quienes deben resguardar la seguridad, sean éstas sus fuerzas de  policía  o</w:t>
        <w:br/>
        <w:t>sus fuerzas armadas.  En razón de lo anterior,  los  Estados  deben  adoptar</w:t>
        <w:br/>
        <w:t>las medidas necesarias,  no  sólo  a  nivel  legislativo,  administrativo  y</w:t>
        <w:br/>
        <w:t>judicial, mediante la emisión de normas penales y el establecimiento  de  un</w:t>
        <w:br/>
        <w:t>sistema de justicia para prevenir, suprimir y castigar la  privación  de  la</w:t>
        <w:br/>
        <w:t>vida como consecuencia de actos criminales, sino  también  para  prevenir  y</w:t>
        <w:br/>
        <w:t>proteger a  los  individuos  de  actos  criminales  de  otros  individuos  e</w:t>
        <w:br/>
        <w:t>investigar efectivamente estas situaciones[169].</w:t>
        <w:br/>
        <w:br/>
        <w:t>132.  En el presente caso ha sido probado (supra párr.  125.36  a  125.40  y</w:t>
        <w:br/>
        <w:t>125.55 a 125.79), y el Estado ha reconocido,  que  en  junio  de  1996  y  a</w:t>
        <w:br/>
        <w:t>partir de octubre de 1997, en los corregimientos de  La  Granja  y  El  Aro,</w:t>
        <w:br/>
        <w:t>respectivamente, ambos ubicados en el Municipio de Ituango, Departamento  de</w:t>
        <w:br/>
        <w:t>Antioquia, Colombia, grupos paramilitares perpetraron sucesivas  incursiones</w:t>
        <w:br/>
        <w:t>armadas, asesinando a su  paso  a  civiles  en  estado  de  indefensión.  La</w:t>
        <w:br/>
        <w:t>responsabilidad del Estado por dichos actos, los cuales se  enmarcan  dentro</w:t>
        <w:br/>
        <w:t>de un patrón de masacres semejantes, se deriva  de  los  actos  de  omisión,</w:t>
        <w:br/>
        <w:t>aquiescencia y colaboración por parte  de  miembros  de  la  Fuerza  Pública</w:t>
        <w:br/>
        <w:t>apostados en dicho municipio.</w:t>
        <w:br/>
        <w:br/>
        <w:t>133.  Tal  y  como  reconoció  el  Estado  (supra  párrs.  63  y  64),  está</w:t>
        <w:br/>
        <w:t>comprobado  que  agentes  estatales  tenían  pleno   conocimiento   de   las</w:t>
        <w:br/>
        <w:t>actividades de terror realizadas por estos grupos  paramilitares  sobre  los</w:t>
        <w:br/>
        <w:t>pobladores de La Granja y El Aro.  Lejos de tomar acciones para  proteger  a</w:t>
        <w:br/>
        <w:t>la  población,  miembros  del  Ejército  nacional  no  sólo   prestaron   su</w:t>
        <w:br/>
        <w:t>aquiescencia a  los  actos  perpetrados  por  los  paramilitares,  sino  que</w:t>
        <w:br/>
        <w:t>también se produjeron instancias de participación  y  colaboración  directa.</w:t>
        <w:br/>
        <w:t>Efectivamente, la participación  de  agentes  del  Estado  en  la  incursión</w:t>
        <w:br/>
        <w:t>armada no se limitó a  facilitar  el  ingreso  de  los  paramilitares  a  la</w:t>
        <w:br/>
        <w:t>región, sino que también omitieron asistir a la población civil  durante  el</w:t>
        <w:br/>
        <w:t>desarrollo de aquélla, resultando así en  la  total  indefensión  de  éstos.</w:t>
        <w:br/>
        <w:t>Dicha colaboración entre paramilitares y agentes del Estado  resultó  en  la</w:t>
        <w:br/>
        <w:t>muerte violenta de diecinueve pobladores de La Granja y El Aro.</w:t>
        <w:br/>
        <w:br/>
        <w:t>134.  La Corte reconoce que  el  Estado  ha  adoptado  determinadas  medidas</w:t>
        <w:br/>
        <w:t>legislativas para prohibir, prevenir  y  castigar  las  actividades  de  los</w:t>
        <w:br/>
        <w:t>grupos de autodefensa o paramilitares (supra párr.  125.3  a  125.22).   Sin</w:t>
        <w:br/>
        <w:t>embargo, esas medidas no se vieron traducidas en la  desactivación  concreta</w:t>
        <w:br/>
        <w:t>y efectiva del riesgo que el propio Estado había contribuido  a  crear.  Con</w:t>
        <w:br/>
        <w:t>la interpretación que durante años se le  dio  al  marco  legal,  el  Estado</w:t>
        <w:br/>
        <w:t>propició la creación de grupos de autodefensas con fines  específicos,  pero</w:t>
        <w:br/>
        <w:t>éstos se desbordaron y empezaron a actuar al margen  de  la  ley.   De  este</w:t>
        <w:br/>
        <w:t>modo, al haber propiciado  la  creación  de  estos  grupos  el  Estado  creó</w:t>
        <w:br/>
        <w:t>objetivamente una situación de riesgo para sus habitantes y no adoptó  todas</w:t>
        <w:br/>
        <w:t>las medidas necesarias ni suficientes para evitar que  éstos  puedan  seguir</w:t>
        <w:br/>
        <w:t>cometiendo  hechos  como  los  del  presente  caso.   La   declaratoria   de</w:t>
        <w:br/>
        <w:t>ilegalidad de éstos debía traducirse en la adopción de  medidas  suficientes</w:t>
        <w:br/>
        <w:t>y efectivas para evitar las consecuencias del riesgo creado. Esta  situación</w:t>
        <w:br/>
        <w:t>de riesgo, mientras subsista, acentúa los deberes especiales  de  prevención</w:t>
        <w:br/>
        <w:t>y protección a cargo del Estado en las zonas  en  que  exista  presencia  de</w:t>
        <w:br/>
        <w:t>grupos  paramilitares,  así  como  la  obligación  de  investigar  con  toda</w:t>
        <w:br/>
        <w:t>diligencia actos u omisiones de agentes  estatales  y  de  particulares  que</w:t>
        <w:br/>
        <w:t>atenten contra la población civil.</w:t>
        <w:br/>
        <w:br/>
        <w:t>135.  La falta de efectividad  en  la  desarticulación  de  las  estructuras</w:t>
        <w:br/>
        <w:t>paramilitares surge además de  las  motivaciones  y  características  de  la</w:t>
        <w:br/>
        <w:t>legislación adoptada a partir de 1989 (supra  párr.  125.4  a  125.22),  así</w:t>
        <w:br/>
        <w:t>como también del análisis de la intensidad  cuantitativa  y  cualitativa  de</w:t>
        <w:br/>
        <w:t>violaciones de derechos humanos cometidas por paramilitares en la  época  de</w:t>
        <w:br/>
        <w:t>los hechos y en  años  subsiguientes,  actuando  por  sí  mismos  o  con  la</w:t>
        <w:br/>
        <w:t>aquiescencia o colaboración de agentes estatales.</w:t>
        <w:br/>
        <w:br/>
        <w:t>136.  La Corte  considera  que  es  dentro  del  contexto  descrito  en  que</w:t>
        <w:br/>
        <w:t>sucedieron los hechos del caso, que debe  determinarse  la  observancia  por</w:t>
        <w:br/>
        <w:t>parte del Estado de sus obligaciones convencionales de  respeto  y  garantía</w:t>
        <w:br/>
        <w:t>de los derechos de las víctimas.</w:t>
        <w:br/>
        <w:br/>
        <w:t>137.  En este tipo de situaciones, de  violencia  sistemática  y  de  graves</w:t>
        <w:br/>
        <w:t>violaciones de los derechos en cuestión, en una  zona  de  conflicto  (supra</w:t>
        <w:br/>
        <w:t>párr. 125.23 a 125.25 y 125.28), los deberes de  adoptar  medidas  positivas</w:t>
        <w:br/>
        <w:t>de  prevención  y  protección  a  cargo  del  Estado  se  ven  acentuados  y</w:t>
        <w:br/>
        <w:t>revestidos  de  importancia  cardinal  en  el  marco  de  las   obligaciones</w:t>
        <w:br/>
        <w:t>establecidas en el artículo 1.1 de la Convención.</w:t>
        <w:br/>
        <w:br/>
        <w:t>138.  Por las  razones  expuestas  en  los  párrafos  anteriores,  la  Corte</w:t>
        <w:br/>
        <w:t>concluye que el Estado  no  cumplió  con  su  obligación  de  garantizar  el</w:t>
        <w:br/>
        <w:t>derecho a la vida consagrado en el artículo 4 de la Convención, en  relación</w:t>
        <w:br/>
        <w:t>con el artículo 1.1 de la misma, en perjuicio  de  William  de  Jesús  Villa</w:t>
        <w:br/>
        <w:t>García, María Graciela Arboleda  Rodríguez,  Héctor  Hernán  Correa  García,</w:t>
        <w:br/>
        <w:t>Jairo  de  Jesús  Sepúlveda  Arias,  Arnulfo  Sánchez  Álvarez,  José  Darío</w:t>
        <w:br/>
        <w:t>Martínez Pérez, Olcris Fail Díaz Pérez, Wilmar  de  Jesús  Restrepo  Torres,</w:t>
        <w:br/>
        <w:t>Omar de Jesús Ortiz Carmona, Fabio Antonio Zuleta Zabala, Otoniel  de  Jesús</w:t>
        <w:br/>
        <w:t>Tejada Jaramillo, Omar  Iván  Gutiérrez  Nohavá,  Guillermo  Andrés  Mendoza</w:t>
        <w:br/>
        <w:t>Posso, Nelso0n de Jesús Palacio Cárdenas, Luis Modesto Múnera  Posada,  Dora</w:t>
        <w:br/>
        <w:t>Luz Areiza Arroyave, Alberto Correa, Marco Aurelio  Areiza  Osorio  y  Elvia</w:t>
        <w:br/>
        <w:t>Rosa Areiza Barrera.</w:t>
        <w:br/>
        <w:br/>
        <w:t xml:space="preserve">                                      X</w:t>
        <w:br/>
        <w:t xml:space="preserve">                 Artículos 6 y 7 de la Convención Americana</w:t>
        <w:br/>
        <w:t xml:space="preserve">                 (Prohibición de la Esclavitud y Servidumbre</w:t>
        <w:br/>
        <w:t xml:space="preserve">                      y Derecho a la Libertad Personal)</w:t>
        <w:br/>
        <w:t xml:space="preserve">                 en relación con el artículo 1.1 de la misma</w:t>
        <w:br/>
        <w:br/>
        <w:t>Alegatos de la Comisión</w:t>
        <w:br/>
        <w:br/>
        <w:t>139.   La  Comisión  Interamericana  no  alegó  la  supuesta  violación  del</w:t>
        <w:br/>
        <w:t>artículo 6 de la Convención Americana.</w:t>
        <w:br/>
        <w:br/>
        <w:t>140.  Con relación a la presunta violación del artículo 7 de  la  Convención</w:t>
        <w:br/>
        <w:t>Americana, la Comisión señaló que:</w:t>
        <w:br/>
        <w:br/>
        <w:t xml:space="preserve">   a) el Estado se allanó a las pretensiones de la Comisión en la demanda en</w:t>
        <w:br/>
        <w:t xml:space="preserve">      cuanto a la violación del artículo 7 en perjuicio de los señores Jairo</w:t>
        <w:br/>
        <w:t xml:space="preserve">      Sepúlveda, Marco Aurelio Areiza y Rosa Areiza (supra párrs. 19); y</w:t>
        <w:br/>
        <w:br/>
        <w:br/>
        <w:t xml:space="preserve">   b) la  Comisión  no  presentó  argumentos  en  relación  con  la  posible</w:t>
        <w:br/>
        <w:t xml:space="preserve">      violación del derecho a la libertad personal consagrado en el artículo</w:t>
        <w:br/>
        <w:t xml:space="preserve">      7 de la Convención en perjuicio de las  presuntas  víctimas  señaladas</w:t>
        <w:br/>
        <w:t xml:space="preserve">      por los representantes en su escrito de solicitudes y argumentos.</w:t>
        <w:br/>
        <w:br/>
        <w:t>Alegatos de los representantes</w:t>
        <w:br/>
        <w:br/>
        <w:t>141.  En  relación  con  el  artículo  6  de  la  Convención  Americana  los</w:t>
        <w:br/>
        <w:t>representantes alegaron que:</w:t>
        <w:br/>
        <w:br/>
        <w:t xml:space="preserve">      a)    el grupo paramilitar obligó a  algunas  personas  de  El  Aro  a</w:t>
        <w:br/>
        <w:t xml:space="preserve">      recoger y  trasladar,  durante  aproximadamente  diecisiete  días,  el</w:t>
        <w:br/>
        <w:t xml:space="preserve">      ganado caballar, mular y vacuno que fue hurtado a  los  habitantes  de</w:t>
        <w:br/>
        <w:t xml:space="preserve">      ese corregimiento,  con  el  propósito  de  “asegurar  la  apropiación</w:t>
        <w:br/>
        <w:t xml:space="preserve">      arbitraria de estos bienes”;</w:t>
        <w:br/>
        <w:br/>
        <w:br/>
        <w:t xml:space="preserve">      b)    fueron 17 las personas obligadas a arrear el ganado;</w:t>
        <w:br/>
        <w:br/>
        <w:br/>
        <w:t xml:space="preserve">      c)    el trabajo de arreo “fue realizado contra su voluntad y a riesgo</w:t>
        <w:br/>
        <w:t xml:space="preserve">      de perder sus vidas en caso de oponerse a ello”;</w:t>
        <w:br/>
        <w:br/>
        <w:br/>
        <w:t xml:space="preserve">      d)    “la amenaza cierta e inminente contra la  vida,  que  se  cernía</w:t>
        <w:br/>
        <w:t xml:space="preserve">      sobre los campesinos de El Aro, a partir de los  asesinatos  cometidos</w:t>
        <w:br/>
        <w:t xml:space="preserve">      por el grupo paramilitar que tomó el corregimiento, indicaba que  [los</w:t>
        <w:br/>
        <w:t xml:space="preserve">      arrieros] entendieran que no aceptar el trabajo que  se  les  imponía,</w:t>
        <w:br/>
        <w:t xml:space="preserve">      les causaría la pena de muerte que ya habían  sufrido  varios  de  los</w:t>
        <w:br/>
        <w:t xml:space="preserve">      pobladores”;</w:t>
        <w:br/>
        <w:br/>
        <w:br/>
        <w:t xml:space="preserve">      e)    las autoridades militares en Puerto Valdivia no  impidieron  que</w:t>
        <w:br/>
        <w:t xml:space="preserve">      los  paramilitares  obligaran  a  realizar  trabajos  forzosos  a  los</w:t>
        <w:br/>
        <w:t xml:space="preserve">      pobladores de El Aro.  Más aún, la apropiación del ganado fue conocida</w:t>
        <w:br/>
        <w:t xml:space="preserve">      por  miembros  del  Ejército  y  éstos,  en  vez  de  proteger  a  los</w:t>
        <w:br/>
        <w:t xml:space="preserve">      campesinos, apoyaron y favorecieron la imposición del trabajo  forzoso</w:t>
        <w:br/>
        <w:t xml:space="preserve">      e impusieron un toque de queda para facilitar el robo del ganado; y</w:t>
        <w:br/>
        <w:br/>
        <w:br/>
        <w:t xml:space="preserve">      f)    el fallo de primera instancia en las investigaciones  realizadas</w:t>
        <w:br/>
        <w:t xml:space="preserve">      por la Procuraduría Delegada para los Derechos Humanos en  contra  del</w:t>
        <w:br/>
        <w:t xml:space="preserve">      Teniente Everardo Bolaños y del Cabo Primero  Germán  Alzate  Cardona,</w:t>
        <w:br/>
        <w:t xml:space="preserve">      señaló que los arrieros fueron  obligados  a  llevar  a  cabo  trabajo</w:t>
        <w:br/>
        <w:t xml:space="preserve">      forzoso.</w:t>
        <w:br/>
        <w:br/>
        <w:t>142.  En cuanto a la presunta violación del  artículo  7  de  la  Convención</w:t>
        <w:br/>
        <w:t>Americana los representantes señalaron que:</w:t>
        <w:br/>
        <w:br/>
        <w:t xml:space="preserve">   a)  fueron  15  los  señores  privados  de  su  libertad  por  el   grupo</w:t>
        <w:br/>
        <w:t xml:space="preserve">      paramilitar;</w:t>
        <w:br/>
        <w:br/>
        <w:br/>
        <w:t xml:space="preserve">   b) las presuntas víctimas, una vez que fueron  “privadas  arbitrariamente</w:t>
        <w:br/>
        <w:t xml:space="preserve">      de su libertad, fueron llevadas a sitios ajenos a donde residían”;</w:t>
        <w:br/>
        <w:br/>
        <w:t xml:space="preserve">   c) “al ser privadas de la libertad, las presuntas víctimas fueron también</w:t>
        <w:br/>
        <w:t xml:space="preserve">      privadas de la posibilidad de ser informadas legalmente de las razones</w:t>
        <w:br/>
        <w:t xml:space="preserve">      de su detención y de ser llevadas,  sin  demora,  ante  una  autoridad</w:t>
        <w:br/>
        <w:t xml:space="preserve">      judicial”;</w:t>
        <w:br/>
        <w:br/>
        <w:t xml:space="preserve">   d)  “la privación de la libertad  de  que  fueron  objeto  las  presuntas</w:t>
        <w:br/>
        <w:t xml:space="preserve">      víctimas, se produjo sin que se hubiesen observado en  ningún  momento</w:t>
        <w:br/>
        <w:t xml:space="preserve">      los  supuestos  normativos  que   garantizan   la   legalidad   y   no</w:t>
        <w:br/>
        <w:t xml:space="preserve">      arbitrariedad de la detención.  Por  el  contrario,  su  privación  de</w:t>
        <w:br/>
        <w:t xml:space="preserve">      libertad se hizo por paramilitares, personas ajenas a toda competencia</w:t>
        <w:br/>
        <w:t xml:space="preserve">      y autorización legal para hacerlo”. El  hecho  de  que  las  presuntas</w:t>
        <w:br/>
        <w:t xml:space="preserve">      víctimas fueran privadas de su  libertad  por  paramilitares  apoyados</w:t>
        <w:br/>
        <w:t xml:space="preserve">      abiertamente  por  miembros  de  la  Fuerza  Pública,   vulneró   esta</w:t>
        <w:br/>
        <w:t xml:space="preserve">      fundamental cláusula de salvaguarda de la libertad personal; y</w:t>
        <w:br/>
        <w:br/>
        <w:t xml:space="preserve">   e) el Estado es responsable por la violación del derecho a la libertad de</w:t>
        <w:br/>
        <w:t xml:space="preserve">      las presuntas víctimas “porque sus agentes contribuyeron,  apoyaron  y</w:t>
        <w:br/>
        <w:t xml:space="preserve">      facilitaron la actuación desarrollada por el grupo paramilitar en  los</w:t>
        <w:br/>
        <w:t xml:space="preserve">      hechos ocurridos” en el presente caso.</w:t>
        <w:br/>
        <w:br/>
        <w:t>Alegatos del Estado</w:t>
        <w:br/>
        <w:br/>
        <w:t>143.   En  relación  con  la  presunta  violación  del  artículo  6  de   la</w:t>
        <w:br/>
        <w:t>Convención, el Estado afirmó “no haber incumplido deber convencional  alguno</w:t>
        <w:br/>
        <w:t>derivado de [dicho artículo]”.</w:t>
        <w:br/>
        <w:br/>
        <w:t>144.  En cuanto a la presunta violación del artículo 7 de la Convención,  el</w:t>
        <w:br/>
        <w:t>Estado señaló que:</w:t>
        <w:br/>
        <w:br/>
        <w:t xml:space="preserve">   a) se allanaba a las pretensiones de la Comisión en la demanda en  cuanto</w:t>
        <w:br/>
        <w:t xml:space="preserve">      a la violación del artículo 7 de la Convención  en  perjuicio  de  los</w:t>
        <w:br/>
        <w:t xml:space="preserve">      señores Jairo Sepúlveda, Marco Aurelio Areiza  y  Rosa  Areiza  (supra</w:t>
        <w:br/>
        <w:t xml:space="preserve">      párr. 19); y</w:t>
        <w:br/>
        <w:br/>
        <w:br/>
        <w:t xml:space="preserve">   b) no presentó argumentos  en  relación  con  la  posible  violación  del</w:t>
        <w:br/>
        <w:t xml:space="preserve">      derecho a la libertad personal consagrado  en  el  artículo  7  de  la</w:t>
        <w:br/>
        <w:t xml:space="preserve">      Convención en perjuicio de las presuntas víctimas  señaladas  por  los</w:t>
        <w:br/>
        <w:t xml:space="preserve">      representantes en su escrito de solicitudes y argumentos.</w:t>
        <w:br/>
        <w:br/>
        <w:t>Consideraciones de la Corte</w:t>
        <w:br/>
        <w:br/>
        <w:t>145.  En virtud de lo señalado en el  capítulo  de  Consideraciones  Previas</w:t>
        <w:br/>
        <w:t>(supra párr. 78.b y 78.c), el presente capítulo se limitará a  analizar  las</w:t>
        <w:br/>
        <w:t>presuntas violaciones de los artículos 6.2 (Prohibición de la  Esclavitud  y</w:t>
        <w:br/>
        <w:t>Servidumbre) y 7 (Derecho a  la  Libertad  Personal)  de  la  Convención  en</w:t>
        <w:br/>
        <w:t>perjuicio  de  aquellas  personas  que  no  hayan  sido  abarcadas  por   el</w:t>
        <w:br/>
        <w:t>reconocimiento de responsabilidad internacional por parte del Estado.</w:t>
        <w:br/>
        <w:br/>
        <w:t>146.  La Corte considera oportuno analizar de manera conjunta las  supuestas</w:t>
        <w:br/>
        <w:t>violaciones de los artículos 6.2 y 7 de la Convención dado  que,  en  primer</w:t>
        <w:br/>
        <w:t>lugar, los representantes alegaron la presunta violación de ambos  artículos</w:t>
        <w:br/>
        <w:t>en perjuicio de las mismas  personas,  con  excepción  de  dos  personas  de</w:t>
        <w:br/>
        <w:t>quienes sólo se alegó la violación del  artículo 6 de la  Convención  y,  en</w:t>
        <w:br/>
        <w:t>segundo lugar, los hechos guardan una estrecha relación  en  el  sentido  de</w:t>
        <w:br/>
        <w:t>que  los  arrieros  fueron  supuestamente  privados   de   su   libertad   y</w:t>
        <w:br/>
        <w:t>seguidamente obligados a arrear ganado.</w:t>
        <w:br/>
        <w:br/>
        <w:t>147.  La Corte observa que la Comisión no presentó alegatos en relación  con</w:t>
        <w:br/>
        <w:t>las presuntas violaciones  de  los  artículos  6.2  y  7  de  la  Convención</w:t>
        <w:br/>
        <w:t>Americana, en relación con las personas señaladas  por  los  representantes.</w:t>
        <w:br/>
        <w:t>Sin embargo, la jurisprudencia del Tribunal ha establecido con claridad  que</w:t>
        <w:br/>
        <w:t>los  representantes  pueden  argumentar  que  ha  habido  otras  violaciones</w:t>
        <w:br/>
        <w:t>diferentes  de  las  alegadas  por  la  Comisión,  siempre  y  cuando   esos</w:t>
        <w:br/>
        <w:t>argumentos de derecho se atengan a los hechos alegados en  la  demanda[170].</w:t>
        <w:br/>
        <w:t>En este sentido, la Comisión señaló  en  la  demanda,  bajo  el  acápite  de</w:t>
        <w:br/>
        <w:t>“Fundamentos de Hecho”, que de los “elementos de prueba  surge  también  que</w:t>
        <w:br/>
        <w:t>el grupo paramilitar obligó a 17 campesinos de la zona a arrear el ganado  a</w:t>
        <w:br/>
        <w:t>los puntos de destino”[171].  Adicionalmente,  la  Comisión  transcribió  en</w:t>
        <w:br/>
        <w:t>dicho  acápite  de  la  demanda  dos  testimonios  en  los  cuales  se  hace</w:t>
        <w:br/>
        <w:t>referencia a estos “17” arrieros[172].  Por lo anterior, la Corte  considera</w:t>
        <w:br/>
        <w:t>que los representantes alegaron la presunta violación del  artículo  6.2  de</w:t>
        <w:br/>
        <w:t>la Convención, en perjuicio de 17 presuntas víctimas,  con  base  en  hechos</w:t>
        <w:br/>
        <w:t>contenidos en la demanda, y el artículo 7 de dicho tratado en  perjuicio  de</w:t>
        <w:br/>
        <w:t>15 de estas mismas personas (supra párrs. 141.b y 142.a).</w:t>
        <w:br/>
        <w:br/>
        <w:t>148.  El artículo 6.2 de la Convención Americana dispone que  “[n]adie  debe</w:t>
        <w:br/>
        <w:t>ser constreñido a ejecutar un  trabajo forzoso u obligatorio. […]”</w:t>
        <w:br/>
        <w:br/>
        <w:br/>
        <w:t>149.  El artículo 7 de la Convención establece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 Nadie  puede  ser  sometido  a  detención  o   encarcelamiento</w:t>
        <w:br/>
        <w:t xml:space="preserve">      arbitrarios.</w:t>
        <w:br/>
        <w:br/>
        <w:br/>
        <w:t xml:space="preserve">      4.     Toda persona detenida o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br/>
        <w:t xml:space="preserve">      6.    Toda persona privada de libertad tiene derecho a  recurrir  ante</w:t>
        <w:br/>
        <w:t xml:space="preserve">      un juez o tribunal competente, a fin de que éste decida,  sin  demora,</w:t>
        <w:br/>
        <w:t xml:space="preserve">      sobre la legalidad de su arresto o detención y ordene su  libertad  si</w:t>
        <w:br/>
        <w:t xml:space="preserve">      el arresto o la detención fueran ilegales. En los Estados Partes cuyas</w:t>
        <w:br/>
        <w:t xml:space="preserve">      leyes prevén que toda persona que se viera amenazada de ser privada de</w:t>
        <w:br/>
        <w:t xml:space="preserve">      su libertad tiene derecho a recurrir a un juez o tribunal competente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t xml:space="preserve">      […]</w:t>
        <w:br/>
        <w:br/>
        <w:t>150.  La Corte considera  demostrado  (supra  párr.  125.82  y  125.83)  que</w:t>
        <w:br/>
        <w:t>durante la incursión ocurrida en El Aro los  paramilitares,  para  facilitar</w:t>
        <w:br/>
        <w:t>la sustracción de entre 800 y 1.200 cabezas de  ganado  (infra  párr.  176),</w:t>
        <w:br/>
        <w:t>privaron de su libertad y obligaron, por medio de amenazas, a 17  campesinos</w:t>
        <w:br/>
        <w:t>(supra párr. 125.82) a arrear los  animales  durante  17  días  por  la  vía</w:t>
        <w:br/>
        <w:t>publica custodiada por miembros del Ejército, quienes no sólo  prestaron  su</w:t>
        <w:br/>
        <w:t>aquiescencia a  los  actos  perpetrados  por  los  paramilitares,  sino  que</w:t>
        <w:br/>
        <w:t>también produjeron  instancias  de  participación  y  colaboración  directa,</w:t>
        <w:br/>
        <w:t>incluyendo la determinación de un toque de queda con el fin de facilitar  la</w:t>
        <w:br/>
        <w:t>apropiación del ganado.  El Estado reconoció (supra párr. 19),  y  el  fallo</w:t>
        <w:br/>
        <w:t>de 30 de septiembre de 2002  emitido  por  la  Procuraduría  General  de  la</w:t>
        <w:br/>
        <w:t>Nación[173] asimismo  lo  reconoce  (supra  párr.  125.100),  que  el  grupo</w:t>
        <w:br/>
        <w:t>paramilitar que incursionó en El Aro, después de llevar a cabo la masacre  y</w:t>
        <w:br/>
        <w:t>los actos de intimidación, robó el ganado  de  sus  habitantes  e  impuso  a</w:t>
        <w:br/>
        <w:t>algunas personas de este corregimiento el trabajo de recoger y trasladar  el</w:t>
        <w:br/>
        <w:t>ganado durante aproximadamente diecisiete días.</w:t>
        <w:br/>
        <w:br/>
        <w:t>151.   Corresponde  a  la  Corte  decidir  si  tales  hechos   originan   la</w:t>
        <w:br/>
        <w:t>responsabilidad internacional del Estado, lo cual exige un  examen  detenido</w:t>
        <w:br/>
        <w:t>respecto de las condiciones en las cuales un determinado acto u omisión  que</w:t>
        <w:br/>
        <w:t>lesione uno o más de los derechos consagrados por  la  Convención  Americana</w:t>
        <w:br/>
        <w:t>puede ser atribuido a un Estado Parte y,  en  consecuencia,  comprometer  su</w:t>
        <w:br/>
        <w:t>responsabilidad según las reglas del derecho internacional.</w:t>
        <w:br/>
        <w:br/>
        <w:t>152.  El Tribunal pasará a analizar, en primer lugar, la supuesta  violación</w:t>
        <w:br/>
        <w:t>del derecho a la libertad  personal  y,  seguidamente,  la  prohibición  del</w:t>
        <w:br/>
        <w:t>trabajo forzoso, ya que las supuestas violaciones ocurrieron en dicho  orden</w:t>
        <w:br/>
        <w:t>cronológico.</w:t>
        <w:br/>
        <w:br/>
        <w:t>a)  La privación de la libertad personal</w:t>
        <w:br/>
        <w:br/>
        <w:t>153.  En el presente caso ha sido demostrado (supra  párr.  125.84)  que  17</w:t>
        <w:br/>
        <w:t>campesinos de El Aro fueron privados de su libertad durante 17 días  al  ser</w:t>
        <w:br/>
        <w:t>retenidos por el grupo paramilitar que controlaba el  corregimiento  durante</w:t>
        <w:br/>
        <w:t>los días de la incursión.  Dicha incursión ocurrió  con  la  aquiescencia  o</w:t>
        <w:br/>
        <w:t>tolerancia de agentes del Ejército colombiano.  A las personas retenidas  se</w:t>
        <w:br/>
        <w:t>les privó su derecho a la libertad con el propósito de obligarlas a  recoger</w:t>
        <w:br/>
        <w:t>y arrear ganado sustraido de toda la región.  La  Corte  estima  que  dichas</w:t>
        <w:br/>
        <w:t>detenciones se produjeron de manera ilegal y arbitraria, toda vez que  estas</w:t>
        <w:br/>
        <w:t>fueron llevadas  a  cabo  sin  orden  de  detención  suscrita  por  un  juez</w:t>
        <w:br/>
        <w:t>competente y sin que se acreditara una situación de flagrancia.</w:t>
        <w:br/>
        <w:br/>
        <w:t>b)  El trabajo forzoso u obligatorio</w:t>
        <w:br/>
        <w:br/>
        <w:t>154.  Los representantes alegaron la presunta violación del artículo 6.2  de</w:t>
        <w:br/>
        <w:t>la Convención en perjuicio de las personas que fueron detenidas y  obligadas</w:t>
        <w:br/>
        <w:t>a arrear el ganado sustraido durante la incursión  paramilitar  en  El  Aro.</w:t>
        <w:br/>
        <w:t>Al analizar el contenido y alcance de dicho artículo en  el  presente  caso,</w:t>
        <w:br/>
        <w:t>este Tribunal tomará en  cuenta,  a  la  luz  de  las  reglas  generales  de</w:t>
        <w:br/>
        <w:t>interpretación  establecidas  en  el  artículo  29  de  la  Convención,   la</w:t>
        <w:br/>
        <w:t>significación de la prohibición del trabajo forzoso u obligatorio.</w:t>
        <w:br/>
        <w:br/>
        <w:t>155.  En  otras  oportunidades,  tanto  este  Tribunal[174]  como  la  Corte</w:t>
        <w:br/>
        <w:t>Europea de Derechos Humanos[175] han señalado que los tratados  de  derechos</w:t>
        <w:br/>
        <w:t>humanos son instrumentos vivos, cuya interpretación tiene que  acompañar  la</w:t>
        <w:br/>
        <w:t>evolución  de  los  tiempos  y  las  condiciones  de  vida  actuales.    Tal</w:t>
        <w:br/>
        <w:t>interpretación  evolutiva  es  consecuente  con  las  reglas  generales   de</w:t>
        <w:br/>
        <w:t>interpretación consagradas en el artículo 29  de  la  Convención  Americana,</w:t>
        <w:br/>
        <w:t>así como las establecidas por la Convención de Viena  sobre  el  Derecho  de</w:t>
        <w:br/>
        <w:t>los Tratados.</w:t>
        <w:br/>
        <w:br/>
        <w:t>156.  En este sentido, esta Corte ha afirmado que al  dar  interpretación  a</w:t>
        <w:br/>
        <w:t>un  tratado  no  sólo  se  toman  en  cuenta  los  acuerdos  e  instrumentos</w:t>
        <w:br/>
        <w:t>formalmente relacionados con éste (inciso segundo  del  artículo  31  de  la</w:t>
        <w:br/>
        <w:t>Convención de Viena), sino también el sistema dentro del  cual  se  inscribe</w:t>
        <w:br/>
        <w:t>(inciso tercero del artículo 31 de dicha Convención)[176].</w:t>
        <w:br/>
        <w:br/>
        <w:t>157.  En el presente caso, al analizar los alcances del citado artículo  6.2</w:t>
        <w:br/>
        <w:t>de la Convención, el Tribunal considera  útil  y  apropiado  utilizar  otros</w:t>
        <w:br/>
        <w:t>tratados internacionales distintitos a la Convención Americana,  tales  como</w:t>
        <w:br/>
        <w:t>el Convenio  No.  29  de  la  Organización  Internacional  del  Trabajo  (en</w:t>
        <w:br/>
        <w:t>adelante “OIT”) sobre Trabajo Forzoso, para  interpretar  sus  disposiciones</w:t>
        <w:br/>
        <w:t>de acuerdo a la evolución del sistema interamericano,  habida  consideración</w:t>
        <w:br/>
        <w:t>del desarrollo experimentado en esta materia en el Derecho Internacional  de</w:t>
        <w:br/>
        <w:t>los Derechos Humanos[177].</w:t>
        <w:br/>
        <w:br/>
        <w:t>158.  El Convenio  No.  29  de  la  OIT  contiene  en  su  artículo  2.1  la</w:t>
        <w:br/>
        <w:t>definición  de  trabajo  forzoso  que  se  examina  en  este  caso.    Dicha</w:t>
        <w:br/>
        <w:t>disposición puede ilustrar sobre el contenido y alcance del artículo 6.2  de</w:t>
        <w:br/>
        <w:t>la Convención Americana.  El Estado ratificó el referido Convenio No. 29  el</w:t>
        <w:br/>
        <w:t>4 de marzo de 1969.</w:t>
        <w:br/>
        <w:br/>
        <w:t>159.  El artículo 2.1 del Convenio No. 29 de la OIT dispone que:</w:t>
        <w:br/>
        <w:br/>
        <w:t xml:space="preserve">      [l]a expresión “trabajo forzoso” u obligatorio designa todo trabajo  o</w:t>
        <w:br/>
        <w:t xml:space="preserve">      servicio exigido a un individuo bajo amenaza de una pena cualquiera  y</w:t>
        <w:br/>
        <w:t xml:space="preserve">      para el cual dicho individuo no se ofrece voluntariamente.</w:t>
        <w:br/>
        <w:br/>
        <w:t>160.   El  Tribunal  observa  que  la  definición  de  trabajo   forzoso   u</w:t>
        <w:br/>
        <w:t>obligatorio, conforme a dicho Convenio, consta de dos elementos básicos.  En</w:t>
        <w:br/>
        <w:t>primer lugar, el trabajo o el servicio se exige “bajo amenaza de una  pena”.</w:t>
        <w:br/>
        <w:t>En segundo lugar, estos se llevan a cabo  de  forma  involuntaria.   Además,</w:t>
        <w:br/>
        <w:t>este Tribunal considera que, para constituir una violación del artículo  6.2</w:t>
        <w:br/>
        <w:t>de la Convención Americana, es  necesario  que  la  presunta  violación  sea</w:t>
        <w:br/>
        <w:t>atribuible a agentes del Estado,  ya  sea  por  medio  de  la  participación</w:t>
        <w:br/>
        <w:t>directa de éstos o por su aquiescencia en los hechos.  La Corte procederá  a</w:t>
        <w:br/>
        <w:t>analizar los hechos del presente caso a la luz de estos  tres  elementos  de</w:t>
        <w:br/>
        <w:t>juicio.</w:t>
        <w:br/>
        <w:br/>
        <w:t xml:space="preserve">      i)  La amenaza de una pena</w:t>
        <w:br/>
        <w:br/>
        <w:br/>
        <w:t>161.  La “amenaza de una  pena”,  para  efectos  del  presente  caso,  puede</w:t>
        <w:br/>
        <w:t>consistir en la presencia real y  actual  de  una  intimidación,  que  puede</w:t>
        <w:br/>
        <w:t>asumir formas y graduaciones heterogéneas, de las cuales  las  más  extremas</w:t>
        <w:br/>
        <w:t>son  aquellas  que  implican  coacción,  violencia  física,  aislamiento   o</w:t>
        <w:br/>
        <w:t>confinación, así como la amenaza de muerte dirigida a la  víctima  o  a  sus</w:t>
        <w:br/>
        <w:t>familiares[178].</w:t>
        <w:br/>
        <w:br/>
        <w:t>162.  El Tribunal considera que “la amenaza de  una  pena”  en  el  presente</w:t>
        <w:br/>
        <w:t>caso es evidente y se manifiesta en su forma más extrema, al  ser  ésta  una</w:t>
        <w:br/>
        <w:t>amenaza directa e implícita de violencia  física  o  muerte  dirigida  a  la</w:t>
        <w:br/>
        <w:t>víctima o a sus familiares.</w:t>
        <w:br/>
        <w:br/>
        <w:t>163.  Según las declaraciones presentadas en  este  caso,  tanto  ante  este</w:t>
        <w:br/>
        <w:t>Tribunal como ante instancias internas, los arrieros  fueron  explícitamente</w:t>
        <w:br/>
        <w:t>amenazados de muerte en el caso de que intentaran fugarse.  Dichas  amenazas</w:t>
        <w:br/>
        <w:t>directas fueron complementadas por un contexto de extrema violencia,  en  el</w:t>
        <w:br/>
        <w:t>cual los arrieros fueron privados de  su  libertad,  llevados  a  sitios  en</w:t>
        <w:br/>
        <w:t>ocasiones lejanos de su lugar de  residencia,  y  seguidamente  obligados  a</w:t>
        <w:br/>
        <w:t>recoger ganado sustraido por hombres fuertemente  armados  que  acababan  de</w:t>
        <w:br/>
        <w:t>cometer la ejecución arbitraria de otros pobladores con  la  aquiescencia  o</w:t>
        <w:br/>
        <w:t>tolerancia de miembros del Ejército.  Además, lejos de proteger  la  vida  y</w:t>
        <w:br/>
        <w:t>libertad de los arrieros, algunos miembros  del  Ejército  recibieron  parte</w:t>
        <w:br/>
        <w:t>del ganado sustraido, acrecentando así los  sentimientos  de  indefensión  y</w:t>
        <w:br/>
        <w:t>vulnerabilidad de los arrieros.</w:t>
        <w:br/>
        <w:br/>
        <w:t xml:space="preserve">      ii)  La falta de voluntad para realizar el trabajo o servicio</w:t>
        <w:br/>
        <w:br/>
        <w:br/>
        <w:t>164.  La “falta de voluntad para realizar el trabajo  o  servicio”  consiste</w:t>
        <w:br/>
        <w:t>en la ausencia de consentimiento o de  libre  elección  en  el  momento  del</w:t>
        <w:br/>
        <w:t>comienzo o continuación de la  situación  de  trabajo  forzoso.  Esta  puede</w:t>
        <w:br/>
        <w:t>darse por distintas causas, tales como la privación ilegal de  libertad,  el</w:t>
        <w:br/>
        <w:t>engaño o la coacción psicológica.</w:t>
        <w:br/>
        <w:br/>
        <w:t>165.  En el presente caso, la Corte considera  que  ha  sido  demostrada  la</w:t>
        <w:br/>
        <w:t>ausencia de libre elección en cuanto a la posibilidad de realizar  el  arreo</w:t>
        <w:br/>
        <w:t>de ganado.  Los arrieros no se presentaron voluntariamente para realizar  el</w:t>
        <w:br/>
        <w:t>trabajo en cuestión.  Al contrario, éstos fueron privados  de  su  libertad,</w:t>
        <w:br/>
        <w:t>llevados a lugares remotos y obligados durante por lo menos diecisiete  días</w:t>
        <w:br/>
        <w:t>a ejecutar un trabajo en contra de su voluntad y al cual se sometieron  para</w:t>
        <w:br/>
        <w:t>salvaguardar su vida.  Los arrieros  entendieron  que  estaban  obligados  a</w:t>
        <w:br/>
        <w:t>realizar el trabajo que se les imponía, ya que, de no acceder,  podrían  ser</w:t>
        <w:br/>
        <w:t>asesinados de igual manera que lo fueran varios otros pobladores.</w:t>
        <w:br/>
        <w:br/>
        <w:br/>
        <w:t xml:space="preserve">      iii)  Vínculo con agentes del Estado</w:t>
        <w:br/>
        <w:br/>
        <w:br/>
        <w:t>166.   Por  último,  este  Tribunal  considera  que,  para  constituir   una</w:t>
        <w:br/>
        <w:t>violación del artículo 6.2 de la Convención Americana, es necesario  que  la</w:t>
        <w:br/>
        <w:t>presunta violación sea atribuible a agentes  del  Estado.   En  el  presente</w:t>
        <w:br/>
        <w:t>caso ha quedado demostrado la participación y aquiescencia de  miembros  del</w:t>
        <w:br/>
        <w:t>Ejército  colombiano  en  la  incursión  paramilitar  en  El  Aro  y  en  la</w:t>
        <w:br/>
        <w:t>determinación de un toque de queda con el fin de  facilitar  la  apropiación</w:t>
        <w:br/>
        <w:t>del ganado.  Asimismo, se ha comprobado que agentes  del  Estado  recibieron</w:t>
        <w:br/>
        <w:t>ganado sustraido de manos de los arrieros.</w:t>
        <w:br/>
        <w:br/>
        <w:t>167.  Para determinar las víctimas del presente  caso  en  relación  con  la</w:t>
        <w:br/>
        <w:t>violación de los artículos 6.2 y 7 de la Convención la Corte  ha  tomado  en</w:t>
        <w:br/>
        <w:t>cuenta  varios  criterios.    Primero,   dichas   presuntas   víctimas   son</w:t>
        <w:br/>
        <w:t>determinables a partir de  la  demanda,  ya  que  los  hechos  relativos  al</w:t>
        <w:br/>
        <w:t>supuesto arreo forzoso y el número exacto de víctimas  forman  parte  de  la</w:t>
        <w:br/>
        <w:t>misma. En ella la Comisión señaló que “el  grupo  paramilitar  obligó  a  17</w:t>
        <w:br/>
        <w:t>campesinos de  la  zona  arrear  el  ganado  [sustraido]  a  los  puntos  de</w:t>
        <w:br/>
        <w:t>destino”[179].   Segundo,  la  Comisión  transcribió  en  la   demanda   dos</w:t>
        <w:br/>
        <w:t>testimonios en los cuales se hace  referencia  a  estos  17  arrieros  y  se</w:t>
        <w:br/>
        <w:t>mencionan los nombres de ocho de éstos[180].  Tercero, el  Estado  reconoció</w:t>
        <w:br/>
        <w:t>(supra párr. 125.100), y el fallo de 30 de septiembre de  2002  emitido  por</w:t>
        <w:br/>
        <w:t>la Procuraduría General de la Nación lo  reconoce  igualmente[181],  que  el</w:t>
        <w:br/>
        <w:t>grupo paramilitar que incursionó en El Aro, después  de  llevar  a  cabo  la</w:t>
        <w:br/>
        <w:t>masacre y los actos de intimidación, sustrajo el ganado de sus habitantes  e</w:t>
        <w:br/>
        <w:t>impuso a estas diecisiete personas el trabajo  de  recoger  y  trasladar  el</w:t>
        <w:br/>
        <w:t>ganado durante  aproximadamente  diecisiete  días.  Cuarto,  existen  varios</w:t>
        <w:br/>
        <w:t>testimonios, rendidos tanto a nivel interno como ante este Tribunal, en  los</w:t>
        <w:br/>
        <w:t>cuales se prueba reiteradamente la identidad de estos  diecisiete  arrieros.</w:t>
        <w:br/>
        <w:t>Por  último,  refuerza  todo  lo  anterior  que  los  representantes   hayan</w:t>
        <w:br/>
        <w:t>presentado en sus escritos ante la Corte los nombres de  los  “17”  arrieros</w:t>
        <w:br/>
        <w:t>señalados en la demanda.</w:t>
        <w:br/>
        <w:br/>
        <w:t>168.  La Corte considera que las víctimas de la violación del artículo 7  de</w:t>
        <w:br/>
        <w:t>la Convención, por la privación de su libertad con el propósito de  realizar</w:t>
        <w:br/>
        <w:t>el arreo de ganado, son: 1) Francisco Osvaldo Pino Posada, 2)  Omar  Alfredo</w:t>
        <w:br/>
        <w:t>Torres Jaramillo, 3) Rodrigo  Alberto  Mendoza  Posso,  4)  Noveiri  Antonio</w:t>
        <w:br/>
        <w:t>Jiménez Jiménez, 5) Milciades  De  Jesús  Crespo,  6)  Ricardo  Barrera,  7)</w:t>
        <w:br/>
        <w:t>Gilberto Lopera, 8) Argemiro Echavarría, 9) José  Luis  Palacio,  10)  Román</w:t>
        <w:br/>
        <w:t>Salazar, 11) William Chavarría, 12) Libardo Carvajal, 13) Eduardo  Rua,  14)</w:t>
        <w:br/>
        <w:t>Eulicio García, y 15) Alberto Lopera.  Asimismo, la Corte considera  que  el</w:t>
        <w:br/>
        <w:t>Estado violó el artículo 6.2 de la Convención en  perjuicio  de  las  mismas</w:t>
        <w:br/>
        <w:t>personas señaladas anteriormente, así como 6) Tomás Monsalve  y  17)  Felipe</w:t>
        <w:br/>
        <w:t>“Pipe” Gómez.</w:t>
        <w:br/>
        <w:br/>
        <w:t xml:space="preserve">                                     XI</w:t>
        <w:br/>
        <w:t xml:space="preserve">                   Artículo 21 de la Convención Americana</w:t>
        <w:br/>
        <w:t xml:space="preserve">                      (Derecho a la Propiedad Privada)</w:t>
        <w:br/>
        <w:t xml:space="preserve">          Artículo 11.2, en relación con el artículo 21 de la misma</w:t>
        <w:br/>
        <w:t xml:space="preserve">                       (Derecho a la Honra y Dignidad)</w:t>
        <w:br/>
        <w:t xml:space="preserve">           todos ellos en relación con el artículo 1.1 de la misma</w:t>
        <w:br/>
        <w:br/>
        <w:t>Alegatos de la Comisión</w:t>
        <w:br/>
        <w:br/>
        <w:t>169.  En cuanto a la presunta violación del artículo 21  de  la  Convención,</w:t>
        <w:br/>
        <w:t>la Comisión Interamericana alegó que:</w:t>
        <w:br/>
        <w:br/>
        <w:t xml:space="preserve">      a)     antes  de  abandonar  el  corregimiento   de   El   Aro,   “los</w:t>
        <w:br/>
        <w:t xml:space="preserve">      paramilitares destruyeron e incendiaron casi la totalidad de las casas</w:t>
        <w:br/>
        <w:t xml:space="preserve">      del casco urbano a fin de causar terror y desplazamiento forzado”;</w:t>
        <w:br/>
        <w:br/>
        <w:t xml:space="preserve">      b)    en su salida de El Aro, los paramilitares “sustrajeron alrededor</w:t>
        <w:br/>
        <w:t xml:space="preserve">      de 1.200 cabezas de ganado caballar, mular y vacuno  de  propiedad  de</w:t>
        <w:br/>
        <w:t xml:space="preserve">      los habitantes, en forma ilegal”;</w:t>
        <w:br/>
        <w:br/>
        <w:br/>
        <w:t xml:space="preserve">      c)    los actos de incendiar y sustraer la propiedad de los familiares</w:t>
        <w:br/>
        <w:t xml:space="preserve">      de El Aro “fueron perpetrados con la colaboración directa de  miembros</w:t>
        <w:br/>
        <w:t xml:space="preserve">      de la Fuerza Pública”; y</w:t>
        <w:br/>
        <w:br/>
        <w:br/>
        <w:t xml:space="preserve">   d) las presuntas víctimas de la violación del artículo 21 por “el robo de</w:t>
        <w:br/>
        <w:t xml:space="preserve">      semovientes o la pérdida de su vivienda” son:  Libardo Egidio Mendoza,</w:t>
        <w:br/>
        <w:t xml:space="preserve">      Luis Humberto Mendoza  Arroyave,  Ricardo  Alfredo  Builes  Echeverri,</w:t>
        <w:br/>
        <w:t xml:space="preserve">      Bernardo María Jiménez Lopera, Francisco Osvaldo Pino  Posada  y  Omar</w:t>
        <w:br/>
        <w:t xml:space="preserve">      Alfredo Torres Jaramillo.</w:t>
        <w:br/>
        <w:br/>
        <w:t>Alegatos de los representantes</w:t>
        <w:br/>
        <w:br/>
        <w:t>170.  En cuanto a la violación del artículo 21 de la  Convención  Americana,</w:t>
        <w:br/>
        <w:t>los representantes alegaron que:</w:t>
        <w:br/>
        <w:br/>
        <w:t xml:space="preserve">      a)    los paramilitares  hurtaron  aproximadamente  1.200  cabezas  de</w:t>
        <w:br/>
        <w:t xml:space="preserve">      ganado de fincas en El Aro y en otras veredas  de  los  municipios  de</w:t>
        <w:br/>
        <w:t xml:space="preserve">      Puerto Valdivia e Ituango;</w:t>
        <w:br/>
        <w:br/>
        <w:br/>
        <w:t xml:space="preserve">      b)    los paramilitares quemaron por lo menos el 80% de las  casas  de</w:t>
        <w:br/>
        <w:t xml:space="preserve">      El Aro y otras en el camino hacia Puerto Valdivia;</w:t>
        <w:br/>
        <w:br/>
        <w:br/>
        <w:t xml:space="preserve">      c)    los actos mencionados fueron perpetrados  “con  el  apoyo  y  la</w:t>
        <w:br/>
        <w:t xml:space="preserve">      participación directa de agentes del Ejército nacional; bajo la mirada</w:t>
        <w:br/>
        <w:t xml:space="preserve">      permisiva y actitud omisiva de las autoridades civiles y militares  de</w:t>
        <w:br/>
        <w:t xml:space="preserve">      rango superior”, quienes no adoptaron ninguna medida para  evitar  los</w:t>
        <w:br/>
        <w:t xml:space="preserve">      hechos;</w:t>
        <w:br/>
        <w:br/>
        <w:br/>
        <w:t xml:space="preserve">      d)    “la fuerza pública tenía en su poder el ganado hurtado”;</w:t>
        <w:br/>
        <w:br/>
        <w:br/>
        <w:t xml:space="preserve">      e)    el hurto del ganado tenía los objetivos de “benefici[ar  a]  los</w:t>
        <w:br/>
        <w:t xml:space="preserve">      jefes paramilitares y miembros  del  Ejército”  y  realizar  actos  de</w:t>
        <w:br/>
        <w:t xml:space="preserve">      “sevicia en contra de la población civil, sin distinguir entre  niños,</w:t>
        <w:br/>
        <w:t xml:space="preserve">      mujeres y ancianos, y simplemente por  el  hecho  de  estar  señalados</w:t>
        <w:br/>
        <w:t xml:space="preserve">      falsamente de ser colaboradores de la guerrilla”;</w:t>
        <w:br/>
        <w:br/>
        <w:br/>
        <w:t xml:space="preserve">      f)    las autoridades departamentales  no  ayudaron  a  las  presuntas</w:t>
        <w:br/>
        <w:t xml:space="preserve">      víctimas en la recuperación de su ganado y no fueron a la finca  dónde</w:t>
        <w:br/>
        <w:t xml:space="preserve">      éste supuestamente se encontraba;</w:t>
        <w:br/>
        <w:br/>
        <w:br/>
        <w:t xml:space="preserve">      g)    la violación a la propiedad privada en El Aro se utilizó como un</w:t>
        <w:br/>
        <w:t xml:space="preserve">      mecanismo para evitar que los habitantes pudiesen continuar ejerciendo</w:t>
        <w:br/>
        <w:t xml:space="preserve">      las actividades económicas a las que regularmente se dedicaban; y</w:t>
        <w:br/>
        <w:br/>
        <w:br/>
        <w:t xml:space="preserve">   h) además de las personas señaladas por la  Comisión,  la  Corte  debería</w:t>
        <w:br/>
        <w:t xml:space="preserve">      considerar como presuntas víctimas a “las demás personas que perdieron</w:t>
        <w:br/>
        <w:t xml:space="preserve">      propiedades y  ganado,  que  se  identifiquen  en  el  transcurso  del</w:t>
        <w:br/>
        <w:t xml:space="preserve">      proceso”.</w:t>
        <w:br/>
        <w:br/>
        <w:t>Alegatos del Estado</w:t>
        <w:br/>
        <w:br/>
        <w:t>171.  El Estado reconoció su responsabilidad por la violación del derecho  a</w:t>
        <w:br/>
        <w:t>la propiedad privada consagrado en  el  artículo  21  de  la  Convención  en</w:t>
        <w:br/>
        <w:t>perjuicio de los señores Luis Humberto Mendoza, Libardo  Mendoza,  Francisco</w:t>
        <w:br/>
        <w:t>Osvaldo Pino Posada, Omar Alfredo Torres Jaramillo, Ricardo  Alfredo  Builes</w:t>
        <w:br/>
        <w:t>Echeverri y Bernardo  María  Jiménez  Lópera.  El  Estado  no  se  pronunció</w:t>
        <w:br/>
        <w:t>respecto a la supuesta violación de la propiedad privada  en  cuanto  a  las</w:t>
        <w:br/>
        <w:t>otras presuntas víctimas alegadas por lo representantes (supra párrs.  19  y</w:t>
        <w:br/>
        <w:t>20).</w:t>
        <w:br/>
        <w:br/>
        <w:t>Consideraciones de la Corte</w:t>
        <w:br/>
        <w:br/>
        <w:t>172.  La Corte procederá a analizar la supuesta violación  del  artículo  21</w:t>
        <w:br/>
        <w:t>(Derecho a la Propiedad Privada)  de  la  Convención  en  relación  con  los</w:t>
        <w:br/>
        <w:t>hechos de El Aro.</w:t>
        <w:br/>
        <w:br/>
        <w:t>173.  El artículo 21 de la Convención establece:</w:t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br/>
        <w:t xml:space="preserve">      2.    Ninguna  persona  puede  ser  privada  de  sus  bienes,  excepto</w:t>
        <w:br/>
        <w:t xml:space="preserve">      mediante el pago de una indemnización justa, por razones  de  utilidad</w:t>
        <w:br/>
        <w:t xml:space="preserve">      publica o de interés  social  y  en  los  casos  y  según  las  formas</w:t>
        <w:br/>
        <w:t xml:space="preserve">      establecidas por la ley.</w:t>
        <w:br/>
        <w:t xml:space="preserve">      […]</w:t>
        <w:br/>
        <w:br/>
        <w:br/>
        <w:t>174.  La jurisprudencia del Tribunal ha desarrollado un concepto  amplio  de</w:t>
        <w:br/>
        <w:t>propiedad, el cual abarca, entre otros, el  uso  y  goce  de  los  “bienes”,</w:t>
        <w:br/>
        <w:t>definidos como cosas materiales  apropiables,  así  como  todo  derecho  que</w:t>
        <w:br/>
        <w:t>pueda formar parte del patrimonio de una persona. Dicho  concepto  comprende</w:t>
        <w:br/>
        <w:t>todos los muebles e inmuebles, los elementos  corporales  e  incorporales  y</w:t>
        <w:br/>
        <w:t>cualquier otro objeto inmaterial susceptible de valor[182].</w:t>
        <w:br/>
        <w:br/>
        <w:t>175.  El derecho a la propiedad privada es garantizado en el artículo 58  de</w:t>
        <w:br/>
        <w:t>la Constitución Política de Colombia.</w:t>
        <w:br/>
        <w:br/>
        <w:t>176.  En el presente caso la Corte tuvo por  probado  (supra  párr.  125.84)</w:t>
        <w:br/>
        <w:t>que durante la incursión en El Aro, desde el inicio  del  recorrido  por  el</w:t>
        <w:br/>
        <w:t>municipio de Puerto Valdivia, los paramilitares sustrajeron  aproximadamente</w:t>
        <w:br/>
        <w:t>entre 800 y 1200 cabezas de ganado de las fincas que encontraron a su  paso.</w:t>
        <w:br/>
        <w:t xml:space="preserve"> Asimismo, se ha comprobado, y ha  sido  reconocido  por  el  Estado  (supra</w:t>
        <w:br/>
        <w:t>párr. 19), que miembros del Ejército tenían conocimiento de  la  sustracción</w:t>
        <w:br/>
        <w:t>y traslado del ganado de El Aro, e incluso impusieron un toque  de  queda  a</w:t>
        <w:br/>
        <w:t>la población, para poder evacuar por plena vía pública el ganado,  del  cual</w:t>
        <w:br/>
        <w:t>también se lucraron algunos  militares.  Además,  las  autoridades  públicas</w:t>
        <w:br/>
        <w:t>omitieron asistir a la población civil durante  la  sustracción  y  traslado</w:t>
        <w:br/>
        <w:t>del ganado en dicho corregimiento.</w:t>
        <w:br/>
        <w:br/>
        <w:t>177.  Asimismo, este Tribunal ha tenido como  demostrado,  y  el  Estado  ha</w:t>
        <w:br/>
        <w:t>reconocido (supra  párr.  19),  que  antes  de  retirarse  de  El  Aro,  los</w:t>
        <w:br/>
        <w:t>paramilitares destruyeron e incendiaron gran parte de las  casas  del  casco</w:t>
        <w:br/>
        <w:t>urbano, quedando a salvo sólo una capilla  y  ocho  viviendas  (supra  párr.</w:t>
        <w:br/>
        <w:t>125.79), con el fin de causar terror y el desplazamiento de la población.</w:t>
        <w:br/>
        <w:br/>
        <w:t>178.  La Corte  considera  oportuno  señalar  la  especial  gravedad  de  la</w:t>
        <w:br/>
        <w:t>sustracción de ganado de los habitantes de El Aro y áreas aledañas.   Tal  y</w:t>
        <w:br/>
        <w:t>como ha sido resaltado por la Comisión y  por  los  representantes,  de  las</w:t>
        <w:br/>
        <w:t>características del corregimiento y de las  actividades  cotidianas  de  sus</w:t>
        <w:br/>
        <w:t>habitantes se desprende una estrecha vinculación entre éstos  y  el  ganado,</w:t>
        <w:br/>
        <w:t>dado que el principal medio de subsistencia para esa población consistía  en</w:t>
        <w:br/>
        <w:t>el cultivo de la tierra y la crianza del ganado. En efecto, el daño  sufrido</w:t>
        <w:br/>
        <w:t>por las personas que perdieron su ganado, del cual  derivaban  su  sustento,</w:t>
        <w:br/>
        <w:t>es de especial magnitud.  Más allá de la pérdida de su principal  fuente  de</w:t>
        <w:br/>
        <w:t>ingresos y de alimento, la manera en la que el ganado fue sustraído  con  la</w:t>
        <w:br/>
        <w:t>colaboración explícita e implícita  por  parte  de  miembros  del  Ejército,</w:t>
        <w:br/>
        <w:t>elevó el sentimiento de impotencia y vulnerabilidad de los pobladores.</w:t>
        <w:br/>
        <w:br/>
        <w:t>179.  En el presente caso, al analizar los alcances del citado  artículo  21</w:t>
        <w:br/>
        <w:t>de la Convención, el Tribunal considera útil  y  apropiado,  de  conformidad</w:t>
        <w:br/>
        <w:t>con  el  artículo  29  del  mismo  instrumento,  utilizar   otros   tratados</w:t>
        <w:br/>
        <w:t>internacionales  distintitos  a  la  Convención  Americana,  tales  como  el</w:t>
        <w:br/>
        <w:t>Protocolo II de los Convenios de Ginebra de 12 de agosto de 1949 relativo  a</w:t>
        <w:br/>
        <w:t>la protección de las víctimas de conflictos  armados  de  carácter  interno,</w:t>
        <w:br/>
        <w:t>para interpretar sus disposiciones de acuerdo a  la  evolución  del  sistema</w:t>
        <w:br/>
        <w:t>interamericano, habida consideración del desarrollo  experimentado  en  esta</w:t>
        <w:br/>
        <w:t>materia en el  Derecho  Internacional  Humanitario.  Colombia  ratificó  los</w:t>
        <w:br/>
        <w:t>Convenios de Ginebra el 8 de noviembre de 1961.  El 14 de agosto de 1995  se</w:t>
        <w:br/>
        <w:t>adhirió a las disposiciones del Protocolo Adicional II de los  Convenios  de</w:t>
        <w:br/>
        <w:t>Ginebra.</w:t>
        <w:br/>
        <w:br/>
        <w:t>180.  Tal y como ha quedado demostrado, y así lo ha  reconocido  el  Estado,</w:t>
        <w:br/>
        <w:t>la incursión paramilitar en El Aro,  así  como  la  sustracción  de  ganado,</w:t>
        <w:br/>
        <w:t>sucedió  con  la  aquiescencia  o  tolerancia  de  miembros   del   Ejército</w:t>
        <w:br/>
        <w:t>colombiano, dentro de un contexto de conflicto armado interno (supra  párrs.</w:t>
        <w:br/>
        <w:t>63 y 64).  En este sentido, este  Tribunal  observa  que  los  artículos  13</w:t>
        <w:br/>
        <w:t>(Protección  de  la  población  civil)  y  14  (Protección  de  los   bienes</w:t>
        <w:br/>
        <w:t>indispensables para la supervivencia de la población  civil)  del  Protocolo</w:t>
        <w:br/>
        <w:t>II de los Convenios de  Ginebra  prohíben,  respectivamente,  “los  actos  o</w:t>
        <w:br/>
        <w:t>amenazas  de  violencia  cuya  finalidad  principal  sea  aterrorizar  a  la</w:t>
        <w:br/>
        <w:t>población civil”, así como “atacar, destruir, sustraer o inutilizar con  ese</w:t>
        <w:br/>
        <w:t>fin los bienes indispensables para la supervivencia de la población civil”.</w:t>
        <w:br/>
        <w:br/>
        <w:t>181.  La Corte quiere asimismo evidenciar que  el  derecho  a  la  propiedad</w:t>
        <w:br/>
        <w:t>privada es un derecho humano cuya vulneración en  el  presente  caso  es  de</w:t>
        <w:br/>
        <w:t>especial gravedad. En este sentido la  Corte  Constitucional  colombiana  ha</w:t>
        <w:br/>
        <w:t>establecido  que  “la  propiedad  debe  ser  considerada  como  un   derecho</w:t>
        <w:br/>
        <w:t>fundamental, siempre que ella  se  encuentre  vinculada  de  tal  manera  al</w:t>
        <w:br/>
        <w:t>mantenimiento  de  unas  condiciones  materiales  de  existencia,   que   su</w:t>
        <w:br/>
        <w:t>desconocimiento afecte el  derecho  a  la  igualdad  y  a  llevar  una  vida</w:t>
        <w:br/>
        <w:t>digna”[183].</w:t>
        <w:br/>
        <w:br/>
        <w:t>182.  Este Tribunal también considera que la quema de las  viviendas  de  El</w:t>
        <w:br/>
        <w:t>Aro constituye una grave  vulneración  de  un  bien  indispensable  para  la</w:t>
        <w:br/>
        <w:t>población.  El propósito de la quema y destrucción de  los  hogares  de  los</w:t>
        <w:br/>
        <w:t>pobladores de El Aro era instituir terror  y  causar  el  desplazamiento  de</w:t>
        <w:br/>
        <w:t>éstos, para así obtener una victoria territorial en la lucha  en  contra  de</w:t>
        <w:br/>
        <w:t>la guerrilla  en  Colombia  (supra  párr.  125.26  a  125.103).   Por  tales</w:t>
        <w:br/>
        <w:t>motivos, el efecto que tuvo la destrucción de los hogares  fue  la  pérdida,</w:t>
        <w:br/>
        <w:t>no solo de bienes materiales, sino de  todo  referente  social  de  personas</w:t>
        <w:br/>
        <w:t>que, en algunos casos, habían residido todas sus  vidas  en  dicho  poblado.</w:t>
        <w:br/>
        <w:t>La destrucción de sus hogares, además de  constituir  una  gran  pérdida  de</w:t>
        <w:br/>
        <w:t>carácter económico, causó en los pobladores una pérdida de sus  más  básicas</w:t>
        <w:br/>
        <w:t>condiciones de existencia, lo cual hace que la violación  al  derecho  a  la</w:t>
        <w:br/>
        <w:t>propiedad en este caso sea de especial gravedad.</w:t>
        <w:br/>
        <w:br/>
        <w:t>183.   Este  Tribunal  considera,  por  las  razones   expuestas,   que   el</w:t>
        <w:br/>
        <w:t>apoderamiento del ganado y la destrucción de las viviendas por parte de  los</w:t>
        <w:br/>
        <w:t>paramilitares,  perpetrada  con  la  colaboración  directa  de  agentes  del</w:t>
        <w:br/>
        <w:t>Estado, constituye una grave privación del uso y goce de los bienes.</w:t>
        <w:br/>
        <w:br/>
        <w:t>184.  Para determinar las víctimas del presente  caso  en  relación  con  la</w:t>
        <w:br/>
        <w:t>violación del artículo 21 de la Convención se han tomado  en  cuenta  varios</w:t>
        <w:br/>
        <w:t>criterios. Primero, dichas presuntas víctimas son determinables a partir  de</w:t>
        <w:br/>
        <w:t>la demanda, ya que los hechos relativos a  la  supuesta  pérdida  de  bienes</w:t>
        <w:br/>
        <w:t>forman parte de la misma.  En este sentido,  la  Comisión  señaló  que  “los</w:t>
        <w:br/>
        <w:t>paramilitares destruyeron e incendiaron gran parte de las  casas  del  casco</w:t>
        <w:br/>
        <w:t>urbano  [de  El  Aro],  quedando  a  salvo   sólo   una   capilla   y   ocho</w:t>
        <w:br/>
        <w:t>viviendas”[184].  Asímismo, la  Comisión  señaló  en  la  demanda  que  “los</w:t>
        <w:br/>
        <w:t>paramilitares también sustrajeron 1.200 cabezas de ganado caballar, mular  y</w:t>
        <w:br/>
        <w:t>vacuno”[185].  De igual manera, la demanda de la Comisión transcribe  varios</w:t>
        <w:br/>
        <w:t>testimonios que evidencian la sustracción de ganado perteneciente  a  varias</w:t>
        <w:br/>
        <w:t>fincas y personas  determinables.   En  base  a  lo  anterior,  la  Comisión</w:t>
        <w:br/>
        <w:t>concluye en la demanda que “efectivamente  […]  los  pobladores  de  El  Aro</w:t>
        <w:br/>
        <w:t>fueron despojados de sus semovientes  y  sus  viviendas  destruidas  por  el</w:t>
        <w:br/>
        <w:t>incendio que provocaron los paramilitares responsables por la incursión  con</w:t>
        <w:br/>
        <w:t>la aquiescencia de miembros de la Fuerza Pública”. Segundo, los  testimonios</w:t>
        <w:br/>
        <w:t>señalados por la Comisión en su demanda, así como varios  otros  testimonios</w:t>
        <w:br/>
        <w:t>incluídos dentro de la prueba  remitida  por  la  Comisión,  comprueban  que</w:t>
        <w:br/>
        <w:t>determinadas  personas  perdieron  sus  bienes.   Tercero,  el   Estado   ha</w:t>
        <w:br/>
        <w:t>reconocido los hechos descritos en la demanda en relación con la pérdida  de</w:t>
        <w:br/>
        <w:t>bienes.  En este sentido, el Estado señaló en su contestación de la  demanda</w:t>
        <w:br/>
        <w:t>que “acepta[ba] como hecho cierto” la  sustracción  de  aproximadamente  800</w:t>
        <w:br/>
        <w:t>cabezas de ganado, “hecho verificado ya en la sentencia del Juzgado  Segundo</w:t>
        <w:br/>
        <w:t>Penal del Circuito Especializado de Antioquia del 22 de abril de  2003[…]  y</w:t>
        <w:br/>
        <w:t>las múltiples providencias  dictadas  por  la  Procuraduría  General  de  la</w:t>
        <w:br/>
        <w:t>Nación,  en  investigaciones  originadas  en   quejas   relativas   a   este</w:t>
        <w:br/>
        <w:t>asunto[…]”.   Asimismo,  el  Estado  aceptó  los  hechos  relativos   a   la</w:t>
        <w:br/>
        <w:t>destrucción de viviendas en El Aro[186], aportando como prueba  al  respecto</w:t>
        <w:br/>
        <w:t>la sentencia  del  Juzgado  Segundo  Penal  del  Circuito  Especializado  de</w:t>
        <w:br/>
        <w:t>Antioquia de  22  de  abril  de  2003[187].   Cuarto,  respecto  de  Arcadio</w:t>
        <w:br/>
        <w:t>Londoño, Francisco Eladio Ortiz Bedoya, Marco Aurelio Areiza Osorio,  Nelson</w:t>
        <w:br/>
        <w:t>de Jesús Palacio Cárdenas y Omar Iván Gutiérrez Nohavá,  el  Estado  remitió</w:t>
        <w:br/>
        <w:t>prueba  de  los  acuerdos  conciliatorios  mediante  los  cuales  el  Estado</w:t>
        <w:br/>
        <w:t>indemnizó a estas personas por los  daños  materiales  relacionados  con  la</w:t>
        <w:br/>
        <w:t>pérdida de sus bienes.  Quinto, existen varios testimonios,  rendidos  tanto</w:t>
        <w:br/>
        <w:t>a  nivel  interno  como  ante  este  Tribunal,  en  los  cuales  se   prueba</w:t>
        <w:br/>
        <w:t>reiteradamente la identidad de las personas que perdieron bienes en  El  Aro</w:t>
        <w:br/>
        <w:t>(supra párr. 125.81).   Por  último,  refuerza  todo  lo  anterior  que  los</w:t>
        <w:br/>
        <w:t>representantes hayan mencionado a dichas personas como  presuntas  víctimas,</w:t>
        <w:br/>
        <w:t>presentando en sus escritos ante la Corte  listas  y  pruebas  mediante  las</w:t>
        <w:br/>
        <w:t>cuales las identificaron cómo  víctimas  de  la  violación  a  su  propiedad</w:t>
        <w:br/>
        <w:t>privada.</w:t>
        <w:br/>
        <w:br/>
        <w:t>185.  Por lo anterior, La Corte considera que las víctimas de  la  violación</w:t>
        <w:br/>
        <w:t>del artículo 21 de la Convención, además de las  seis  personas  mencionadas</w:t>
        <w:br/>
        <w:t>en la demanda y abarcadas por  el  allanamiento  del  Estado,  son  aquellas</w:t>
        <w:br/>
        <w:t>señaladas en el anexo III de la presente Sentencia.</w:t>
        <w:br/>
        <w:br/>
        <w:t>186.  La Comisión señaló en el informe emitido según lo  establecido  en  el</w:t>
        <w:br/>
        <w:t>artículo 50 de la Convención a las  siguientes  doce  (12)  personas  y  sus</w:t>
        <w:br/>
        <w:t>familiares  como  presuntas  víctimas  por  la  violación  del  Artículo  21</w:t>
        <w:br/>
        <w:t xml:space="preserve">(Derecho a la Propiedad Privada) de dicho tratado: Jahel  Esther  Arroyave, </w:t>
        <w:br/>
        <w:t>Martha Olivia Calle,  José Dionisio  García,   María  Gloria  Granada,  José</w:t>
        <w:br/>
        <w:t>Edilberto  Martínez  Restrepo,  Rosa  María  Nohavá,  María  Esther  Orrego,</w:t>
        <w:br/>
        <w:t>Mercedes Rosa Pérez, Abdón  Emilio  Posada,  Jesús  María  Restrepo,  Danilo</w:t>
        <w:br/>
        <w:t>Tejada Jaramillo, y Magdalena Zabala.  Estas doce (12)  personas  no  fueron</w:t>
        <w:br/>
        <w:t>señaladas por la Comisión ni  por  los  representantes  en  sus  respectivos</w:t>
        <w:br/>
        <w:t>escritos presentados durante el proceso ante este Tribunal, ni  se  presentó</w:t>
        <w:br/>
        <w:t>prueba al respecto.  Por lo anterior, el Tribunal no considera a estas  doce</w:t>
        <w:br/>
        <w:t>(12) personas como víctimas directas de la violación del Artículo 21  de  la</w:t>
        <w:br/>
        <w:t>Convención,  sin  perjuicio  de  que  algunas   de   estas   personas   sean</w:t>
        <w:br/>
        <w:t>beneficiarios de las reparaciones ordenadas por esta Corte en su calidad  de</w:t>
        <w:br/>
        <w:t>derechohabientes de las víctimas señaladas en la presente Sentencia o en  su</w:t>
        <w:br/>
        <w:t>calidad de víctimas por la violación de otros artículos  de  la  Convención,</w:t>
        <w:br/>
        <w:t>según sea el caso.</w:t>
        <w:br/>
        <w:br/>
        <w:t>187.  La señora Miriam Lucía Areiza fue señalada en el informe  emitido  por</w:t>
        <w:br/>
        <w:t>la Comisión según lo establecido en el artículo 50  de  la  Convención  como</w:t>
        <w:br/>
        <w:t>presunta  víctima  de  la  violación  del  artículo  21  de  dicho  tratado.</w:t>
        <w:br/>
        <w:t>Asimismo, los  representantes la  señalaron  como  presunta  víctima  de  la</w:t>
        <w:br/>
        <w:t>violación de dicho artículo 21 en su escrito de  solicitudes  y  argumentos,</w:t>
        <w:br/>
        <w:t>como parte de los herederos del  señor  Marco  Aurelio  Areiza  Osorio.   La</w:t>
        <w:br/>
        <w:t>Corte considera que la señora Miriam Lucía Areiza será beneficiaria  de  las</w:t>
        <w:br/>
        <w:t>reparaciones correspondientes al señor Marco Aurelio  Areiza  Osorio  en  su</w:t>
        <w:br/>
        <w:t>calidad de heredera del mismo.</w:t>
        <w:br/>
        <w:br/>
        <w:t>188.  El señor  Jesús  García  fue  señalado  por  los  representantes  como</w:t>
        <w:br/>
        <w:t>presunta víctima por la violación del artículo 21 de  la  Convención  en  su</w:t>
        <w:br/>
        <w:t>escrito de  solicitudes  y  argumentos.   Al  respecto,  los  representantes</w:t>
        <w:br/>
        <w:t>alegaron en dicho escrito que el señor Jesús García  perdió  36  cabezas  de</w:t>
        <w:br/>
        <w:t>ganado. Sin embargo, no existe prueba en el expediente  ante  la  Corte  que</w:t>
        <w:br/>
        <w:t>permita establecer la pérdida de estos bienes.  Por tanto,  dado  a  que  la</w:t>
        <w:br/>
        <w:t>Corte no cuenta con prueba en el expediente  al  respecto,  el  Tribunal  no</w:t>
        <w:br/>
        <w:t>considera al señor Jesús García como víctima de la  violación  del  Artículo</w:t>
        <w:br/>
        <w:t>21 de la Convención.</w:t>
        <w:br/>
        <w:br/>
        <w:br/>
        <w:t xml:space="preserve">                                      *</w:t>
        <w:br/>
        <w:t xml:space="preserve">                                *          *</w:t>
        <w:br/>
        <w:br/>
        <w:t>189.  El Tribunal analizará, basándose en el principio de iura novit  curia,</w:t>
        <w:br/>
        <w:t>la posible  violación  del  artículo  11.2  de  la  Convención,  en  lo  que</w:t>
        <w:br/>
        <w:t>corresponde a la violación del  domicilio,  en  perjuicio  de  las  personas</w:t>
        <w:br/>
        <w:t>cuyas viviendas fueron destrozadas en el Aro.</w:t>
        <w:br/>
        <w:br/>
        <w:t>190.  El artículo 11.2 de la Convención Americana establece que:</w:t>
        <w:br/>
        <w:br/>
        <w:t xml:space="preserve">      [n]adie puede ser objeto de injerencias arbitrarias o abusivas  en  su</w:t>
        <w:br/>
        <w:t xml:space="preserve">      vida  privada,  en  la  de  su  familia,  en  su  domicilio  o  en  su</w:t>
        <w:br/>
        <w:t xml:space="preserve">      correspondencia, ni de ataques ilegales a su honra o reputación.</w:t>
        <w:br/>
        <w:br/>
        <w:br/>
        <w:t>191.  La Corte observa que ni la Comisión ni los representantes  presentaron</w:t>
        <w:br/>
        <w:t>argumentos en relación con la supuesta violación del  artículo  11.2  de  la</w:t>
        <w:br/>
        <w:t>Convención. Sin embargo, este Tribunal tiene  la  facultad  de  analizar  la</w:t>
        <w:br/>
        <w:t>posible violación  de  artículos  de  la  Convención  no  incluidos  en  los</w:t>
        <w:br/>
        <w:t>escritos de demanda y contestación de la demanda, así como en el escrito  de</w:t>
        <w:br/>
        <w:t>solicitudes y argumentos de los representantes, con  base  en  el  principio</w:t>
        <w:br/>
        <w:t>iura   novit   curia,   sólidamente   respaldado   en   la    jurisprudencia</w:t>
        <w:br/>
        <w:t>internacional, en el  sentido  de  que  el  juzgador  posee  la  facultad  e</w:t>
        <w:br/>
        <w:t>inclusive el deber de aplicar las  disposiciones  jurídicas  pertinentes  en</w:t>
        <w:br/>
        <w:t>una causa, aún cuando  las  partes  no  las  invoquen  expresamente,  en  la</w:t>
        <w:br/>
        <w:t>inteligencia de que las partes hayan tenido la oportunidad de  expresar  sus</w:t>
        <w:br/>
        <w:t>respectivas posiciones en relación con los hechos relevantes[188].</w:t>
        <w:br/>
        <w:br/>
        <w:t>192.  La Corte ha considerado  que  en  el  presente  caso  se  consumó  una</w:t>
        <w:br/>
        <w:t>violación de especial gravedad del derecho a la  propiedad  privada  por  la</w:t>
        <w:br/>
        <w:t>quema de los domicilios de los pobladores  de  El  Aro  (supra  párr.  182).</w:t>
        <w:br/>
        <w:t>Debido a las  consideraciones  señaladas  anteriormente,  y  en  virtud  del</w:t>
        <w:br/>
        <w:t>desarrollo del  derecho  internacional  de  los  derechos  humanos  en  esta</w:t>
        <w:br/>
        <w:t>materia,  este  Tribunal  considera  necesario  hacer  algunas   precisiones</w:t>
        <w:br/>
        <w:t>adicionales sobre la inviolabilidad del domicilio y la vida  privada,  desde</w:t>
        <w:br/>
        <w:t>la perspectiva del artículo 11.2 de la Convención.</w:t>
        <w:br/>
        <w:br/>
        <w:t>193.  El artículo 11.2 de  la  Convención  protege  la  vida  privada  y  el</w:t>
        <w:br/>
        <w:t>domicilio de injerencias arbitrarias o abusivas.   Dicho  artículo  reconoce</w:t>
        <w:br/>
        <w:t>que existe un ámbito personal que debe estar a salvo  de  intromisiones  por</w:t>
        <w:br/>
        <w:t>parte de  extraños  y  que  el  honor  personal  y  familiar,  así  como  el</w:t>
        <w:br/>
        <w:t>domicilio, deben estar protegidos ante tales interferencias.</w:t>
        <w:br/>
        <w:br/>
        <w:t>194.  La Corte considera que el ámbito de la privacidad se  caracteriza  por</w:t>
        <w:br/>
        <w:t>quedar exento e inmune a las invasiones o agresiones abusivas o  arbitrarias</w:t>
        <w:br/>
        <w:t>por parte de terceros o de  la  autoridad  pública.   En  este  sentido,  el</w:t>
        <w:br/>
        <w:t>domicilio y la vida privada se encuentran intrínsecamente  ligados,  ya  que</w:t>
        <w:br/>
        <w:t>el domicilio se convierte en un espacio en  el  cual  se  puede  desarrollar</w:t>
        <w:br/>
        <w:t>libremente la vida privada.</w:t>
        <w:br/>
        <w:br/>
        <w:t>195.  La Corte Europea de Derechos Humanos, en casos sobre hechos  similares</w:t>
        <w:br/>
        <w:t>a los del caso sub judice, ha  tratado  el  tema  de  la  propiedad  privada</w:t>
        <w:br/>
        <w:t>conjuntamente con el derecho al respeto de la vida privada y familiar y  del</w:t>
        <w:br/>
        <w:t>domicilio, lo cual es garantizado por el artículo 8 del Convenio Europeo  de</w:t>
        <w:br/>
        <w:t>Derechos Humanos[189].</w:t>
        <w:br/>
        <w:br/>
        <w:t>196.  De manera ilustrativa,  este  Tribunal  considera  pertinente  señalar</w:t>
        <w:br/>
        <w:t>que, en el caso Ayder vs. Turquía[190], la Corte Europea estableció que,  en</w:t>
        <w:br/>
        <w:t>circunstancias similares a los hechos  del  presente  caso,  la  destrucción</w:t>
        <w:br/>
        <w:t>deliberada de domicilios y  otras  propiedades  por  parte  de  las  fuerzas</w:t>
        <w:br/>
        <w:t>armadas turcas, lo cual  causó  que  las  víctimas  se  vieran  obligadas  a</w:t>
        <w:br/>
        <w:t>abandonar el pueblo, constituyó  una  interferencia  especialmente  grave  e</w:t>
        <w:br/>
        <w:t>injustificada en la vida privada y familiar y en el uso y disfrute  pacífico</w:t>
        <w:br/>
        <w:t>de  sus  posesiones.   En  el  mismo  sentido,  en  el   caso   Bilgin   vs.</w:t>
        <w:br/>
        <w:t>Turquía[191], el Tribunal Europeo declaró una violación  del  derecho  a  la</w:t>
        <w:br/>
        <w:t>propiedad privada conjuntamente  con  el  derecho  al  respeto  de  la  vida</w:t>
        <w:br/>
        <w:t>privada y familiar y del domicilio debido  al  incendio  provocado  por  las</w:t>
        <w:br/>
        <w:t>fuerzas de seguridad turcas que destruyó la  vivienda  y  posesiones  de  la</w:t>
        <w:br/>
        <w:t>víctima, la cual, al  verse  privada  de  su  sustento,  se  vio  forzada  a</w:t>
        <w:br/>
        <w:t>desplazarse. Igualmente, en el caso Selçuk  y  Asker  vs.  Turquía[192],  la</w:t>
        <w:br/>
        <w:t>Corte Europea reconoció que la  deliberada  destrucción  por  parte  de  las</w:t>
        <w:br/>
        <w:t>fuerzas de seguridad del Ejército turco de la  propiedad  de  las  víctimas,</w:t>
        <w:br/>
        <w:t>las cuales fueron obligadas a abandonar su lugar de  residencia,  constituyó</w:t>
        <w:br/>
        <w:t>una violación  de  los  derechos  a  la  propiedad  privada,  así  como  una</w:t>
        <w:br/>
        <w:t>injerencia abusiva o arbitraria en las vidas privadas y en el  domicilio  de</w:t>
        <w:br/>
        <w:t>ellas[193].</w:t>
        <w:br/>
        <w:br/>
        <w:t>197.  En el presente caso, reconociendo los avances en esta  materia  en  el</w:t>
        <w:br/>
        <w:t>derecho internacional de los derechos humanos,  y  por  las  consideraciones</w:t>
        <w:br/>
        <w:t>anteriores,  la  Corte  estima  que  la  destrucción  por   parte   de   los</w:t>
        <w:br/>
        <w:t>paramilitares,  con  la  colaboración  del  Ejército  colombiano,   de   los</w:t>
        <w:br/>
        <w:t>domicilios de los habitantes de El Aro, así como de las  posesiones  que  se</w:t>
        <w:br/>
        <w:t>encontraban en su interior, además de ser una violación del derecho  al  uso</w:t>
        <w:br/>
        <w:t>y disfrute de los bienes, constituye asimismo  una  grave,  injustificada  y</w:t>
        <w:br/>
        <w:t>abusiva injerencia en su vida privada y domicilio.  Las  presuntas  víctimas</w:t>
        <w:br/>
        <w:t>que perdieron sus hogares perdieron también el lugar donde desarrollaban  su</w:t>
        <w:br/>
        <w:t>vida privada.   Por  lo  anterior,  el  Tribunal  considera  que  el  Estado</w:t>
        <w:br/>
        <w:t>colombiano incumplió  con  la  prohibición  de  llevar  a  cabo  injerencias</w:t>
        <w:br/>
        <w:t>injerencias arbitrarias o abusivas en la vida privada y el domicilio.</w:t>
        <w:br/>
        <w:br/>
        <w:t>198.  Para determinar las víctimas del presente  caso  en  relación  con  la</w:t>
        <w:br/>
        <w:t>violación del artículo 11.2 de la Convención se han  tomado  en  cuenta  los</w:t>
        <w:br/>
        <w:t>mismos criterios señalados anteriormente en relación  con  la  determinación</w:t>
        <w:br/>
        <w:t>de las presuntas  víctimas  de  la  violación  del  artículo  21  del  mismo</w:t>
        <w:br/>
        <w:t>instrumento,  en  tantos   tales   criterios   guarden   relación   con   la</w:t>
        <w:br/>
        <w:t>determinación de  personas  que  perdieron  su  domicilio  en  El  Aro.  Con</w:t>
        <w:br/>
        <w:t>respecto de los señores Bernardo  María  Jiménez  Lópera,  Libardo  Mendoza,</w:t>
        <w:br/>
        <w:t>Luis Humberto Mendoza Arroyave y Omar Alfredo Torres Jaramillo, el  Tribunal</w:t>
        <w:br/>
        <w:t>los considera víctimas de la violación del artículo 11.2  de  la  Convención</w:t>
        <w:br/>
        <w:t>con base en un criterio adicional aplicable solo a éstos.   Dichas  personas</w:t>
        <w:br/>
        <w:t>fueron abarcadas por el reconocimiento de responsabilidad efectuado  por  el</w:t>
        <w:br/>
        <w:t>Estado en relación con la violación del artículo 21 de la Convención por  la</w:t>
        <w:br/>
        <w:t>pérdida de sus viviendas.</w:t>
        <w:br/>
        <w:br/>
        <w:t>199.  La Corte considera que las víctimas de la violación del artículo  11.2</w:t>
        <w:br/>
        <w:t>de la Convención, en relación con el  artículo  21  de  la  misma,  son  las</w:t>
        <w:br/>
        <w:t>personas señaladas en el Anexo III de la presente  Sentencia  como  víctimas</w:t>
        <w:br/>
        <w:t>de dicho artículo.</w:t>
        <w:br/>
        <w:t xml:space="preserve">                                      *</w:t>
        <w:br/>
        <w:t xml:space="preserve">                                *          *</w:t>
        <w:br/>
        <w:br/>
        <w:t>200.   Por  todo  lo  anterior,  esta  Corte  considera  que  el  Estado  es</w:t>
        <w:br/>
        <w:t>responsable por la violación de los derechos consagrados en:</w:t>
        <w:br/>
        <w:br/>
        <w:br/>
        <w:t xml:space="preserve">      a) el artículo 21 (Derecho a la Propiedad Privada) de  la  Convención,</w:t>
        <w:br/>
        <w:t xml:space="preserve">         en relación  con  el  artículo  1.1  (Obligación  de  Respetar  los</w:t>
        <w:br/>
        <w:t xml:space="preserve">         Derechos) de la misma, en perjuicio de las cincuenta y  nueve  (59)</w:t>
        <w:br/>
        <w:t xml:space="preserve">         personas que perdieron bienes en  El  Aro,  quienes  se  encuentran</w:t>
        <w:br/>
        <w:t xml:space="preserve">         señaladas en el Anexo III de esta Sentencia; y</w:t>
        <w:br/>
        <w:br/>
        <w:br/>
        <w:t xml:space="preserve">      b) el artículo 11.2 (Protección de la Honra y de la  Dignidad)  de  la</w:t>
        <w:br/>
        <w:t xml:space="preserve">         Convención,  en  relación  con  los  artículos  21  (Derecho  a  la</w:t>
        <w:br/>
        <w:t xml:space="preserve">         Propiedad Privada) y 1.1 (Obligación de Respetar los  Derechos)  de</w:t>
        <w:br/>
        <w:t xml:space="preserve">         la misma, en perjuicio de las cuarenta y tres (43)  personas  cuyos</w:t>
        <w:br/>
        <w:t xml:space="preserve">         domicilios fueron destruidos  en  El  Aro,  quienes  se  encuentran</w:t>
        <w:br/>
        <w:t xml:space="preserve">         señaladas en el Anexo III de este fallo;</w:t>
        <w:br/>
        <w:br/>
        <w:br/>
        <w:br/>
        <w:br/>
        <w:t xml:space="preserve">                                     XII</w:t>
        <w:br/>
        <w:t xml:space="preserve">                        Artículo 22 de la Convención</w:t>
        <w:br/>
        <w:t xml:space="preserve">                    (Derecho de Circulación y Residencia)</w:t>
        <w:br/>
        <w:t xml:space="preserve">                 en relación con el artículo 1.1 de la misma</w:t>
        <w:br/>
        <w:t>Alegatos de la Comisión</w:t>
        <w:br/>
        <w:br/>
        <w:t>201.  En cuanto a la presunta violación del artículo 22  de  la  Convención,</w:t>
        <w:br/>
        <w:t>la Comisión, en su escrito de alegatos finales, solicitó a la Corte  que  se</w:t>
        <w:br/>
        <w:t>pronunciara sobre dicha presunta violación, de  conformidad  con  “la  misma</w:t>
        <w:br/>
        <w:t>base y los alegatos de los representantes de las [presuntas] víctimas y  sus</w:t>
        <w:br/>
        <w:t>familiares, y  el  precedente  sentado  en  esta  materia  a  través  de  la</w:t>
        <w:br/>
        <w:t>Sentencia de la Corte en el caso Masacre de Mapiripán”.</w:t>
        <w:br/>
        <w:br/>
        <w:t>Alegatos de los representantes</w:t>
        <w:br/>
        <w:br/>
        <w:t>202.  En cuanto a la violación del artículo 22 de la  Convención  Americana,</w:t>
        <w:br/>
        <w:t>los representantes alegaron que:</w:t>
        <w:br/>
        <w:br/>
        <w:br/>
        <w:t xml:space="preserve">   a) en razón del desplazamiento interno al que se han visto  forzados  los</w:t>
        <w:br/>
        <w:t xml:space="preserve">      familiares de las presuntas víctimas, el Estado es responsable por  la</w:t>
        <w:br/>
        <w:t xml:space="preserve">      violación de dicho artículo;</w:t>
        <w:br/>
        <w:br/>
        <w:br/>
        <w:t xml:space="preserve">   b) luego de los hechos en los corregimientos de La Granja y El  Aro,  sus</w:t>
        <w:br/>
        <w:t xml:space="preserve">      pobladores “se vieron abocados a abandonar su lugar de residencia”, de</w:t>
        <w:br/>
        <w:t xml:space="preserve">      manera similar a “miles” de colombianos durante la última década;</w:t>
        <w:br/>
        <w:br/>
        <w:t xml:space="preserve">   c) “la dificultad de individualización  de  víctimas  del  desplazamiento</w:t>
        <w:br/>
        <w:t xml:space="preserve">      forzado cuando este se produce en forma masiva, ha constituido uno  de</w:t>
        <w:br/>
        <w:t xml:space="preserve">      los principales factores de impunidad respecto a esta violación a  los</w:t>
        <w:br/>
        <w:t xml:space="preserve">      derechos humanos”;</w:t>
        <w:br/>
        <w:br/>
        <w:t xml:space="preserve">   d) pese a las solicitudes de protección hechas por los  líderes  cívicos,</w:t>
        <w:br/>
        <w:t xml:space="preserve">      políticos y sociales de Ituango, los actores  armados  “ingresaron  en</w:t>
        <w:br/>
        <w:t xml:space="preserve">      reiteradas  oportunidades  a  varios  corregimientos  de   Ituango   y</w:t>
        <w:br/>
        <w:t xml:space="preserve">      propiciaron mediante [...] asesinatos selectivos y [...] amenazas,  el</w:t>
        <w:br/>
        <w:t xml:space="preserve">      desplazamiento forzado de familias y comunidades”;</w:t>
        <w:br/>
        <w:br/>
        <w:t xml:space="preserve">   e) el Estado es responsable del  desplazamiento  forzado  “tanto  por  la</w:t>
        <w:br/>
        <w:t xml:space="preserve">      negligencia del gobierno departamental para prevenir  las  violaciones</w:t>
        <w:br/>
        <w:t xml:space="preserve">      de los derechos humanos que se le estaban  advirtiendo,  como  por  la</w:t>
        <w:br/>
        <w:t xml:space="preserve">      acción directa de sus agentes, que coadyuvaron y participaron  de  los</w:t>
        <w:br/>
        <w:t xml:space="preserve">      múltiples crímenes cometidos por paramilitares”;</w:t>
        <w:br/>
        <w:br/>
        <w:t xml:space="preserve">   f) a pesar de que  el  desplazamiento  llamó  la  atención  de  entidades</w:t>
        <w:br/>
        <w:t xml:space="preserve">      intergubernamentales   y   no   gubernamentales   internacionales    y</w:t>
        <w:br/>
        <w:t xml:space="preserve">      nacionales, así como de la Corte Constitucional colombiana, el  Estado</w:t>
        <w:br/>
        <w:t xml:space="preserve">      “no [...] ha desarrollado ninguna política pública para enfrentar  las</w:t>
        <w:br/>
        <w:t xml:space="preserve">      causas que propician los desplazamientos forzados,  ni  [...]  ha[...]</w:t>
        <w:br/>
        <w:t xml:space="preserve">      tomado medidas para  evitarlos”.   Dentro  de  la  “poca”  legislación</w:t>
        <w:br/>
        <w:t xml:space="preserve">      relevante al desplazamiento  forzado,  Colombia  “no  ha  abordado  el</w:t>
        <w:br/>
        <w:t xml:space="preserve">      problema en sus causas sino  escasamente  en  los  efectos,  esto  es,</w:t>
        <w:br/>
        <w:t xml:space="preserve">      fundamentalmente en materia de registro, programas de salud  básica  y</w:t>
        <w:br/>
        <w:t xml:space="preserve">      albergues provisionales”.  Por esa “insuficiencia” de la ley  interna,</w:t>
        <w:br/>
        <w:t xml:space="preserve">      “el   máximo   tribunal   de   control   constitucional,   la    Corte</w:t>
        <w:br/>
        <w:t xml:space="preserve">      Constitucional, en respuesta al derecho de Tutela, se  ha  pronunciado</w:t>
        <w:br/>
        <w:t xml:space="preserve">      en múltiples ocasiones sobre esta  grave  violación  de  los  derechos</w:t>
        <w:br/>
        <w:t xml:space="preserve">      humanos”;</w:t>
        <w:br/>
        <w:br/>
        <w:t xml:space="preserve">   g) el Estado tampoco “ha [...] procurado a las personas desplazadas ni  a</w:t>
        <w:br/>
        <w:t xml:space="preserve">      sus familiares la expedición de los documentos de identificación y  en</w:t>
        <w:br/>
        <w:t xml:space="preserve">      algunos casos de defunción con los cuales puedan ejercer sus  derechos</w:t>
        <w:br/>
        <w:t xml:space="preserve">      y  reclamar  ante  las  autoridades   la   protección   o   reparación</w:t>
        <w:br/>
        <w:t xml:space="preserve">      correspondientes”;</w:t>
        <w:br/>
        <w:br/>
        <w:t xml:space="preserve">   h) el desplazamiento forzado  “vulnera  derechos  fundamentales  y  entre</w:t>
        <w:br/>
        <w:t xml:space="preserve">      estos directamente el de  circulación  y  residencia”.   Asimismo,  el</w:t>
        <w:br/>
        <w:t xml:space="preserve">      desplazamiento  causó  que  las   personas   “se   vieran   despojadas</w:t>
        <w:br/>
        <w:t xml:space="preserve">      arbitrariamente del derecho a acceder a la  educación  por  tener  que</w:t>
        <w:br/>
        <w:t xml:space="preserve">      atender nuevas formas de subsistencia”.  Las  presuntas  víctimas  han</w:t>
        <w:br/>
        <w:t xml:space="preserve">      sufrido efectos psicológicos “devastadores”;</w:t>
        <w:br/>
        <w:br/>
        <w:t xml:space="preserve">   i) las violaciones del derecho de circulación y residencia  del  artículo</w:t>
        <w:br/>
        <w:t xml:space="preserve">      22 de la Convención  Americana  deben  ser  interpretadas  dentro  del</w:t>
        <w:br/>
        <w:t xml:space="preserve">      contexto de “tres momentos fácticos respeto del  desplazamiento”,  los</w:t>
        <w:br/>
        <w:t xml:space="preserve">      cuales son:</w:t>
        <w:br/>
        <w:br/>
        <w:t xml:space="preserve">              i. “la prevención de la violación imponiendo a los Estados  el</w:t>
        <w:br/>
        <w:t xml:space="preserve">                 deber de proteger a la población para evitar  la  expulsión</w:t>
        <w:br/>
        <w:t xml:space="preserve">                 de su lugar de residencia habitual y para que  pueda  hacer</w:t>
        <w:br/>
        <w:t xml:space="preserve">                 ejercicio de sus derechos fundamentales”;</w:t>
        <w:br/>
        <w:t xml:space="preserve">             ii. “la obligación de garantizar a los pobladores que han  sido</w:t>
        <w:br/>
        <w:t xml:space="preserve">                 víctimas  de  la  violación  las  condiciones  mínimas   de</w:t>
        <w:br/>
        <w:t xml:space="preserve">                 subsistencia de las que han sido despojadas al  momento  de</w:t>
        <w:br/>
        <w:t xml:space="preserve">                 la expulsión,  esto  es  simplemente  la  alimentación,  la</w:t>
        <w:br/>
        <w:t xml:space="preserve">                 vivienda, y la salud”; y</w:t>
        <w:br/>
        <w:t xml:space="preserve">            iii. la creación de “las condiciones  para  el  retorno  de  los</w:t>
        <w:br/>
        <w:t xml:space="preserve">                 desplazados[,] no solamente por el aspecto  material[,]  si</w:t>
        <w:br/>
        <w:t xml:space="preserve">                 no fundamentalmente [...] crear las  condiciones  para  que</w:t>
        <w:br/>
        <w:t xml:space="preserve">                 los hechos no se sigan repitiendo  en  el  lugar  del  cual</w:t>
        <w:br/>
        <w:t xml:space="preserve">                 fueron expulsados, esto es  para  que  se  investiguen  los</w:t>
        <w:br/>
        <w:t xml:space="preserve">                 hechos, se juzgue y se sancione a los responsables”;</w:t>
        <w:br/>
        <w:br/>
        <w:br/>
        <w:t xml:space="preserve">   j) 724 personas fueron obligadas a abandonar Ituango, de  las  cuales  31</w:t>
        <w:br/>
        <w:t xml:space="preserve">      personas representan desplazados de La Granja y 693 de El Aro;</w:t>
        <w:br/>
        <w:br/>
        <w:br/>
        <w:t xml:space="preserve">   k) la sentencia 1150 del año 2000 emitida por la Corte Constitucional, la</w:t>
        <w:br/>
        <w:t xml:space="preserve">      cual analizó el alcance a la Ley 387 del 18 de julio de 1997,  planteó</w:t>
        <w:br/>
        <w:t xml:space="preserve">      “que el desplazamiento forzado viola los instrumentos  internacionales</w:t>
        <w:br/>
        <w:t xml:space="preserve">      y particularmente la Convención  Americana  [y]  que  el  carácter  de</w:t>
        <w:br/>
        <w:t xml:space="preserve">      desplazado no lo da el registro formal que ordena esa  ley  si  no  la</w:t>
        <w:br/>
        <w:t xml:space="preserve">      expulsión misma que sufre el desplazado”; y</w:t>
        <w:br/>
        <w:br/>
        <w:t xml:space="preserve">   l) la sentencia 025 del año 2004  emitida  por  la  Corte  Constitucional</w:t>
        <w:br/>
        <w:t xml:space="preserve">      tuteló derechos  fundamentales  de  los  desplazados  que  no  estaban</w:t>
        <w:br/>
        <w:t xml:space="preserve">      reconocidos en la  Ley  387  del  18  de  julio  de  1997,  ni  en  la</w:t>
        <w:br/>
        <w:t xml:space="preserve">      interpretación que había hecho la sentencia de  unificación  1150  del</w:t>
        <w:br/>
        <w:t xml:space="preserve">      año 2000.</w:t>
        <w:br/>
        <w:br/>
        <w:t>Alegatos del Estado</w:t>
        <w:br/>
        <w:br/>
        <w:t>203.   En  relación  con  la  supuesta  violación  del  artículo  22  de  la</w:t>
        <w:br/>
        <w:t>Convención el Estado alegó que:</w:t>
        <w:br/>
        <w:t xml:space="preserve">   a) “los datos de los que dispone hoy el Estado no  permiten  concluir  ni</w:t>
        <w:br/>
        <w:t xml:space="preserve">      que los lamentables y violentos sucesos ocurridos en La Granja  el  11</w:t>
        <w:br/>
        <w:t xml:space="preserve">      de junio de 1996 hayan  sido  causa  de  desplazamiento,  ni  que  con</w:t>
        <w:br/>
        <w:t xml:space="preserve">      ocasión de los ocurridos en El  Aro  en  octubre  de  1997  todas  las</w:t>
        <w:br/>
        <w:t xml:space="preserve">      personas cuyos nombres se citan en el escrito de los peticionarios  se</w:t>
        <w:br/>
        <w:t xml:space="preserve">      hubieren visto forzadas a dejar sus hogares”;</w:t>
        <w:br/>
        <w:br/>
        <w:br/>
        <w:t xml:space="preserve">   b) específicamente en relación con el caso de La Granja, “ni las  pruebas</w:t>
        <w:br/>
        <w:t xml:space="preserve">      recaudadas por las autoridades  internas,  ni  las  allegadas  a  este</w:t>
        <w:br/>
        <w:t xml:space="preserve">      proceso, dan cuenta de que  se  hubieren  generado  el  desplazamiento</w:t>
        <w:br/>
        <w:t xml:space="preserve">      forzado de algunos de sus residentes”;</w:t>
        <w:br/>
        <w:br/>
        <w:t xml:space="preserve">   c) en relación con el caso de El Aro, el Estado no conoce: 1)  cuáles  de</w:t>
        <w:br/>
        <w:t xml:space="preserve">      las personas indicadas por los representantes residían “realmente”  en</w:t>
        <w:br/>
        <w:t xml:space="preserve">      El Aro; 2)  a  qué  se  dedicaban  los  pobladores;  3)  cómo  estaban</w:t>
        <w:br/>
        <w:t xml:space="preserve">      compuestas sus familias; 4) si algunos de ellos “realmente  se  vieron</w:t>
        <w:br/>
        <w:t xml:space="preserve">      forzados a desplazarse a otras zonas”; 5) quiénes regresaron a El  Aro</w:t>
        <w:br/>
        <w:t xml:space="preserve">      o cuándo; ni 6) quiénes se reubicaron en lugares diferentes;</w:t>
        <w:br/>
        <w:br/>
        <w:t xml:space="preserve">   d) varias de las personas que  salieron  de  El  Aro  “regresaron  a  sus</w:t>
        <w:br/>
        <w:t xml:space="preserve">      lugares  de  habitación  y  trabajo  unas  pocas  semanas  después  de</w:t>
        <w:br/>
        <w:t xml:space="preserve">      ocurridos los hechos”;</w:t>
        <w:br/>
        <w:br/>
        <w:t xml:space="preserve">   e) de la  lista  de  desplazados  brindada  por  los  peticionarios  sólo</w:t>
        <w:br/>
        <w:t xml:space="preserve">      aparecen en el Registro Único de Población Desplazada los  nombres  de</w:t>
        <w:br/>
        <w:t xml:space="preserve">      Luis Humberto Mendoza Arroyave y Julio Eliver Pérez Areiza, junto  con</w:t>
        <w:br/>
        <w:t xml:space="preserve">      su grupo familiar de nueve personas,  quienes  recibieron  las  ayudas</w:t>
        <w:br/>
        <w:t xml:space="preserve">      correspondientes del Estado;</w:t>
        <w:br/>
        <w:br/>
        <w:t xml:space="preserve">   f) actualmente cuenta con “una verdadera política pública de prevención y</w:t>
        <w:br/>
        <w:t xml:space="preserve">      protección a personas en riesgo, entre ellas las  desplazadas  o  bajo</w:t>
        <w:br/>
        <w:t xml:space="preserve">      amenaza de serlo”, que se encuentra en la Consejería Presidencial bajo</w:t>
        <w:br/>
        <w:t xml:space="preserve">      el nombre de Atención  Integral  a  la  Población  Desplazada  por  la</w:t>
        <w:br/>
        <w:t xml:space="preserve">      Violencia;</w:t>
        <w:br/>
        <w:br/>
        <w:t xml:space="preserve">   g) ha buscado y recibido el apoyo de la oficina del Alto  Comisionado  de</w:t>
        <w:br/>
        <w:t xml:space="preserve">      las  Naciones  Unidas  para  los  Refugiados,  ACNUR,  el  cual  tiene</w:t>
        <w:br/>
        <w:t xml:space="preserve">      presencia permanente en el país desde el año 1997;</w:t>
        <w:br/>
        <w:br/>
        <w:t xml:space="preserve">   h) la  política  pública  ha  sido  acompañada  por  “las  Altas  Cortes,</w:t>
        <w:br/>
        <w:t xml:space="preserve">      Constitucional  y  Consejo  de  Estado  [que   contribuyen   con]   su</w:t>
        <w:br/>
        <w:t xml:space="preserve">      jurisprudencia a consolidar la extensión y alcance de los derechos  de</w:t>
        <w:br/>
        <w:t xml:space="preserve">      las víctimas, especialmente el derecho de protección,  fundado  en  el</w:t>
        <w:br/>
        <w:t xml:space="preserve">      principio de solidaridad como deber de la sociedad, en consideración a</w:t>
        <w:br/>
        <w:t xml:space="preserve">      [su] condición de Estado social de derecho”;</w:t>
        <w:br/>
        <w:br/>
        <w:t xml:space="preserve">   i) el sistema que estableció la Ley 387 de 1997 permitió: 1) “identificar</w:t>
        <w:br/>
        <w:t xml:space="preserve">      en forma  precisa  a  quienes  se  desplazaban  de  sus  hogares”;  2)</w:t>
        <w:br/>
        <w:t xml:space="preserve">      “elaborar registros oficiales con la información acerca de edad, sexo,</w:t>
        <w:br/>
        <w:t xml:space="preserve">      nivel de instrucción y lugares de origen de  los  desplazados,  causas</w:t>
        <w:br/>
        <w:t xml:space="preserve">      determinantes de los desplazamientos, etcétera”; 3)  “la  apertura  de</w:t>
        <w:br/>
        <w:t xml:space="preserve">      canales claros a  fin  de  que  los  afectados  por  el  fenómeno  del</w:t>
        <w:br/>
        <w:t xml:space="preserve">      desplazamiento pudiera  reclamar  del  Estado  medidas  especiales  de</w:t>
        <w:br/>
        <w:t xml:space="preserve">      protección,  asistencia  humanitaria  de  emergencia,  apoyo  para  el</w:t>
        <w:br/>
        <w:t xml:space="preserve">      retorno a la reubicación entre otras cosas”;</w:t>
        <w:br/>
        <w:br/>
        <w:t xml:space="preserve">   j) por “no haber incumplido deber convencional  alguno  derivado  de  los</w:t>
        <w:br/>
        <w:t xml:space="preserve">      artículos 8 y 25” de la Convención, la violación  “consecuencial”  del</w:t>
        <w:br/>
        <w:t xml:space="preserve">      artículo 22 de la misma es “improcedente”, toda vez que  las  acciones</w:t>
        <w:br/>
        <w:t xml:space="preserve">      que  “están  en  curso   regular   [...]   han   mostrado   resultados</w:t>
        <w:br/>
        <w:t xml:space="preserve">      satisfactorios”;</w:t>
        <w:br/>
        <w:br/>
        <w:t xml:space="preserve">   k) brindó ayuda a los desplazados a través del Ejército.  Lo  anterior se</w:t>
        <w:br/>
        <w:t xml:space="preserve">      confirma con la declaración rendida por Luis Humberto  Mendoza  en  el</w:t>
        <w:br/>
        <w:t xml:space="preserve">      2002 ante funcionarios de la  Fiscalía  cuando  él  describió  que  el</w:t>
        <w:br/>
        <w:t xml:space="preserve">      Ejército les ayudaba  “con  colchoneticas  y  con  comida”  en  Puerto</w:t>
        <w:br/>
        <w:t xml:space="preserve">      Valdivia; y</w:t>
        <w:br/>
        <w:br/>
        <w:t xml:space="preserve">   l) a la familia Jaramillo  “les  fue  concedido  el  uso  de  equipos  de</w:t>
        <w:br/>
        <w:t xml:space="preserve">      comunicaciones y suministrados tiquetes aéreos, gastos de  traslado  y</w:t>
        <w:br/>
        <w:t xml:space="preserve">      apoyo económico para reubicación”.</w:t>
        <w:br/>
        <w:br/>
        <w:t>Consideraciones de la Corte</w:t>
        <w:br/>
        <w:br/>
        <w:t>204.  La Corte procederá a analizar la presunta violación  del  artículo  22</w:t>
        <w:br/>
        <w:t>de la Convención en perjuicio de las personas desplazadas de La Granja y  El</w:t>
        <w:br/>
        <w:t>Aro.</w:t>
        <w:br/>
        <w:br/>
        <w:t>205.  Los incisos  1  y  4  del  artículo  22  de  la  Convención  Americana</w:t>
        <w:br/>
        <w:t>establecen que:</w:t>
        <w:br/>
        <w:br/>
        <w:t xml:space="preserve">      1.    [t]oda persona que se halle legalmente en el  territorio  de  un</w:t>
        <w:br/>
        <w:t xml:space="preserve">      Estado tiene derecho a circular por el mismo y, a residir  en  él  con</w:t>
        <w:br/>
        <w:t xml:space="preserve">      sujeción a las disposiciones legales.</w:t>
        <w:br/>
        <w:br/>
        <w:br/>
        <w:t xml:space="preserve">      4.    [e]l ejercicio de los derechos reconocidos en el inciso 1  puede</w:t>
        <w:br/>
        <w:t xml:space="preserve">      asimismo ser restringido  por  la  ley,  en  zonas  determinadas,  por</w:t>
        <w:br/>
        <w:t xml:space="preserve">      razones de interés público. […]</w:t>
        <w:br/>
        <w:br/>
        <w:t>206.  La Corte ha señalado que el derecho de  circulación  y  residencia  es</w:t>
        <w:br/>
        <w:t>una condición indispensable para el libre desarrollo de  la  persona[194]  y</w:t>
        <w:br/>
        <w:t>consiste, inter alia, en el derecho  de  quienes  se  encuentren  legalmente</w:t>
        <w:br/>
        <w:t>dentro de un Estado a circular libremente en ese Estado y escoger  su  lugar</w:t>
        <w:br/>
        <w:t>de residencia[195].</w:t>
        <w:br/>
        <w:br/>
        <w:t>207.  En este sentido, mediante una interpretación  evolutiva  del  artículo</w:t>
        <w:br/>
        <w:t>22 de  la  Convención,  tomando  en  cuenta  las  normas  de  interpretación</w:t>
        <w:br/>
        <w:t>aplicables y de conformidad con el artículo 29.b de la misma —  que  prohíbe</w:t>
        <w:br/>
        <w:t>una  interpretación  restrictiva  de  los  derechos  —  ,  esta   Corte   ha</w:t>
        <w:br/>
        <w:t>considerado que el artículo 22.1 de la Convención protege el  derecho  a  no</w:t>
        <w:br/>
        <w:t>ser desplazado forzadamente dentro de un Estado Parte en la misma[196].</w:t>
        <w:br/>
        <w:br/>
        <w:t>208.  Como ha sido comprobado (supra párr. 125.104 a  125.110),  los  hechos</w:t>
        <w:br/>
        <w:t>del  presente  caso  se  enmarcan   en   una   situación   generalizada   de</w:t>
        <w:br/>
        <w:t>desplazamiento forzado interno que afecta a Colombia y que  es  causada  por</w:t>
        <w:br/>
        <w:t>el conflicto armado interno.  Por tal motivo, antes de determinar si  dichos</w:t>
        <w:br/>
        <w:t>hechos constituyen una violación por parte del Estado del artículo 22 de  la</w:t>
        <w:br/>
        <w:t>Convención en perjuicio de las personas presuntamente  desplazadas  por  los</w:t>
        <w:br/>
        <w:t>hechos en La Granja y El Aro, la Corte estima necesario  analizar,  como  lo</w:t>
        <w:br/>
        <w:t>ha hecho en otros casos[197], la problemática del desplazamiento  forzado  a</w:t>
        <w:br/>
        <w:t>la luz del derecho internacional  de  los  derechos  humanos  y  el  derecho</w:t>
        <w:br/>
        <w:t>internacional humanitario, así como la manifestación de  dicho  fenómeno  en</w:t>
        <w:br/>
        <w:t>el contexto del conflicto armado interno que vive Colombia.</w:t>
        <w:br/>
        <w:br/>
        <w:t>209.  Al respecto, la Corte considera que los  Principios  Rectores  de  los</w:t>
        <w:br/>
        <w:t>Desplazamientos  Internos  emitidos  en  1998  por  el   Representante   del</w:t>
        <w:br/>
        <w:t>Secretario  General  de  las  Naciones   Unidas   resultan   particularmente</w:t>
        <w:br/>
        <w:t>relevantes para definir el  contenido  y  alcance  del  artículo  22  de  la</w:t>
        <w:br/>
        <w:t>Convención en un contexto de desplazamiento interno[198].  Además,  dada  la</w:t>
        <w:br/>
        <w:t>situación  del  conflicto  armado  interno  en  Colombia,  también  resultan</w:t>
        <w:br/>
        <w:t>especialmente útiles las regulaciones sobre desplazamiento contenidas en  el</w:t>
        <w:br/>
        <w:t>Protocolo II a  los  Convenios  de  Ginebra  de  1949.  Específicamente,  el</w:t>
        <w:br/>
        <w:t>artículo 17 del  Protocolo  II  prohíbe  ordenar  el  desplazamiento  de  la</w:t>
        <w:br/>
        <w:t>población civil por razones relacionadas con el conflicto, a no ser que  así</w:t>
        <w:br/>
        <w:t>lo  exijan  la  seguridad  de  las  personas  civiles  o  razones  militares</w:t>
        <w:br/>
        <w:t>imperiosas y, en este último caso, se deberán  adoptar  “todas  las  medidas</w:t>
        <w:br/>
        <w:t>posibles  para  que  la  población  civil   sea   acogida   en   condiciones</w:t>
        <w:br/>
        <w:t>satisfactorias   de   alojamiento,   salubridad,   higiene,   seguridad    y</w:t>
        <w:br/>
        <w:t>alimentación”.  En este sentido, la  Corte  Constitucional  de  Colombia  ha</w:t>
        <w:br/>
        <w:t>considerado que, “en el caso  colombiano,  además,  la  aplicación  de  esas</w:t>
        <w:br/>
        <w:t>reglas por las partes en conflicto se  revela  particularmente  imperiosa  e</w:t>
        <w:br/>
        <w:t>importante, puesto que el conflicto armado que vive el país ha  afectado  de</w:t>
        <w:br/>
        <w:t>manera grave a la población civil, como  lo  demuestran,  por  ejemplo,  los</w:t>
        <w:br/>
        <w:t>alarmantes datos sobre desplazamiento forzado de personas”[199].</w:t>
        <w:br/>
        <w:br/>
        <w:t>210.  En razón de la complejidad del fenómeno del desplazamiento  interno  y</w:t>
        <w:br/>
        <w:t>de la amplia gama de derechos humanos que afecta o  pone  en  riesgo,  y  en</w:t>
        <w:br/>
        <w:t>atención a las circunstancias de especial vulnerabilidad  e  indefensión  en</w:t>
        <w:br/>
        <w:t>que generalmente se encuentran  los  desplazados,  su  situación  puede  ser</w:t>
        <w:br/>
        <w:t>entendida como una condición de facto de desprotección.  En los términos  de</w:t>
        <w:br/>
        <w:t>la Convención Americana, dicha situación obliga a los Estados a  otorgar  un</w:t>
        <w:br/>
        <w:t>trato preferente a su favor y a adoptar medidas de  carácter  positivo  para</w:t>
        <w:br/>
        <w:t>revertir los efectos de su referida condición de  debilidad,  vulnerabilidad</w:t>
        <w:br/>
        <w:t>e  indefensión,  incluso  vis-à-vis  actuaciones  y  prácticas  de  terceros</w:t>
        <w:br/>
        <w:t>particulares[200].</w:t>
        <w:br/>
        <w:br/>
        <w:t>211.  La Corte Constitucional de Colombia se ha referido a  dicha  situación</w:t>
        <w:br/>
        <w:t>de vulnerabilidad de los desplazados en los siguientes términos:</w:t>
        <w:br/>
        <w:br/>
        <w:br/>
        <w:t xml:space="preserve">      […] por las circunstancias que rodean el desplazamiento  interno,  las</w:t>
        <w:br/>
        <w:t xml:space="preserve">      personas […] que se ven obligadas “a  abandonar  intempestivamente  su</w:t>
        <w:br/>
        <w:t xml:space="preserve">      lugar de residencia y sus actividades económicas habituales,  debiendo</w:t>
        <w:br/>
        <w:t xml:space="preserve">      migrar a otro lugar dentro de las fronteras del  territorio  nacional”</w:t>
        <w:br/>
        <w:t xml:space="preserve">      para huir de la violencia generada por el conflicto armado  interno  y</w:t>
        <w:br/>
        <w:t xml:space="preserve">      por el desconocimiento sistemático  de  los  derechos  humanos  o  del</w:t>
        <w:br/>
        <w:t xml:space="preserve">      derecho internacional humanitario, quedan expuestas a un  nivel  mucho</w:t>
        <w:br/>
        <w:t xml:space="preserve">      mayor de vulnerabilidad, que implica una  violación  grave,  masiva  y</w:t>
        <w:br/>
        <w:t xml:space="preserve">      sistemática de sus derechos fundamentales y, por lo mismo, amerita  el</w:t>
        <w:br/>
        <w:t xml:space="preserve">      otorgamiento  de  una  especial  atención  por  las  autoridades.  Las</w:t>
        <w:br/>
        <w:t xml:space="preserve">      personas desplazadas por la violencia se encuentran en  un  estado  de</w:t>
        <w:br/>
        <w:t xml:space="preserve">      debilidad que los hace merecedores  de  un  tratamiento  especial  por</w:t>
        <w:br/>
        <w:t xml:space="preserve">      parte del Estado[201].</w:t>
        <w:br/>
        <w:br/>
        <w:t>212.  La vulnerabilidad acentuada de los desplazados  es  reforzada  por  su</w:t>
        <w:br/>
        <w:t>proveniencia rural y, en general, afecta  con  especial  fuerza  a  mujeres,</w:t>
        <w:br/>
        <w:t>quienes son cabezas de hogar y representan más de la mitad de  la  población</w:t>
        <w:br/>
        <w:t>desplazada. La crisis del  desplazamiento  interno  provoca  a  su  vez  una</w:t>
        <w:br/>
        <w:t>crisis de  seguridad,  dado  que  los  grupos  de  desplazados  internos  se</w:t>
        <w:br/>
        <w:t>convierten en un nuevo foco o recurso  de  reclutamiento  para  los  propios</w:t>
        <w:br/>
        <w:t>grupos paramilitares, de narcotráfico y de la guerrilla[202].</w:t>
        <w:br/>
        <w:br/>
        <w:t>213.  Asimismo, dentro de los efectos nocivos que provoca el  desplazamiento</w:t>
        <w:br/>
        <w:t>forzado interno, se han destacado la pérdida de la tierra y de la  vivienda,</w:t>
        <w:br/>
        <w:t>la  marginación,  graves  repercusiones  psicológicas,  el   desempleo,   el</w:t>
        <w:br/>
        <w:t>empobrecimiento y el deterioro de las condiciones de vida, el incremento  de</w:t>
        <w:br/>
        <w:t>las enfermedades y de la mortalidad, la pérdida del acceso  a  la  propiedad</w:t>
        <w:br/>
        <w:t>entre  comuneros,  la   inseguridad   alimentaria   y   la   desarticulación</w:t>
        <w:br/>
        <w:t>social[203].</w:t>
        <w:br/>
        <w:br/>
        <w:t>214.  La Corte debe enfatizar que Colombia, al enfrentar dicha  problemática</w:t>
        <w:br/>
        <w:t>de desplazamiento  interno,  ha  adoptado  una  serie  de  medidas  a  nivel</w:t>
        <w:br/>
        <w:t>legislativo,  administrativo  y  judicial,   incluyendo   múltiples   leyes,</w:t>
        <w:br/>
        <w:t>decretos, documentos del Consejo Nacional de  Política  Económica  y  Social</w:t>
        <w:br/>
        <w:t>(CONPES), resoluciones y directivas presidenciales (supra  párr.  125.108  y</w:t>
        <w:br/>
        <w:t>125.109). La ley 387 de  18  de  julio  de  1997,  por  ejemplo,  estableció</w:t>
        <w:br/>
        <w:t>mecanismos para registrar y prestar atención de emergencia  a  la  población</w:t>
        <w:br/>
        <w:t>desplazada[204].  Sin  embargo,  este  Tribunal  coincide  con  el  criterio</w:t>
        <w:br/>
        <w:t>establecido por la Corte Constitucional Colombiana, en  el  sentido  de  que</w:t>
        <w:br/>
        <w:t>“no es el registro formal ante los entes gubernamentales lo  que  le  da  el</w:t>
        <w:br/>
        <w:t>carácter de desplazado a un individuo, sino el mero hecho de  haberse  visto</w:t>
        <w:br/>
        <w:t>compelido a  abandonar  el  lugar  de  residencia  habitual”[205].  En  este</w:t>
        <w:br/>
        <w:t>sentido, dicha Corte  Constitucional  ha  declarado  “la  existencia  de  un</w:t>
        <w:br/>
        <w:t>estado de cosas inconstitucional en la situación de la población  desplazada</w:t>
        <w:br/>
        <w:t>debido a la falta de concordancia entre la gravedad de la afectación de  los</w:t>
        <w:br/>
        <w:t>derechos reconocidos constitucionalmente y desarrollados por la ley,  de  un</w:t>
        <w:br/>
        <w:t>lado, y el volumen de recursos efectivamente destinados a asegurar  el  goce</w:t>
        <w:br/>
        <w:t>efectivo de tales derechos y la  capacidad  institucional  para  implementar</w:t>
        <w:br/>
        <w:t>los  correspondientes  mandatos  constitucionales   y   legales,   de   otro</w:t>
        <w:br/>
        <w:t>lado”[206].</w:t>
        <w:br/>
        <w:br/>
        <w:t xml:space="preserve">                                      *</w:t>
        <w:br/>
        <w:br/>
        <w:t>215.  A la luz de los criterios y el contexto  señalados  anteriormente,  la</w:t>
        <w:br/>
        <w:t>Corte analizará en el presente  caso  si  el  Estado  ha  incurrido  en  una</w:t>
        <w:br/>
        <w:t>violación del artículo 22.1 de la Convención en perjuicio de los  pobladores</w:t>
        <w:br/>
        <w:t>de La Granja y El Aro.</w:t>
        <w:br/>
        <w:br/>
        <w:t>216.  Ha quedado comprobado que las masacres ocurridas en  La  Granja  y  El</w:t>
        <w:br/>
        <w:t>Aro, así como los daños  sufridos  por  la  destrucción  del  ganado  y  las</w:t>
        <w:br/>
        <w:t>propiedades de los pobladores, aunados al miedo a que se  repitieran  hechos</w:t>
        <w:br/>
        <w:t>similares, al amedrentamiento y a las  amenazas  recibidas  por  algunos  de</w:t>
        <w:br/>
        <w:t>ellos por parte de paramilitares, provocaron el  desplazamiento  interno  de</w:t>
        <w:br/>
        <w:t>muchas familias (supra párr. 125.110).</w:t>
        <w:br/>
        <w:br/>
        <w:t>217.  En relación con el caso de La Granja, 31 miembros del  grupo  familiar</w:t>
        <w:br/>
        <w:t>del señor Héctor  Hernán  Correa  García,  quien  fuera  ejecutado  por  los</w:t>
        <w:br/>
        <w:t>paramilitares, se vieron obligados a desplazarse hacia otros  municipios  de</w:t>
        <w:br/>
        <w:t>Antioquia, e incluso una de  las  familiares  tuvo  que  abandonar  el  país</w:t>
        <w:br/>
        <w:t>definitivamente debido  a  las  amenazas  sufridas  por  las  denuncias  que</w:t>
        <w:br/>
        <w:t>realizaron[207].</w:t>
        <w:br/>
        <w:br/>
        <w:t>218.  De igual manera, se ha comprobado que los paramilitares destruyeron  e</w:t>
        <w:br/>
        <w:t>incendiaron el 80% de las viviendas y propiedades de  El  Aro,  obligando  a</w:t>
        <w:br/>
        <w:t>671 pobladores a abandonar sus casas  y  lugares  de  trabajo  (supra  párr.</w:t>
        <w:br/>
        <w:t>125.79).</w:t>
        <w:br/>
        <w:br/>
        <w:t>219.  Cabe  resaltar  que,  según  el  fallo  emitido  por  la  Procuraduría</w:t>
        <w:br/>
        <w:t>Delegada para los Derechos Humanos el 30 de septiembre de 2002 (supra  párr.</w:t>
        <w:br/>
        <w:t>125.100), los miembros del Ejército participaron en estos hechos  al  “haber</w:t>
        <w:br/>
        <w:t>colaborado y facilitado con conocimiento de causa, es decir,  con  dolo,  la</w:t>
        <w:br/>
        <w:t>incursión que durante dieciocho (18)  días  efectuaron  las  autodefensas[;]</w:t>
        <w:br/>
        <w:t>incursión que culminó con la muerte violenta  [y]  el  maltrato  contra  las</w:t>
        <w:br/>
        <w:t>víctimas [y] que a su  vez  forzaron  el  desplazamiento  de  más  de  1.200</w:t>
        <w:br/>
        <w:t>campesinos de la zona hacia los municipios de Ituango y Valdivia”[208].</w:t>
        <w:br/>
        <w:br/>
        <w:t>220.  Algunos de estos supuestos 1.200 desplazados  han  sido  identificados</w:t>
        <w:br/>
        <w:t>en  el  proceso  ante  esta  Corte.   Particularmente,  los  representantes,</w:t>
        <w:br/>
        <w:t>mediante la presentación de prueba para mejor resolver solicitada  por  este</w:t>
        <w:br/>
        <w:t>Tribunal, han identificado un total  de  31  personas  desplazadas  por  los</w:t>
        <w:br/>
        <w:t>hechos en La Granja y 671 personas desplazadas por los  hechos  en  El  Aro,</w:t>
        <w:br/>
        <w:t>para un total de 702 personas desplazadas en el presente caso.</w:t>
        <w:br/>
        <w:br/>
        <w:t>221.  Al respecto, la Corte considera que  la  falta  de  identificación  de</w:t>
        <w:br/>
        <w:t>todas  las  personas  que  fueron  desplazadas  obedece  en  parte   a   las</w:t>
        <w:br/>
        <w:t>circunstancias mismas en que  se  produjeron  las  masacres,  incluyendo  el</w:t>
        <w:br/>
        <w:t>hecho de que en El Aro se haya incendiado el 80% del pueblo, por lo  que  se</w:t>
        <w:br/>
        <w:t>destruyeron a su vez documentos  de  identidad  de  los  desplazados  (supra</w:t>
        <w:br/>
        <w:t>párr. 125.79).  Lo anterior impide saber con  certeza  cuántas  personas  se</w:t>
        <w:br/>
        <w:t>vieron desplazadas en este caso.  Por  ello,  este  Tribunal  puede  evaluar</w:t>
        <w:br/>
        <w:t>esta situación únicamente respecto de quienes hayan  sido  identificados  en</w:t>
        <w:br/>
        <w:t>el  proceso  ante  él.  No   obstante,   tal   y   como   lo   ha   señalado</w:t>
        <w:br/>
        <w:t>anteriormente[209], la Corte deja constancia  de  su  profunda  preocupación</w:t>
        <w:br/>
        <w:t>por el hecho de que  posiblemente  fueron  muchas  otras  las  personas  que</w:t>
        <w:br/>
        <w:t>enfrentaron dicha situación y que no fueron identificados en este proceso.</w:t>
        <w:br/>
        <w:br/>
        <w:t>222.  La Corte considera pertinente señalar que algunos de  los  desplazados</w:t>
        <w:br/>
        <w:t>han expresado la convicción de que no podrán regresar a Ituango mientras  no</w:t>
        <w:br/>
        <w:t>obtengan seguridad y justicia por parte del  Estado.   Asimismo,  varios  de</w:t>
        <w:br/>
        <w:t>ellos han declarado su profunda preocupación ante la posibilidad  de  sufrir</w:t>
        <w:br/>
        <w:t>nuevas agresiones si volvieran a Ituango, que se  encuentra  ubicado  en  un</w:t>
        <w:br/>
        <w:t>área con presencia paramilitar (supra párr. 125.26 a 125.28). Es decir,  que</w:t>
        <w:br/>
        <w:t>su derecho a la seguridad personal se  ve  vulnerado  por  la  situación  de</w:t>
        <w:br/>
        <w:t>desplazamiento[210], tanto por la situación  que  han  vivido  como  por  no</w:t>
        <w:br/>
        <w:t>haber  recibido  por  parte  del  Estado  las  condiciones  necesarias  para</w:t>
        <w:br/>
        <w:t>regresar a Ituango, en caso de que así lo hayan deseado.</w:t>
        <w:br/>
        <w:br/>
        <w:t>223.  A su vez, el Tribunal valora positivamente el hecho de que  el  Estado</w:t>
        <w:br/>
        <w:t>ha brindado ayuda o apoyo a algunos de los desplazados y sus  familiares,  a</w:t>
        <w:br/>
        <w:t>saber: Luis Humberto Mendoza Arroyave y Julio Oliver Pérez  Areiza  y  nueve</w:t>
        <w:br/>
        <w:t>de sus familiares, en razón de su condición de personas  desplazadas  (supra</w:t>
        <w:br/>
        <w:t>párr. 125.111).</w:t>
        <w:br/>
        <w:br/>
        <w:t xml:space="preserve">                                      *</w:t>
        <w:br/>
        <w:br/>
        <w:t>224.  Para determinar las víctimas del presente  caso  en  relación  con  la</w:t>
        <w:br/>
        <w:t>violación del artículo 22 de la Convención, la Corte  ha  tomado  en  cuenta</w:t>
        <w:br/>
        <w:t>varios criterios.  Primero, dichas presuntas víctimas son determinables,  ya</w:t>
        <w:br/>
        <w:t>que los hechos relativos  al  desplazamiento  forzado  forman  parte  de  la</w:t>
        <w:br/>
        <w:t>demanda, en  la  cual  la  Comisión  señaló  que  los  “actos  de  violencia</w:t>
        <w:br/>
        <w:t>destinados  a  aterrorizar  a  la  población  obligaron  a  las  familias  a</w:t>
        <w:br/>
        <w:t>desplazarse del  lugar”[211].   Asimismo,  la  Comisión  transcribió  en  la</w:t>
        <w:br/>
        <w:t>demanda testimonios y sentencias internas en los cuales se  hace  referencia</w:t>
        <w:br/>
        <w:t>al “desplazamiento  forzado  y  masivo  de  aproximadamente  mil  doscientos</w:t>
        <w:br/>
        <w:t>(1200) campesinos hacia las jurisdicciones de los municipios  de  Ituango  y</w:t>
        <w:br/>
        <w:t>de Valdivia”[212].   Además, la  Comisión  señaló  en  la  demanda  que  los</w:t>
        <w:br/>
        <w:t>“familiares sobrevivientes de las víctimas  ejecutadas  se  convirtieron  en</w:t>
        <w:br/>
        <w:t>víctimas del desplazamiento”[213].   Adicionalmente,  la  Comisión  solicitó</w:t>
        <w:br/>
        <w:t>que, como medida de reparación, la Corte ordene  al  Estado  colombiano  que</w:t>
        <w:br/>
        <w:t>“adopte las medidas necesarias para garantizar el  retorno  a  su  lugar  de</w:t>
        <w:br/>
        <w:t>origen de las víctimas de la  incursión,  desplazadas  forzadamente  por  la</w:t>
        <w:br/>
        <w:t>violencia”[214].  Por otra parte, existen varios  testimonios  y  peritajes,</w:t>
        <w:br/>
        <w:t>rendidos tanto a nivel interno como ante este Tribunal, así como  una  lista</w:t>
        <w:br/>
        <w:t>relativa a un censo sobre desplazados de Ituango, en los  cuales  se  señala</w:t>
        <w:br/>
        <w:t>la identidad de dichas personas desplazadas. Por último,  refuerza  todo  lo</w:t>
        <w:br/>
        <w:t>anterior que el listado de personas  fue  remitido  por  los  representantes</w:t>
        <w:br/>
        <w:t>como prueba para mejor resolver presentada a solicitud del Tribunal.</w:t>
        <w:br/>
        <w:br/>
        <w:t>225.  Por lo anterior, la Corte considera que el Estado es  responsable  por</w:t>
        <w:br/>
        <w:t>el desplazamiento forzado de las personas mencionadas  en  el  Anexo  IV  de</w:t>
        <w:br/>
        <w:t>esta Sentencia.</w:t>
        <w:br/>
        <w:br/>
        <w:t>226.   Los  representantes  señalaron  a   otras   presuntas   víctimas   de</w:t>
        <w:br/>
        <w:t>desplazamiento forzado que no se encuentran señaladas  en  el  Anexo  IV  de</w:t>
        <w:br/>
        <w:t>esta Sentencia.  Señalaron que “Leidy Carvajal” y “Viviana Carvajal”  fueron</w:t>
        <w:br/>
        <w:t>víctimas de desplazamiento forzado.  Sin embargo,  con  base  en  el  acervo</w:t>
        <w:br/>
        <w:t>probatorio, la Corte considera que ambos nombres  se  refieren  a  una  sola</w:t>
        <w:br/>
        <w:t>persona llamada Leidy Viviana Carvajal, quien  es  considerada  víctima  del</w:t>
        <w:br/>
        <w:t>presente caso.</w:t>
        <w:br/>
        <w:br/>
        <w:t>227.  Asimismo, los representantes señalaron en su escrito de solicitudes  y</w:t>
        <w:br/>
        <w:t>argumentos que los señores Luis Ufrán Areiza  Posso,  Jael  Esther  Arroyave</w:t>
        <w:br/>
        <w:t>Posso, Eligio Pérez Aguirre, Lucelly Amparo  Posso  Múnera  y  María  Esther</w:t>
        <w:br/>
        <w:t>Jaramillo Torres fueron víctimas de desplazamiento forzado.   Al  no  contar</w:t>
        <w:br/>
        <w:t>con prueba al respecto,  la  Corte  no  considera  a  dichas  personas  como</w:t>
        <w:br/>
        <w:t>víctimas de la violación del artículo 22 de la Convención, sin perjuicio  de</w:t>
        <w:br/>
        <w:t>lo previsto en el párrafo 357 de la presente Sentencia.</w:t>
        <w:br/>
        <w:br/>
        <w:t>228.  Los representantes señalaron también como víctimas  de  desplazamiento</w:t>
        <w:br/>
        <w:t>a Iraima, Deicy y Nohelia Díaz Pérez, así como  a  Kelly  Tatiana  y  Sergio</w:t>
        <w:br/>
        <w:t>Harbey Osorio Díaz, y a Luis Alberto Carmona Díaz.  Sin  embargo,  según  el</w:t>
        <w:br/>
        <w:t>acervo probatorio, estas personas vivían en Barranquilla al momento  de  los</w:t>
        <w:br/>
        <w:t>hechos, por lo cual la Corte no los considera como víctimas de la  violación</w:t>
        <w:br/>
        <w:t>del artículo 22 de la  Convención,  sin  perjuicio  de  lo  previsto  en  el</w:t>
        <w:br/>
        <w:t>párrafo 357 de la presente Sentencia.</w:t>
        <w:br/>
        <w:br/>
        <w:t>229.  De  igual  manera,  los  representantes  señalaron  como  víctimas  de</w:t>
        <w:br/>
        <w:t>desplazamiento a Jael Rocío Mendoza Posso y Beatriz  Amalia  Mendoza  Posso,</w:t>
        <w:br/>
        <w:t>hermanos de Guillermo Andrés Mendoza Poso, quien fue ejecutado  en  El  Aro,</w:t>
        <w:br/>
        <w:t>así como a Leidy Julieta Hidalgo Mendoza, sobrina  de  dicha  víctima.   Sin</w:t>
        <w:br/>
        <w:t>embargo, al momento de los hechos, según el testimonio  de  Rodrigo  Alberto</w:t>
        <w:br/>
        <w:t>Mendoza Posso, hermano de la  víctima,  Jael  Rocío  vivía  en  Medellín,  y</w:t>
        <w:br/>
        <w:t>Beatriz Amalia y Leidy Julieta Hidalgo Mendoza en Puerto  Valdivia,  por  lo</w:t>
        <w:br/>
        <w:t>cual la Corte no los considera como víctimas de la  violación  del  artículo</w:t>
        <w:br/>
        <w:t>22 de la Convención, sin perjuicio de lo señalado en el párrafo  357  de  la</w:t>
        <w:br/>
        <w:t>presente Sentencia.</w:t>
        <w:br/>
        <w:br/>
        <w:t>230.  Por otra parte, los representantes señalaron que Yuliana  (o  Luliana)</w:t>
        <w:br/>
        <w:t>Patricia Mora Gutiérrez, sobrina de Omar Iván Gutiérrez Nohavá, quien  fuera</w:t>
        <w:br/>
        <w:t>ejecutado en El Aro, fue víctima de  desplazamiento  forzado.  Sin  embargo,</w:t>
        <w:br/>
        <w:t>según el acervo probatorio, esta persona vivía en  Medellín  al  momento  de</w:t>
        <w:br/>
        <w:t>los hechos, por lo cual  la  Corte  no  la  considera  como  víctima  de  la</w:t>
        <w:br/>
        <w:t>violación del artículo 22 de la Convención, sin perjuicio de lo señalado  en</w:t>
        <w:br/>
        <w:t>el párrafo 357 de la presente Sentencia.</w:t>
        <w:br/>
        <w:br/>
        <w:t>231.  Además,  los  representantes  señalaron  que  Andrés  Felipe  Restrepo</w:t>
        <w:br/>
        <w:t>Mendoza fue víctima de desplazamiento forzado. Sin embargo, según el  acervo</w:t>
        <w:br/>
        <w:t>probatorio, esta persona vivía en Medellín al momento de los hechos, por  lo</w:t>
        <w:br/>
        <w:t>cual la Corte no la considera como víctima de la violación del  artículo  22</w:t>
        <w:br/>
        <w:t>de la Convención, sin perjuicio de lo señalado  en  el  párrafo  357  de  la</w:t>
        <w:br/>
        <w:t>presente Sentencia.</w:t>
        <w:br/>
        <w:br/>
        <w:t>232.  Asimismo, los representantes señalaron a las siguientes personas  como</w:t>
        <w:br/>
        <w:t>víctimas de desplazamiento forzado: Gerardo Jaramillo “e hijos”, Luz  Marina</w:t>
        <w:br/>
        <w:t>Guerra, Juan José Jaramillo Posada, Ángela Patricia Jiménez,  Gloria  Emilse</w:t>
        <w:br/>
        <w:t>Jiménez, José Gilberto López Areiza,  Edilia  Rosa  Martínez  García,  Julio</w:t>
        <w:br/>
        <w:t>Alveiro Pérez, Abdón Emilio Posada, Aura  Posada,  Danilo  de  Jesús  Tejada</w:t>
        <w:br/>
        <w:t>Jaramillo y Edier Zapata George, así como a  Eliana  Sirley,  Geny  Marisol,</w:t>
        <w:br/>
        <w:t>Luis Norbey, Luz Albeny y Niver Orley, todos de  apellido  Tejada  Quintero.</w:t>
        <w:br/>
        <w:t>Sin embargo, la Corte no cuenta  con  prueba  alguna  al  respecto,  ya  sea</w:t>
        <w:br/>
        <w:t>testimonial o documental, por lo cual no serán consideradas víctimas  en  el</w:t>
        <w:br/>
        <w:t>presente caso por la  violación  del  artículo  22  de  la  Convención,  sin</w:t>
        <w:br/>
        <w:t>perjuicio de lo señalado en el párrafo 357 de la presente Sentencia.</w:t>
        <w:br/>
        <w:br/>
        <w:t xml:space="preserve">                                      *</w:t>
        <w:br/>
        <w:t xml:space="preserve">                                    *   *</w:t>
        <w:br/>
        <w:br/>
        <w:t>233.  El Tribunal considera necesario  señalar,  tal  y  como  lo  ha  hecho</w:t>
        <w:br/>
        <w:t>anteriormente (supra párr. 155), que los tratados de  derechos  humanos  son</w:t>
        <w:br/>
        <w:t>instrumentos vivos cuya interpretación tiene que adecuarse  a  la  evolución</w:t>
        <w:br/>
        <w:t>de los tiempos y, en particular, a las condiciones de vida actuales[215].</w:t>
        <w:br/>
        <w:br/>
        <w:t>234.  En este sentido, la Corte observa que la situación  de  desplazamiento</w:t>
        <w:br/>
        <w:t>forzado interno que han enfrentado las  víctimas  en  el  presente  caso  no</w:t>
        <w:br/>
        <w:t>puede ser desvinculada de las otras violaciones declaradas  en  la  presente</w:t>
        <w:br/>
        <w:t>Sentencia. Las circunstancias del presente caso y  la  especial  y  compleja</w:t>
        <w:br/>
        <w:t>situación de vulnerabilidad que afecta  a  dichas  personas,  incluyen  pero</w:t>
        <w:br/>
        <w:t>trascienden el contenido de la protección  debida  por  los  Estados  en  el</w:t>
        <w:br/>
        <w:t>marco del artículo 22 de la Convención. En efecto, el  desplazamiento  tiene</w:t>
        <w:br/>
        <w:t>origen en la desprotección sufrida durante las masacres, no sólo a  raíz  de</w:t>
        <w:br/>
        <w:t>las violaciones al derecho a la vida (artículo 4 de  la  Convención)  (supra</w:t>
        <w:br/>
        <w:t>párrs. 126 a 138), a la integridad personal (artículo 5  de  la  Convención)</w:t>
        <w:br/>
        <w:t>(infra párrs. 252 a 279)  y  a  la  libertad  personal  (artículo  7  de  la</w:t>
        <w:br/>
        <w:t>Convención) (supra párrs. 149 a 153 y 168), sino también por la  destrucción</w:t>
        <w:br/>
        <w:t>del ganado y las viviendas, en violación de  los  derechos  a  la  propiedad</w:t>
        <w:br/>
        <w:t>privada (artículo 21 de la Convención) (supra párrs. 173 a 188) y respeto  a</w:t>
        <w:br/>
        <w:t>la vida privada y al domicilio  (artículo  11.2  de  la  Convención)  (supra</w:t>
        <w:br/>
        <w:t>párrs. 189 a 200). El  conjunto  de  estos  derechos  vulnerados  llevan  al</w:t>
        <w:br/>
        <w:t>Tribunal a considerar que, más allá del contenido normativo del artículo  22</w:t>
        <w:br/>
        <w:t>de la Convención,  la  situación  de  desplazamiento  analizada  también  ha</w:t>
        <w:br/>
        <w:t>afectado el derecho de las víctimas y sus familiares a una vida  digna[216],</w:t>
        <w:br/>
        <w:t>en los términos anteriormente señalados, en relación con  el  incumplimiento</w:t>
        <w:br/>
        <w:t>de las obligaciones de respeto y garantía de  los  derechos  consagrados  en</w:t>
        <w:br/>
        <w:t>esas normas.</w:t>
        <w:br/>
        <w:br/>
        <w:br/>
        <w:t xml:space="preserve">                                      *</w:t>
        <w:br/>
        <w:t xml:space="preserve">                                *          *</w:t>
        <w:br/>
        <w:br/>
        <w:t>235.   Por  todo  lo  anterior,  esta  Corte  considera  que  el  Estado  es</w:t>
        <w:br/>
        <w:t>responsable por la violación de los derechos consagrados en el  artículo  22</w:t>
        <w:br/>
        <w:t>(Derecho de Circulación y de Residencia) de la Convención, en  relación  con</w:t>
        <w:br/>
        <w:t>el artículo 1.1 (Obligación de  Respetar  los  Derechos)  de  la  misma,  en</w:t>
        <w:br/>
        <w:t>perjuicio de las setecientas dos (702) personas desplazadas de El Aro  y  La</w:t>
        <w:br/>
        <w:t>Granja, quienes se encuentran señaladas en el Anexo IV del presente Fallo.</w:t>
        <w:br/>
        <w:br/>
        <w:br/>
        <w:br/>
        <w:br/>
        <w:t xml:space="preserve">                                    XIII</w:t>
        <w:br/>
        <w:t xml:space="preserve">                   Artículo 19 de la Convención Americana</w:t>
        <w:br/>
        <w:t xml:space="preserve">                             (Derechos del niño)</w:t>
        <w:br/>
        <w:t xml:space="preserve">          en relación con los artículos 4.1, 5.1 y 1.1 de la misma</w:t>
        <w:br/>
        <w:br/>
        <w:t>Alegatos de la Comisión</w:t>
        <w:br/>
        <w:br/>
        <w:t>236.   En  relación  con  la  presunta  violación  del  artículo  19  de  la</w:t>
        <w:br/>
        <w:t>Convención en perjuicio del niño Wilmar de  Jesús  Restrepo  Torres,  de  14</w:t>
        <w:br/>
        <w:t>años de edad al momento de su muerte, la Comisión señaló que:</w:t>
        <w:br/>
        <w:br/>
        <w:t xml:space="preserve">   a)  el  artículo  19  de  la  Convención,  más  que  una  herramienta  de</w:t>
        <w:br/>
        <w:t xml:space="preserve">      interpretación, impone a los Estados deberes especiales;</w:t>
        <w:br/>
        <w:t xml:space="preserve">   b) no fue objeto de las medidas especiales de protección que su condición</w:t>
        <w:br/>
        <w:t xml:space="preserve">      de “vulnerabilidad, en razón de su edad, requerían”; y</w:t>
        <w:br/>
        <w:t xml:space="preserve">   c) las agencias estatales encargadas específicamente de la  protección  a</w:t>
        <w:br/>
        <w:t xml:space="preserve">      la infancia no intervinieron en la prevención o el esclarecimiento  de</w:t>
        <w:br/>
        <w:t xml:space="preserve">      los hechos.</w:t>
        <w:br/>
        <w:br/>
        <w:t>Alegatos de los representantes</w:t>
        <w:br/>
        <w:br/>
        <w:t>237.  En relación con el artículo 19 de la  Convención,  los  representantes</w:t>
        <w:br/>
        <w:t>señalaron que:</w:t>
        <w:br/>
        <w:br/>
        <w:t xml:space="preserve">   a) Wilmar de Jesús Restrepo Torres fue  “arbitrariamente  privado  de  su</w:t>
        <w:br/>
        <w:t xml:space="preserve">      derecho a la vida por el  grupo  paramilitar  mientras  se  encontraba</w:t>
        <w:br/>
        <w:t xml:space="preserve">      trabajando  en  labores  propias  de  la  agricultura.    Este   grupo</w:t>
        <w:br/>
        <w:t xml:space="preserve">      paramilitar actuó con la aquiescencia y colaboración de agentes de  la</w:t>
        <w:br/>
        <w:t xml:space="preserve">      Fuerza Pública”;</w:t>
        <w:br/>
        <w:t xml:space="preserve">   b) el Estado colombiano no sólo no garantizó las  especiales  medidas  de</w:t>
        <w:br/>
        <w:t xml:space="preserve">      protección a las que tenía derecho Wilmar de Jesús Restrepo Torres  en</w:t>
        <w:br/>
        <w:t xml:space="preserve">      su calidad de niño,  sino  que  incumplió  también  con  el  deber  de</w:t>
        <w:br/>
        <w:t xml:space="preserve">      respetarlas;</w:t>
        <w:br/>
        <w:t xml:space="preserve">   c) en este caso, dadas las circunstancias en que sucedieron  los  hechos,</w:t>
        <w:br/>
        <w:t xml:space="preserve">      merecen ser destacadas las disposiciones de la  Convención  sobre  los</w:t>
        <w:br/>
        <w:t xml:space="preserve">      Derechos del Niño que  establecen  medidas  especiales  de  protección</w:t>
        <w:br/>
        <w:t xml:space="preserve">      enfocadas en los niños que viven en medio de conflictos armados;</w:t>
        <w:br/>
        <w:t xml:space="preserve">   d) en virtud del principio iura novit curia, la Corte podría pronunciarse</w:t>
        <w:br/>
        <w:t xml:space="preserve">      sobre la violación que se dio respecto de los nietos  de  una  de  las</w:t>
        <w:br/>
        <w:t xml:space="preserve">      presuntas víctimas y “de los niños que habitaban en  el  corregimiento</w:t>
        <w:br/>
        <w:t xml:space="preserve">      de El Aro y que se vieron obligados a padecer el horror, la angustia y</w:t>
        <w:br/>
        <w:t xml:space="preserve">      el sufrimiento que produjo la incursión conjunta  de  paramilitares  y</w:t>
        <w:br/>
        <w:t xml:space="preserve">      fuerza pública”;</w:t>
        <w:br/>
        <w:t xml:space="preserve">   e) lo alegado respecto de Wilmar de Jesús Restrepo “es predicable  a  los</w:t>
        <w:br/>
        <w:t xml:space="preserve">      demás niños que fueron víctimas directas  de  las  agresiones  de  los</w:t>
        <w:br/>
        <w:t xml:space="preserve">      paramilitares y agentes del Estado colombiano en los corregimientos de</w:t>
        <w:br/>
        <w:t xml:space="preserve">      La Granja y El Aro y respecto también de los menores miembros  de  las</w:t>
        <w:br/>
        <w:t xml:space="preserve">      familias víctimas de las violaciones  cometidas  en  estos  hechos  en</w:t>
        <w:br/>
        <w:t xml:space="preserve">      tanto éstos últimos fueron privados de varios de sus derechos  por  la</w:t>
        <w:br/>
        <w:t xml:space="preserve">      acción ilegítima y arbitraria de los agentes del Estado”; y</w:t>
        <w:br/>
        <w:t xml:space="preserve">   f) “los niños que habitaban en el corregimiento de El Aro fueron privados</w:t>
        <w:br/>
        <w:t xml:space="preserve">      de su familia en la  medida  en  que  algunos  de  sus  padres  fueron</w:t>
        <w:br/>
        <w:t xml:space="preserve">      ejecutados y sus madres debieron abandonar el  lugar  donde  residían.</w:t>
        <w:br/>
        <w:t xml:space="preserve">      La condición de desplazamiento a que se vieron forzados los habitantes</w:t>
        <w:br/>
        <w:t xml:space="preserve">      de El  Aro,  con  las  implicaciones  antes  mencionadas,  implica  la</w:t>
        <w:br/>
        <w:t xml:space="preserve">      desprotección de los derechos más elementales a los menores”.</w:t>
        <w:br/>
        <w:br/>
        <w:t>Alegatos del Estado</w:t>
        <w:br/>
        <w:br/>
        <w:t>238.  En relación con el artículo 19 de la Convención el Estado  afirmó  “no</w:t>
        <w:br/>
        <w:t>haber incumplido deber convencional alguno derivado del artículo 19”  de  la</w:t>
        <w:br/>
        <w:t>Convención. La violación del derecho a la vida de Wilmar de  Jesús  Restrepo</w:t>
        <w:br/>
        <w:t>Torres ha quedado  “cobijada  tanto  por  las  decisiones  de  los  procesos</w:t>
        <w:br/>
        <w:t>penales como por el reconocimiento de responsabilidad” internacional.</w:t>
        <w:br/>
        <w:br/>
        <w:t>Consideraciones de la Corte</w:t>
        <w:br/>
        <w:br/>
        <w:t>239.  El artículo 19 de la Convención establece que</w:t>
        <w:br/>
        <w:br/>
        <w:t xml:space="preserve">      [t]odo niño tiene derecho a las medidas de protección que su condición</w:t>
        <w:br/>
        <w:t xml:space="preserve">      de menor requieren por parte de su  familia,  de  la  sociedad  y  del</w:t>
        <w:br/>
        <w:t xml:space="preserve">      Estado.</w:t>
        <w:br/>
        <w:br/>
        <w:t>240.  La  Comisión  y  los  representantes  alegaron  que  el  Estado  había</w:t>
        <w:br/>
        <w:t>incurrido en violación del artículo 19 de la Convención, lo  cual  no  forma</w:t>
        <w:br/>
        <w:t>parte del reconocimiento estatal, en  perjuico  del  niño  Wilmar  de  Jesús</w:t>
        <w:br/>
        <w:t>Restrepo Torres, quien fuera ejecutado en El Aro (supra párrs. 72, 125.68  y</w:t>
        <w:br/>
        <w:t>138). Además, los representantes alegaron dicha violación  en  perjuicio  de</w:t>
        <w:br/>
        <w:t>otros niños y niñas de La Granja y El Aro (supra párrs. 78.d y 237.d).</w:t>
        <w:br/>
        <w:br/>
        <w:t>241.  Al respecto, el  Tribunal  considera  como  víctimas  en  el  presente</w:t>
        <w:br/>
        <w:t>capítulo a los niños que sean determinables según los  hechos  señalados  en</w:t>
        <w:br/>
        <w:t>la demanda de la Comisión.</w:t>
        <w:br/>
        <w:br/>
        <w:t>242.  El Estado aceptó ser  responsable  por  los  hechos  que  causaron  la</w:t>
        <w:br/>
        <w:t>muerte al niño Wilmar de Jesús Restrepo Torres  y  reconoció  su  respectiva</w:t>
        <w:br/>
        <w:t>responsabilidad por la violación del  artículo  4  de  la  Convención.   Sin</w:t>
        <w:br/>
        <w:t>embargo, el Estado no consideró que tales hechos conformaran  una  violación</w:t>
        <w:br/>
        <w:t>complementaria del artículo 19 de dicho  instrumento  (supra  párrs.   60  y</w:t>
        <w:br/>
        <w:t>238).</w:t>
        <w:br/>
        <w:br/>
        <w:t>243.  Además del niño Wilmar  de  Jesús  Restrepo  Torres,  el  Tribunal  ha</w:t>
        <w:br/>
        <w:t>identificado a los siguientes niños señalados en la demanda de la  Comisión:</w:t>
        <w:br/>
        <w:t>Jorge Correa Sánchez, quien presenció la muerte de  su  tío,  Héctor  Hernán</w:t>
        <w:br/>
        <w:t>Correa García; Omar Daniel Pérez Areiza; José Leonel Areiza Posada  y  Marco</w:t>
        <w:br/>
        <w:t>Aurelio Areiza Posada.</w:t>
        <w:br/>
        <w:br/>
        <w:t>244.  El Tribunal considera que el artículo 19 de  la  Convención  Americana</w:t>
        <w:br/>
        <w:t>debe entenderse como un derecho  complementario  que  el  Tratado  establece</w:t>
        <w:br/>
        <w:t>para seres humanos que  por  su  desarrollo  físico  y  emocional  necesitan</w:t>
        <w:br/>
        <w:t>medidas de protección especial[217].  En  este  sentido,  revisten  especial</w:t>
        <w:br/>
        <w:t>gravedad  los  casos  como  el  presente  en  los  cuales  las  víctimas  de</w:t>
        <w:br/>
        <w:t>violaciones a los  derechos  humanos  son  niños  y  niñas,  quienes  tienen</w:t>
        <w:br/>
        <w:t>derechos especiales derivados  de  su  condición,  a  los  que  corresponden</w:t>
        <w:br/>
        <w:t>deberes específicos de la familia, la sociedad y  el  Estado[218].  En  esta</w:t>
        <w:br/>
        <w:t>materia, rige el principio del interés superior de los mismos, que se  funda</w:t>
        <w:br/>
        <w:t>en la dignidad misma del ser humano, en las características propias  de  los</w:t>
        <w:br/>
        <w:t>niños y en la necesidad de propiciar  el  desarrollo  de  éstos,  con  pleno</w:t>
        <w:br/>
        <w:t>aprovechamiento de sus potencialidades[219].</w:t>
        <w:br/>
        <w:br/>
        <w:t>245.  Al respecto, la Corte observa que los niños Wilmar de  Jesús  Restrepo</w:t>
        <w:br/>
        <w:t>Torres, Jorge Correa Sánchez, Omar Daniel Pérez Areiza, José  Leonel  Areiza</w:t>
        <w:br/>
        <w:t>Posada y Marco Aurelio  Areiza  Posada  no  fueron  objeto  de  las  medidas</w:t>
        <w:br/>
        <w:t>especiales de protección que por su condición de  vulnerabilidad,  en  razón</w:t>
        <w:br/>
        <w:t>de su edad, requerían.</w:t>
        <w:br/>
        <w:br/>
        <w:t>246.  Para la determinación de la responsabilidad agravada,  se  debe  tomar</w:t>
        <w:br/>
        <w:t>en cuenta que las presuntas víctimas de este caso señaladas  en  el  párrafo</w:t>
        <w:br/>
        <w:t>anterior eran niños[220]. Al respecto, la Corte considera  necesario  llamar</w:t>
        <w:br/>
        <w:t>la atención sobre las consecuencias que tuvo la brutalidad  con  que  fueron</w:t>
        <w:br/>
        <w:t>cometidos los hechos del presente caso en  los  niños  y  las  niñas  de  La</w:t>
        <w:br/>
        <w:t>Granja  y  El  Aro,  quienes  experimentaron  semejante  violencia  en   una</w:t>
        <w:br/>
        <w:t>situación de conflicto armado, han quedado parcialmente huérfanos, han  sido</w:t>
        <w:br/>
        <w:t>desplazados y han visto violentada su integridad física y  psicológica.   La</w:t>
        <w:br/>
        <w:t>especial vulnerabilidad por su condición de niños y niñas se  hace  aún  más</w:t>
        <w:br/>
        <w:t>evidente en una situación de conflicto armado interno, como en  el  presente</w:t>
        <w:br/>
        <w:t>caso, pues los niños y niñas son  los  menos  preparados  para  adaptarse  o</w:t>
        <w:br/>
        <w:t>responder a dicha situación y son  quienes  padecen  sus  excesos  de  forma</w:t>
        <w:br/>
        <w:t>desmesurada[221].</w:t>
        <w:br/>
        <w:br/>
        <w:t>247.  Del acervo probatorio, y en particular de  las  declaraciones  de  los</w:t>
        <w:br/>
        <w:t>pobladores de Ituango, se desprende que existía una gran cantidad  de  niños</w:t>
        <w:br/>
        <w:t>que presenciaron los hechos de El Aro y La Granja.   Sin  embargo  éstos  no</w:t>
        <w:br/>
        <w:t>fueron individualizados en el procedimiento ante la Corte en su  calidad  de</w:t>
        <w:br/>
        <w:t>niños.  Por lo tanto, en el presente caso el  Tribunal  no  cuenta  con  los</w:t>
        <w:br/>
        <w:t>elementos de prueba necesarios para declarar una violación del  artículo  19</w:t>
        <w:br/>
        <w:t>de la Convención en  perjuicio  de  niños  adicionales  a  Wilmar  de  Jesús</w:t>
        <w:br/>
        <w:t>Restrepo Torres, Jorge  Correa  Sánchez,  Omar  Daniel  Pérez  Areiza,  José</w:t>
        <w:br/>
        <w:t>Leonel Areiza Posada y Marco Aurelio Areiza Posada.</w:t>
        <w:br/>
        <w:br/>
        <w:t xml:space="preserve">                                      *</w:t>
        <w:br/>
        <w:t xml:space="preserve">                                *          *</w:t>
        <w:br/>
        <w:br/>
        <w:t>248.  En razón de lo anterior, la Corte concluye  que  el  Estado  violó  el</w:t>
        <w:br/>
        <w:t>artículo 19 de la Convención Americana, en conexión con los  artículos  4.1,</w:t>
        <w:br/>
        <w:t>5.1 y 1.1 de la misma, en perjuicio de  Wilmar  de  Jesús  Restrepo  Torres,</w:t>
        <w:br/>
        <w:t>Jorge Correa Sánchez, Omar Daniel Pérez Areiza, José Leonel Areiza Posada  y</w:t>
        <w:br/>
        <w:t>Marco Aurelio Areiza Posada.</w:t>
        <w:br/>
        <w:br/>
        <w:br/>
        <w:t xml:space="preserve">                                     XIV</w:t>
        <w:br/>
        <w:t xml:space="preserve">                    Artículo 5 de la Convención Americana</w:t>
        <w:br/>
        <w:t xml:space="preserve">                     (Derecho a la Integridad Personal)</w:t>
        <w:br/>
        <w:t xml:space="preserve">     en relación con los artículos 1.1, 6, 7, 11.2, 21 y 22 de la misma</w:t>
        <w:br/>
        <w:br/>
        <w:t>Alegatos de la Comisión</w:t>
        <w:br/>
        <w:br/>
        <w:t>249.  En relación con la presunta violación del artículo 5 de la  Convención</w:t>
        <w:br/>
        <w:t>Americana la Comisión alegó que el  reconocimiento  de  responsabilidad  del</w:t>
        <w:br/>
        <w:t>Estado abarcaba dicha violación en perjuicio de los  señores  Marco  Aurelio</w:t>
        <w:br/>
        <w:t>Areiza Osorio y Rosa Areiza.  La Comisión no formuló argumentos  adicionales</w:t>
        <w:br/>
        <w:t>a favor de otras presuntas víctimas  por  la  violación  del  derecho  a  la</w:t>
        <w:br/>
        <w:t>integridad personal.</w:t>
        <w:br/>
        <w:br/>
        <w:t>Alegatos de los representantes</w:t>
        <w:br/>
        <w:br/>
        <w:t>250.  En relación con el artículo 5.1 de la  Convención  los  representantes</w:t>
        <w:br/>
        <w:t>señalaron que:</w:t>
        <w:br/>
        <w:br/>
        <w:br/>
        <w:t xml:space="preserve">   a) el Estado es responsable por la violación del derecho a la  integridad</w:t>
        <w:br/>
        <w:t xml:space="preserve">      personal en perjuicio de:</w:t>
        <w:br/>
        <w:br/>
        <w:br/>
        <w:t xml:space="preserve">               i. las personas que fueran ejecutadas en los  corregimientos</w:t>
        <w:br/>
        <w:t xml:space="preserve">                  de El Aro y La Granja, así como de sus familiares;</w:t>
        <w:br/>
        <w:t xml:space="preserve">              ii. las personas presuntamente detenidas y obligadas a arrear</w:t>
        <w:br/>
        <w:t xml:space="preserve">                  ganado;</w:t>
        <w:br/>
        <w:t xml:space="preserve">             iii. las personas que presuntamente perdieron sus bienes en El</w:t>
        <w:br/>
        <w:t xml:space="preserve">                  Aro;</w:t>
        <w:br/>
        <w:t xml:space="preserve">              iv. las personas  que  supuestamente  se  vieron  forzadas  a</w:t>
        <w:br/>
        <w:t xml:space="preserve">                  desplazarse de La Granja y El Aro; y</w:t>
        <w:br/>
        <w:t xml:space="preserve">               v. los pobladores de La Granja y El Aro;</w:t>
        <w:br/>
        <w:br/>
        <w:br/>
        <w:t xml:space="preserve">   b) un aspecto que causó especial pánico,  terror  e  indefensión  de  los</w:t>
        <w:br/>
        <w:t xml:space="preserve">      pobladores fue la acusación que este grupo hizo  sobre  las  presuntas</w:t>
        <w:br/>
        <w:t xml:space="preserve">      víctimas y sobre la población en general de ser  colaboradores  de  la</w:t>
        <w:br/>
        <w:t xml:space="preserve">      guerrilla.  Esta acusación, en un contexto de conflicto armado como el</w:t>
        <w:br/>
        <w:t xml:space="preserve">      que enmarcó estos hechos, implica un grado mayor de  vulnerabilidad  y</w:t>
        <w:br/>
        <w:t xml:space="preserve">      de miedo; y</w:t>
        <w:br/>
        <w:br/>
        <w:br/>
        <w:t xml:space="preserve">   c) las poblaciones de La Granja y El  Aro  se  vieron  afectadas  por  el</w:t>
        <w:br/>
        <w:t xml:space="preserve">      terror y  la  intimidación  que  se  ejerció  sobre  ellas  y  por  el</w:t>
        <w:br/>
        <w:t xml:space="preserve">      desplazamiento al que fueron forzadas para salvaguardar sus vidas.</w:t>
        <w:br/>
        <w:br/>
        <w:t>Alegatos del Estado</w:t>
        <w:br/>
        <w:br/>
        <w:t>251.  El Estado reconoció su responsabilidad por la violación del derecho  a</w:t>
        <w:br/>
        <w:t>la integridad personal consagrado en el artículo 5.1 en perjuicio  de  Marco</w:t>
        <w:br/>
        <w:t>Aurelio Areiza y Elvia Rosa Areiza Barrera. El Estado no  presentó  alegatos</w:t>
        <w:br/>
        <w:t>respecto a la violación  del  mismo  artículo  en  perjuicio  de  las  otras</w:t>
        <w:br/>
        <w:t>presuntas víctimas alegadas por los representantes.</w:t>
        <w:br/>
        <w:br/>
        <w:t>Consideraciones de la Corte</w:t>
        <w:br/>
        <w:br/>
        <w:t>252.  El artículo 5.1 y 5.2 de la Convención establece: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253.  En el presente  acápite  la  Corte  se  referirá  sucesivamente  a  la</w:t>
        <w:br/>
        <w:t>supuesta violación del artículo 5 de la  Convención  en  relación  con:  las</w:t>
        <w:br/>
        <w:t>víctimas que fueron ejecutadas en las masacres de La Granja y  El  Aro;  sus</w:t>
        <w:br/>
        <w:t>familiares;  las  personas  detenidas  y  obligadas  a  arrear  ganado;  las</w:t>
        <w:br/>
        <w:t>personas que perdieron bienes; las personas desplazadas,  y  los  pobladores</w:t>
        <w:br/>
        <w:t>de La Granja y El Aro que no se encuentren en las categorías anteriores.</w:t>
        <w:br/>
        <w:br/>
        <w:t xml:space="preserve">      a)    sobre la presunta violación del derecho a la integridad personal</w:t>
        <w:br/>
        <w:t xml:space="preserve">      de las víctimas ejecutadas en las masacres de La Granja y El Aro</w:t>
        <w:br/>
        <w:br/>
        <w:t>254.  El Tribunal  observa  que,  en  los  términos  del  reconocimiento  de</w:t>
        <w:br/>
        <w:t>responsabilidad estatal, los hechos de las masacres en La Granja  y  El  Aro</w:t>
        <w:br/>
        <w:t>fueron llevados a cabo por un gran número de personas  fuertemente  armadas,</w:t>
        <w:br/>
        <w:t>con la utilización de violencia extrema sobre la  población,  intimidando  a</w:t>
        <w:br/>
        <w:t>los  pobladores  mediante  amenazas  de  muerte  y  ejecutando  a   personas</w:t>
        <w:br/>
        <w:t>públicamente y de manera arbitraria.  Las personas ejecutadas en  La  Granja</w:t>
        <w:br/>
        <w:t>y El Aro presenciaron estos actos de amenaza antes de su  muerte,  así  como</w:t>
        <w:br/>
        <w:t>las muertes violentas y torturas  de  sus  compañeros.   Dicho  contexto  de</w:t>
        <w:br/>
        <w:t>violencia y amenazas causó en  las  víctimas  posteriormente  ejecutadas  un</w:t>
        <w:br/>
        <w:t>miedo intenso de sufrir las mismas  consecuencias  (supra  párrs.  125.33  a</w:t>
        <w:br/>
        <w:t>125.40 y 125.57 a 125.79).</w:t>
        <w:br/>
        <w:br/>
        <w:t>255.  La Corte ha sostenido que la mera amenaza de que ocurra  una  conducta</w:t>
        <w:br/>
        <w:t>prohibida  por  el  artículo  5  de  la  Convención  Americana,  cuando  sea</w:t>
        <w:br/>
        <w:t>suficientemente real e inminente, puede en sí misma estar en  conflicto  con</w:t>
        <w:br/>
        <w:t>la  norma  de  que  se  trata.   En  otras  palabras:  crear  una  situación</w:t>
        <w:br/>
        <w:t>amenazante o amenazar a un individuo con  torturarlo  puede  constituir,  en</w:t>
        <w:br/>
        <w:t>algunas circunstancias, al menos, tratamiento inhumano[222].</w:t>
        <w:br/>
        <w:br/>
        <w:t>256.  En  el  presente  caso,  ha  quedado  demostrado  que  se  vulneró  la</w:t>
        <w:br/>
        <w:t>integridad personal de  las  19  personas  que  perdieron  la  vida  en  las</w:t>
        <w:br/>
        <w:t>masacres de Ituango, ya que el trato que recibieron las horas  anteriores  a</w:t>
        <w:br/>
        <w:t>su muerte fue agresivo en extremo, máxime si se toma  en  consideración  que</w:t>
        <w:br/>
        <w:t>los “paramilitares” consideraban que dichas  personas  colaboraban  con  los</w:t>
        <w:br/>
        <w:t>grupos guerrilleros, lo cual, dentro del contexto de violencia en  la  zona,</w:t>
        <w:br/>
        <w:t>se podía interpretar como una seria amenaza a la  vida.   La  forma  en  que</w:t>
        <w:br/>
        <w:t>fueron  llevadas  a  cabo  las  masacres  permite  además  inferir  que  las</w:t>
        <w:br/>
        <w:t>presuntas víctimas pudieron temer y prever que serían privadas  de  su  vida</w:t>
        <w:br/>
        <w:t>de manera arbitraria y  violenta,  lo  cual  constituyó  un  trato  cruel  e</w:t>
        <w:br/>
        <w:t>inhumano.</w:t>
        <w:br/>
        <w:br/>
        <w:t>257.  Por lo anterior, este Tribunal  considera  que  en  el  presente  caso</w:t>
        <w:br/>
        <w:t>existen suficientes elementos de convicción para concluir  que  Colombia  es</w:t>
        <w:br/>
        <w:t>responsable por la  violación  del  derecho  a  la  integridad  personal  en</w:t>
        <w:br/>
        <w:t>perjuicio de las 19 personas que fueron ejecutadas en  las  masacres  de  La</w:t>
        <w:br/>
        <w:t>Granja y El Aro, las cuales están señaladas en el Anexo  I  de  la  presente</w:t>
        <w:br/>
        <w:t>Sentencia.</w:t>
        <w:br/>
        <w:br/>
        <w:br/>
        <w:t xml:space="preserve">      b)     en  relación  con  la  presunta  violación  del  derecho  a  la</w:t>
        <w:br/>
        <w:t xml:space="preserve">      integridad personal de los familiares de las víctimas ejecutadas en La</w:t>
        <w:br/>
        <w:t xml:space="preserve">      Granja y El Aro</w:t>
        <w:br/>
        <w:br/>
        <w:t>258.  Los familiares de las víctimas  ejecutadas  en  La  Granja  y  el  Aro</w:t>
        <w:br/>
        <w:t>sufrieron un fuerte impacto psicológico y han padecido un profundo  dolor  y</w:t>
        <w:br/>
        <w:t>angustia como consecuencia directa de las  ejecuciones  de  sus  familiares,</w:t>
        <w:br/>
        <w:t>así como de las circunstancias propias de las masacres.   Dentro  de  dichas</w:t>
        <w:br/>
        <w:t>circunstancias se encuentra el haber  presenciado  las  ejecuciones  de  sus</w:t>
        <w:br/>
        <w:t>familiares  por  hombres  fuertemente  armados,  escuchando  los  gritos  de</w:t>
        <w:br/>
        <w:t>auxilio mientras eran objeto de tratos  crueles  e  inhumanos,  y  el  miedo</w:t>
        <w:br/>
        <w:t>causado por la violencia extrema con  que  fueron  ejecutados.  El  Tribunal</w:t>
        <w:br/>
        <w:t>considera que todo lo anterior ha causado una afectación  al  tejido  social</w:t>
        <w:br/>
        <w:t>de los familiares de  las  personas  ejecutadas  en  La  Granja  y  El  Aro.</w:t>
        <w:br/>
        <w:t>Además,  un  aspecto  que  generó  en  los  pobladores  un  grado  mayor  de</w:t>
        <w:br/>
        <w:t>indefensión y angustia fue la acusación que el grupo paramilitar hizo  sobre</w:t>
        <w:br/>
        <w:t>las presuntas víctimas y sobre la población en general de ser  colaboradores</w:t>
        <w:br/>
        <w:t>de la guerrilla.</w:t>
        <w:br/>
        <w:br/>
        <w:t>259.  Como fue señalado anteriormente, la mera amenaza  de  que  ocurra  una</w:t>
        <w:br/>
        <w:t>conducta prohibida por el artículo 5 de la Convención Americana, cuando  sea</w:t>
        <w:br/>
        <w:t>suficientemente real e inminente, puede en sí misma estar en  conflicto  con</w:t>
        <w:br/>
        <w:t>la norma de que se trata (supra párr. 255)[223].</w:t>
        <w:br/>
        <w:br/>
        <w:t>260.  Asimismo, la Corte  considera  especialmente  grave  que  los  propios</w:t>
        <w:br/>
        <w:t>familiares, sin contar con las autoridades  correspondientes,  tuvieron  que</w:t>
        <w:br/>
        <w:t>recoger los cuerpos de sus seres queridos para enterrarlos, sin poder dar  a</w:t>
        <w:br/>
        <w:t>sus  familiares  una  sepultura  acorde  con  sus  tradiciones,  valores   o</w:t>
        <w:br/>
        <w:t>creencias. Además, el grupo paramilitar actuó con  absoluta  libertad  sobre</w:t>
        <w:br/>
        <w:t>la población con la aquiescencia o tolerancia de las autoridades.</w:t>
        <w:br/>
        <w:br/>
        <w:t>261.  En el presente caso, tampoco ha habido una  investigación  completa  y</w:t>
        <w:br/>
        <w:t>efectiva sobre los hechos, como se analizará en la  sección  correspondiente</w:t>
        <w:br/>
        <w:t>a los artículos 8 y 25 de  la  Convención  Americana  (infra  párrs.  283  y</w:t>
        <w:br/>
        <w:t>siguientes). En otros casos, tal ausencia  de  recursos  efectivos  ha  sido</w:t>
        <w:br/>
        <w:t>considerada por la Corte como fuente de sufrimiento y  angustia  adicionales</w:t>
        <w:br/>
        <w:t>para las presuntas víctimas y sus familiares[224].</w:t>
        <w:br/>
        <w:br/>
        <w:t>262.  Más allá de lo anterior, en  un  caso  como  el  de  las  masacres  de</w:t>
        <w:br/>
        <w:t>Ituango, la Corte considera que no se necesita  prueba  para  demostrar  las</w:t>
        <w:br/>
        <w:t>graves afectaciones a la  integridad  psíquica  de  los  familiares  de  las</w:t>
        <w:br/>
        <w:t>víctimas ejecutadas[225].</w:t>
        <w:br/>
        <w:br/>
        <w:t>263.  Por lo anterior, este Tribunal  considera  que  en  el  presente  caso</w:t>
        <w:br/>
        <w:t>existen suficientes elementos de convicción para concluir  que  Colombia  es</w:t>
        <w:br/>
        <w:t>responsable por la  violación  del  derecho  a  la  integridad  personal  en</w:t>
        <w:br/>
        <w:t>perjuicio de los familiares de las víctimas ejecutadas en  las  masacres  de</w:t>
        <w:br/>
        <w:t>La Granja y El Aro.</w:t>
        <w:br/>
        <w:br/>
        <w:t>264.  De conformidad con su  jurisprudencia[226],  este  Tribunal  considera</w:t>
        <w:br/>
        <w:t>como familiares inmediatos a  aquellas  personas  debidamente  identificados</w:t>
        <w:br/>
        <w:t>que sean descendientes o ascendientes directos de  la  presunta  víctima,  a</w:t>
        <w:br/>
        <w:t>saber, madres,  padres,  hijas  e  hijos,  así  como  hermanas  o  hermanos,</w:t>
        <w:br/>
        <w:t>cónyuges o compañeros permanentes, o aquellos determinados por la Corte  con</w:t>
        <w:br/>
        <w:t>motivo de las particularidades del caso y la  existencia  de  algún  vínculo</w:t>
        <w:br/>
        <w:t>especial entre el familiar y la víctima  o  los  hechos  del  caso.   En  el</w:t>
        <w:br/>
        <w:t>presente caso, dichas personas han acreditado su parentesco  mediante  algún</w:t>
        <w:br/>
        <w:t>documento expedido por autoridad competente, como  lo  son  certificados  de</w:t>
        <w:br/>
        <w:t>nacimiento, actas de bautismo o certificados de defunción[227],  o  mediante</w:t>
        <w:br/>
        <w:t>otro  tipo  de  pruebas,  tales  como  sentencias  en   procesos   internos,</w:t>
        <w:br/>
        <w:t>declaraciones juradas o peritajes.</w:t>
        <w:br/>
        <w:br/>
        <w:t>265.  La Corte considera que los familiares de las  personas  ejecutadas  en</w:t>
        <w:br/>
        <w:t>La Granja y El Aro que son víctimas de la violación del  artículo  5  de  la</w:t>
        <w:br/>
        <w:t>Convención son  las  personas  señaladas  en  el  Anexo  I  de  la  presente</w:t>
        <w:br/>
        <w:t>Sentencia y que se han identificado como víctimas de dicho artículo.</w:t>
        <w:br/>
        <w:br/>
        <w:t>266.  El señor Jesús María Restrepo no fue señalado  como  presunta  víctima</w:t>
        <w:br/>
        <w:t>ni familiar de alguna víctima en el  presente  caso.   Sin  embargo,  de  la</w:t>
        <w:br/>
        <w:t>prueba aportada ante la  Corte,  específicamente  de  la  Resolución  en  el</w:t>
        <w:br/>
        <w:t>proceso contencioso administrativo con radicado No. 991784 en  relación  con</w:t>
        <w:br/>
        <w:t>la muerte del niño Wilmar de Jesús Restrepo  Torres,  se  desprende  que  el</w:t>
        <w:br/>
        <w:t>señor Jesús María Restrepo es el padre de dicho niño, quien fuera  ejecutado</w:t>
        <w:br/>
        <w:t>en El Aro (supra párr. 125.101).   Al  respecto,  los  representantes  y  la</w:t>
        <w:br/>
        <w:t>Comisión no han explicado por qué el  señor  Jesús  María  Restrepo  no  fue</w:t>
        <w:br/>
        <w:t>señalado como presunta  víctima  en  el  presente  caso.   Sin  embargo,  el</w:t>
        <w:br/>
        <w:t>parentesco del señor Jesús María  Restrepo  con  el  niño  Wilmar  de  Jesús</w:t>
        <w:br/>
        <w:t>Restrepo  Torres,  víctima  ejecutada  en  El  Aro,  ha  quedado  claramente</w:t>
        <w:br/>
        <w:t>establecido  según   una   resolución   en   la   jurisdicción   contencioso</w:t>
        <w:br/>
        <w:t>administrativa en el  derecho  interno.   En  casos  como  el  presente,  se</w:t>
        <w:br/>
        <w:t>presume el daño sufrido por los padres de una víctima ejecutada.</w:t>
        <w:br/>
        <w:br/>
        <w:t>267.  Los señores Adán Antonio Arboleda y María Isabel Rodríguez, padres  de</w:t>
        <w:br/>
        <w:t>María Graciela Arboleda Rodríguez; el señor  Israel  Antonio  Tejada,  padre</w:t>
        <w:br/>
        <w:t>del señor Otoniel de Jesús Tejada Jaramillo; el  señor  Jesús  María  Ortiz,</w:t>
        <w:br/>
        <w:t>padre del señor Omar de Jesús Ortiz Carmona;  y  el  señor  Roberto  Zuleta,</w:t>
        <w:br/>
        <w:t>padre de Fabio Antonio Zuleta Zabala, no  fueron  señalados  como  presuntas</w:t>
        <w:br/>
        <w:t>víctimas ni familiar de alguna víctima en el presente  caso.   Sin  embargo,</w:t>
        <w:br/>
        <w:t>de la prueba aportada ante la Corte, se desprende que dichas  personas  eran</w:t>
        <w:br/>
        <w:t>padres de algunas de las víctimas ejecutadas en las masacres.  Al  respecto,</w:t>
        <w:br/>
        <w:t>los representantes y la Comisión no han explicado por  qué  dichas  personas</w:t>
        <w:br/>
        <w:t>no fueron señaladas como  presuntas  víctimas  en  el  presente  caso.   Sin</w:t>
        <w:br/>
        <w:t>embargo, el  parentesco  de  las  mismas  con  sus  familiares,  ha  quedado</w:t>
        <w:br/>
        <w:t>claramente establecido con la prueba aportada ante la Corte.  En casos  como</w:t>
        <w:br/>
        <w:t>el presente, se presume el daño  sufrido  por  los  padres  de  una  víctima</w:t>
        <w:br/>
        <w:t>ejecutada.</w:t>
        <w:br/>
        <w:br/>
        <w:t>268.  Los representantes no alegaron que Guido Manuel Restrepo Torres  fuera</w:t>
        <w:br/>
        <w:t>familiar de Wlimar de Jesús Restrepo Torres ni que  fuera  presunta  víctima</w:t>
        <w:br/>
        <w:t>en el presente caso.  Sin embargo, del acervo probatorio  se  desprende  que</w:t>
        <w:br/>
        <w:t>Guido Manuel era hermano de Wilmar de Jesús Restrepo Torres.   También  está</w:t>
        <w:br/>
        <w:t>probado que Guido Manuel Restrepo Torres murió dos años luego de  la  muerte</w:t>
        <w:br/>
        <w:t>de su hermano en El Aro.  Por  lo  anterior,  la  Corte  considera  a  Guido</w:t>
        <w:br/>
        <w:t>Manuel Restrepo Torres como familiar de Wilmar de Jesús  Restrepo  Torres  y</w:t>
        <w:br/>
        <w:t>ordenará reparaciones a su favor en dicha calidad, así como  en  su  calidad</w:t>
        <w:br/>
        <w:t>de víctima de la violación a su integridad personal  por  la  muerte  de  su</w:t>
        <w:br/>
        <w:t>hermano.  Cualquier indemnización monetaria a su favor será  distribuida  de</w:t>
        <w:br/>
        <w:t>conformidad con el párrafo 363 de la presente Sentencia.</w:t>
        <w:br/>
        <w:br/>
        <w:t xml:space="preserve">      c)    en relación con las personas  detenidas  y  obligadas  a  arrear</w:t>
        <w:br/>
        <w:t xml:space="preserve">      ganado</w:t>
        <w:br/>
        <w:br/>
        <w:t>269.  La Corte considera que las personas que fueron detenidas  y  obligadas</w:t>
        <w:br/>
        <w:t>a arrear ganado bajo amenaza de muerte – lo que  ha  sido  analizado  en  el</w:t>
        <w:br/>
        <w:t>capítulo relativo a la violación de los artículos 6 y 7 de la Convención  en</w:t>
        <w:br/>
        <w:t>la presente Sentencia (supra párrs. 145 a 168) - sufrieron  temor  y  tratos</w:t>
        <w:br/>
        <w:t>degradantes.  Por lo anterior, el Estado ha violado  el  artículo  5  de  la</w:t>
        <w:br/>
        <w:t>Convención en perjuicio de dichas personas. Con  base  en  lo  anterior,  la</w:t>
        <w:br/>
        <w:t>Corte considera que las víctimas de  la  violación  del  artículo  5  de  la</w:t>
        <w:br/>
        <w:t>Convención, en relación con los artículos  6  y  7  de  la  misma,  son  las</w:t>
        <w:br/>
        <w:t>personas señaladas en el Anexo II de la presente  Sentencia  y  que  se  han</w:t>
        <w:br/>
        <w:t>identificado como víctimas de la violación de dicho artículo.</w:t>
        <w:br/>
        <w:br/>
        <w:br/>
        <w:t xml:space="preserve">      d)    en relación con las personas que perdieron bienes</w:t>
        <w:br/>
        <w:br/>
        <w:t>270.  En relación con la supuesta violación del artículo 5 de la  Convención</w:t>
        <w:br/>
        <w:t>en perjuicio de las personas que perdieron bienes en  El  Aro,  el  Tribunal</w:t>
        <w:br/>
        <w:t>considera que el Estado no respetó la integridad psíquica y moral de  dichas</w:t>
        <w:br/>
        <w:t>personas,  quienes  padecieron  grandes  sufrimientos  emocionales  por   la</w:t>
        <w:br/>
        <w:t>pérdida de sus pertenencias en un contexto de extrema violencia, lo cual  ha</w:t>
        <w:br/>
        <w:t>sido analizado en el capítulo relativo a la violación del artículo 21 de  la</w:t>
        <w:br/>
        <w:t>Convención en la presente Sentencia (supra párrs. 172 a 200).  Con  base  en</w:t>
        <w:br/>
        <w:t>lo anterior, la Corte  considera  que  las  víctimas  de  la  violación  del</w:t>
        <w:br/>
        <w:t>artículo 5 de la Convención, en relación con el artículo  21  de  la  misma,</w:t>
        <w:br/>
        <w:t>son las personas señaladas en el Anexo III del presente Fallo y que  se  han</w:t>
        <w:br/>
        <w:t>identificado como víctimas de la violación de los artículos 5  y  21  de  la</w:t>
        <w:br/>
        <w:t>Convención.</w:t>
        <w:br/>
        <w:br/>
        <w:t>271.  Sin embargo, la Corte  considera  que  las  personas  cuyas  viviendas</w:t>
        <w:br/>
        <w:t>fueron destruidas y que, por tanto, se vieron  obligadas  a  desplazarse  al</w:t>
        <w:br/>
        <w:t>haber perdido su hogar y todas sus pertenencias han  vivido  un  sufrimiento</w:t>
        <w:br/>
        <w:t>especialmente grave, el cual merece mayor atención.</w:t>
        <w:br/>
        <w:br/>
        <w:t>272.   Este  Tribunal  ya  estableció  en  la  presente  Sentencia  que  los</w:t>
        <w:br/>
        <w:t>paramilitares, con la aquiescencia y tolerancia de funcionairos  del  Estado</w:t>
        <w:br/>
        <w:t>(supra párrs. 63 y 64), destruyeron e incendiaron gran parte  de  las  casas</w:t>
        <w:br/>
        <w:t>en El Aro, lo cual causó el desplazamiento de sus habitantes.  Dichos  actos</w:t>
        <w:br/>
        <w:t>de  violencia,  y  en  especial  la  destrucción  de  las  viviendas,   eran</w:t>
        <w:br/>
        <w:t>destinados a  aterrorizar  a  la  población  y  obligar  a  las  familias  a</w:t>
        <w:br/>
        <w:t>desplazarse del lugar. Las personas que  perdieron  sus  domicilios  en  los</w:t>
        <w:br/>
        <w:t>incendios causados por los paramilitares, y  que  por  lo  tanto  se  vieron</w:t>
        <w:br/>
        <w:t>obligadas a desplazarse, perdieron toda posibilidad de regresar a su  hogar,</w:t>
        <w:br/>
        <w:t>ya que éste dejó de existir.  Esta Corte  considera  que  estos  hechos  han</w:t>
        <w:br/>
        <w:t>agravado la situación de dichas personas vis a vis  otras  personas  que  se</w:t>
        <w:br/>
        <w:t>vieron obligadas a desplazarse, pero cuyas viviendas no fueron destruidas.</w:t>
        <w:br/>
        <w:br/>
        <w:t>273.  En casos parecidos al presente, la Corte Europea de  Derechos  Humanos</w:t>
        <w:br/>
        <w:t>ha reconocido que tales hechos se pueden considerar como  tratos  inhumanos,</w:t>
        <w:br/>
        <w:t>lo cual constituye una violación del artículo  3  del  Convenio  Europeo  de</w:t>
        <w:br/>
        <w:t>Derechos Humanos[228]. En el caso Ayder vs. Turquía[229]  la  Corte  Europea</w:t>
        <w:br/>
        <w:t>consideró como trato inhumano el que las  casas  y  las  posesiones  de  las</w:t>
        <w:br/>
        <w:t>víctimas hayan sido quemadas delante de sus ojos, privándoles de su  cobijo,</w:t>
        <w:br/>
        <w:t>refugio y sustento, y teniendo en cuenta que esto les obligó a abandonar  el</w:t>
        <w:br/>
        <w:t>lugar de su residencia para rehacer sus vidas en otro lugar, lo  cual  causó</w:t>
        <w:br/>
        <w:t>angustia en las víctimas y sus familiares.  Igualmente, en  el  caso  Bilgin</w:t>
        <w:br/>
        <w:t>vs. Turquía [230] la Corte  Europea  consideró  que  la  destrucción  de  la</w:t>
        <w:br/>
        <w:t>vivienda de la víctima, perpetrada por  las  fuerzas  de  seguridad  turcas,</w:t>
        <w:br/>
        <w:t>constituyó un trato inhumano.  Finalmente, en el  caso  Selçuk  vs.  Turquía</w:t>
        <w:br/>
        <w:t>[231] la Corte Europea consideró como un trato inhumano  la  destrucción  de</w:t>
        <w:br/>
        <w:t>las casas y sustento de las víctimas, lo cual causó su desplazamiento.</w:t>
        <w:br/>
        <w:br/>
        <w:t>274.   A  la  luz  de  lo  anterior,  y  tomando  en   cuenta   los   hechos</w:t>
        <w:br/>
        <w:t>particularmente graves  del  presente  caso,  la  Corte  considera  que  los</w:t>
        <w:br/>
        <w:t>habitantes de El Aro que perdieron sus domicilios, y  por  tanto  se  vieron</w:t>
        <w:br/>
        <w:t>forzadas a desplazarse, sufrieron un trato  inhumano.   Los  acontecimientos</w:t>
        <w:br/>
        <w:t>ocurridos en El Aro han significado para dichas personas no solo la  perdida</w:t>
        <w:br/>
        <w:t>de sus viviendas, sino también la pérdida de todo su  patrimonio,  así  como</w:t>
        <w:br/>
        <w:t>la posibilidad de regresar a un hogar.</w:t>
        <w:br/>
        <w:br/>
        <w:t>275.  Para determinar las víctimas del presente caso por  la  violación  del</w:t>
        <w:br/>
        <w:t>artículo 5 de la Convención, en relación con los artículos 11.2, 21 y 22  de</w:t>
        <w:br/>
        <w:t>la  misma,  se  han  tomado  en  cuenta  los  mismos   criterios   señalados</w:t>
        <w:br/>
        <w:t>anteriormente en relación con la determinación de las presuntas víctimas  de</w:t>
        <w:br/>
        <w:t>las violaciones de los artículos 11.2, 21  y  22  de  la  Convención  (supra</w:t>
        <w:br/>
        <w:t>párrs. 184, 198 y 224), en tanto tales criterios  guarden  relación  con  la</w:t>
        <w:br/>
        <w:t>determinación de personas que fueron desplazadas y perdieron sus  domicilios</w:t>
        <w:br/>
        <w:t>en El Aro.</w:t>
        <w:br/>
        <w:br/>
        <w:t>276.  Con base en lo anterior, la Corte considera que  las  víctimas  de  la</w:t>
        <w:br/>
        <w:t>violación del artículo 5 de la Convención, en  relación  con  los  artículos</w:t>
        <w:br/>
        <w:t>11.2, 21 y 22 de la misma, son las personas señaladas en el Anexo III de  la</w:t>
        <w:br/>
        <w:t>presente Sentencia y que se han identificado como víctimas de los  artículos</w:t>
        <w:br/>
        <w:t>5, 11.2, 21 y 22 de la Convención.</w:t>
        <w:br/>
        <w:br/>
        <w:t xml:space="preserve">      e)    en relación con las personas desplazadas</w:t>
        <w:br/>
        <w:br/>
        <w:t>277.  El Tribunal considera que el desplazamiento al que se vio  forzada  la</w:t>
        <w:br/>
        <w:t>población de El Aro y algunas familias de La  Granja  les  causó  un  enorme</w:t>
        <w:br/>
        <w:t>sufrimiento, lo cual  ha  sido  analizado  en  el  capítulo  relativo  a  la</w:t>
        <w:br/>
        <w:t>violación del artículo 22 de la Convención (supra párrs. 204  a  235).   Por</w:t>
        <w:br/>
        <w:t>lo anterior,  la  Corte  considera  como  víctimas  de  la  violación  a  la</w:t>
        <w:br/>
        <w:t>integridad   psíquica   a   las   personas   desplazadas,   tanto   aquellas</w:t>
        <w:br/>
        <w:t>individualizadas en el Anexo IV de la presente Sentencia.</w:t>
        <w:br/>
        <w:br/>
        <w:t xml:space="preserve">      f)    en relación con los pobladores de La Granja y El Aro</w:t>
        <w:br/>
        <w:br/>
        <w:br/>
        <w:t>278.  En relación con el alegato sobre la presunta violación del artículo  5</w:t>
        <w:br/>
        <w:t>de la Convención en perjuicio de  la  población  general  de  El  Aro  y  La</w:t>
        <w:br/>
        <w:t>Granja, esta Corte considera que, por la gravedad  del  sufrimiento  causado</w:t>
        <w:br/>
        <w:t>por las masacres en  dichos  corregimientos  y  el  temor  generalizado  que</w:t>
        <w:br/>
        <w:t>provocaron las incursiones paramilitares en este caso, lo  cual  se  enmarca</w:t>
        <w:br/>
        <w:t>en un patrón de masacres semejantes, los pobladores de La Granja  y  El  Aro</w:t>
        <w:br/>
        <w:t>que no fueron señalados en  los  párrafos  anteriores  son  víctimas  de  la</w:t>
        <w:br/>
        <w:t>violación a la integridad psíquica.</w:t>
        <w:br/>
        <w:br/>
        <w:br/>
        <w:t xml:space="preserve">                                      *</w:t>
        <w:br/>
        <w:t xml:space="preserve">                                  *      *</w:t>
        <w:br/>
        <w:br/>
        <w:t>279.   Por  todo  lo  anterior,  esta  Corte  considera  que  el  Estado  es</w:t>
        <w:br/>
        <w:t>responsable por la  violación  del  derecho  consagrado  en  el  artículo  5</w:t>
        <w:br/>
        <w:t>(Derecho a la Integridad Personal) de la  Convención,  en  relación  con  el</w:t>
        <w:br/>
        <w:t>artículo 1.1 de la misma, en perjuicio de los pobladores de La Granaja y  El</w:t>
        <w:br/>
        <w:t>Aro (supra párr. 278), así como los derechos consagrados en  el  artículo  5</w:t>
        <w:br/>
        <w:t>(Derecho a la Integridad Personal) de la Convención,  en  relación  con  los</w:t>
        <w:br/>
        <w:t>artículos 6, 7, 11.2, 21, 22  y  1.1  de  la  misma,  en  perjuicio  de  las</w:t>
        <w:br/>
        <w:t>víctimas señaladas en los Anexos I, II, III y IV de la presente Sentencia  y</w:t>
        <w:br/>
        <w:t>que se han identificado como víctimas de la violación del artículo 5  de  la</w:t>
        <w:br/>
        <w:t>Convención.</w:t>
        <w:br/>
        <w:br/>
        <w:br/>
        <w:t xml:space="preserve">                                     XV</w:t>
        <w:br/>
        <w:br/>
        <w:t xml:space="preserve">                Artículos 8.1 y 25 de la Convención Americana</w:t>
        <w:br/>
        <w:br/>
        <w:t xml:space="preserve">                 en relación con el artículo 1.1 de la misma</w:t>
        <w:br/>
        <w:t xml:space="preserve">                (Garantías Judiciales y Protección Judicial)</w:t>
        <w:br/>
        <w:br/>
        <w:t>Alegatos de la Comisión</w:t>
        <w:br/>
        <w:br/>
        <w:t>280.  La Comisión Interamericana consideró que  el  Estado  ha  violado  los</w:t>
        <w:br/>
        <w:t>artículos 8.1 y 25 de la Convención Americana, en razón de que:</w:t>
        <w:br/>
        <w:br/>
        <w:t xml:space="preserve">   a) trascurridos nueve años desde la incursión en el corregimiento  de  La</w:t>
        <w:br/>
        <w:t xml:space="preserve">      Granja y ocho desde la incursión armada en el corregimiento de El Aro,</w:t>
        <w:br/>
        <w:t xml:space="preserve">      “el Estado no ha cumplido aún en forma sustancial con su obligación de</w:t>
        <w:br/>
        <w:t xml:space="preserve">      esclarecer los hechos, juzgar y sancionar a todos los responsables  en</w:t>
        <w:br/>
        <w:t xml:space="preserve">      forma efectiva y reparar adecuadamente a las presuntas víctimas y  sus</w:t>
        <w:br/>
        <w:t xml:space="preserve">      familiares”;</w:t>
        <w:br/>
        <w:br/>
        <w:br/>
        <w:t xml:space="preserve">   b) el retardo en el esclarecimiento de  estos  casos  no  sólo  viola  el</w:t>
        <w:br/>
        <w:t xml:space="preserve">      derecho a la justicia y la reparación de las presuntas víctimas y  sus</w:t>
        <w:br/>
        <w:t xml:space="preserve">      familiares, sino que contribuye “a perpetuar los actos de violencia  e</w:t>
        <w:br/>
        <w:t xml:space="preserve">      intimidación contra testigos y fiscales vinculados al  esclarecimiento</w:t>
        <w:br/>
        <w:t xml:space="preserve">      de los hechos”;</w:t>
        <w:br/>
        <w:br/>
        <w:t xml:space="preserve">   c) la mayoría de las decisiones en los procesos internos llevados a  cabo</w:t>
        <w:br/>
        <w:t xml:space="preserve">      por los hechos del presente caso son recientes y  las  investigaciones</w:t>
        <w:br/>
        <w:t xml:space="preserve">      continúan abiertas;</w:t>
        <w:br/>
        <w:br/>
        <w:t xml:space="preserve">   d) la mayoría de los autores  no  han  sido  capturados,  si  es  que  se</w:t>
        <w:br/>
        <w:t xml:space="preserve">      encuentran  procesados,  y   aun   “existiendo   condenas   firmes   y</w:t>
        <w:br/>
        <w:t xml:space="preserve">      conociéndose el paradero de algunos de los condenados, no  se  les  ha</w:t>
        <w:br/>
        <w:t xml:space="preserve">      detenido”.  Lo anterior en parte por la  existencia  de  una  ley  que</w:t>
        <w:br/>
        <w:t xml:space="preserve">      suspende  la  captura  de  aquellas   personas   que   se   encuentren</w:t>
        <w:br/>
        <w:t xml:space="preserve">      participando en procesos de negociación con el Gobierno;</w:t>
        <w:br/>
        <w:br/>
        <w:t xml:space="preserve">   e) la aplicación de la Ley de Justicia  y  Paz  (ley  975  del  2005)  no</w:t>
        <w:br/>
        <w:t xml:space="preserve">      constituye garantía de que los crímenes perpetrados  sean  debidamente</w:t>
        <w:br/>
        <w:t xml:space="preserve">      esclarecidos y, por lo tanto, “en muchos de ellos no se conocerán  los</w:t>
        <w:br/>
        <w:t xml:space="preserve">      hechos y los autores gozarán de impunidad”;</w:t>
        <w:br/>
        <w:br/>
        <w:t xml:space="preserve">   f) las presuntas víctimas y sus familiares  impulsaron  la  investigación</w:t>
        <w:br/>
        <w:t xml:space="preserve">      con los medios a su alcance, a pesar del temor fundado que existía  de</w:t>
        <w:br/>
        <w:t xml:space="preserve">      denunciar los hechos y sus responsables; y</w:t>
        <w:br/>
        <w:br/>
        <w:t xml:space="preserve">   g) de los ocho procesos disciplinarios  iniciados  a  instancia,  de  las</w:t>
        <w:br/>
        <w:t xml:space="preserve">      múltiples quejas  presentadas  por  particulares  y  por  las  propias</w:t>
        <w:br/>
        <w:t xml:space="preserve">      autoridades judiciales, “sólo uno de ellos […] arrojó  resultados,  el</w:t>
        <w:br/>
        <w:t xml:space="preserve">      resto fueron archivados o declarados prescritos”.</w:t>
        <w:br/>
        <w:br/>
        <w:br/>
        <w:t xml:space="preserve">        i) En relación con los hechos acontecidos en La Granja</w:t>
        <w:br/>
        <w:br/>
        <w:br/>
        <w:t xml:space="preserve">   a) la investigación en el caso se “abrió formalmente” el 17 de  junio  de</w:t>
        <w:br/>
        <w:t xml:space="preserve">      1999, es decir, tres años después de acaecidos los hechos;</w:t>
        <w:br/>
        <w:br/>
        <w:br/>
        <w:t xml:space="preserve">   b) transcurridos más de nueve años de ocurrida la masacre, de las  veinte</w:t>
        <w:br/>
        <w:t xml:space="preserve">      personas involucradas directamente con  su  comisión,  además  de  los</w:t>
        <w:br/>
        <w:t xml:space="preserve">      autores o coautores intelectuales, no hay  ninguna  persona  condenada</w:t>
        <w:br/>
        <w:t xml:space="preserve">      cumpliendo sentencia y las medidas de aseguramiento proferidas no  han</w:t>
        <w:br/>
        <w:t xml:space="preserve">      sido ejecutadas; y</w:t>
        <w:br/>
        <w:br/>
        <w:br/>
        <w:t xml:space="preserve">   c) sólo se ha sentenciado,  el  14  de  noviembre  de  2003,  en  primera</w:t>
        <w:br/>
        <w:t xml:space="preserve">      instancia, al Teniente de Policía José Vicente Castro. Sin embargo, el</w:t>
        <w:br/>
        <w:t xml:space="preserve">      12 de julio de 2004  el  Tribunal  Superior  de  Antioquia  revocó  la</w:t>
        <w:br/>
        <w:t xml:space="preserve">      decisión de primera instancia, declarando inocente al único  procesado</w:t>
        <w:br/>
        <w:t xml:space="preserve">      y ordenó su libertad inmediata.</w:t>
        <w:br/>
        <w:br/>
        <w:br/>
        <w:t xml:space="preserve">       ii)  En relación con los hechos acontecidos en El Aro</w:t>
        <w:br/>
        <w:br/>
        <w:br/>
        <w:t xml:space="preserve">   a) a pesar de las determinaciones de la Procuraduría General de la Nación</w:t>
        <w:br/>
        <w:t xml:space="preserve">      sobre la  responsabilidad  de  agentes  del  Estado,  Colombia  no  ha</w:t>
        <w:br/>
        <w:t xml:space="preserve">      avanzado sustancialmente en el juzgamiento  y  sanción  penal  de  los</w:t>
        <w:br/>
        <w:t xml:space="preserve">      miembros de la Policía y el Ejército Nacional apostados en la zona  de</w:t>
        <w:br/>
        <w:t xml:space="preserve">      El Aro para la época en que sucedieron los hechos;</w:t>
        <w:br/>
        <w:br/>
        <w:br/>
        <w:t xml:space="preserve">   b)  de  los  treinta  autores  materiales  y  los  autores  o   coautores</w:t>
        <w:br/>
        <w:t xml:space="preserve">      intelectuales,  solamente  una  persona  vinculada  con  el  caso   se</w:t>
        <w:br/>
        <w:t xml:space="preserve">      encuentra en prisión por la comisión de otros delitos,  no  existiendo</w:t>
        <w:br/>
        <w:t xml:space="preserve">      voluntad por parte del Estado de  ejecutar  las  órdenes  de  captura.</w:t>
        <w:br/>
        <w:t xml:space="preserve">      Además, “no se ha avanzado en forma sustancial en la determinación  de</w:t>
        <w:br/>
        <w:t xml:space="preserve">      responsabilidad de los agentes estatales involucrados”; y</w:t>
        <w:br/>
        <w:br/>
        <w:t xml:space="preserve">   c) con excepción del señor Francisco Enrique Villalba, quien se encuentra</w:t>
        <w:br/>
        <w:t xml:space="preserve">      detenido cumpliendo pena de prisión por otros delitos, no hay  persona</w:t>
        <w:br/>
        <w:t xml:space="preserve">      alguna que se encuentre cumpliendo la condena impuesta el 22 de  abril</w:t>
        <w:br/>
        <w:t xml:space="preserve">      de 2003 por el Juzgado Segundo Penal  del  Circuito  Especializado  de</w:t>
        <w:br/>
        <w:t xml:space="preserve">      Antioquia.</w:t>
        <w:br/>
        <w:br/>
        <w:t>Alegatos de los representantes</w:t>
        <w:br/>
        <w:br/>
        <w:t>281.  En relación con los artículos 8.1 y 25  de  la  Convención  Americana,</w:t>
        <w:br/>
        <w:t>los representantes manifestaron su acuerdo con los alegatos  expresados  por</w:t>
        <w:br/>
        <w:t>la Comisión Interamericana en relación con el estado de las  investigaciones</w:t>
        <w:br/>
        <w:t>internas, y señalaron que:</w:t>
        <w:br/>
        <w:br/>
        <w:br/>
        <w:t xml:space="preserve">   a) Colombia no ha brindado a las  presuntas  víctimas  y  sus  familiares</w:t>
        <w:br/>
        <w:t xml:space="preserve">      recursos eficaces que les garanticen el derecho a la verdad,  justicia</w:t>
        <w:br/>
        <w:t xml:space="preserve">      y reparación en estas graves violaciones de derechos humanos;</w:t>
        <w:br/>
        <w:br/>
        <w:br/>
        <w:t xml:space="preserve">   b) en lo que respecta a los procesos contencioso  administrativos,  éstos</w:t>
        <w:br/>
        <w:t xml:space="preserve">      no han cumplido su cometido. Se instauraron trece demandas  en  contra</w:t>
        <w:br/>
        <w:t xml:space="preserve">      de  “la  Nación  colombiana-  Ejército  Nacional”;  once  procesos  se</w:t>
        <w:br/>
        <w:t xml:space="preserve">      encuentran a despacho para fallo y dos han sido fallados en contra  de</w:t>
        <w:br/>
        <w:t xml:space="preserve">      los intereses de los  demandantes,  negando  las  pretensiones  de  la</w:t>
        <w:br/>
        <w:t xml:space="preserve">      demanda, con argumentos de tipo formal que son objeto de  revisión  en</w:t>
        <w:br/>
        <w:t xml:space="preserve">      segunda instancia;</w:t>
        <w:br/>
        <w:br/>
        <w:t xml:space="preserve">   c) las decisiones que toma la jurisdicción contencioso administrativas en</w:t>
        <w:br/>
        <w:t xml:space="preserve">      Colombia  son  “totalmente   insuficientes”   para   entenderse   como</w:t>
        <w:br/>
        <w:t xml:space="preserve">      reparaciones por la responsabilidad internacional del Estado,  ya  que</w:t>
        <w:br/>
        <w:t xml:space="preserve">      en el caso de hechos violatorios de los  derechos  humanos,  éstas  se</w:t>
        <w:br/>
        <w:t xml:space="preserve">      limitan en la práctica a ordenar indemnizaciones y dejan  de  lado  la</w:t>
        <w:br/>
        <w:t xml:space="preserve">      restitución y las medidas de satisfacción;</w:t>
        <w:br/>
        <w:br/>
        <w:t xml:space="preserve">   d) en lo relativo al proceso disciplinario, es “loable  el  esfuerzo  que</w:t>
        <w:br/>
        <w:t xml:space="preserve">      hizo la Delegada de Derechos Humanos de la Procuraduría General de  la</w:t>
        <w:br/>
        <w:t xml:space="preserve">      Nación,  pero  las  consecuencias  de  dicha  sanción  no  han  tenido</w:t>
        <w:br/>
        <w:t xml:space="preserve">      repercusiones en el proceso penal,  incumpliéndose  la  obligación  de</w:t>
        <w:br/>
        <w:t xml:space="preserve">      coordinación y colaboración  que  debe  existir  entre  entidades  del</w:t>
        <w:br/>
        <w:t xml:space="preserve">      Estado”;</w:t>
        <w:br/>
        <w:br/>
        <w:t xml:space="preserve">   e) la sanción de destitución que dispuso el Estado para los  infractores,</w:t>
        <w:br/>
        <w:t xml:space="preserve">      se torna inocua, toda vez que se habían  retirado  de  la  institución</w:t>
        <w:br/>
        <w:t xml:space="preserve">      militar desde varios años antes de que se produjera dicha  decisión  y</w:t>
        <w:br/>
        <w:t xml:space="preserve">      quedaron por fuera de dicha investigación otras autoridades;</w:t>
        <w:br/>
        <w:br/>
        <w:t xml:space="preserve">   f) el Estado ha “dispuesto sus estructuras para mantener a los autores de</w:t>
        <w:br/>
        <w:t xml:space="preserve">      estas graves violaciones de derechos humanos fuera del alcance  de  la</w:t>
        <w:br/>
        <w:t xml:space="preserve">      ley”;</w:t>
        <w:br/>
        <w:br/>
        <w:t xml:space="preserve">   g) la legislación penal colombiana impedía expresamente  la  constitución</w:t>
        <w:br/>
        <w:t xml:space="preserve">      de parte civil durante la etapa de investigación previa, situación que</w:t>
        <w:br/>
        <w:t xml:space="preserve">      no cambió sino hasta el tres (3) de abril de  2002,  cuando  la  Corte</w:t>
        <w:br/>
        <w:t xml:space="preserve">      Constitucional emitió la Sentencia C 228 mediante la cual  dispuso  lo</w:t>
        <w:br/>
        <w:t xml:space="preserve">      contrario;</w:t>
        <w:br/>
        <w:br/>
        <w:t xml:space="preserve">   h) Colombia ha adoptado legislación interna que impide  a  las  presuntas</w:t>
        <w:br/>
        <w:t xml:space="preserve">      víctimas de estos graves hechos que se les garantice el derecho  a  la</w:t>
        <w:br/>
        <w:t xml:space="preserve">      verdad y a la justicia. La ley de Justicia y  Paz  permitirá  que  los</w:t>
        <w:br/>
        <w:t xml:space="preserve">      autores tanto materiales como intelectuales de estos  graves  crímenes</w:t>
        <w:br/>
        <w:t xml:space="preserve">      perciban unas condenas ínfimas con respecto a lo que  realmente  deben</w:t>
        <w:br/>
        <w:t xml:space="preserve">      responder ante la sociedad, favoreciendo la impunidad y  previendo  un</w:t>
        <w:br/>
        <w:t xml:space="preserve">      trato excepcional al delito político; e</w:t>
        <w:br/>
        <w:br/>
        <w:t xml:space="preserve">   i) las investigaciones penales sólo han conducido a un número reducido de</w:t>
        <w:br/>
        <w:t xml:space="preserve">      sentencias, pero no han sido oportunas puesto que han tomado un tiempo</w:t>
        <w:br/>
        <w:t xml:space="preserve">      que excede más allá del término razonable.</w:t>
        <w:br/>
        <w:br/>
        <w:br/>
        <w:t xml:space="preserve">           i) En relación con los hechos acontecidos en La Granja</w:t>
        <w:br/>
        <w:br/>
        <w:br/>
        <w:t xml:space="preserve">   a) a pesar de que en la masacre participaron alrededor de 20  hombres  de</w:t>
        <w:br/>
        <w:t xml:space="preserve">      manera directa entre quienes habían paramilitares, así como un  número</w:t>
        <w:br/>
        <w:t xml:space="preserve">      no determinado de “agentes estatales que permitieron y coadyuvaron  la</w:t>
        <w:br/>
        <w:t xml:space="preserve">      realización de los crímenes cometidos”, después de  pasados  ocho  (8)</w:t>
        <w:br/>
        <w:t xml:space="preserve">      años, no hay ningún condenado;</w:t>
        <w:br/>
        <w:br/>
        <w:br/>
        <w:t xml:space="preserve">   b)  el  Estado  tuvo  a  su  disposición  la  información   “adecuada   e</w:t>
        <w:br/>
        <w:t xml:space="preserve">      indispensable” para identificar, juzgar y sancionar a los responsables</w:t>
        <w:br/>
        <w:t xml:space="preserve">      desde el primer momento y se inhibió de hacerlo, tal  es  así  que  la</w:t>
        <w:br/>
        <w:t xml:space="preserve">      complejidad alegada por el Estado no encuentra razones  o  fundamentos</w:t>
        <w:br/>
        <w:t xml:space="preserve">      atendibles para el cumplimiento del deber de investigación;</w:t>
        <w:br/>
        <w:br/>
        <w:t xml:space="preserve">   c) el 31 de agosto de 2001 la Unidad Nacional de Derechos Humanos  de  la</w:t>
        <w:br/>
        <w:t xml:space="preserve">      Fiscalía dictó Resolución de Acusación únicamente contra  el  Teniente</w:t>
        <w:br/>
        <w:t xml:space="preserve">      de la Policía José Vicente Castro, por cuanto las demás  personas  que</w:t>
        <w:br/>
        <w:t xml:space="preserve">      habían  sido  vinculadas  a  la  investigación,  “algunos   de   ellos</w:t>
        <w:br/>
        <w:t xml:space="preserve">      reconocidos narcotraficantes  con  vínculos  con  el  paramilitarismo,</w:t>
        <w:br/>
        <w:t xml:space="preserve">      fueron desvinculadas en el transcurso de la misma”;</w:t>
        <w:br/>
        <w:br/>
        <w:t xml:space="preserve">   d) la primera sentencia que se profirió dentro de estos procesos  penales</w:t>
        <w:br/>
        <w:t xml:space="preserve">      fue el 14 de noviembre de 2003, es decir, 6 años después de  ocurridos</w:t>
        <w:br/>
        <w:t xml:space="preserve">      los hechos de La Granja. Sin embargo, dicha sentencia fue revocada por</w:t>
        <w:br/>
        <w:t xml:space="preserve">      el Tribunal Superior de Antioquia el 12 de julio de 2004;</w:t>
        <w:br/>
        <w:br/>
        <w:t xml:space="preserve">   e) el 8 de julio de 2005, casi nueve (9) años después  de  ocurridos  los</w:t>
        <w:br/>
        <w:t xml:space="preserve">      hechos, se produjo una nueva sentencia; y</w:t>
        <w:br/>
        <w:br/>
        <w:t xml:space="preserve">   f) el Decreto 128 de 2003 y la Ley 975 de 2005 contribuyen a que la única</w:t>
        <w:br/>
        <w:t xml:space="preserve">      sentencia que se ha producido por el  caso  La  Granja  no  pueda  ser</w:t>
        <w:br/>
        <w:t xml:space="preserve">      ejecutada, pues el marco jurídico interno representa para los  autores</w:t>
        <w:br/>
        <w:t xml:space="preserve">      de estas graves violaciones de derechos humanos la posibilidad de  que</w:t>
        <w:br/>
        <w:t xml:space="preserve">      sean reducidas las penas, y  que  quienes  han  intervenido  en  estos</w:t>
        <w:br/>
        <w:t xml:space="preserve">      hechos, y aún no han sido individualizados, no tengan la obligación de</w:t>
        <w:br/>
        <w:t xml:space="preserve">      confesar ante las autoridades colombianas.</w:t>
        <w:br/>
        <w:br/>
        <w:t xml:space="preserve">          ii) En relación con los hechos acontecidos en El Aro</w:t>
        <w:br/>
        <w:br/>
        <w:t xml:space="preserve">   a) en relación con la investigación de los hechos, son tres los elementos</w:t>
        <w:br/>
        <w:t xml:space="preserve">      que hacen que dicho proceso penal no cumpla con las exigencias mínimas</w:t>
        <w:br/>
        <w:t xml:space="preserve">      para considerar que se han respetado las garantías procesales  de  las</w:t>
        <w:br/>
        <w:t xml:space="preserve">      presuntas víctimas: a) no se ha vinculado en la investigación a ningún</w:t>
        <w:br/>
        <w:t xml:space="preserve">      miembro del Ejército Nacional; b) permanece la  impunidad;  y  c)  han</w:t>
        <w:br/>
        <w:t xml:space="preserve">      transcurrido 7 años de la incursión armada en El Aro,  plazo  más  que</w:t>
        <w:br/>
        <w:t xml:space="preserve">      razonable para que exista una sentencia definitiva que vincule a todos</w:t>
        <w:br/>
        <w:t xml:space="preserve">      los responsables por todas las conductas cometidas;</w:t>
        <w:br/>
        <w:br/>
        <w:br/>
        <w:t xml:space="preserve">   b) por los hechos múltiples ocurridos en dicho corregimiento, en los  que</w:t>
        <w:br/>
        <w:t xml:space="preserve">      participaron  aproximadamente  doscientos  (200)  hombres,  sólo   hay</w:t>
        <w:br/>
        <w:t xml:space="preserve">      condenados tres (3) civiles;</w:t>
        <w:br/>
        <w:br/>
        <w:t xml:space="preserve">   c) la sentencia del 22 de abril de 2002 del  Juzgado  Segundo  Penal  del</w:t>
        <w:br/>
        <w:t xml:space="preserve">      Circuito de  Antioquia  no  comprendió  todos  los  delitos  cometidos</w:t>
        <w:br/>
        <w:t xml:space="preserve">      mediante la incursión en El Aro; y</w:t>
        <w:br/>
        <w:br/>
        <w:t xml:space="preserve">   d) se realizó una  conciliación  de  tipo  económica  en  varios  de  los</w:t>
        <w:br/>
        <w:t xml:space="preserve">      procesos contenciosos administrativos, pero aún no ha sido pagada.</w:t>
        <w:br/>
        <w:br/>
        <w:t>Alegatos del Estado</w:t>
        <w:br/>
        <w:br/>
        <w:t>282.  El Estado alegó que  no  ha  incurrido  en  violación  alguna  de  los</w:t>
        <w:br/>
        <w:t>artículos 8.1 y 25 de la Convención Americana, considerando que:</w:t>
        <w:br/>
        <w:br/>
        <w:t xml:space="preserve">        i)  En relación con los recursos disponibles a nivel interno</w:t>
        <w:br/>
        <w:br/>
        <w:t xml:space="preserve">   a) Colombia cuenta con un verdadero sistema de protección de los derechos</w:t>
        <w:br/>
        <w:t xml:space="preserve">      fundamentales, con acciones constitucionales que integran  el  sistema</w:t>
        <w:br/>
        <w:t xml:space="preserve">      de protección judicial, incluyendo la  Defensoría  del Pueblo, que sin</w:t>
        <w:br/>
        <w:t xml:space="preserve">      ser una acción  judicial, si es una institución de protección de tales</w:t>
        <w:br/>
        <w:t xml:space="preserve">      derechos. Las acciones constitucionales que  componen  el  sistema  de</w:t>
        <w:br/>
        <w:t xml:space="preserve">      protección judicial de los derechos fundamentales en Colombia  son: el</w:t>
        <w:br/>
        <w:t xml:space="preserve">      hábeas  corpus;  la  acción  de  tutela  “(recurso   de   amparo   por</w:t>
        <w:br/>
        <w:t xml:space="preserve">      excelencia)”; la acción de cumplimiento; las acciones populares  y  de</w:t>
        <w:br/>
        <w:t xml:space="preserve">      grupo; el hábeas data; el derecho de  rectificación  o  respuesta;  la</w:t>
        <w:br/>
        <w:t xml:space="preserve">      acción de inconstitucionalidad y la excepción de inconstitucionalidad;</w:t>
        <w:br/>
        <w:br/>
        <w:br/>
        <w:t xml:space="preserve">   b) las acciones contencioso administrativas que cumplen  igual  propósito</w:t>
        <w:br/>
        <w:t xml:space="preserve">      son: la acción de simple nulidad de un acto administrativo; la  acción</w:t>
        <w:br/>
        <w:t xml:space="preserve">      de nulidad con restablecimiento del derecho; la acción  de  reparación</w:t>
        <w:br/>
        <w:t xml:space="preserve">      directa y de  cumplimiento;  así  como  la  acción  de  definición  de</w:t>
        <w:br/>
        <w:t xml:space="preserve">      competencias administrativas;</w:t>
        <w:br/>
        <w:br/>
        <w:t xml:space="preserve">   c) los recursos que existen en el orden interno para la protección de los</w:t>
        <w:br/>
        <w:t xml:space="preserve">      derechos y libertades  de  cuya  violación  trata  la  demanda  de  la</w:t>
        <w:br/>
        <w:t xml:space="preserve">      Comisión son absolutamente idóneos; han estado siempre  a  disposición</w:t>
        <w:br/>
        <w:t xml:space="preserve">      de las presuntas víctimas y sus familiares, “y han sido tramitados por</w:t>
        <w:br/>
        <w:t xml:space="preserve">      las autoridades competentes en la  forma  y  dentro  de  los  términos</w:t>
        <w:br/>
        <w:t xml:space="preserve">      prescritos por las normas internas”; y</w:t>
        <w:br/>
        <w:br/>
        <w:t xml:space="preserve">   d) todos esos recursos están aún en trámite.  En  algunos  de  ellos  han</w:t>
        <w:br/>
        <w:t xml:space="preserve">      recaído ya decisiones que han protegido los derechos de las  presuntas</w:t>
        <w:br/>
        <w:t xml:space="preserve">      víctimas y sus familiares y en algunos  otros  se  esperan  decisiones</w:t>
        <w:br/>
        <w:t xml:space="preserve">      definitivas.</w:t>
        <w:br/>
        <w:br/>
        <w:t xml:space="preserve">        ii) En relación con las investigaciones penales</w:t>
        <w:br/>
        <w:br/>
        <w:br/>
        <w:t xml:space="preserve">   a) las investigaciones en el presente caso fueron  realizadas  en  plazos</w:t>
        <w:br/>
        <w:t xml:space="preserve">      razonables,   dada   la   complejidad   que   significa   abordar   la</w:t>
        <w:br/>
        <w:t xml:space="preserve">      “macrocriminalidad” implícita en estos hechos;</w:t>
        <w:br/>
        <w:br/>
        <w:br/>
        <w:t xml:space="preserve">   b) la actividad procesal de los peticionarios en los procesos internos ha</w:t>
        <w:br/>
        <w:t xml:space="preserve">      sido escasa y en  especial  en  los  procesos  penales,  en  donde  no</w:t>
        <w:br/>
        <w:t xml:space="preserve">      ejercieron la acción civil;</w:t>
        <w:br/>
        <w:br/>
        <w:t xml:space="preserve">   c) mediante el Decreto 2429 de 1998 se creó el Comité Especial de Impulso</w:t>
        <w:br/>
        <w:t xml:space="preserve">      a las investigaciones por violaciones a  los  derechos  humanos  y  el</w:t>
        <w:br/>
        <w:t xml:space="preserve">      derecho internacional  humanitario  con  la  finalidad  de  evitar  la</w:t>
        <w:br/>
        <w:t xml:space="preserve">      impunidad en los casos de violaciones a los derechos humanos;</w:t>
        <w:br/>
        <w:br/>
        <w:t xml:space="preserve">   d) con los auspicios de la Unión Europea, la coordinación y dirección  de</w:t>
        <w:br/>
        <w:t xml:space="preserve">      la Embajada del Reino de los Países  Bajos,  se  viene  ejecutando  el</w:t>
        <w:br/>
        <w:t xml:space="preserve">      proyecto de lucha contra la impunidad, en el marco  de  las  gestiones</w:t>
        <w:br/>
        <w:t xml:space="preserve">      del referido Comité Especial de Impulso;</w:t>
        <w:br/>
        <w:br/>
        <w:t xml:space="preserve">   e) en  materia  de  reparación  se  contempla  la  creación  de  un  Alto</w:t>
        <w:br/>
        <w:t xml:space="preserve">      Comisionado para víctimas que coordine y ejecute una política integral</w:t>
        <w:br/>
        <w:t xml:space="preserve">      de reparación; y</w:t>
        <w:br/>
        <w:br/>
        <w:t xml:space="preserve">   f) la ley de Justicia y Paz es una norma que muy  seguramente  tendrá  en</w:t>
        <w:br/>
        <w:t xml:space="preserve">      breve el examen de la Corte Constitucional en la medida que hay varias</w:t>
        <w:br/>
        <w:t xml:space="preserve">      demandas contra su contenido.</w:t>
        <w:br/>
        <w:br/>
        <w:t xml:space="preserve">     1. En relación con los hechos acontecidos en La Granja</w:t>
        <w:br/>
        <w:br/>
        <w:br/>
        <w:t xml:space="preserve">   a) el 10 de noviembre de 2003 la Unidad Nacional de  Derechos  Humanos  y</w:t>
        <w:br/>
        <w:t xml:space="preserve">      Derecho Internacional Humanitario de la Fiscalía General de la Nación,</w:t>
        <w:br/>
        <w:t xml:space="preserve">      resolvió proferir acusación por los hechos  del  corregimiento  de  La</w:t>
        <w:br/>
        <w:t xml:space="preserve">      Granja, en contra de un oficial del Ejército Nacional,  como  probable</w:t>
        <w:br/>
        <w:t xml:space="preserve">      autor del delito de concierto para  delinquir,  en  detrimento  de  la</w:t>
        <w:br/>
        <w:t xml:space="preserve">      seguridad pública;</w:t>
        <w:br/>
        <w:br/>
        <w:t xml:space="preserve">   b) según la sentencia de 14 de noviembre de 2003, emitida por el  Juzgado</w:t>
        <w:br/>
        <w:t xml:space="preserve">      Primero Especializado, la investigación de los hechos de La Granja  se</w:t>
        <w:br/>
        <w:t xml:space="preserve">      inició el 12 de junio de 1996, es decir un día  después  de  ocurridos</w:t>
        <w:br/>
        <w:t xml:space="preserve">      éstos;</w:t>
        <w:br/>
        <w:br/>
        <w:t xml:space="preserve">   c) el 2 de septiembre de 2005 la fiscal de conocimiento en el caso de  La</w:t>
        <w:br/>
        <w:t xml:space="preserve">      Granja formuló una  acción  de  revisión  ante  la  Corte  Suprema  de</w:t>
        <w:br/>
        <w:t xml:space="preserve">      Justicia en relación con el fallo del Tribunal Superior  de  Antioquia</w:t>
        <w:br/>
        <w:t xml:space="preserve">      emitido el 12 de julio de 2004, mediante el cual se absolvió al  señor</w:t>
        <w:br/>
        <w:t xml:space="preserve">      José Vicente Castro; y</w:t>
        <w:br/>
        <w:br/>
        <w:t xml:space="preserve">   d) mediante sentencia de 8 de julio de 2005 se condenó a un  miembro  del</w:t>
        <w:br/>
        <w:t xml:space="preserve">      Ejército y a tres civiles.</w:t>
        <w:br/>
        <w:br/>
        <w:t xml:space="preserve">        2. En relación con los hechos acontecidos en El Aro</w:t>
        <w:br/>
        <w:br/>
        <w:t xml:space="preserve">   a) las actuaciones de la Fiscalía respecto de estos hechos, se  iniciaron</w:t>
        <w:br/>
        <w:t xml:space="preserve">      inmediatamente éstos ocurrieron, a finales de octubre y  comienzos  de</w:t>
        <w:br/>
        <w:t xml:space="preserve">      noviembre de 1997;</w:t>
        <w:br/>
        <w:br/>
        <w:br/>
        <w:t xml:space="preserve">   b) de conformidad con la  decisión  de  la  Procuraduría  General  de  la</w:t>
        <w:br/>
        <w:t xml:space="preserve">      Nación, contenida en el fallo de 30 de septiembre de 2002,  confirmada</w:t>
        <w:br/>
        <w:t xml:space="preserve">      según providencia de 1 de noviembre del mismo  año,  dos  agentes  del</w:t>
        <w:br/>
        <w:t xml:space="preserve">      Estado colombiano resultaron disciplinariamente responsables de  haber</w:t>
        <w:br/>
        <w:t xml:space="preserve">      “colaborado y facilitado” con conocimiento de  causa  en  los  hechos.</w:t>
        <w:br/>
        <w:t xml:space="preserve">      Igualmente  lo  fueron  por  haber  “colaborado  y   facilitado”   con</w:t>
        <w:br/>
        <w:t xml:space="preserve">      conocimiento de causa, del apoderamiento  irregular  (hurto)  que  las</w:t>
        <w:br/>
        <w:t xml:space="preserve">      Autodefensas  Unidas  de  Colombia  hicieron  de  aproximadamente  mil</w:t>
        <w:br/>
        <w:t xml:space="preserve">      (1,000) cabezas de ganado caballar y vacuno que fue  sacado  desde  la</w:t>
        <w:br/>
        <w:t xml:space="preserve">      región y áreas circunvecinas;</w:t>
        <w:br/>
        <w:br/>
        <w:t xml:space="preserve">   c) con fundamento en estas decisiones disciplinarias el Estado colombiano</w:t>
        <w:br/>
        <w:t xml:space="preserve">      aceptó realizar diligencias y presentó propuestas de  conciliación  en</w:t>
        <w:br/>
        <w:t xml:space="preserve">      los  procesos  que  se  tramitan  ante  la  jurisdicción   contencioso</w:t>
        <w:br/>
        <w:t xml:space="preserve">      administrativa,   previendo    una    sentencia    condenatoria    por</w:t>
        <w:br/>
        <w:t xml:space="preserve">      responsabilidad del Estado por las muertes por las que los respectivos</w:t>
        <w:br/>
        <w:t xml:space="preserve">      familiares demandaron  indemnización,  así  como  por  el   hurto   de</w:t>
        <w:br/>
        <w:t xml:space="preserve">      ganado, según lo probado en dichos procesos;</w:t>
        <w:br/>
        <w:br/>
        <w:t xml:space="preserve">   d) se logró la identificación de claros  determinadores  del  caso,  como</w:t>
        <w:br/>
        <w:t xml:space="preserve">      Carlos Castaño y Salvatore Mancuso por los hechos de El  Aro,  quienes</w:t>
        <w:br/>
        <w:t xml:space="preserve">      fueron condenados a cuarenta años de prisión. Lo propio  se  hizo  con</w:t>
        <w:br/>
        <w:t xml:space="preserve">      Francisco Enrique Villalba condenado a treinta y tres años;</w:t>
        <w:br/>
        <w:br/>
        <w:t xml:space="preserve">   e) el  22  de  abril  de  2003  se  adelantó  y  concluyó  con  sentencia</w:t>
        <w:br/>
        <w:t xml:space="preserve">      condenatoria en contra de Carlos Castaño Gil, Salvatore Mancuso  Gómez</w:t>
        <w:br/>
        <w:t xml:space="preserve">      y Francisco Enrique Hernández Villalba, el proceso 05000-31-07-02-2002-</w:t>
        <w:br/>
        <w:t xml:space="preserve">      0021-00 ante el Juzgado Segundo Penal del  Circuito  Especializado  de</w:t>
        <w:br/>
        <w:t xml:space="preserve">      Medellín. Esta decisión se encuentra en firme y en fase de  ejecución,</w:t>
        <w:br/>
        <w:t xml:space="preserve">      por lo cual están pendientes de hacerse efectivas algunas capturas;</w:t>
        <w:br/>
        <w:br/>
        <w:t xml:space="preserve">   f)  el hecho de que algunas órdenes de captura no se hayan materializado,</w:t>
        <w:br/>
        <w:t xml:space="preserve">      es porque “dar con los delincuentes no es tarea  fácil”.  En  el  caso</w:t>
        <w:br/>
        <w:t xml:space="preserve">      específico del señor Mancuso, él esta como  negociador  dentro  de  un</w:t>
        <w:br/>
        <w:t xml:space="preserve">      proceso de diálogo que se inició por parte del Gobierno en base  a  la</w:t>
        <w:br/>
        <w:t xml:space="preserve">      Ley 782 de 2002 (La  Ley 418 de 1997 fue prorrogada por las leyes  548</w:t>
        <w:br/>
        <w:t xml:space="preserve">      de 1999 y 782 de 2002). Por lo anterior, tiene las órdenes de  captura</w:t>
        <w:br/>
        <w:t xml:space="preserve">      suspendidas mientras que esté  en  conversaciones  y  siempre  que  se</w:t>
        <w:br/>
        <w:t xml:space="preserve">      mantenga en ellas; y</w:t>
        <w:br/>
        <w:br/>
        <w:t xml:space="preserve">   g) en relación con la vinculación de agentes estatales por parte  de  los</w:t>
        <w:br/>
        <w:t xml:space="preserve">      organismos  de  investigación  por  los  hechos  de  El  Aro,  existen</w:t>
        <w:br/>
        <w:t xml:space="preserve">      providencias  que  vinculan  al  proceso  al  señor  Abelardo  Bolaños</w:t>
        <w:br/>
        <w:t xml:space="preserve">      Galindo, entonces Teniente del Ejército para la época de estos hechos,</w:t>
        <w:br/>
        <w:t xml:space="preserve">      y al señor Germán Antonio Alzate Cardona, cabo  primero  del  Ejército</w:t>
        <w:br/>
        <w:t xml:space="preserve">      para la época de los hechos.</w:t>
        <w:br/>
        <w:br/>
        <w:t xml:space="preserve">        iii  En relación con los procesos en  la  jurisdicción  contencioso</w:t>
        <w:br/>
        <w:t xml:space="preserve">        administrativa</w:t>
        <w:br/>
        <w:br/>
        <w:br/>
        <w:t xml:space="preserve">   a) quienes se vieron afectados por los hechos criminales ocurridos en  La</w:t>
        <w:br/>
        <w:t xml:space="preserve">      Granja y El Aro promovieron varios  procesos  judiciales  dirigidos  a</w:t>
        <w:br/>
        <w:t xml:space="preserve">      obtener  una  plena  indemnización  de  los  daños   patrimoniales   y</w:t>
        <w:br/>
        <w:t xml:space="preserve">      extrapatrimoniales que sufrieron;</w:t>
        <w:br/>
        <w:br/>
        <w:br/>
        <w:t xml:space="preserve">   b) varias de las personas que concurrieron al trámite  internacional,  en</w:t>
        <w:br/>
        <w:t xml:space="preserve">      procura -entre  otras  cosas-  de  una  indemnización,  decidieron  no</w:t>
        <w:br/>
        <w:t xml:space="preserve">      utilizar las vías legales que para  este  mismo  propósito  ofrece  el</w:t>
        <w:br/>
        <w:t xml:space="preserve">      derecho interno (acción civil autónoma o formulada dentro del  proceso</w:t>
        <w:br/>
        <w:t xml:space="preserve">      penal y acción contencioso administrativa de reparación directa);</w:t>
        <w:br/>
        <w:br/>
        <w:t xml:space="preserve">   c) de las doscientas treinta y nueve (239) personas que  concurrieron  al</w:t>
        <w:br/>
        <w:t xml:space="preserve">      trámite internacional, noventa y dos (92) de ellas formularon demandas</w:t>
        <w:br/>
        <w:t xml:space="preserve">      contra el Estado ante los jueces nacionales, en procura de obtener una</w:t>
        <w:br/>
        <w:t xml:space="preserve">      reparación por los daños que les fueron causados;</w:t>
        <w:br/>
        <w:br/>
        <w:t xml:space="preserve">   d) el artículo 16 de  la  Ley  446  del  año  1998  habla  de  reparación</w:t>
        <w:br/>
        <w:t xml:space="preserve">      integral, de manera que el estatuto jurídico colombiano  no  parecería</w:t>
        <w:br/>
        <w:t xml:space="preserve">      oponerse a buscar formas de reparación;</w:t>
        <w:br/>
        <w:br/>
        <w:t xml:space="preserve">   e)  los  procesos  contencioso   administrativos   iniciados   han   sido</w:t>
        <w:br/>
        <w:t xml:space="preserve">      conciliados y en breve se generarán las  correspondientes  órdenes  de</w:t>
        <w:br/>
        <w:t xml:space="preserve">      pago; y</w:t>
        <w:br/>
        <w:br/>
        <w:t xml:space="preserve">   f)  tres de los procesos no fueron conciliados, dos de los cuales  fueron</w:t>
        <w:br/>
        <w:t xml:space="preserve">      decididos por el Tribunal Contencioso Administrativo de  Antioquia  en</w:t>
        <w:br/>
        <w:t xml:space="preserve">      forma desfavorable a los demandantes; una de las sentencias  ya  quedó</w:t>
        <w:br/>
        <w:t xml:space="preserve">      firme y otra se encuentra en revisión por segunda instancia.</w:t>
        <w:br/>
        <w:br/>
        <w:t xml:space="preserve">        iv.      En relación con el Programa de Atención a Víctimas  de  la</w:t>
        <w:br/>
        <w:t xml:space="preserve">        Violencia de la Red de Solidaridad Social</w:t>
        <w:br/>
        <w:br/>
        <w:t xml:space="preserve">   a) por medio de dicho programa se otorga  asistencia  humanitaria  a  las</w:t>
        <w:br/>
        <w:t xml:space="preserve">      víctimas contempladas en el  artículo  15  de  la  Ley  418  de  1997,</w:t>
        <w:br/>
        <w:t xml:space="preserve">      entendiendo por víctimas a “aquellas personas de  la  población  civil</w:t>
        <w:br/>
        <w:t xml:space="preserve">      que sufran perjuicios en su vida, o grave deterioro en  su  integridad</w:t>
        <w:br/>
        <w:t xml:space="preserve">      personal o bienes,  por  razón  de  atentados  terroristas,  combates,</w:t>
        <w:br/>
        <w:t xml:space="preserve">      secuestros, ataques y  masacres  en  el  marco  del  conflicto  armado</w:t>
        <w:br/>
        <w:t xml:space="preserve">      interno”;</w:t>
        <w:br/>
        <w:br/>
        <w:br/>
        <w:t xml:space="preserve">   b) en relación con los hechos ocurridos en La Granja  y  El  Aro,  fueron</w:t>
        <w:br/>
        <w:t xml:space="preserve">      presentadas,  tramitadas  y  atendidas  cinco  solicitudes  de   ayuda</w:t>
        <w:br/>
        <w:t xml:space="preserve">      humanitaria, una por hechos de La Granja de los  familiares  Jairo  de</w:t>
        <w:br/>
        <w:t xml:space="preserve">      Jesús Sepúlveda Arias y cuatro por hechos de El Aro de los  familiares</w:t>
        <w:br/>
        <w:t xml:space="preserve">      de Marco Aurelio Areiza  Osorio,  Guillermo  Andrés  Mendoza  Posso  y</w:t>
        <w:br/>
        <w:t xml:space="preserve">      Nelson de Jesús Palacio Cárdenas; y</w:t>
        <w:br/>
        <w:br/>
        <w:t xml:space="preserve">   c) otras dos solicitudes similares de reparación pecuniaria  no  pudieron</w:t>
        <w:br/>
        <w:t xml:space="preserve">      ser atendidas, la de Wilmar de Jesús Restrepo Torres, por  haber  sido</w:t>
        <w:br/>
        <w:t xml:space="preserve">      presentada por fuera del plazo de dos  años  previsto  en  las  normas</w:t>
        <w:br/>
        <w:t xml:space="preserve">      legales colombianas, y la de Graciela Arboleda Rodríguez por no  haber</w:t>
        <w:br/>
        <w:t xml:space="preserve">      aportado los documentos mínimos requeridos.</w:t>
        <w:br/>
        <w:br/>
        <w:t>Consideraciones de la Corte</w:t>
        <w:br/>
        <w:br/>
        <w:t>283.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284.  El artículo 25 de la Convención dispone: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t xml:space="preserve">      b) a desarrollar las posibilidades de recurso judicial; y</w:t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285.  Durante el trámite del caso ante esta Corte, el  Estado  ha  sostenido</w:t>
        <w:br/>
        <w:t>que no ha violado los artículos 8.1 y 25 de la Convención;  ha  alegado  que</w:t>
        <w:br/>
        <w:t>los recursos internos deben evaluarse de manera integral,  ya  que  son  los</w:t>
        <w:br/>
        <w:t>procesos penales, contencioso administrativos y disciplinarios, los que  han</w:t>
        <w:br/>
        <w:t>permitido, en su conjunto y en  forma  efectiva,  llegar  a  los  resultados</w:t>
        <w:br/>
        <w:t>actuales.  La Comisión  y  los  representantes  afirman  que  el  Estado  ha</w:t>
        <w:br/>
        <w:t>incurrido en violación de  dichas  normas  por  una  serie  de  razones  que</w:t>
        <w:br/>
        <w:t>incluyen,  inter  alia,  las  deficientes  e   incompletas   investigaciones</w:t>
        <w:br/>
        <w:t>desarrolladas, el  tiempo  que  han  durado  los  procesos  y  la  falta  de</w:t>
        <w:br/>
        <w:t>efectividad y  de  resultados  de  aquéllas,  lo  cual  ha  derivado  en  la</w:t>
        <w:br/>
        <w:t>impunidad parcial de los responsables de las masacres  de  La  Granja  y  El</w:t>
        <w:br/>
        <w:t>Aro.</w:t>
        <w:br/>
        <w:br/>
        <w:t>286.   A  continuación  el  Tribunal  se  referirá,  en  primer   lugar,   a</w:t>
        <w:br/>
        <w:t>consideraciones aplicables a los hechos ocurridos en los casos de La  Granja</w:t>
        <w:br/>
        <w:t>y El Aro en relación con las obligaciones establecidas en los artículos  8.1</w:t>
        <w:br/>
        <w:t>y 25 de la Convención. Posteriormente, se analizarán en  acápites  separados</w:t>
        <w:br/>
        <w:t>los   respectivos   procesos   penales,   contencioso   administrativos    y</w:t>
        <w:br/>
        <w:t>disciplinarios,  señalando  en  cada  uno  de  ellos   las   consideraciones</w:t>
        <w:br/>
        <w:t>aplicables a las investigaciones avanzadas en relación a ambos  hechos,  así</w:t>
        <w:br/>
        <w:t>como las consideraciones particulares de cada una de ellas.</w:t>
        <w:br/>
        <w:br/>
        <w:t>287.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1.1)[232].</w:t>
        <w:br/>
        <w:br/>
        <w:t>288.  Al respecto, el Tribunal ha señalado que en  todos  los  ordenamientos</w:t>
        <w:br/>
        <w:t>internos existen múltiples recursos, pero no todos son aplicables  en  todas</w:t>
        <w:br/>
        <w:t>las circunstancias. Si en un caso específico el recurso no es  adecuado,  es</w:t>
        <w:br/>
        <w:t>obvio que no hay  que  agotarlo[233].  Lo  anterior,  sin  perjuicio  de  la</w:t>
        <w:br/>
        <w:t>posibilidad de que todos los recursos  disponibles  en  el  derecho  interno</w:t>
        <w:br/>
        <w:t>puedan, en determinadas circunstancias, satisfacer de una  manera  colectiva</w:t>
        <w:br/>
        <w:t>los requerimientos establecidos en los artículos 8 y 25  de  la  Convención,</w:t>
        <w:br/>
        <w:t>incluso si ninguno  de  ellos,  en  lo  individual,  cumpla  de  una  manera</w:t>
        <w:br/>
        <w:t>integral con dichas disposiciones[234].</w:t>
        <w:br/>
        <w:br/>
        <w:t>289.  Asimismo, esta Corte ha  señalado  que  el  derecho  de  acceso  a  la</w:t>
        <w:br/>
        <w:t>justicia debe asegurar, en tiempo razonable, el  derecho  de  las  presuntas</w:t>
        <w:br/>
        <w:t>víctimas o sus familiares a que se haga todo lo necesario  para  conocer  la</w:t>
        <w:br/>
        <w:t>verdad  de  lo  sucedido  y  para  que  se   sancione   a   los   eventuales</w:t>
        <w:br/>
        <w:t>responsables[235]. Ciertamente  el  Tribunal  ha  establecido,  respecto  al</w:t>
        <w:br/>
        <w:t>principio  del  plazo  razonable  contemplado  en  el  artículo  8.1  de  la</w:t>
        <w:br/>
        <w:t>Convención Americana, que es preciso tomar en  cuenta  tres  elementos  para</w:t>
        <w:br/>
        <w:t>determinar la razonabilidad del plazo en el que se  desarrolla  un  proceso:</w:t>
        <w:br/>
        <w:t>a) complejidad del  asunto,  b)  actividad  procesal  del  interesado  y  c)</w:t>
        <w:br/>
        <w:t>conducta de las autoridades judiciales[236].  No  obstante,  la  pertinencia</w:t>
        <w:br/>
        <w:t>de aplicar esos tres criterios para determinar la  razonabilidad  del  plazo</w:t>
        <w:br/>
        <w:t>de un proceso depende de las circunstancias de cada caso[237].   En  efecto,</w:t>
        <w:br/>
        <w:t>dadas  las  particularidades  del  presente  caso,  la  Corte  analizará  la</w:t>
        <w:br/>
        <w:t>razonabilidad de la duración de cada uno de los procedimientos, cuando  ello</w:t>
        <w:br/>
        <w:t>resulte posible y pertinente.</w:t>
        <w:br/>
        <w:br/>
        <w:t>290.  En el caso sub judice se ha constatado que, fueron  abiertos  procesos</w:t>
        <w:br/>
        <w:t>en las jurisdicciones  penal,  contencioso  administrativa  y  disciplinaria</w:t>
        <w:br/>
        <w:t>(supra párrs. 125.41 a 125.54 y 125.87 a 125.103).</w:t>
        <w:br/>
        <w:br/>
        <w:t>291.  En consecuencia, en el presente capítulo la Corte analizará la  debida</w:t>
        <w:br/>
        <w:t>diligencia en la conducción de estas acciones  oficiales  de  investigación,</w:t>
        <w:br/>
        <w:t>así como otros elementos adicionales  para  determinar  si  los  procesos  y</w:t>
        <w:br/>
        <w:t>procedimientos  han  sido  desarrollados  con  respeto  de   las   garantías</w:t>
        <w:br/>
        <w:t>judiciales, en un plazo razonable, y si han constituido un recurso  efectivo</w:t>
        <w:br/>
        <w:t>para asegurar los derechos de acceso a la justicia, la verdad de los  hechos</w:t>
        <w:br/>
        <w:t>y la reparación de los familiares.</w:t>
        <w:br/>
        <w:br/>
        <w:br/>
        <w:t xml:space="preserve">      a)    Jurisdicción penal ordinaria</w:t>
        <w:br/>
        <w:br/>
        <w:br/>
        <w:t>292.  Como ha sido señalado anteriormente,  a  continuación  la  Corte  hará</w:t>
        <w:br/>
        <w:t>referencia a consideraciones aplicables a los hechos de La Granja y  El  Aro</w:t>
        <w:br/>
        <w:t>en relación con los procesos abiertos en la jurisdicción penal  ordinaria  y</w:t>
        <w:br/>
        <w:t>posteriormente analizará las investigaciones llevadas  a  cabo  en  relación</w:t>
        <w:br/>
        <w:t>con cada uno de ellos.</w:t>
        <w:br/>
        <w:br/>
        <w:t>293.  Si bien han transcurrido más de diez (10) y ocho (8)  años  desde  que</w:t>
        <w:br/>
        <w:t>sucedieron los hechos de La Granja y El  Aro,  respectivamente,  algunos  de</w:t>
        <w:br/>
        <w:t>los procesos  penales  permanecen  abiertos.   La  Corte  reconoce  que  los</w:t>
        <w:br/>
        <w:t>asuntos que se investigan por los órganos judiciales  internos  en  relación</w:t>
        <w:br/>
        <w:t>con las masacres de La Granja y El Aro son complejos. A pesar de ello, a  la</w:t>
        <w:br/>
        <w:t>fecha hay resultados concretos en las investigaciones y  en  los  diferentes</w:t>
        <w:br/>
        <w:t>procesos penales  que,  si  bien  son  insuficientes,  han  derivado  en  la</w:t>
        <w:br/>
        <w:t>condenatoria de miembros del  Ejército,  así  como  de  miembros  de  grupos</w:t>
        <w:br/>
        <w:t>paramilitares,  por  su  participación  en  los  hechos  que  originaron  el</w:t>
        <w:br/>
        <w:t>presente caso (supra párr.  125.51  y  125.93).  Sin  embargo,  el  Tribunal</w:t>
        <w:br/>
        <w:t>observa que algunos de los imputados  han  sido  juzgados  y  condenados  en</w:t>
        <w:br/>
        <w:t>ausencia. Además, debido a la magnitud de los acontecimientos  y  el  número</w:t>
        <w:br/>
        <w:t>de partícipes involucrados en ellos, los medios  utilizados,  así  como  los</w:t>
        <w:br/>
        <w:t>resultados alcanzados,  no  son  suficientes  para  dar  cumplimiento  a  lo</w:t>
        <w:br/>
        <w:t>establecido por la Convención Americana. En razón de ello, la  Corte  estima</w:t>
        <w:br/>
        <w:t>que, además de realizar un análisis acerca de  la  razonabilidad  del  plazo</w:t>
        <w:br/>
        <w:t>transcurrido en las investigaciones, la responsabilidad del Estado a la  luz</w:t>
        <w:br/>
        <w:t>de los artículos 8.1 y 25 de  la  Convención  debe  ser  establecida  en  el</w:t>
        <w:br/>
        <w:t>presente caso mediante una evaluación del desarrollo  y  los  resultados  de</w:t>
        <w:br/>
        <w:t>los  diferentes  procesos  penales,  es  decir,  de  la  efectividad  de  la</w:t>
        <w:br/>
        <w:t>investigación de los hechos  para  la  determinación  de  la  verdad  de  lo</w:t>
        <w:br/>
        <w:t>sucedido, la sanción de los responsables y la reparación de las  violaciones</w:t>
        <w:br/>
        <w:t>cometidas en perjuicio de las presuntas víctimas[238].</w:t>
        <w:br/>
        <w:br/>
        <w:t>294.  Las masacres fueron perpetradas en el contexto  del  conflicto  armado</w:t>
        <w:br/>
        <w:t>interno que sufre Colombia; comprendieron un gran número de víctimas  –  que</w:t>
        <w:br/>
        <w:t>perdieron sus bienes, fueron ejecutadas, y en el caso de El  Aro,  obligadas</w:t>
        <w:br/>
        <w:t>a realizar trabajos forzosos o desplazadas – y  tuvo  lugar  en  una  región</w:t>
        <w:br/>
        <w:t>remota y de difícil acceso del país, entre otros factores. Sin embargo,  aun</w:t>
        <w:br/>
        <w:t>tomando en cuenta la complejidad del asunto, la efectividad de los  procesos</w:t>
        <w:br/>
        <w:t>se ha visto afectada por varías fallas  en  la  investigación  (supra  párr.</w:t>
        <w:br/>
        <w:t>125.42, 125.43, 125.52, 125.87 y 125.93). No es  sostenible,  entonces,  tal</w:t>
        <w:br/>
        <w:t>como pretende el Estado, argumentar que las investigaciones en  el  presente</w:t>
        <w:br/>
        <w:t>caso fueron realizadas en plazos razonables,  tomando  en  consideración  la</w:t>
        <w:br/>
        <w:t>complejidad que significa abordar la “macrocriminalidad” implícita en  estos</w:t>
        <w:br/>
        <w:t>hechos y que la actividad procesal de  los  peticionarios  en  los  procesos</w:t>
        <w:br/>
        <w:t>internos ha sido escasa, en especial en los procesos  penales  en  donde  no</w:t>
        <w:br/>
        <w:t>ejercieron la acción civil (supra párr. 282.ii.a y b).</w:t>
        <w:br/>
        <w:br/>
        <w:t>295.  En relación con lo  anterior,  los  representantes  señalaron  que  la</w:t>
        <w:br/>
        <w:t>legislación penal colombiana impedía expresamente la constitución  de  parte</w:t>
        <w:br/>
        <w:t>civil durante la etapa de investigación previa, situación que  cambió  el  3</w:t>
        <w:br/>
        <w:t>de abril de 2002, cuando la Corte Constitucional emitió la Sentencia C  228,</w:t>
        <w:br/>
        <w:t>mediante  la  cual  dispuso  dicha  participación.   Además,   la   reducida</w:t>
        <w:br/>
        <w:t>participación de los familiares en los procesos penales, ya sea  como  parte</w:t>
        <w:br/>
        <w:t>civil  o  como  testigos,  es  también  consecuencia  de  la  situación   de</w:t>
        <w:br/>
        <w:t>desplazamiento que enfrentaron y el temor a participar  en  dichos  procesos</w:t>
        <w:br/>
        <w:t>derivado de la muerte o amenazas sufridas por las personas que  participaron</w:t>
        <w:br/>
        <w:t>o impulsaron los mismos, como el señor Jesús Valle Jaramillo o los  diversos</w:t>
        <w:br/>
        <w:t>fiscales que salieron del país (supra párr. 125.95).</w:t>
        <w:br/>
        <w:br/>
        <w:t>296.  Al respecto este Tribunal  ha  señalado  que  durante  el  proceso  de</w:t>
        <w:br/>
        <w:t>investigación  y  el  trámite  judicial,  las  víctimas  de  violaciones  de</w:t>
        <w:br/>
        <w:t>derechos humanos, o sus familiares, deben tener amplias  oportunidades  para</w:t>
        <w:br/>
        <w:t>participar y ser escuchados, tanto en el esclarecimiento de los hechos y  la</w:t>
        <w:br/>
        <w:t>sanción  de  los  responsables,  como  en   la   búsqueda   de   una   justa</w:t>
        <w:br/>
        <w:t>compensación[239].  Sin  embargo,  la  búsqueda  efectiva   de   la   verdad</w:t>
        <w:br/>
        <w:t>corresponde al Estado,  y  no  depende  de  la  iniciativa  procesal  de  la</w:t>
        <w:br/>
        <w:t>víctima,  o  de  sus  familiares   o   de   su   aportación   de   elementos</w:t>
        <w:br/>
        <w:t>probatorios[240]. Por tanto, mal podría sostenerse, tal y como  lo  hizo  el</w:t>
        <w:br/>
        <w:t>Estado (supra párr.  282.ii.b),  que  en  un  caso  como  el  presente  deba</w:t>
        <w:br/>
        <w:t>considerarse  la  actividad  procesal  del  interesado  como   un   criterio</w:t>
        <w:br/>
        <w:t>determinante para definir la razonabilidad del plazo. Es necesario  recordar</w:t>
        <w:br/>
        <w:t>que el presente caso comprende, inter alia, ejecuciones  extrajudiciales  de</w:t>
        <w:br/>
        <w:t>19  personas.  En  dichos  casos  la  jurisprudencia  de  este  Tribunal  es</w:t>
        <w:br/>
        <w:t>inequívoca: el Estado tiene el deber de iniciar ex  officio,  sin  dilación,</w:t>
        <w:br/>
        <w:t>una investigación seria, imparcial y efectiva, que no se emprenda  como  una</w:t>
        <w:br/>
        <w:t>simple formalidad condenada de antemano a ser infructuosa[241].</w:t>
        <w:br/>
        <w:br/>
        <w:t>297.  Este deber de investigar deriva de la obligación  general  que  tienen</w:t>
        <w:br/>
        <w:t>los Estados Partes en la Convención de respetar y  garantizar  los  derechos</w:t>
        <w:br/>
        <w:t>humanos consagrados en ella, es decir, de la obligación  establecida  en  el</w:t>
        <w:br/>
        <w:t>artículo 1.1 de dicho tratado en conjunto  con  el  derecho  sustantivo  que</w:t>
        <w:br/>
        <w:t>debió ser amparado, protegido o garantizado. De  tal  manera,  en  casos  de</w:t>
        <w:br/>
        <w:t>violaciones al derecho a la  vida,  el  cumplimiento  de  la  obligación  de</w:t>
        <w:br/>
        <w:t>investigar constituye un  elemento  central  al  momento  de  determinar  la</w:t>
        <w:br/>
        <w:t>responsabilidad estatal  por  la  inobservancia  de  las  debidas  garantías</w:t>
        <w:br/>
        <w:t>judiciales y protección judiciales.</w:t>
        <w:br/>
        <w:br/>
        <w:t>298.  En este  sentido,  con  base  en  el  Manual  sobre  la  Prevención  e</w:t>
        <w:br/>
        <w:t>Investigación  Efectiva  de  Ejecuciones  Extrajudiciales,   Arbitrarias   y</w:t>
        <w:br/>
        <w:t>Sumarias de Naciones Unidas, este Tribunal ha  especificado  los  principios</w:t>
        <w:br/>
        <w:t>rectores que es preciso observar cuando se considera  que  una  muerte  pudo</w:t>
        <w:br/>
        <w:t>deberse  a  una  ejecución  extrajudicial.  Las  autoridades  estatales  que</w:t>
        <w:br/>
        <w:t>conducen una investigación  deben  intentar  como  mínimo,  inter  alia:  a)</w:t>
        <w:br/>
        <w:t>identificar a la víctima; b) recuperar y preservar  el  material  probatorio</w:t>
        <w:br/>
        <w:t>relacionado con la muerte, con el  fin  de  ayudar  en  cualquier  potencial</w:t>
        <w:br/>
        <w:t>investigación penal de los responsables; c) identificar posibles testigos  y</w:t>
        <w:br/>
        <w:t>obtener sus declaraciones en relación con la muerte  que  se  investiga;  d)</w:t>
        <w:br/>
        <w:t>determinar la  causa,  forma,  lugar  y  momento  de  la  muerte,  así  como</w:t>
        <w:br/>
        <w:t>cualquier patrón o  práctica  que  pueda  haber  causado  la  muerte,  y  e)</w:t>
        <w:br/>
        <w:t>distinguir entre muerte natural, muerte accidental,  suicidio  y  homicidio.</w:t>
        <w:br/>
        <w:t>Además, es necesario investigar exhaustivamente la  escena  del  crimen,  se</w:t>
        <w:br/>
        <w:t>deben realizar autopsias y análisis de restos humanos,  en  forma  rigurosa,</w:t>
        <w:br/>
        <w:t>por  profesionales  competentes   y   empleando   los   procedimientos   más</w:t>
        <w:br/>
        <w:t>apropiados[242].</w:t>
        <w:br/>
        <w:br/>
        <w:t>299.  En reiteradas oportunidades el Tribunal  ha  señalado  que  el  Estado</w:t>
        <w:br/>
        <w:t>tiene el deber de evitar y combatir la impunidad, que la Corte  ha  definido</w:t>
        <w:br/>
        <w:t>como “la falta  en  su  conjunto  de  investigación,  persecución,  captura,</w:t>
        <w:br/>
        <w:t>enjuiciamiento y condena de los  responsables  de  las  violaciones  de  los</w:t>
        <w:br/>
        <w:t>derechos protegidos por  la  Convención  Americana”[243].  Al  respecto,  la</w:t>
        <w:br/>
        <w:t>Corte advierte que el Estado tiene la obligación de  combatir  la  impunidad</w:t>
        <w:br/>
        <w:t>por  todos  los  medios  legales  disponibles,  ya  que  ésta  propicia   la</w:t>
        <w:br/>
        <w:t>repetición crónica de  las  violaciones  de  derechos  humanos  y  la  total</w:t>
        <w:br/>
        <w:t>indefensión de las víctimas y de sus familiares[244].</w:t>
        <w:br/>
        <w:br/>
        <w:t>300.  En este sentido, la Corte reconoce las  difíciles  circunstancias  por</w:t>
        <w:br/>
        <w:t>las que atraviesa Colombia en las  que  su  población  y  sus  instituciones</w:t>
        <w:br/>
        <w:t>hacen esfuerzos por alcanzar la paz.  Sin embargo, las condiciones del  país</w:t>
        <w:br/>
        <w:t>no liberan a un Estado Parte en la Convención Americana de sus  obligaciones</w:t>
        <w:br/>
        <w:t>establecidas en ese tratado, que subsisten particularmente en casos como  el</w:t>
        <w:br/>
        <w:t>presente[245].  El Tribunal ha sostenido que al  llevar  a  cabo  o  tolerar</w:t>
        <w:br/>
        <w:t>acciones dirigidas a realizar ejecuciones extrajudiciales, no  investigarlas</w:t>
        <w:br/>
        <w:t>de manera adecuada y no sancionar,  en  su  caso,  a  los  responsables,  el</w:t>
        <w:br/>
        <w:t>Estado  viola  el  deber  de  respetar  los  derechos  reconocidos  por   la</w:t>
        <w:br/>
        <w:t>Convención y garantizar su libre y pleno ejercicio,  tanto  de  la  presunta</w:t>
        <w:br/>
        <w:t>víctima  como  de  sus  familiares,  impide  que  la  sociedad  conozca   lo</w:t>
        <w:br/>
        <w:t>ocurrido[246] y reproduce las condiciones de impunidad para  que  este  tipo</w:t>
        <w:br/>
        <w:t>de hechos vuelvan a repetirse[247].</w:t>
        <w:br/>
        <w:br/>
        <w:t>301.   A  continuación,  el  Tribunal  analizará   en   primer   lugar   los</w:t>
        <w:br/>
        <w:t>procedimientos realizados para  la  investigación  penal  ordinaria  de  los</w:t>
        <w:br/>
        <w:t>hechos de La Granja y en segundo lugar los  correspondientes  para  El  Aro,</w:t>
        <w:br/>
        <w:t>para después determinar la forma en que se incumplió  el  deber  establecido</w:t>
        <w:br/>
        <w:t>al Estado en la Convención.</w:t>
        <w:br/>
        <w:br/>
        <w:br/>
        <w:br/>
        <w:t xml:space="preserve">      i) Procesos penales en relación con los hechos del corregimiento de La</w:t>
        <w:br/>
        <w:t xml:space="preserve">      Granja</w:t>
        <w:br/>
        <w:br/>
        <w:br/>
        <w:t>302.  En el caso de La Granja  ha  sido  demostrado  que  los  paramilitares</w:t>
        <w:br/>
        <w:t>incursionaron en dicho corregimiento el  11  de  junio  de  1996  y  que  la</w:t>
        <w:br/>
        <w:t>investigación preliminar por los hechos duró tres años.  No fue hasta el  17</w:t>
        <w:br/>
        <w:t>de junio de 1999 que la Unidad Nacional de Derechos Humanos de  la  Fiscalía</w:t>
        <w:br/>
        <w:t>General de la Nación resolvió la apertura de  la  instrucción  (supra  párr.</w:t>
        <w:br/>
        <w:t>125.43).</w:t>
        <w:br/>
        <w:br/>
        <w:t>303.  Se ha comprobado que fueron más de veinte (20) personas  (supra  párr.</w:t>
        <w:br/>
        <w:t>125.33) las que incursionaron  en  La  Granja  y  que  lo  hicieron  con  la</w:t>
        <w:br/>
        <w:t>aquiescencia y tolerancia de las fuerzas públicas.  Sin  embargo,  luego  de</w:t>
        <w:br/>
        <w:t>diez años de ocurridos los hechos, el Estado  sólo  ha  condenado  a  cuatro</w:t>
        <w:br/>
        <w:t>personas. Además, las órdenes de  detención  expedidas  contra  los  señores</w:t>
        <w:br/>
        <w:t>Carlos Castaño Gil, Isaías  Montes  Hernández  y  Fabio  León  Mejía  Uribe,</w:t>
        <w:br/>
        <w:t>paramilitares, no han sido ejecutadas, haciendo inefectivo el proceso en  su</w:t>
        <w:br/>
        <w:t>conjunto.   Asimismo,  se  encuentra  pendiente  la  captura  del  condenado</w:t>
        <w:br/>
        <w:t>Orlando de Jesús Mazo Pino (supra párr. 125.52).</w:t>
        <w:br/>
        <w:br/>
        <w:t>304.  En este período de diez años, los resultados  de  las  investigaciones</w:t>
        <w:br/>
        <w:t>penales en  relación  con  la  masacre  de  La  Granja  señalan  que  fueron</w:t>
        <w:br/>
        <w:t>vinculadas a éstas dieciséis (16) personas,  de  las  cuales  una  de  ellas</w:t>
        <w:br/>
        <w:t>pertenecía al Ejército –Jorge  Alexander  Sánchez  Castro  –  y  otra  a  la</w:t>
        <w:br/>
        <w:t>Policía Nacional –José Vicente Castro.  De  estas  dieciséis  (16)  personas</w:t>
        <w:br/>
        <w:t>vinculadas, cuatro (4) se encuentran condenadas por los hechos (supra  párr.</w:t>
        <w:br/>
        <w:t>125.51).</w:t>
        <w:br/>
        <w:br/>
        <w:t>305.  Específicamente, el 8 de julio de 2005, el Juzgado Primero  Penal  del</w:t>
        <w:br/>
        <w:t>Circuito Especializado de Antioquia  sentenció  a  los  señores  Orlando  de</w:t>
        <w:br/>
        <w:t>Jesús Mazo, civil, a 12 años por el  delito  de  concierto  para  delinquir,</w:t>
        <w:br/>
        <w:t>terrorismo y extorsión; Gilberto Antonio Tamayo Rengifo, civil,  a  12  años</w:t>
        <w:br/>
        <w:t>de prisión por  los  delitos  de  terrorismo  y  extorsión;  Carlos  Antonio</w:t>
        <w:br/>
        <w:t>Carvajal Jaramillo,  civil,  a  72  meses  de  prisión  por  los  cargos  de</w:t>
        <w:br/>
        <w:t>concierto para delinquir y extorsión;  y  Jorge  Alexander  Sánchez  Castro,</w:t>
        <w:br/>
        <w:t>Capitán del Ejército,  a  31  años  de  prisión  por  homicidio  agravado  y</w:t>
        <w:br/>
        <w:t>concierto para delinquir (supra párr. 125.51).   La  Corte  observa  que  la</w:t>
        <w:br/>
        <w:t>pena  del  señor  Carlos  Antonio  Carvajal  Jaramillo  fue  suspendida  por</w:t>
        <w:br/>
        <w:t>“razones de edad”.   De  conformidad  con  la  prueba  para  mejor  resolver</w:t>
        <w:br/>
        <w:t>presentada por el Estado en su escrito de alegatos finales, dicha  sentencia</w:t>
        <w:br/>
        <w:t>fue objeto de un recurso de apelación.  Al momento  de  emitir  la  presente</w:t>
        <w:br/>
        <w:t>Sentencia,  la  Corte  no  tiene  constancia  de  dicho  recurso  o  de   su</w:t>
        <w:br/>
        <w:t>conclusión.</w:t>
        <w:br/>
        <w:br/>
        <w:t>306.  De las cuatro personas que se  encuentran  condenadas,  sólo  dos  han</w:t>
        <w:br/>
        <w:t>sido encarceladas – el ex oficial Jorge Alexander Sánchez Castro y el  civil</w:t>
        <w:br/>
        <w:t>Gilberto Antonio Tamayo Rengifo – una condena fue  suspendida  y  la  cuarta</w:t>
        <w:br/>
        <w:t>persona condenada se encuentra pendiente de captura.</w:t>
        <w:br/>
        <w:br/>
        <w:t>307.   En  relación  con  el  otro  agente  del  Estado  vinculado   a   las</w:t>
        <w:br/>
        <w:t>investigaciones de La  Granja,  el  Teniente  de  la  policía  José  Vicente</w:t>
        <w:br/>
        <w:t>Castro, la Corte observa que se profirió condena  en  su  contra  el  14  de</w:t>
        <w:br/>
        <w:t>noviembre de 2003 y se absolvió en segunda  instancia  por  decisión  de  la</w:t>
        <w:br/>
        <w:t>Sala Penal del Tribunal Superior de Antioquia el 2  de  julio  de  2004,  la</w:t>
        <w:br/>
        <w:t>cual consideró que la apreciación de la  prueba  por  la  primera  instancia</w:t>
        <w:br/>
        <w:t>correspondía a una generalización con la cual se encubrió  la  insuficiencia</w:t>
        <w:br/>
        <w:t>demostrativa de la responsabilidad del  implicado.  Además  de  esta  razón,</w:t>
        <w:br/>
        <w:t>excusa la falta de intervención de la policía aduciendo  que  se  encontraba</w:t>
        <w:br/>
        <w:t>demostrada la carencia de recursos logísticos y  humanos  para  poder  hacer</w:t>
        <w:br/>
        <w:t>frente a la incursión anunciada. La Corte ha tomado  nota  de  lo  expresado</w:t>
        <w:br/>
        <w:t>por Colombia en su escrito de alegatos finales, en el sentido de  que  el  2</w:t>
        <w:br/>
        <w:t>de septiembre de 2005 el mismo Estado  presentó  una  “acción  de  revisión”</w:t>
        <w:br/>
        <w:t>sobre la sentencia de segunda instancia que absolvió al señor  José  Vicente</w:t>
        <w:br/>
        <w:t>Castro, con el objeto de que la Corte Suprema de Justicia  decida  un  nuevo</w:t>
        <w:br/>
        <w:t>juzgamiento sobre los hechos ocurridos en La Granja.</w:t>
        <w:br/>
        <w:br/>
        <w:t>308.  En las investigaciones de La Granja se puede  advertir  la  existencia</w:t>
        <w:br/>
        <w:t>de retardo judicial injustificado.  Al respecto  la  Corte  observa  que,  a</w:t>
        <w:br/>
        <w:t>pesar de  haber  realizado  ciertas  actuaciones  durante  la  investigación</w:t>
        <w:br/>
        <w:t>preliminar de los  hechos  (supra  párr.  125.42),  la  Unidad  Nacional  de</w:t>
        <w:br/>
        <w:t>Derechos Humanos de la Fiscalía General de la Nación  resolvió  la  apertura</w:t>
        <w:br/>
        <w:t>de la instrucción el 17 de junio de 1999, es decir, más de  3  años  después</w:t>
        <w:br/>
        <w:t>de  ocurridos  éstos.   El  mismo  Juzgado  Primero   Penal   del   Circuito</w:t>
        <w:br/>
        <w:t>Especializado de Antoquia hizo notar, en su  sentencia  de  8  de  julio  de</w:t>
        <w:br/>
        <w:t>2005, que se abrió la investigación en junio de 1999,  “teniendo  en  cuenta</w:t>
        <w:br/>
        <w:t>que la indagación preliminar inició el 12  de  junio  de  1996,  ‘existiendo</w:t>
        <w:br/>
        <w:t>desde entonces serios indicios en relación a las personas determinadas’”.</w:t>
        <w:br/>
        <w:br/>
        <w:t>309.  El Tribunal estima que los procesos y procedimientos en  relación  con</w:t>
        <w:br/>
        <w:t>los hechos de La Granja no han sido  desarrollados  con  respeto  al  debido</w:t>
        <w:br/>
        <w:t>proceso legal,  en  un  plazo  razonable,  ni  han  constituido  un  recurso</w:t>
        <w:br/>
        <w:t>efectivo para asegurar los derechos de acceso a la justicia,  la  verdad  de</w:t>
        <w:br/>
        <w:t>los hechos y la reparación de las presuntas víctimas y sus familiares.</w:t>
        <w:br/>
        <w:br/>
        <w:br/>
        <w:t xml:space="preserve">      ii) Procesos penales en relación con los hechos del  corregimiento  de</w:t>
        <w:br/>
        <w:t xml:space="preserve">      El Aro</w:t>
        <w:br/>
        <w:br/>
        <w:br/>
        <w:t>310.  En el caso de El Aro se ha demostrado que el grupo de  aproximadamente</w:t>
        <w:br/>
        <w:t>30 hombres  armados  que  llevó  a  cabo  la  masacre  permaneció  en  dicho</w:t>
        <w:br/>
        <w:t>corregimiento entre el 22 de octubre y 12 de noviembre de 1997 (supra  párr.</w:t>
        <w:br/>
        <w:t>125.57 y 125.58).  Entre los meses de noviembre de 1997 y  febrero  de  1998</w:t>
        <w:br/>
        <w:t>la Fiscalía General recibió varias declaraciones de  testigos  y  familiares</w:t>
        <w:br/>
        <w:t>de las presuntas víctimas, ordenó y llevó a cabo diligencias  investigativas</w:t>
        <w:br/>
        <w:t>para  determinar  la  identidad  de  las  personas  involucradas  y  realizó</w:t>
        <w:br/>
        <w:t>inspecciones judiciales en el corregimiento (supra párr.  125.88).   A  raíz</w:t>
        <w:br/>
        <w:t>de lo anterior, el  19  de  marzo  de  1998  la  Fiscalía  General  resolvió</w:t>
        <w:br/>
        <w:t>proferir resolución de apertura de instrucción.</w:t>
        <w:br/>
        <w:br/>
        <w:t>311.  A ocho años de ocurridos los hechos el  Estado  ha  vinculado  a  sólo</w:t>
        <w:br/>
        <w:t>siete (7) personas a la investigación penal,  condenando  sólo  a  tres  (3)</w:t>
        <w:br/>
        <w:t>civiles, de los cuales sólo uno (1) se encuentra  encarcelado,  y  continúan</w:t>
        <w:br/>
        <w:t>abiertos los procesos contra dos miembros del Ejército (supra  párr.  125.87</w:t>
        <w:br/>
        <w:t>a 125.94).</w:t>
        <w:br/>
        <w:br/>
        <w:t>312.  Específicamente, el 22 de abril de 2003 el Juez Segundo  Especializado</w:t>
        <w:br/>
        <w:t>del  Circuito  de  Antioquia  profirió  sentencia  condenatoria  contra  los</w:t>
        <w:br/>
        <w:t>procesados  Carlos  Castaño  Gil,  Salvatore  Mancuso  y  Francisco  Enrique</w:t>
        <w:br/>
        <w:t>Villalba, por el homicidio de 15 personas, concierto para  delinquir  y  por</w:t>
        <w:br/>
        <w:t>el concurso homogéneo de hurto agravado y calificado (supra  párr.  125.93).</w:t>
        <w:br/>
        <w:t>Los civiles anteriormente mencionados, con  excepción  del  señor  Francisco</w:t>
        <w:br/>
        <w:t>Enrique Villalba, quien se  encontraba  detenido  en  la  cárcel  de  máxima</w:t>
        <w:br/>
        <w:t>seguridad de Ituaguí,  fueron  juzgados  y  condenados  en  ausencia  y  las</w:t>
        <w:br/>
        <w:t>órdenes de detención en su contra aún no han sido ejecutadas.</w:t>
        <w:br/>
        <w:br/>
        <w:t>313.  Para diciembre de 2004 no se había vinculado a las  investigaciones  a</w:t>
        <w:br/>
        <w:t>ningún miembro del Ejército, a pesar de que el  6  de  febrero  de  2004  se</w:t>
        <w:br/>
        <w:t>había  trasladado  a  la  investigación  penal  el  fallo  emitido  por   la</w:t>
        <w:br/>
        <w:t>Procuraduría General de la Nación el 30 de septiembre de 2002 en el  proceso</w:t>
        <w:br/>
        <w:t>disciplinario (supra párr. 125.94), mediante el cual se  resolvió  destituir</w:t>
        <w:br/>
        <w:t>a los militares, Teniente Everardo Bolaños Galindo y al cabo primero  Germán</w:t>
        <w:br/>
        <w:t>Alzate Cardona, por haber participado en hechos que,  además  de  constituir</w:t>
        <w:br/>
        <w:t>faltas disciplinarias,  podrían  constituir  delitos  sancionables  bajo  la</w:t>
        <w:br/>
        <w:t>jurisdicción penal (supra párr. 125.100).  Es decir, ningún  agente  estatal</w:t>
        <w:br/>
        <w:t>fue vinculado al proceso penal sino luego de siete  años  de  ocurridos  los</w:t>
        <w:br/>
        <w:t>hechos.</w:t>
        <w:br/>
        <w:br/>
        <w:t>314.  El 1 de marzo de 2005 se  ordenó  la  detención  preventiva  de  ambos</w:t>
        <w:br/>
        <w:t>militares, la cual sólo se hizo efectiva en el caso  del  Teniente  Everardo</w:t>
        <w:br/>
        <w:t>Bolaños Galindo,  quien  se  encuentra  detenido  en  la  Cárcel  de  Máxima</w:t>
        <w:br/>
        <w:t>seguridad de Cómbita.  Los procesos en contra de ambos  militares  continúan</w:t>
        <w:br/>
        <w:t>abiertos.</w:t>
        <w:br/>
        <w:br/>
        <w:t>315.  En el caso de El Aro  se  hace  evidente  la  demora  y  la  falta  de</w:t>
        <w:br/>
        <w:t>diligencia de las autoridades con el proceso, ya que  han  transcurrido  más</w:t>
        <w:br/>
        <w:t>de ocho años de haber ocurrido los hechos, en los que  participaron  decenas</w:t>
        <w:br/>
        <w:t>de civiles con la aquiescencia y tolerancia de  las  fuerzas  públicas,  sin</w:t>
        <w:br/>
        <w:t>que la mayoría de los responsables hayan sido  vinculados  a  algún  proceso</w:t>
        <w:br/>
        <w:t>penal. La Corte observa que una  operación  de  semejantes  proporciones  no</w:t>
        <w:br/>
        <w:t>pudo pasar desapercibida por las autoridades de la zona,  lo  cual  ha  sido</w:t>
        <w:br/>
        <w:t>reconocido por el Estado en el proceso ante este Tribunal.</w:t>
        <w:br/>
        <w:br/>
        <w:t>316.  La negligencia de las autoridades judiciales  encargadas  de  examinar</w:t>
        <w:br/>
        <w:t>las circunstancias de las  masacres  mediante  la  recolección  oportuna  de</w:t>
        <w:br/>
        <w:t>pruebas in  situ,  no  puede  ser  subsanada  con  las  tardías  diligencias</w:t>
        <w:br/>
        <w:t>probatorias iniciadas en las investigaciones. Las  insuficiencias  señaladas</w:t>
        <w:br/>
        <w:t>pueden ser calificadas como graves faltas al deber de investigar los  hechos</w:t>
        <w:br/>
        <w:t>ocurridos en El Aro, pues han afectado una efectiva determinación de éstos.</w:t>
        <w:br/>
        <w:br/>
        <w:t>317.  La Corte ha tomado nota de lo informado por el Estado  en  el  sentido</w:t>
        <w:br/>
        <w:t>de que el 19 de septiembre de  2005  se  ordenó  “la  práctica  de  diversas</w:t>
        <w:br/>
        <w:t>pruebas en procura de establecer los  nombres  de  los  integrantes  de  las</w:t>
        <w:br/>
        <w:t>Compañías del Ejército Nacional Batallón Girardot”. Dicha  actuación  tardía</w:t>
        <w:br/>
        <w:t>es una muestra más de la falta de diligencia en la  investigación  penal  de</w:t>
        <w:br/>
        <w:t>los hechos del presente caso.</w:t>
        <w:br/>
        <w:br/>
        <w:t>318.  Transcurridos aproximadamente ocho años de ocurridos  los  hechos,  no</w:t>
        <w:br/>
        <w:t>se ha determinado la participación que pudieron haber tenido todas  aquellas</w:t>
        <w:br/>
        <w:t>personas sindicadas como participantes en los hechos del  presente  caso.  A</w:t>
        <w:br/>
        <w:t>pesar de haber participado aproximadamente 30  personas  en  dicha  masacre,</w:t>
        <w:br/>
        <w:t>entre paramilitares y miembros  de  la  fuerza  pública,  solamente  se  han</w:t>
        <w:br/>
        <w:t>llevado a cabo procesos contra tres personas, de  las  cuales  sólo  una  de</w:t>
        <w:br/>
        <w:t>ellas está privada de libertad por una condena en relación  con  los  hechos</w:t>
        <w:br/>
        <w:t>de El Aro. La Corte observa con preocupación que de los hechos  de  El  Aro,</w:t>
        <w:br/>
        <w:t>en donde se evidencia una colaboración y tolerancia de las  actividades  por</w:t>
        <w:br/>
        <w:t>parte de miembros de la fuerza  pública,  no  se  iniciado  procesos  contra</w:t>
        <w:br/>
        <w:t>alguno de sus miembros que han sido sindicados  como  participantes  en  los</w:t>
        <w:br/>
        <w:t>hechos. El Estado no  ha  demostrado  las  medidas  concretas  tendientes  a</w:t>
        <w:br/>
        <w:t>capturar a los indiciados ni para hacer  efectivas  esas  condenas,  ni  los</w:t>
        <w:br/>
        <w:t>obstáculos específicos que haya encontrado.</w:t>
        <w:br/>
        <w:br/>
        <w:t>319.  En este  sentido  la  Corte  recuerda  que  la  impunidad  fomenta  la</w:t>
        <w:br/>
        <w:t>repetición de las violaciones de derechos humanos (supra párr. 300), por  lo</w:t>
        <w:br/>
        <w:t>cual el Estado debe organizar  todo  su  aparato  para  llevar  a  cabo  una</w:t>
        <w:br/>
        <w:t>investigación completa, imparcial y efectiva, y en virtud del  tiempo  desde</w:t>
        <w:br/>
        <w:t>que ocurrieron los hechos, esta obligación deberá ser llevada a cabo  dentro</w:t>
        <w:br/>
        <w:t>de un plazo razonable.</w:t>
        <w:br/>
        <w:br/>
        <w:t>320.  Si bien se han llevado a cabo investigaciones,  como  consecuencia  de</w:t>
        <w:br/>
        <w:t>lo cual en algunas de ellas han sido condenados los sindicados, subsiste  la</w:t>
        <w:br/>
        <w:t>impunidad en el presente caso, en la medida en que no  ha  sido  determinada</w:t>
        <w:br/>
        <w:t>toda la verdad de los hechos ni la totalidad de  las  responsabilidades  por</w:t>
        <w:br/>
        <w:t>los mismos. Además, es un hecho relevante que algunos de  los  paramilitares</w:t>
        <w:br/>
        <w:t>condenados no se encuentren cumpliendo la condena impuesta  por  no  haberse</w:t>
        <w:br/>
        <w:t>hecho efectivas las órdenes de captura libradas en su contra.</w:t>
        <w:br/>
        <w:br/>
        <w:t>321.  La Corte considera que el Estado no garantizó una  pronta  justicia  a</w:t>
        <w:br/>
        <w:t>las víctimas de los hechos de El Aro, toda vez que muchos de los  participes</w:t>
        <w:br/>
        <w:t>siguen en la impunidad. Por tanto, el Tribunal estima  que  los  procesos  y</w:t>
        <w:br/>
        <w:t>procedimientos  en  relación  con  los  hechos  de  El  Aro  no   han   sido</w:t>
        <w:br/>
        <w:t>desarrollados  con  respeto  de  las  garantías  judiciales,  en  un   plazo</w:t>
        <w:br/>
        <w:t>razonable,  ni  han  constituido  un  recurso  efectivo  para  asegurar  los</w:t>
        <w:br/>
        <w:t>derechos de acceso a la justicia, la verdad de los hechos  y  la  reparación</w:t>
        <w:br/>
        <w:t>de las presuntas víctimas y sus familiares.</w:t>
        <w:br/>
        <w:br/>
        <w:t xml:space="preserve">                                      *</w:t>
        <w:br/>
        <w:t xml:space="preserve">                                *          *</w:t>
        <w:br/>
        <w:br/>
        <w:t>322.  El Tribunal estima que  el  retardo  en  las  investigaciones,  en  el</w:t>
        <w:br/>
        <w:t>juzgamiento y condena de todos los responsables y  en  hacer  efectivas  las</w:t>
        <w:br/>
        <w:t>órdenes de captura ya  dictadas  contribuyeron  a  perpetuar  los  actos  de</w:t>
        <w:br/>
        <w:t>violencia  e  intimidación  contra  testigos  y   fiscales   vinculados   al</w:t>
        <w:br/>
        <w:t>esclarecimiento de los hechos de La Granja y El Aro.  Del  expediente  surge</w:t>
        <w:br/>
        <w:t>que testigos, abogados y fiscales han debido abandonar la  zona  o  el  país</w:t>
        <w:br/>
        <w:t>por razones de seguridad (supra párr. 125.95).</w:t>
        <w:br/>
        <w:br/>
        <w:t>323.  En  el  presente  caso  las  faltas  en  la  investigación  penal  han</w:t>
        <w:br/>
        <w:t>coadyuvado a  la  impunidad  de  la  mayoría  de  los  responsables  de  las</w:t>
        <w:br/>
        <w:t>violaciones cometidas. Dichas faltas han desembocado en la  posterior  falta</w:t>
        <w:br/>
        <w:t>de efectividad del proceso penal en curso por los hechos  de  las  masacres,</w:t>
        <w:br/>
        <w:t>en la que participaron directamente al menos 20 y  30  paramilitares  en  La</w:t>
        <w:br/>
        <w:t>Granja  y  El  Aro,  respectivamente,  con  colaboración,   aquiescencia   y</w:t>
        <w:br/>
        <w:t>tolerancia de miembros de las Fuerzas Armadas y de Policía colombianas.</w:t>
        <w:br/>
        <w:br/>
        <w:t>324.  La Corte no puede dejar de advertir, como lo ha hecho en  otros  casos</w:t>
        <w:br/>
        <w:t>contra Colombia[248], que los hechos objeto de esta sentencia  forman  parte</w:t>
        <w:br/>
        <w:t>de una situación en que prevalece un alto  índice  de  impunidad  en  hechos</w:t>
        <w:br/>
        <w:t>criminales perpetrados por paramilitares con la  aquiescencia  y  tolerancia</w:t>
        <w:br/>
        <w:t>de miembros de las fuerzas  públicas.  Las  actuaciones  ilegales  de  estos</w:t>
        <w:br/>
        <w:t>grupos no encuentran en la judicatura una respuesta adecuada y  fiel  a  los</w:t>
        <w:br/>
        <w:t>compromisos internacionales del Estado y ello conduce a la  creación  de  un</w:t>
        <w:br/>
        <w:t>campo fértil para que estos grupos que operan al  margen  de  la  ley  sigan</w:t>
        <w:br/>
        <w:t>cometiendo hechos como los del presente caso.</w:t>
        <w:br/>
        <w:br/>
        <w:t>325.  En síntesis, la impunidad  parcial  y  la  falta  de  efectividad  del</w:t>
        <w:br/>
        <w:t>proceso penal en este caso se reflejan en dos aspectos: en primer lugar,  la</w:t>
        <w:br/>
        <w:t>gran  mayoría  de  los  responsables  no   han   sido   vinculados   a   las</w:t>
        <w:br/>
        <w:t>investigaciones o no han sido identificados ni procesados – si  se  toma  en</w:t>
        <w:br/>
        <w:t>cuenta que el Estado reconoció su participación en las  masacres  y  que  la</w:t>
        <w:br/>
        <w:t>Corte ha establecido su responsabilidad porque  la  misma  no  pudo  haberse</w:t>
        <w:br/>
        <w:t>perpetrado sin el  conocimiento,  tolerancia  y  aquiescencia  del  Ejército</w:t>
        <w:br/>
        <w:t>colombiano en las zonas donde ocurrieron los hechos.  En segundo  lugar,  la</w:t>
        <w:br/>
        <w:t>mayoría de las personas que han sido condenadas a  penas  privativas  de  la</w:t>
        <w:br/>
        <w:t>libertad no han sido detenidas.</w:t>
        <w:br/>
        <w:br/>
        <w:br/>
        <w:t xml:space="preserve">      b)    Procedimientos disciplinarios</w:t>
        <w:br/>
        <w:br/>
        <w:br/>
        <w:t>326.  A continuación la Corte hará referencia a  consideraciones  aplicables</w:t>
        <w:br/>
        <w:t>a ambos casos en relación con  los  procesos  abiertos  en  la  jurisdicción</w:t>
        <w:br/>
        <w:t>disciplinaria y posteriormente  analizará  las  investigaciones  llevadas  a</w:t>
        <w:br/>
        <w:t>cabo en dicha jurisdicción en relación con los hechos  de  La  Granja  y  El</w:t>
        <w:br/>
        <w:t>Aro.</w:t>
        <w:br/>
        <w:br/>
        <w:t>327.  A pesar de constituir una instancia a la que  los  familiares  de  las</w:t>
        <w:br/>
        <w:t>presuntas víctimas no tienen acceso, el Tribunal valora las  decisiones  que</w:t>
        <w:br/>
        <w:t>pueda emitir la jurisdicción disciplinaria, en  cuanto  al  valor  simbólico</w:t>
        <w:br/>
        <w:t>del mensaje de reproche que puede significar este tipo  de  sanciones  a  lo</w:t>
        <w:br/>
        <w:t>interno de las fuerzas públicas de  seguridad[249].  Sin  embargo,  dada  la</w:t>
        <w:br/>
        <w:t>naturaleza  de  su  competencia,  el  objeto  de  estas  investigaciones  se</w:t>
        <w:br/>
        <w:t>circunscribe  únicamente  a  la  determinación  de   las   responsabilidades</w:t>
        <w:br/>
        <w:t>individuales  de  carácter  disciplinario  por  los  hechos  cometidos   por</w:t>
        <w:br/>
        <w:t>miembros de las fuerzas  de  seguridad  estatales.   No  obstante,  dada  la</w:t>
        <w:br/>
        <w:t>magnitud de los hechos del presente caso, es razonable presumir  que  muchos</w:t>
        <w:br/>
        <w:t>funcionarios y servidores públicos de la  región,  así  como  algunos  otros</w:t>
        <w:br/>
        <w:t>miembros de las fuerzas armadas que estuvieron vinculados con los hechos,  y</w:t>
        <w:br/>
        <w:t>que fungían como garantes de la población civil por  su  especial  condición</w:t>
        <w:br/>
        <w:t>de autoridades policiales y militares en la  región,  no  fueron  examinadas</w:t>
        <w:br/>
        <w:t>por el organismo disciplinario.</w:t>
        <w:br/>
        <w:br/>
        <w:t xml:space="preserve">      i) En relación con los procesos disciplinarios de La Granja</w:t>
        <w:br/>
        <w:br/>
        <w:t>328.  Con base en los hechos de La Granja, a partir del 25 de  noviembre  de</w:t>
        <w:br/>
        <w:t>1996 se siguió investigación disciplinaria  contra  el  mayor  del  Ejército</w:t>
        <w:br/>
        <w:t>Jorge Enrique Fernández Mendoza y  contra  el  capitán  del  Ejército  Jorge</w:t>
        <w:br/>
        <w:t>Alexander  Sánchez  Castro.  La  Procuraduría  Delegada  para  las   Fuerzas</w:t>
        <w:br/>
        <w:t>Militares no encontró merito alguno  para  sancionar  a  los  oficiales  que</w:t>
        <w:br/>
        <w:t>fungían al momento de los hechos como oficial de instrucción,  entrenamiento</w:t>
        <w:br/>
        <w:t>y operaciones militares, y como comandante  de  la  compañía  “Gavilán”  del</w:t>
        <w:br/>
        <w:t>batallón de infantería  No.  10  “Atanasio  Girardot”,  respectivamente.  La</w:t>
        <w:br/>
        <w:t>Procuraduría Delegada, en decisión de 4 de mayo de 2000, ordenó  el  archivo</w:t>
        <w:br/>
        <w:t>de la actuación, seguida  en  diligencias  preliminares  y  dispuso  que  se</w:t>
        <w:br/>
        <w:t>investigare por separado la conducta del capitán de la policía José  Vicente</w:t>
        <w:br/>
        <w:t>Castro, comandante de la estación de policía de Ituango  para  la  época  en</w:t>
        <w:br/>
        <w:t>que sucedieron los hechos, para lo cual dispuso se compulsaran  copias  para</w:t>
        <w:br/>
        <w:t>que la Procuraduría Departamental de Antioquia conociera del proceso  (supra</w:t>
        <w:br/>
        <w:t>párr. 125.53). El 19 de septiembre de 2001 la Procuraduría Departamental  de</w:t>
        <w:br/>
        <w:t>Antoquia decretó la prescripción  de  la  acción  disciplinaria  seguida  en</w:t>
        <w:br/>
        <w:t>contra del señor José Vicente Castro, por haber transcurrido  más  de  cinco</w:t>
        <w:br/>
        <w:t>años de ocurridos los hechos (supra párr. 125.54).</w:t>
        <w:br/>
        <w:br/>
        <w:t>329.   Es  de  anotar,   asimismo,   que   estos   procedimientos   tardaron</w:t>
        <w:br/>
        <w:t>aproximadamente 4 años desde los primeros  actos  procedimentales  hasta  la</w:t>
        <w:br/>
        <w:t>resolución  por  parte  de  la  Procuraduría  Delegada  para   las   Fuerzas</w:t>
        <w:br/>
        <w:t>Militares.</w:t>
        <w:br/>
        <w:br/>
        <w:t xml:space="preserve">      ii) En relación con los procesos disciplinarios de El Aro</w:t>
        <w:br/>
        <w:br/>
        <w:t>330.  Con base en los hechos de El Aro, el  30  de  septiembre  de  2002  la</w:t>
        <w:br/>
        <w:t>Procuraduría Delegada Disciplinaria para la Defensa de los Derechos  Humanos</w:t>
        <w:br/>
        <w:t>emitió un fallo en el cual dos agentes del Estado  colombiano,  el  Teniente</w:t>
        <w:br/>
        <w:t>Everardo Bolaños Galindo y el cabo primero Germán  Antonio  Alzate  Cardona,</w:t>
        <w:br/>
        <w:t>resultaron  disciplinariamente   responsables   de   haber   “colaborado   y</w:t>
        <w:br/>
        <w:t>facilitado”  con  conocimiento   de   causa   la   incursión   que   durante</w:t>
        <w:br/>
        <w:t>aproximadamente dieciocho (18) días efectuó un grupo  paramilitar  en  dicho</w:t>
        <w:br/>
        <w:t>corregimiento. Igualmente lo fueron por  haber  “colaborado  y  facilitado”,</w:t>
        <w:br/>
        <w:t>con conocimiento de causa, del apoderamiento  irregular  de  aproximadamente</w:t>
        <w:br/>
        <w:t>1000 cabezas de ganado. (supra párr. 125.100). La Corte valora  la  seriedad</w:t>
        <w:br/>
        <w:t>y diligencia de la investigación  realizada  por  la  Procuraduría  Delegada</w:t>
        <w:br/>
        <w:t>Disciplinaria para la Defensa de los Derechos Humanos,  al  haber  ordenando</w:t>
        <w:br/>
        <w:t>la práctica y recepción de  elementos  probatorios  pertinentes[250].  Dicho</w:t>
        <w:br/>
        <w:t>fallo fue confirmado por la Sala Disciplinaria de  la  Procuraduría  General</w:t>
        <w:br/>
        <w:t>de la Nación el 1 de noviembre de 2002.</w:t>
        <w:br/>
        <w:br/>
        <w:t>331.   Es  de  notar,   asimismo,   que   estos   procedimientos   demoraron</w:t>
        <w:br/>
        <w:t>aproximadamente 5 años desde los primeros  actos  procedimentales  iniciados</w:t>
        <w:br/>
        <w:t>por el señor Jesús Valle Jaramillo el 4  de  noviembre  de  1997,  hasta  la</w:t>
        <w:br/>
        <w:t>resolución por parte de la Procuraduría General de la Nación, lo cual  dista</w:t>
        <w:br/>
        <w:t>de poder considerarse como un recurso desarrollado en un plazo razonable.</w:t>
        <w:br/>
        <w:br/>
        <w:t>332.  El Tribunal advierte que constan en el expediente  del  presente  caso</w:t>
        <w:br/>
        <w:t>otros procesos disciplinarios seguidos en relación con los hechos  ocurridos</w:t>
        <w:br/>
        <w:t>en El Aro, los cuales fueron archivados por falta de  pruebas  (supra  párr.</w:t>
        <w:br/>
        <w:t>125.96).</w:t>
        <w:br/>
        <w:br/>
        <w:t xml:space="preserve">                                      *</w:t>
        <w:br/>
        <w:t xml:space="preserve">                                *          *</w:t>
        <w:br/>
        <w:br/>
        <w:t>333.  La Corte observa  que  el  procedimiento  desarrollado  en  esta  sede</w:t>
        <w:br/>
        <w:t>administrativa tuvo  por  objeto  la  determinación  de  la  responsabilidad</w:t>
        <w:br/>
        <w:t>individual de funcionarios públicos por el cumplimiento de  sus  deberes  en</w:t>
        <w:br/>
        <w:t>función de la prestación de un servicio. Ciertamente la existencia misma  de</w:t>
        <w:br/>
        <w:t>un órgano dentro de la Procuraduría General de la Nación  para  la  atención</w:t>
        <w:br/>
        <w:t>de casos de violaciones de derechos humanos reviste un  importante  objetivo</w:t>
        <w:br/>
        <w:t>de protección y sus resultados pueden ser valorados en  el  tanto  coadyuven</w:t>
        <w:br/>
        <w:t>al esclarecimiento de los hechos  y  el  establecimiento  de  este  tipo  de</w:t>
        <w:br/>
        <w:t>responsabilidades. No obstante, una investigación de esta naturaleza  tiende</w:t>
        <w:br/>
        <w:t>a la protección de la función administrativa y la corrección  y  control  de</w:t>
        <w:br/>
        <w:t>los funcionarios públicos, por lo que puede complementar pero  no  sustituir</w:t>
        <w:br/>
        <w:t>a cabalidad  la  función  de  la  jurisdicción  penal  en  casos  de  graves</w:t>
        <w:br/>
        <w:t>violaciones de derechos humanos.</w:t>
        <w:br/>
        <w:br/>
        <w:t>334.  El Tribunal no considera necesario analizar dichos procesos en  virtud</w:t>
        <w:br/>
        <w:t>de lo dicho anteriormente en el  sentido  de  que  dicha  jurisdicción  sólo</w:t>
        <w:br/>
        <w:t>puede  complementar  pero  no  sustituir  a  cabalidad  la  función  de   la</w:t>
        <w:br/>
        <w:t>jurisdicción penal en casos de graves violaciones de derechos humanos,  toda</w:t>
        <w:br/>
        <w:t>vez que no constituyen una  investigación  completa  de  los  hechos,  y  en</w:t>
        <w:br/>
        <w:t>atención a las limitaciones propias  de  este  tipo  de  procedimientos  –en</w:t>
        <w:br/>
        <w:t>razón de la naturaleza del tipo de faltas investigadas y de  los  fines  del</w:t>
        <w:br/>
        <w:t>órgano a cargo de la misma.</w:t>
        <w:br/>
        <w:br/>
        <w:br/>
        <w:t xml:space="preserve">           c)    Procesos contencioso administrativos</w:t>
        <w:br/>
        <w:br/>
        <w:br/>
        <w:t>335.  En relación con los procesos contencioso administrativos que han  sido</w:t>
        <w:br/>
        <w:t>probados en el caso sub judice, la  Corte  se  referirá  en  los  siguientes</w:t>
        <w:br/>
        <w:t>párrafos considerativos a las implicaciones jurídicas de dichos procesos  en</w:t>
        <w:br/>
        <w:t>el caso de El Aro y tomará en cuenta sus  consecuencias  en  el  momento  de</w:t>
        <w:br/>
        <w:t>establecer las reparaciones.</w:t>
        <w:br/>
        <w:br/>
        <w:t>336.  En el caso sub judice, consta en el expediente ante la  Corte  que  se</w:t>
        <w:br/>
        <w:t>instauraron quince demandas en  “contra  de  la  Nación  colombiana-Ejército</w:t>
        <w:br/>
        <w:t>Nacional” (supra párr. 125.101).  Dos de ellas fueron falladas en contra  de</w:t>
        <w:br/>
        <w:t>los intereses de los demandantes, radicado 982290 del grupo familiar de  los</w:t>
        <w:br/>
        <w:t>señores Fabio Antonio Zuleta Zabala y Omar de  Jesús  Ortiz  Carmona,  y  el</w:t>
        <w:br/>
        <w:t>radicado 991277 del grupo familiar de la señora  Dora  Luz  Areiza  Arroyave</w:t>
        <w:br/>
        <w:t>(supra párr. 125.102 y 125.103).  En el caso de la señora  Dora  Luz  Areiza</w:t>
        <w:br/>
        <w:t>Arroyave se consideró que el daño (la muerte) no fue probado, debido  a  que</w:t>
        <w:br/>
        <w:t>la única prueba de  su  muerte  que  consideraría  el  tribunal  contencioso</w:t>
        <w:br/>
        <w:t>administrativo era  el  registro  civil  de  defunción.  Los  familiares  no</w:t>
        <w:br/>
        <w:t>contaban con dicho registro civil a pesar de  que  éste  fue  solicitado  en</w:t>
        <w:br/>
        <w:t>diferentes ocasiones a las autoridades estatales, quienes no  realizaron  la</w:t>
        <w:br/>
        <w:t>exhumación del cadáver de la presunta víctima.</w:t>
        <w:br/>
        <w:br/>
        <w:t>337.   Además,  ha  sido  demostrado  que  se   celebraron   audiencias   de</w:t>
        <w:br/>
        <w:t>conciliación  entre  algunos  de  los  demandantes  ante   la   jurisdicción</w:t>
        <w:br/>
        <w:t>contencioso administrativa y el Estado, en las cuales se acordaron  cuantías</w:t>
        <w:br/>
        <w:t>en relación con los  daños  producidos  por  la  acción  u  omisión  de  sus</w:t>
        <w:br/>
        <w:t>agentes.  Este Tribunal las  tomará  en  cuenta  al  momento  de  fijar  las</w:t>
        <w:br/>
        <w:t>reparaciones pertinentes (infra párr. 376).  Sin embargo, la  Corte  observa</w:t>
        <w:br/>
        <w:t>que las actas de conciliación suscritas no contienen  una  manifestación  de</w:t>
        <w:br/>
        <w:t>responsabilidad estatal por la violación de  derechos  como  la  vida  y  la</w:t>
        <w:br/>
        <w:t>integridad personal, entre otros, que están consignados  en  la  Convención.</w:t>
        <w:br/>
        <w:t>De igual manera, no contiene aspectos  relativos  a  la  rehabilitación,  la</w:t>
        <w:br/>
        <w:t>verdad, la justicia, el  rescate  de  la  memoria  histórica,  como  tampoco</w:t>
        <w:br/>
        <w:t>medidas de garantía de no repetición.</w:t>
        <w:br/>
        <w:br/>
        <w:t>338.  Como lo ha señalado anteriormente[251], al evaluar la  efectividad  de</w:t>
        <w:br/>
        <w:t>los recursos internos  llevados  a  cabo  por  la  jurisdicción  contencioso</w:t>
        <w:br/>
        <w:t>administrativa nacional, la Corte debe determinar si las decisiones  tomadas</w:t>
        <w:br/>
        <w:t>en aquélla han contribuido efectivamente a  poner  fin  a  la  impunidad,  a</w:t>
        <w:br/>
        <w:t>asegurar la no repetición de los actos lesivos y a  garantizar  el  libre  y</w:t>
        <w:br/>
        <w:t>pleno ejercicio de los derechos protegidos por la Convención.</w:t>
        <w:br/>
        <w:br/>
        <w:t>339.  En los  casos  de  la  Masacre  de  Pueblo  Bello  y  la  “Masacre  de</w:t>
        <w:br/>
        <w:t>Mapiripán”, ambos  contra  Colombia,  la  Corte  estimó  que  la  reparación</w:t>
        <w:br/>
        <w:t>integral de una violación a un derecho protegido por la Convención no  puede</w:t>
        <w:br/>
        <w:t>ser reducida al pago de compensación a los familiares  de  la  víctima[252].</w:t>
        <w:br/>
        <w:t>De tal manera, tomó en cuenta algunos de los resultados  alcanzados  en  los</w:t>
        <w:br/>
        <w:t>procesos  contencioso  administrativos  incoados  por  familiares   de   las</w:t>
        <w:br/>
        <w:t>víctimas de esos casos, por considerar que las  indemnizaciones  fijadas  en</w:t>
        <w:br/>
        <w:t>esas instancias por daños patrimoniales y morales estaban contenidas en  los</w:t>
        <w:br/>
        <w:t>más amplios conceptos de reparaciones por daños materiales  e  inmateriales.</w:t>
        <w:br/>
        <w:t>Así, el Tribunal señaló que  esos  resultados  podían  ser  considerados  al</w:t>
        <w:br/>
        <w:t>momento de fijar las  reparaciones  pertinentes,  “a  condición  de  que  lo</w:t>
        <w:br/>
        <w:t>resuelto en esos procesos haya hecho tránsito  a  cosa  juzgada  y  que  sea</w:t>
        <w:br/>
        <w:t>razonable  en  las  circunstancias  del   caso”[253].   Al   establecer   la</w:t>
        <w:br/>
        <w:t>responsabilidad internacional del Estado con motivo de la  violación  a  los</w:t>
        <w:br/>
        <w:t>derechos humanos consagrados en los artículos 8.1  y  25  de  la  Convención</w:t>
        <w:br/>
        <w:t>Americana, un aspecto sustancial de la controversia ante la Corte no  es  si</w:t>
        <w:br/>
        <w:t>en el  ámbito  interno  se  emitieron  sentencias  o  se  llegó  a  acuerdos</w:t>
        <w:br/>
        <w:t>conciliatorios por responsabilidad  administrativa  o  civil  de  un  órgano</w:t>
        <w:br/>
        <w:t>estatal, en relación con las  violaciones  cometidas  en  perjuicio  de  las</w:t>
        <w:br/>
        <w:t>víctimas de violaciones a los derechos humanos o  sus  familiares,  sino  si</w:t>
        <w:br/>
        <w:t>los procesos internos permitieron que se garantizara un pleno  acceso  a  la</w:t>
        <w:br/>
        <w:t>justicia  conforme   a   los   estándares   previstos   en   la   Convención</w:t>
        <w:br/>
        <w:t>Americana[254].</w:t>
        <w:br/>
        <w:br/>
        <w:t>340.  La Corte ha señalado que en casos de violaciones de  derechos  humanos</w:t>
        <w:br/>
        <w:t>el deber de reparar es propio del Estado, por lo que si bien las víctimas  o</w:t>
        <w:br/>
        <w:t>sus familiares deben tener amplias oportunidades también en la  búsqueda  de</w:t>
        <w:br/>
        <w:t>una justa compensación, este deber no puede descansar exclusivamente  en  su</w:t>
        <w:br/>
        <w:t>iniciativa procesal o en la aportación privada de elementos probatorios.  De</w:t>
        <w:br/>
        <w:t>tal manera, en los términos de la obligación de reparación  que  surge  como</w:t>
        <w:br/>
        <w:t>consecuencia de una  violación  de  la  Convención  (infra  párr.  346),  el</w:t>
        <w:br/>
        <w:t>proceso contencioso administrativo no constituye per se un recurso  efectivo</w:t>
        <w:br/>
        <w:t>y adecuado para reparar en forma integral esa violación[255].</w:t>
        <w:br/>
        <w:br/>
        <w:t>341.  Una reparación adecuada, en el marco de la Convención,  exige  medidas</w:t>
        <w:br/>
        <w:t>de rehabilitación, satisfacción, y  garantías  de  no  repetición.  Recursos</w:t>
        <w:br/>
        <w:t>como  la  acción  de  reparación  directa  o  la   acción   de   nulidad   y</w:t>
        <w:br/>
        <w:t>restablecimiento  del  derecho,  cuando  está   de   por   medio   un   acto</w:t>
        <w:br/>
        <w:t>administrativo que pueda producir daños, tiene unos alcances mínimos y  unas</w:t>
        <w:br/>
        <w:t>condiciones de acceso no apropiadas para los  fines  de  reparación  que  la</w:t>
        <w:br/>
        <w:t>Convención Americana establece. Como bien  fue  precisado  por  los  peritos</w:t>
        <w:br/>
        <w:t>Rodrigo Uprimny y Torres Corredor (supra párr. 111.d.1  y  111.d.2),  es  la</w:t>
        <w:br/>
        <w:t>producción de un daño antijurídico y no la responsabilidad del  Estado  ante</w:t>
        <w:br/>
        <w:t>el incumplimiento de  estándares  y  obligaciones  en  materia  de  derechos</w:t>
        <w:br/>
        <w:t>humanos lo que  decreta  en  su  sentencia  una  autoridad  judicial  en  lo</w:t>
        <w:br/>
        <w:t>contencioso administrativo.  En cuanto a los alcances de  la  sentencia,  la</w:t>
        <w:br/>
        <w:t>jurisdicción contenciosa administrativa no puede mas que, una vez  advertido</w:t>
        <w:br/>
        <w:t>el  daño,  decretar  la  indemnización  económica  como  fórmula  única   de</w:t>
        <w:br/>
        <w:t>reparación.</w:t>
        <w:br/>
        <w:br/>
        <w:t>342.  Los dos peritos  que  comparecieron  ante  la  Corte  coincidieron  en</w:t>
        <w:br/>
        <w:t>destacar las limitaciones dadas por la morosidad y  congestiones  procesales</w:t>
        <w:br/>
        <w:t>en el proceso contencioso administrativo. El perito ofrecido por  el  Estado</w:t>
        <w:br/>
        <w:t>señaló que en primera instancia un trámite podría durar en promedio de  3  a</w:t>
        <w:br/>
        <w:t>5 años y en segunda instancia de 4 a 8 años (supra  párr.  111.e.1).   Otros</w:t>
        <w:br/>
        <w:t>límites a un verdadero acceso a la justicia en  el  caso  de  la  acción  de</w:t>
        <w:br/>
        <w:t>reparación directa es que ésta es de naturaleza rogada, es  decir  debe  ser</w:t>
        <w:br/>
        <w:t>presentada por medio de abogado, los términos ineluctables de caducidad  son</w:t>
        <w:br/>
        <w:t>dos años, así como la falta de tribunales  contenciosos  administrativos  en</w:t>
        <w:br/>
        <w:t>todas las áreas geográficas del país.</w:t>
        <w:br/>
        <w:br/>
        <w:t>343.  En el presente caso, no obstante,  la  Corte  valora  algunos  de  los</w:t>
        <w:br/>
        <w:t>resultados alcanzados en dichos procesos  contencioso  administrativos,  que</w:t>
        <w:br/>
        <w:t>incluyen algunos aspectos que abarcan  las  reparaciones  por  conceptos  de</w:t>
        <w:br/>
        <w:t>daño material e inmaterial, los cuales tomará en cuenta al momento de  fijar</w:t>
        <w:br/>
        <w:t>las reparaciones pertinentes,  a  condición  de  que  lo  resuelto  en  esos</w:t>
        <w:br/>
        <w:t>procesos haya hecho tránsito a cosa juzgada  y  que  sea  razonable  en  las</w:t>
        <w:br/>
        <w:t>circunstancias del caso.</w:t>
        <w:br/>
        <w:br/>
        <w:t xml:space="preserve">                                      *</w:t>
        <w:br/>
        <w:t xml:space="preserve">                                   *     *</w:t>
        <w:br/>
        <w:br/>
        <w:t>344.  La Corte concluye que los procesos y procedimientos  internos  no  han</w:t>
        <w:br/>
        <w:t>constituido recursos efectivos para garantizar el acceso a la justicia y  de</w:t>
        <w:br/>
        <w:t>toda  la  verdad  de  los  hechos,  la  investigación  y  sanción   de   los</w:t>
        <w:br/>
        <w:t>responsables y la reparación de las consecuencias de  las  violaciones.  Por</w:t>
        <w:br/>
        <w:t>ende, el Estado es responsable por la violación de los artículos  8.1  y  25</w:t>
        <w:br/>
        <w:t>de la Convención, en relación con el artículo 1.1 de la misma, en  perjuicio</w:t>
        <w:br/>
        <w:t>de todas las  personas  cuyos  derechos  fueron  vulnerados,  y  no  se  les</w:t>
        <w:br/>
        <w:t>garantizó el pleno acceso a la justicia, quienes se encuentran señaladas  en</w:t>
        <w:br/>
        <w:t>los párrafos 72, 138, 168, 200,  235,  248,  265,  269,  276  y  279  de  la</w:t>
        <w:br/>
        <w:t>presente Sentencia.</w:t>
        <w:br/>
        <w:br/>
        <w:t xml:space="preserve">                                     XVI</w:t>
        <w:br/>
        <w:t xml:space="preserve">                                Reparaciones</w:t>
        <w:br/>
        <w:t xml:space="preserve">           Aplicación del artículo 63.1 de la Convención Americana</w:t>
        <w:br/>
        <w:br/>
        <w:br/>
        <w:t xml:space="preserve">                            Obligación de reparar</w:t>
        <w:br/>
        <w:br/>
        <w:br/>
        <w:t>345.  De acuerdo con el reconocimiento de responsabilidad efectuado  por  el</w:t>
        <w:br/>
        <w:t>Estado (supra párr. 19, 59, 63 y 64), así como las consideraciones sobre  el</w:t>
        <w:br/>
        <w:t>fondo expuestas en los  capítulos  anteriores,  la  Corte  ha  declarado  la</w:t>
        <w:br/>
        <w:t>violación de los artículos 4.1, 5.1 y 5.2, 6.2, 7.1 y 7.2,  8.1,  11.2,  19,</w:t>
        <w:br/>
        <w:t>21, 22.1 y 25 de la Convención Americana, todos en relación con el  artículo</w:t>
        <w:br/>
        <w:t>1.1 de dicho tratado.  Este Tribunal ha  señalado  reiteradamente  que  toda</w:t>
        <w:br/>
        <w:t>violación de  una  obligación  internacional  que  haya  producido  un  daño</w:t>
        <w:br/>
        <w:t>comporta el deber de  repararlo  adecuadamente[256].  A  tales  efectos,  el</w:t>
        <w:br/>
        <w:t>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346.  Dicho artículo refleja una norma consuetudinaria  que  constituye  uno</w:t>
        <w:br/>
        <w:t>de los principios  fundamentales  del  Derecho  Internacional  contemporáneo</w:t>
        <w:br/>
        <w:t>sobre la responsabilidad de los Estados. De esta manera,  al  producirse  un</w:t>
        <w:br/>
        <w:t>hecho ilícito imputable a un Estado, surge de inmediato  la  responsabilidad</w:t>
        <w:br/>
        <w:t>internacional de éste por la violación de la norma internacional de  que  se</w:t>
        <w:br/>
        <w:t>trata, con el consecuente deber de reparar y hacer cesar  las  consecuencias</w:t>
        <w:br/>
        <w:t>de la violación[257].</w:t>
        <w:br/>
        <w:br/>
        <w:t>347.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producidas por las infracciones  y</w:t>
        <w:br/>
        <w:t>se establezca, inter alia, el pago de una  indemnización  como  compensación</w:t>
        <w:br/>
        <w:t>por los daños ocasionados[258]. La obligación de reparar, que se  regula  en</w:t>
        <w:br/>
        <w:t>todos los aspectos (alcance, naturaleza, modalidades y determinación de  los</w:t>
        <w:br/>
        <w:t>beneficiarios) por el Derecho  Internacional,  no  puede  ser  modificada  o</w:t>
        <w:br/>
        <w:t>incumplida por el Estado obligado  invocando  disposiciones  de  su  derecho</w:t>
        <w:br/>
        <w:t>interno[259].</w:t>
        <w:br/>
        <w:br/>
        <w:t>348.  Las  reparaciones  consisten  en  las  medidas  que  tienden  a  hacer</w:t>
        <w:br/>
        <w:t>desaparecer los efectos de las violaciones cometidas.  Su  naturaleza  y  su</w:t>
        <w:br/>
        <w:t>monto dependen del daño ocasionado en los planos material e inmaterial.  Las</w:t>
        <w:br/>
        <w:t>reparaciones no pueden implicar ni enriquecimiento ni  empobrecimiento  para</w:t>
        <w:br/>
        <w:t>la víctima o sus sucesores[260].</w:t>
        <w:br/>
        <w:br/>
        <w:t>349.  A la luz de los criterios  anteriores  y  de  las  circunstancias  del</w:t>
        <w:br/>
        <w:t>presente caso, la Corte procederá a analizar  las  pretensiones  presentadas</w:t>
        <w:br/>
        <w:t>por las partes respecto de las reparaciones, con el objeto de  disponer  las</w:t>
        <w:br/>
        <w:t>medidas tendientes a reparar los daños en el presente caso.</w:t>
        <w:br/>
        <w:br/>
        <w:br/>
        <w:t xml:space="preserve">                             A)    Beneficiarios</w:t>
        <w:br/>
        <w:br/>
        <w:br/>
        <w:t>Alegatos de la Comisión</w:t>
        <w:br/>
        <w:br/>
        <w:t>350.  La Comisión señaló que, de conformidad con la naturaleza del  presente</w:t>
        <w:br/>
        <w:t>caso, los beneficiarios de las reparaciones eran las personas detalladas  en</w:t>
        <w:br/>
        <w:t>el anexo B de la demanda.</w:t>
        <w:br/>
        <w:br/>
        <w:t>Alegatos de los representantes</w:t>
        <w:br/>
        <w:br/>
        <w:t>351.  Los representantes señalaron que deben ser considerados  beneficiarias</w:t>
        <w:br/>
        <w:t>todas las  personas  que  resultaron  afectadas  por  la  violación  de  sus</w:t>
        <w:br/>
        <w:t>derechos humanos y cuya identidad se logre establecer en  el  transcurso  de</w:t>
        <w:br/>
        <w:t>este proceso (supra párr. 18).</w:t>
        <w:br/>
        <w:br/>
        <w:t>Alegatos del Estado</w:t>
        <w:br/>
        <w:br/>
        <w:t>352.  El Estado considera que no es admisible que  muchas  de  las  personas</w:t>
        <w:br/>
        <w:t>que  concurrieron  ante  la  Corte  no  optaron  por  haber  reclamado   sus</w:t>
        <w:br/>
        <w:t>reparaciones en el orden interno, ni que  algunos  de  ellos  pretendan  que</w:t>
        <w:br/>
        <w:t>ante esta instancia internacional  se  les  reconozcan  indemnizaciones  por</w:t>
        <w:br/>
        <w:t>daños que dejaron de incluir en sus demandas ante la justicia interna.</w:t>
        <w:br/>
        <w:br/>
        <w:t>Consideraciones de la Corte</w:t>
        <w:br/>
        <w:br/>
        <w:t>353.  La Corte procederá a determinar  cuáles  personas  deben  considerarse</w:t>
        <w:br/>
        <w:t>parte  lesionada  en  los  términos  del  artículo  63.1  de  la  Convención</w:t>
        <w:br/>
        <w:t>Americana y consecuentemente acreedoras de  las  reparaciones  que  fije  el</w:t>
        <w:br/>
        <w:t>Tribunal,  tanto  en  relación  con  el  daño  material  como  con  el  daño</w:t>
        <w:br/>
        <w:t>inmaterial, cuando corresponda.</w:t>
        <w:br/>
        <w:br/>
        <w:t>354.  Es preciso recordar que  cuando  se  está  en  presencia  de  un  caso</w:t>
        <w:br/>
        <w:t>contencioso ante la Corte,  la  parte  interesada  debe  comunicar  quién  o</w:t>
        <w:br/>
        <w:t>quiénes son los beneficiarios[261]. No obstante, la Corte constata  que  los</w:t>
        <w:br/>
        <w:t>graves hechos del presente caso tienen una serie de efectos  al  momento  de</w:t>
        <w:br/>
        <w:t>fijar  las  reparaciones.  Por  lo  anterior,  esta  Corte  se  reserva   la</w:t>
        <w:br/>
        <w:t>posibilidad de determinar, en el apartado correspondiente, otras  formas  de</w:t>
        <w:br/>
        <w:t>reparación a favor de todos los miembros de las  poblaciones  afectadas  por</w:t>
        <w:br/>
        <w:t>los hechos del caso. Sin embargo, el Tribunal aclara  que  la  determinación</w:t>
        <w:br/>
        <w:t>de las reparaciones  en  esta  instancia  internacional  no  obstaculiza  ni</w:t>
        <w:br/>
        <w:t>precluye la posibilidad de otros familiares de víctimas no  individualizados</w:t>
        <w:br/>
        <w:t>o  identificados  en  el  presente  proceso,  de   plantear   los   reclamos</w:t>
        <w:br/>
        <w:t>pertinentes ante las autoridades nacionales.</w:t>
        <w:br/>
        <w:br/>
        <w:t>355.  En primer término, la Corte  considera  como  parte  lesionada  a  las</w:t>
        <w:br/>
        <w:t>personas por cuyas violaciones el Estado ha  reconocido  su  responsabilidad</w:t>
        <w:br/>
        <w:t>internacional:</w:t>
        <w:br/>
        <w:br/>
        <w:t xml:space="preserve">   a) Alberto Correa, Arnulfo Sánchez Álvarez, Fabio Antonio Zuleta  Zabala,</w:t>
        <w:br/>
        <w:t xml:space="preserve">      Guillermo Andrés Mendoza Posso, Héctor Hernán Correa García, Jairo  de</w:t>
        <w:br/>
        <w:t xml:space="preserve">      Jesús Sepúlveda Arias, José Darío Martínez Pérez, Luis Modesto  Múnera</w:t>
        <w:br/>
        <w:t xml:space="preserve">      Posada,  Marco  Aurelio  Areiza  Osorio,   María   Graciela   Arboleda</w:t>
        <w:br/>
        <w:t xml:space="preserve">      Rodríguez, Nelson de Jesús Palacio Cárdenas, Olcris Fail  Díaz  Pérez,</w:t>
        <w:br/>
        <w:t xml:space="preserve">      Omar de Jesús Ortiz Carmona, Omar Iván Gutiérrez  Nohavá,  Otoniel  de</w:t>
        <w:br/>
        <w:t xml:space="preserve">      Jesús Tejada Jaramillo, Elvia Rosa Areiza  Barrera,  Dora  Luz  Areiza</w:t>
        <w:br/>
        <w:t xml:space="preserve">      Arroyave, William de Jesús Villa García, y Wilmar  de  Jesús  Restrepo</w:t>
        <w:br/>
        <w:t xml:space="preserve">      Torres, en su carácter de víctimas de la violación del  derecho  a  la</w:t>
        <w:br/>
        <w:t xml:space="preserve">      vida consagrado  en  el  artículo  4.1  (Derecho  a  la  Vida)  de  la</w:t>
        <w:br/>
        <w:t xml:space="preserve">      Convención, en relación con el artículo 1.1  (Obligación  de  Respetar</w:t>
        <w:br/>
        <w:t xml:space="preserve">      Derechos) de dicho tratado, y respecto de quienes la  Corte  determinó</w:t>
        <w:br/>
        <w:t xml:space="preserve">      además la violación de su derecho a la integridad personal  consagrado</w:t>
        <w:br/>
        <w:t xml:space="preserve">      en el artículo 5.1 de la  misma,  en  relación  con  el  artículo  1.1</w:t>
        <w:br/>
        <w:t xml:space="preserve">      (Obligación de Respetar Derechos) de dicho tratado (supra párr. 256);</w:t>
        <w:br/>
        <w:br/>
        <w:br/>
        <w:t xml:space="preserve">   b) Marco Aurelio Areiza osorio y Elvia Rosa Areiza Barrera, en su calidad</w:t>
        <w:br/>
        <w:t xml:space="preserve">      de víctimas de la violación  del  derecho  a  la  integridad  personal</w:t>
        <w:br/>
        <w:t xml:space="preserve">      consagrado en el artículo 5.1 (Derecho a la Integridad Personal) de la</w:t>
        <w:br/>
        <w:t xml:space="preserve">      Convención, en relación con el artículo 1.1  (Obligación  de  Respetar</w:t>
        <w:br/>
        <w:t xml:space="preserve">      Derechos) de la misma;</w:t>
        <w:br/>
        <w:br/>
        <w:br/>
        <w:t xml:space="preserve">   c) Jairo de Jesús Sepúlveda Arias, Marco Aurelio Areiza  Osorio  y  Elvia</w:t>
        <w:br/>
        <w:t xml:space="preserve">      Rosa Areiza Barrera, como víctimas de la violación del  derecho  a  la</w:t>
        <w:br/>
        <w:t xml:space="preserve">      libertad personal consagrado en el artículo 7.1 (Derecho a la Libertad</w:t>
        <w:br/>
        <w:t xml:space="preserve">      Personal)  de  la  Convención,  en  relación  con  el   artículo   1.1</w:t>
        <w:br/>
        <w:t xml:space="preserve">      (Obligación de Respetar Derechos) de la misma, y respecto  de  quienes</w:t>
        <w:br/>
        <w:t xml:space="preserve">      la Corte determinó además la violación de su derecho a  la  integridad</w:t>
        <w:br/>
        <w:t xml:space="preserve">      personal consagrado en el artículo 5.1 de la misma, en relación con el</w:t>
        <w:br/>
        <w:t xml:space="preserve">      artículo 1.1 (Obligación de Respetar Derechos) de dicho tratado (supra</w:t>
        <w:br/>
        <w:t xml:space="preserve">      párr. 269); y</w:t>
        <w:br/>
        <w:br/>
        <w:br/>
        <w:t xml:space="preserve">   d) Bernardo María Jiménez Lópera, Francisco Osvaldo Pino Posada,  Libardo</w:t>
        <w:br/>
        <w:t xml:space="preserve">      Mendoza, Luis  Humberto  Mendoza,  Omar  Alfredo  Torres  Jaramillo  y</w:t>
        <w:br/>
        <w:t xml:space="preserve">      Ricardo Alfredo Builes Echeverry, como víctimas de  la  violación  del</w:t>
        <w:br/>
        <w:t xml:space="preserve">      derecho a la propiedad privada consagrado en el artículo 21.1 (Derecho</w:t>
        <w:br/>
        <w:t xml:space="preserve">      de Circulación y de Residencia) de la Convención, en relación  con  el</w:t>
        <w:br/>
        <w:t xml:space="preserve">      artículo 1.1 (Obligación de Respetar Derechos) de la misma, y respecto</w:t>
        <w:br/>
        <w:t xml:space="preserve">      de quienes la Corte determinó además la violación de su derecho  a  la</w:t>
        <w:br/>
        <w:t xml:space="preserve">      integridad personal consagrado en el artículo  5.1  de  la  misma,  en</w:t>
        <w:br/>
        <w:t xml:space="preserve">      relación con el artículo 1.1  (Obligación  de  Respetar  Derechos)  de</w:t>
        <w:br/>
        <w:t xml:space="preserve">      dicho tratado (supra párr. 270).</w:t>
        <w:br/>
        <w:br/>
        <w:t>356.  Además, este Tribunal considera como parte lesionada a los  familiares</w:t>
        <w:br/>
        <w:t>inmediatos de las 19 víctimas ejecutadas, en su propio carácter de  víctimas</w:t>
        <w:br/>
        <w:t>de la violación a los derechos consagrados en los artículos 5.1  (Derecho  a</w:t>
        <w:br/>
        <w:t>la Integridad Personal) (supra párr. 265), 8  (Garantías  Judiciales)  y  25</w:t>
        <w:br/>
        <w:t>(Protección Judicial) de la  Convención  Americana  (supra  párr.  344),  en</w:t>
        <w:br/>
        <w:t>relación con el artículo 1.1 (Obligación de Respetar Derechos) de la  misma.</w:t>
        <w:br/>
        <w:t>El parentesco  ha  sido  determinado  mediante  un  documento  expedido  por</w:t>
        <w:br/>
        <w:t>autoridad competente que acredite su parentesco, como lo es  un  certificado</w:t>
        <w:br/>
        <w:t>de nacimiento o, en su caso, un acta de bautismo, certificado  de  defunción</w:t>
        <w:br/>
        <w:t>o cédula de identidad, o mediante el reconocimiento de dicho  parentesco  en</w:t>
        <w:br/>
        <w:t>procesos internos[262].</w:t>
        <w:br/>
        <w:br/>
        <w:t>357.  Los familiares de las víctimas serán acreedores  de  las  reparaciones</w:t>
        <w:br/>
        <w:t>que el Tribunal fije por concepto de daño inmaterial  y/o  material,  en  su</w:t>
        <w:br/>
        <w:t>propio carácter de víctimas de las violaciones a la  Convención  declaradas,</w:t>
        <w:br/>
        <w:t>así como de aquellas que fije la Corte en su  carácter  de  derechohabientes</w:t>
        <w:br/>
        <w:t>de las 19 víctimas privadas de su vida[263].</w:t>
        <w:br/>
        <w:br/>
        <w:t>358.  En lo que se refiere a los familiares inmediatos de quienes no  se  ha</w:t>
        <w:br/>
        <w:t>aportado documentación oficial o que la aportada no acredite el  parentesco,</w:t>
        <w:br/>
        <w:t>este Tribunal dispone que la compensación que les corresponda  por  el  daño</w:t>
        <w:br/>
        <w:t>inmaterial  sufrido  se  ceñirá  a  los   parámetros   de   los   familiares</w:t>
        <w:br/>
        <w:t>identificados de las víctimas (supra párrs. 356 y 357 e  infra  párr.  359),</w:t>
        <w:br/>
        <w:t>siempre que se  presenten  ante  las  autoridades  competentes  del  Estado,</w:t>
        <w:br/>
        <w:t>dentro de los veinticuatro meses siguientes a la fecha  de  notificación  de</w:t>
        <w:br/>
        <w:t>esta  Sentencia,  y  aporten  la  información  oficial  necesaria  para   su</w:t>
        <w:br/>
        <w:t>identificación y comprobación de parentesco[264].</w:t>
        <w:br/>
        <w:br/>
        <w:t>359.  La distribución de las indemnizaciones entre  los  familiares  de  las</w:t>
        <w:br/>
        <w:t>personas privadas de la vida, por concepto del daño  material  e  inmaterial</w:t>
        <w:br/>
        <w:t>correspondiente a dichas personas, se hará de la siguiente manera[265]:</w:t>
        <w:br/>
        <w:br/>
        <w:t xml:space="preserve">      a)    el cincuenta por ciento (50%) de la indemnización  se  repartirá</w:t>
        <w:br/>
        <w:t xml:space="preserve">      por partes iguales entre  los  hijos  de  la  víctima  y  el  restante</w:t>
        <w:br/>
        <w:t xml:space="preserve">      cincuenta por ciento (50%) de la indemnización deberá ser entregado  a</w:t>
        <w:br/>
        <w:t xml:space="preserve">      quien fuera cónyuge o compañera permanente de la víctima,  al  momento</w:t>
        <w:br/>
        <w:t xml:space="preserve">      de la privación de la vida de ésta;</w:t>
        <w:br/>
        <w:br/>
        <w:t xml:space="preserve">      b)    en el caso de que la  víctima  no  tuviere  hijos  o  hijas,  ni</w:t>
        <w:br/>
        <w:t xml:space="preserve">      cónyuge o  compañera  o  compañero  permanente,  la  indemnización  se</w:t>
        <w:br/>
        <w:t xml:space="preserve">      distribuirá de la siguiente manera: el cincuenta por ciento  (50%)  se</w:t>
        <w:br/>
        <w:t xml:space="preserve">      les entregará a sus padres.  Si uno de ellos ha muerto, la  parte  que</w:t>
        <w:br/>
        <w:t xml:space="preserve">      le corresponde acrecerá a la  del  otro.  El  restante  cincuenta  por</w:t>
        <w:br/>
        <w:t xml:space="preserve">      ciento (50%) se repartirá en partes iguales entre las hermanas  y  los</w:t>
        <w:br/>
        <w:t xml:space="preserve">      hermanos de la víctima; y</w:t>
        <w:br/>
        <w:br/>
        <w:t xml:space="preserve">      c)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 corresponderá  proporcionalmente  a  la  parte  que   les</w:t>
        <w:br/>
        <w:t xml:space="preserve">      corresponda a los restantes.</w:t>
        <w:br/>
        <w:br/>
        <w:br/>
        <w:t>360.  De conformidad con las anteriores consideraciones, la Corte  considera</w:t>
        <w:br/>
        <w:t>como  parte  lesionada  a  las  personas   ejecutadas   y   sus   familiares</w:t>
        <w:br/>
        <w:t>identificados en  este  proceso,  como  víctimas  de  la  violación  de  los</w:t>
        <w:br/>
        <w:t>artículos 4 y 5.1 de la Convención, quienes se indican en el Anexo I  de  la</w:t>
        <w:br/>
        <w:t>presente Sentencia.</w:t>
        <w:br/>
        <w:br/>
        <w:t>361.  Además, para los efectos del presente caso se considera también  parte</w:t>
        <w:br/>
        <w:t>lesionada a:</w:t>
        <w:br/>
        <w:br/>
        <w:t xml:space="preserve">   a) Wilmar de Jesús Restrepo Torres, Jorge  Correa  Sánchez,  Omar  Daniel</w:t>
        <w:br/>
        <w:t xml:space="preserve">      Pérez Areiza, José Leonel Areiza Posada y Marco Aurelio Areiza Posada,</w:t>
        <w:br/>
        <w:t xml:space="preserve">      en su carácter de víctimas de la violación del artículo  19  (Derechos</w:t>
        <w:br/>
        <w:t xml:space="preserve">      del Niño)  de  la  Convención,  en  relación  con  los  artículos  1.1</w:t>
        <w:br/>
        <w:t xml:space="preserve">      (Obligación de Respetar Derechos), 4.1  (Derecho  a  la  Vida)  y  5.1</w:t>
        <w:br/>
        <w:t xml:space="preserve">      (Derecho a la Integridad Personal) de la misma;</w:t>
        <w:br/>
        <w:br/>
        <w:br/>
        <w:t xml:space="preserve">   b) Alberto Lopera, Argemiro  Echavarría,  Eduardo  Rua,  Eulicio  García,</w:t>
        <w:br/>
        <w:t xml:space="preserve">      Francisco Osvaldo Pino Posada, Gilberto  Lopera,  José  Luis  Palacio,</w:t>
        <w:br/>
        <w:t xml:space="preserve">      Libardo Carvajal, Milciades De Jesús Crespo, Noveiri  Antonio  Jiménez</w:t>
        <w:br/>
        <w:t xml:space="preserve">      Jiménez, Omar  Alfredo  Torres  Jaramillo,  Ricardo  Barrera,  Rodrigo</w:t>
        <w:br/>
        <w:t xml:space="preserve">      Alberto Mendoza Posso,  Román  Salazar  y  William  Chavarría,  en  su</w:t>
        <w:br/>
        <w:t xml:space="preserve">      calidad de víctimas de  los  artículos  5  (Derecho  a  la  Integridad</w:t>
        <w:br/>
        <w:t xml:space="preserve">      Personal), 6 (Prohibición de la Esclavitud y Servidumbre) y 7 (Derecho</w:t>
        <w:br/>
        <w:t xml:space="preserve">      a la Libertad Personal) de la Convención, en relación con el  artículo</w:t>
        <w:br/>
        <w:t xml:space="preserve">      1.1 (Obligación de Respetar Derechos) de la misma, así  como  a  Tomás</w:t>
        <w:br/>
        <w:t xml:space="preserve">      Monsalve y Felipe “Pipe” Gomez, en  su  calidad  de  víctimas  de  los</w:t>
        <w:br/>
        <w:t xml:space="preserve">      artículos 5 (Derecho a la Integridad Personal) y 6 (Prohibición de  la</w:t>
        <w:br/>
        <w:t xml:space="preserve">      Esclavitud y  Servidumbre)  de  la  Convención,  en  relación  con  el</w:t>
        <w:br/>
        <w:t xml:space="preserve">      artículo 1.1 (Obligación de Respetar Derechos) de la misma, quienes se</w:t>
        <w:br/>
        <w:t xml:space="preserve">      encuentran señalados en el Anexo II de la presente Sentencia;</w:t>
        <w:br/>
        <w:br/>
        <w:br/>
        <w:t xml:space="preserve">   c) las cincuenta y nueve (59) personas que perdieron bienes  en  El  Aro,</w:t>
        <w:br/>
        <w:t xml:space="preserve">      quienes se encuentran  señaladas  en  el  Anexo  III  de  la  presente</w:t>
        <w:br/>
        <w:t xml:space="preserve">      Sentencia, en su calidad de víctimas de los artículos 5 (Derecho a  la</w:t>
        <w:br/>
        <w:t xml:space="preserve">      Integridad Personal) y 21 (Derecho  a  la  Propiedad  Privada)  de  la</w:t>
        <w:br/>
        <w:t xml:space="preserve">      Convención, en relación con el artículo 1.1  (Obligación  de  Respetar</w:t>
        <w:br/>
        <w:t xml:space="preserve">      Derechos) de la misma;</w:t>
        <w:br/>
        <w:br/>
        <w:br/>
        <w:t xml:space="preserve">   d) las cuarenta y tres (43) personas cuyos domicilios  fueron  destruidos</w:t>
        <w:br/>
        <w:t xml:space="preserve">      en El Aro, quienes se encuentran señaladas  en  el  Anexo  III  de  la</w:t>
        <w:br/>
        <w:t xml:space="preserve">      presente Sentencia, en su calidad  de  víctimas  de  los  artículos  5</w:t>
        <w:br/>
        <w:t xml:space="preserve">      (Derecho a la Integridad Personal) y 11.2 (Protección de la Honra y de</w:t>
        <w:br/>
        <w:t xml:space="preserve">      la Dignidad) de la  Convención,  en  relación  con  los  artículos  21</w:t>
        <w:br/>
        <w:t xml:space="preserve">      (Derecho a la Propiedad Privada) y 1.1  (Obligación  de  Respetar  los</w:t>
        <w:br/>
        <w:t xml:space="preserve">      Derechos) de la misma;</w:t>
        <w:br/>
        <w:br/>
        <w:br/>
        <w:t xml:space="preserve">   e) las setecientas dos (702) personas desplazadas de El Aro y La  Granja,</w:t>
        <w:br/>
        <w:t xml:space="preserve">      quienes se  encuentran  señaladas  en  el  Anexo  IV  de  la  presente</w:t>
        <w:br/>
        <w:t xml:space="preserve">      Sentencia, en su calidad de víctimas de la violación los  artículos  5</w:t>
        <w:br/>
        <w:t xml:space="preserve">      (Derecho a la Integridad Personal) y 221 (Derecho de Circulación y  de</w:t>
        <w:br/>
        <w:t xml:space="preserve">      Residencia)  de  la  Convención,  en  relación  con  el  artículo  1.1</w:t>
        <w:br/>
        <w:t xml:space="preserve">      (Obligación de Respetar Derechos) de la misma, y en  relación  con  el</w:t>
        <w:br/>
        <w:t xml:space="preserve">      artículo 19 de dicho instrumento cuando se trate de niños; y</w:t>
        <w:br/>
        <w:br/>
        <w:br/>
        <w:t xml:space="preserve">   f) las veintisiete (27)  personas  desplazadas  cuyos  domicilios  fueron</w:t>
        <w:br/>
        <w:t xml:space="preserve">      destruidos en El Aro, quienes se encuentran señaladas en el Anexo  III</w:t>
        <w:br/>
        <w:t xml:space="preserve">      de la presente Sentencia, en su calidad de víctimas  de  la  violación</w:t>
        <w:br/>
        <w:t xml:space="preserve">      del artículo 5 (Derecho a la Integridad Personal) de la Convención, en</w:t>
        <w:br/>
        <w:t xml:space="preserve">      relación con los artículos 11.2  (Protección  de  la  Honra  y  de  la</w:t>
        <w:br/>
        <w:t xml:space="preserve">      Dignidad), 21 (Derecho a la Propiedad), 22 (Derecho de  Circulación  y</w:t>
        <w:br/>
        <w:t xml:space="preserve">      de Residencia) y 1.1 (Obligación  de  Respetar  los  Derechos)  de  la</w:t>
        <w:br/>
        <w:t xml:space="preserve">      misma.</w:t>
        <w:br/>
        <w:br/>
        <w:t>362.   La  compensación  que  la  Corte  determine  será  entregada  a  cada</w:t>
        <w:br/>
        <w:t>beneficiario en su condición de víctima de las violaciones señaladas en  los</w:t>
        <w:br/>
        <w:t>párrafos 138, 168, 200, 235, 248, 279 y 344 de esta Sentencia.</w:t>
        <w:br/>
        <w:br/>
        <w:t>363.  En el caso de las víctimas o los familiares de  éstas,  acreedoras  de</w:t>
        <w:br/>
        <w:t>las  indemnizaciones  que  se  establecen  en  la  presente  Sentencia,  que</w:t>
        <w:br/>
        <w:t>hubieren fallecido,  que  fallezcan  antes  de  que  les  sea  entregada  la</w:t>
        <w:br/>
        <w:t>indemnización respectiva o que se identifiquen posteriormente, se  aplicarán</w:t>
        <w:br/>
        <w:t>los mismos criterios de distribución de la  indemnización  indicados  en  el</w:t>
        <w:br/>
        <w:t>párrafo 362.</w:t>
        <w:br/>
        <w:br/>
        <w:t xml:space="preserve">                                      *</w:t>
        <w:br/>
        <w:t xml:space="preserve">                                    *   *</w:t>
        <w:br/>
        <w:br/>
        <w:t>364.  Antes de pasar  a  los  acápites  relativos  a  las  reparaciones  por</w:t>
        <w:br/>
        <w:t>concepto de daño material e inmaterial, la Corte  constata  que  algunas  de</w:t>
        <w:br/>
        <w:t>las víctimas han conseguido que, a través de los  mecanismos  disponibles  a</w:t>
        <w:br/>
        <w:t>nivel interno (supra párr. 125.101),  se  determinen  indemnizaciones  a  su</w:t>
        <w:br/>
        <w:t>favor. Teniendo esto en  consideración,  los  referidos  montos  podrán  ser</w:t>
        <w:br/>
        <w:t>deducidos por  el  Estado  al  momento  de  abonar  a  dichas  personas  las</w:t>
        <w:br/>
        <w:t>reparaciones pecuniarias fijadas en esta Sentencia.</w:t>
        <w:br/>
        <w:br/>
        <w:t>365.  Respecto a lo anterior, la  Corte  constata  que  es  posible  que  en</w:t>
        <w:br/>
        <w:t>algunos de estos casos  los  montos  fijados  a  nivel  interno  puedan  ser</w:t>
        <w:br/>
        <w:t>sustancialmente mayores que los que  fije  este  Tribunal  por  concepto  de</w:t>
        <w:br/>
        <w:t>reparación  del  daño  material  e  inmaterial.  Una  de   las   finalidades</w:t>
        <w:br/>
        <w:t>principales de la  jurisdicción  contencioso  administrativa  colombiana,  a</w:t>
        <w:br/>
        <w:t>través de la acción de reparación directa es, precisamente,  la  de  otorgar</w:t>
        <w:br/>
        <w:t>la reparación material que corresponda en la hipótesis de un  daño  generado</w:t>
        <w:br/>
        <w:t>por un acto ilícito producido por funcionarios  públicos.  En  cambio,  esta</w:t>
        <w:br/>
        <w:t>Corte busca determinar, principalmente, si  en  los  casos  sometidos  a  su</w:t>
        <w:br/>
        <w:t>conocimiento existió o no responsabilidad internacional del  Estado  por  la</w:t>
        <w:br/>
        <w:t>violación  de  los  derechos  humanos  de  las   personas   sujetas   a   su</w:t>
        <w:br/>
        <w:t>jurisdicción. Además, en la  jurisdicción  internacional  las  partes  y  la</w:t>
        <w:br/>
        <w:t>materia de la controversia son, por  definición,  distintas  de  las  de  la</w:t>
        <w:br/>
        <w:t>jurisdicción interna[266].   En  el  supuesto  que  se  haya  producido  una</w:t>
        <w:br/>
        <w:t>violación a los derechos  humanos,  este  Tribunal  puede  disponer  que  se</w:t>
        <w:br/>
        <w:t>garantice al lesionado en el goce de su derecho o  libertad  conculcados  y,</w:t>
        <w:br/>
        <w:t>cuando fuera procedente, que se reparen las consecuencias  de  la  medida  o</w:t>
        <w:br/>
        <w:t>situación que ha configurado la vulneración de esos derechos,  sea  mediante</w:t>
        <w:br/>
        <w:t>el pago de una indemnización a la  parte  lesionada  o  a  través  de  otras</w:t>
        <w:br/>
        <w:t>formas de reparación,  que  por  su  naturaleza  son  más  amplias  que  las</w:t>
        <w:br/>
        <w:t>dictadas a  nivel  interno,  tomando  en  consideración  las  circunstancias</w:t>
        <w:br/>
        <w:t>particulares de cada caso.</w:t>
        <w:br/>
        <w:br/>
        <w:br/>
        <w:br/>
        <w:t xml:space="preserve">                              B) Daño Material</w:t>
        <w:br/>
        <w:br/>
        <w:br/>
        <w:t>Alegatos de la Comisión</w:t>
        <w:br/>
        <w:br/>
        <w:t>366.  En relación con el daño material la Comisión señaló que:</w:t>
        <w:br/>
        <w:br/>
        <w:t>a)  la  Corte  debe  fijar  en  equidad  el  monto   de   la   indemnización</w:t>
        <w:br/>
        <w:t xml:space="preserve">   correspondiente al daño emergente y lucro cesante;</w:t>
        <w:br/>
        <w:br/>
        <w:br/>
        <w:t>b) numerosas  familias  sufrieron  graves  pérdidas  materiales  porque  los</w:t>
        <w:br/>
        <w:t xml:space="preserve">   paramilitares que incursionaron en el corregimiento de El Aro incendiaron</w:t>
        <w:br/>
        <w:t xml:space="preserve">   numerosas viviendas, ocasionando la  pérdida  de  los  bienes  muebles  e</w:t>
        <w:br/>
        <w:t xml:space="preserve">   inmuebles de las familias damnificadas y su desplazamiento a otras zonas;</w:t>
        <w:br/>
        <w:br/>
        <w:br/>
        <w:t>c) cuando el grupo paramilitar emprendió su retirada  de  El  Aro,  sustrajo</w:t>
        <w:br/>
        <w:t xml:space="preserve">   ilegalmente  alrededor  de  1,200  cabezas  de  ganado  pertenecientes  a</w:t>
        <w:br/>
        <w:t xml:space="preserve">   distintos pobladores;</w:t>
        <w:br/>
        <w:br/>
        <w:br/>
        <w:t>d) las víctimas que perdieron sus bienes “daban o ayudaban con  el  sustento</w:t>
        <w:br/>
        <w:t xml:space="preserve">   a sus familias, las cuales vieron sus condiciones de vida  obstaculizadas</w:t>
        <w:br/>
        <w:t xml:space="preserve">   por los hechos [de este caso]. Asimismo,  la  violación  del  derecho  de</w:t>
        <w:br/>
        <w:t xml:space="preserve">   propiedad ha causado un detrimento material  directamente  atribuible  al</w:t>
        <w:br/>
        <w:t xml:space="preserve">   Estado”;</w:t>
        <w:br/>
        <w:br/>
        <w:br/>
        <w:t>e) el desplazamiento que ha sido resultado de las  masacres,  ha  provocando</w:t>
        <w:br/>
        <w:t xml:space="preserve">   graves consecuencias en estos grupos familiares;</w:t>
        <w:br/>
        <w:br/>
        <w:br/>
        <w:t>f) el cálculo de los daños y perjuicios  sufridos  debe  necesariamente  ser</w:t>
        <w:br/>
        <w:t xml:space="preserve">   proporcional a la gravedad de las violaciones; y</w:t>
        <w:br/>
        <w:br/>
        <w:br/>
        <w:t>g) en cuanto a los montos de la indemnización a los que tienen  derecho  las</w:t>
        <w:br/>
        <w:t xml:space="preserve">   víctimas  y  sus  familiares,  por  concepto  de   daños   materiales   e</w:t>
        <w:br/>
        <w:t xml:space="preserve">   inmateriales, la Comisión considera que sus representantes  están  en  la</w:t>
        <w:br/>
        <w:t xml:space="preserve">   mejor posición para cuantificar sus pretensiones.</w:t>
        <w:br/>
        <w:br/>
        <w:t>Alegatos de los representantes</w:t>
        <w:br/>
        <w:br/>
        <w:t>367.  En relación con el daño material los representantes señalaron que:</w:t>
        <w:br/>
        <w:br/>
        <w:t xml:space="preserve">   a) el daño emergente debe tener en cuenta que las  presuntas  víctimas  y</w:t>
        <w:br/>
        <w:t xml:space="preserve">      sus familiares eran  personas  de  extracción  campesina  dedicadas  a</w:t>
        <w:br/>
        <w:t xml:space="preserve">      labores agrícolas ganaderas, que  su  sustento  se  derivaba  de  esas</w:t>
        <w:br/>
        <w:t xml:space="preserve">      actividades y que los hechos los obligaron  no  sólo  a  abandonar  el</w:t>
        <w:br/>
        <w:t xml:space="preserve">      lugar que libremente  habían  escogido  para  vivir,  sino  también  a</w:t>
        <w:br/>
        <w:t xml:space="preserve">      abandonar el desarrollo de sus labores cotidianas. Por lo anterior,  y</w:t>
        <w:br/>
        <w:t xml:space="preserve">      dado a que no se cuenta con una referencia tangible  de  sus  ingresos</w:t>
        <w:br/>
        <w:t xml:space="preserve">      habituales, la Corte debe ordenar, en equidad, el  pago  de  una  suma</w:t>
        <w:br/>
        <w:t xml:space="preserve">      para resarcir el daño emergente y los ingresos dejados de percibir por</w:t>
        <w:br/>
        <w:t xml:space="preserve">      las víctimas y sus familiares;</w:t>
        <w:br/>
        <w:br/>
        <w:br/>
        <w:t xml:space="preserve">   b) para determinar la indemnización que tienen derecho las  personas  que</w:t>
        <w:br/>
        <w:t xml:space="preserve">      perdieron inmuebles, la Corte debe determinar en equidad el  monto  de</w:t>
        <w:br/>
        <w:t xml:space="preserve">      las mismas, toda vez que  respecto  de  algunos  propietarios  no  fue</w:t>
        <w:br/>
        <w:t xml:space="preserve">      posible determinar las características de su vivienda o el  número  de</w:t>
        <w:br/>
        <w:t xml:space="preserve">      reses de ganado caballar o vacuno que perdieron. Sin  embargo,  existe</w:t>
        <w:br/>
        <w:t xml:space="preserve">      prueba plena del daño sufrido;</w:t>
        <w:br/>
        <w:br/>
        <w:br/>
        <w:t xml:space="preserve">   c) como criterio para graduar el valor de la  indemnización  respecto  de</w:t>
        <w:br/>
        <w:t xml:space="preserve">      las personas que perdieron bienes inmuebles, el ordenamiento  jurídico</w:t>
        <w:br/>
        <w:t xml:space="preserve">      colombiano estableció con la ley 9 de 1989, el concepto de vivienda de</w:t>
        <w:br/>
        <w:t xml:space="preserve">      interés social y un criterio cuantitativo para  determinar  su  valor;</w:t>
        <w:br/>
        <w:t xml:space="preserve">      dicha ley ha sufrido varias reformas y actualmente rige la ley 812  de</w:t>
        <w:br/>
        <w:t xml:space="preserve">      2003.  Según dichos criterios, “para  poblaciones  como  El  Aro,  que</w:t>
        <w:br/>
        <w:t xml:space="preserve">      pertenecen al municipio de Ituango, el cual tiene  menos  de  500  mil</w:t>
        <w:br/>
        <w:t xml:space="preserve">      habitantes, los rangos de vivienda de interés social oscila entre 51 y</w:t>
        <w:br/>
        <w:t xml:space="preserve">      70 salarios mínimos legales mensuales, es decir, entre  $19.075.000  y</w:t>
        <w:br/>
        <w:t xml:space="preserve">      $26.705.000, lo que equivale a un rango entre 8.293 a 11.611 dólares”;</w:t>
        <w:br/>
        <w:t xml:space="preserve">      y</w:t>
        <w:br/>
        <w:br/>
        <w:br/>
        <w:t xml:space="preserve">   d) debe establecerse una indemnización para las víctimas desplazadas  que</w:t>
        <w:br/>
        <w:t xml:space="preserve">      fueron identificadas en el proceso y que se detallaron  en  el  cuadro</w:t>
        <w:br/>
        <w:t xml:space="preserve">      presentado en el escrito de  alegatos  finales  y  prueba  para  mejor</w:t>
        <w:br/>
        <w:t xml:space="preserve">      resolver, el cual contenía 724 personas.</w:t>
        <w:br/>
        <w:br/>
        <w:t>368.  Los representantes en sus alegatos  finales  escritos  incluyeron  una</w:t>
        <w:br/>
        <w:t>lista de las personas que han o no llegado a un  acuerdo  conciliatorio  con</w:t>
        <w:br/>
        <w:t>el Estado, para recibir una indemnización conforme a  los  criterios  de  la</w:t>
        <w:br/>
        <w:t>jurisprudencia nacional. Los representantes consideran que dichas sumas  son</w:t>
        <w:br/>
        <w:t>inferiores en comparación con los criterios que ha asumido la Corte, por  lo</w:t>
        <w:br/>
        <w:t>que se solicitó que dichos acuerdos fueran tomados en cuenta como parte  del</w:t>
        <w:br/>
        <w:t>pago de las indemnizaciones, tanto por daños materiales e inmateriales,  que</w:t>
        <w:br/>
        <w:t>llegue a determinar la Corte.</w:t>
        <w:br/>
        <w:br/>
        <w:t>Alegatos del Estado</w:t>
        <w:br/>
        <w:br/>
        <w:t>369.  En relación con el daño material el Estado señaló que:</w:t>
        <w:br/>
        <w:br/>
        <w:t xml:space="preserve">   a) en cuanto  a  la  cuantificación  y  concreción  de  las  pretensiones</w:t>
        <w:br/>
        <w:t xml:space="preserve">      económicas, éstas se deberán ajustar estrictamente  a  las  exigencias</w:t>
        <w:br/>
        <w:t xml:space="preserve">      jurisprudenciales de la Corte,  en  especial  teniendo  presentes  las</w:t>
        <w:br/>
        <w:t xml:space="preserve">      condiciones particulares de los reclamantes  en  su  posición  social,</w:t>
        <w:br/>
        <w:t xml:space="preserve">      profesional y económica, y que las reparaciones son para indemnizar no</w:t>
        <w:br/>
        <w:t xml:space="preserve">      para enriquecer; y</w:t>
        <w:br/>
        <w:br/>
        <w:br/>
        <w:t xml:space="preserve">   b) las reparaciones reconocidas  por  el  Estado  en  las  audiencias  de</w:t>
        <w:br/>
        <w:t xml:space="preserve">      conciliación   realizadas    ante    la    jurisdicción    contencioso</w:t>
        <w:br/>
        <w:t xml:space="preserve">      administrativa deberán considerarse justas y suficientes, en  relación</w:t>
        <w:br/>
        <w:t xml:space="preserve">      con los derechos a la vida y a la propiedad.</w:t>
        <w:br/>
        <w:br/>
        <w:t>Consideraciones de la Corte</w:t>
        <w:br/>
        <w:br/>
        <w:t>370.  La Corte determinará  en  este  acápite  lo  correspondiente  al  daño</w:t>
        <w:br/>
        <w:t>material, para lo cual fijará un monto indemnizatorio que  busque  compensar</w:t>
        <w:br/>
        <w:t>las consecuencias patrimoniales de las violaciones que han  sido  declaradas</w:t>
        <w:br/>
        <w:t>en  la  presente  Sentencia,  tomando  en  cuenta   el   reconocimiento   de</w:t>
        <w:br/>
        <w:t>responsabilidad internacional y las circunstancias  del  presente  caso,  la</w:t>
        <w:br/>
        <w:t>prueba ofrecida, su jurisprudencia y  los  alegatos  relevantes  presentados</w:t>
        <w:br/>
        <w:t>por la Comisión, los representantes y el Estado[267].</w:t>
        <w:br/>
        <w:br/>
        <w:t>371.  La Corte considera que el daño material debe  estimarse  con  base  en</w:t>
        <w:br/>
        <w:t>elementos de prueba que permitan acreditar un perjuicio cierto[268].  En  el</w:t>
        <w:br/>
        <w:t>presente caso, el Tribunal se encuentra imposibilitado  para  determinar  la</w:t>
        <w:br/>
        <w:t>pérdida de ingresos sufrida por la mayoría de las víctimas.  En  efecto,  no</w:t>
        <w:br/>
        <w:t>obran pruebas suficientes para determinar los ingresos dejados de  percibir,</w:t>
        <w:br/>
        <w:t>las edades ni las actividades a las que  se  dedicaban  la  mayoría  de  las</w:t>
        <w:br/>
        <w:t>víctimas.</w:t>
        <w:br/>
        <w:br/>
        <w:t>372.  Por esta razón, la Corte  otorgará  una  indemnización  en  equidad  a</w:t>
        <w:br/>
        <w:t>favor de aquellas víctimas cuya pérdida de ingresos  no  fue  comprobada  de</w:t>
        <w:br/>
        <w:t>manera específica, sin perjuicio de que dichas personas puedan hacer uso  de</w:t>
        <w:br/>
        <w:t>las vías disponibles en el derecho interno para  recibir  una  indemnización</w:t>
        <w:br/>
        <w:t>correspondiente. Asimismo, la Corte determinará a favor  de  tales  personas</w:t>
        <w:br/>
        <w:t>indemnizaciones por concepto  de  daños  inmateriales,  así  como  de  otras</w:t>
        <w:br/>
        <w:t>formas de reparación.</w:t>
        <w:br/>
        <w:br/>
        <w:t>373.  Sin embargo, en relación con las personas para  las  cuales  la  Corte</w:t>
        <w:br/>
        <w:t>cuenta con alguna prueba acerca de sus edades o labores que  realizaban,  el</w:t>
        <w:br/>
        <w:t>Tribunal, en atención al contexto y las circunstancias del caso,  fijará  en</w:t>
        <w:br/>
        <w:t>equidad una cantidad por concepto de daño material, tomando en cuenta  dicha</w:t>
        <w:br/>
        <w:t>prueba, así como, en su caso, la expectativa de vida en Colombia en  1996  y</w:t>
        <w:br/>
        <w:t>1997,  y  las  actividades  agrícolas  que  realizaban  la  mayoría  de  las</w:t>
        <w:br/>
        <w:t>víctimas[269].</w:t>
        <w:br/>
        <w:br/>
        <w:t>374.  En relación con las personas cuyo ganado fue sustraído, no  se  cuenta</w:t>
        <w:br/>
        <w:t>con documentos idóneos en relación con el valor de éste.  Por  lo  anterior,</w:t>
        <w:br/>
        <w:t>la Corte otorgará una indemnización en equidad a favor de aquellas  víctimas</w:t>
        <w:br/>
        <w:t>cuya  pérdida  de  ganado  no  fue  comprobada  de  manera  específica,  sin</w:t>
        <w:br/>
        <w:t>perjuicio de que dichas personas puedan hacer uso de  las  vías  disponibles</w:t>
        <w:br/>
        <w:t>en el  derecho  interno  para  recibir  una  indemnización  correspondiente.</w:t>
        <w:br/>
        <w:t>Además, la Corte determinará a favor de tales personas  indemnizaciones  por</w:t>
        <w:br/>
        <w:t>concepto de daños inmateriales (infra párr. 390.f).</w:t>
        <w:br/>
        <w:br/>
        <w:t>375.  Asimismo, no se cuenta con  documentos  idóneos  en  relación  con  el</w:t>
        <w:br/>
        <w:t>valor de las viviendas perdidas  por  algunas  víctimas.  Como  ya  ha  sido</w:t>
        <w:br/>
        <w:t>señalado, la mayoría de las víctimas tuvieron que desplazarse luego  de  que</w:t>
        <w:br/>
        <w:t>sus  propiedades,  así  como  las  oficinas  de  registros  civiles,  fueran</w:t>
        <w:br/>
        <w:t>destruidas por los paramilitares, por lo que es  comprensible  el  hecho  de</w:t>
        <w:br/>
        <w:t>que no cuenten con los comprobantes debidos. En razón  de  lo  anterior,  el</w:t>
        <w:br/>
        <w:t>Tribunal no determinará una indemnización por concepto de  daño  material  a</w:t>
        <w:br/>
        <w:t>favor de las personas que perdieron sus  viviendas  y  aquellas  que  fueron</w:t>
        <w:br/>
        <w:t>desplazadas, toda vez que dicho daño será reparado a través de otras  formas</w:t>
        <w:br/>
        <w:t>de reparación no pecuniarias (infra párrs. 404 y 407).</w:t>
        <w:br/>
        <w:br/>
        <w:t>376.  Respecto de los acuerdos conciliatorios presentados como  prueba  ante</w:t>
        <w:br/>
        <w:t>este Tribunal que ya  hayan  sido  resueltos  en  los  procesos  contencioso</w:t>
        <w:br/>
        <w:t>administrativos (supra párr. 125.101), la Corte recuerda  el  principio  que</w:t>
        <w:br/>
        <w:t>establece que las indemnizaciones no pueden implicar ni  enriquecimiento  ni</w:t>
        <w:br/>
        <w:t>empobrecimiento para la víctima o sus sucesores. Según fue  señalado  (supra</w:t>
        <w:br/>
        <w:t>párrs. 335 a 343), dichos acuerdos establecen indemnizaciones  por  concepto</w:t>
        <w:br/>
        <w:t>de daños materiales y morales, que incluyen  algunos  de  los  aspectos  que</w:t>
        <w:br/>
        <w:t>abarcan las reparaciones por dichos conceptos otorgados por la  Corte.   Por</w:t>
        <w:br/>
        <w:t>lo anterior, el Tribunal tomará en cuenta los casos de las personas que  han</w:t>
        <w:br/>
        <w:t>sido beneficiadas a través de dichos acuerdos en esos  procesos  contencioso</w:t>
        <w:br/>
        <w:t>administrativos, tanto en relación con el daño material, como  con  el  daño</w:t>
        <w:br/>
        <w:t>inmaterial cuando corresponda.  Toda vez  que  el  Tribunal  no  cuenta  con</w:t>
        <w:br/>
        <w:t>prueba del pago efectivo de los montos  otorgados  a  nivel  interno  en  la</w:t>
        <w:br/>
        <w:t>jurisdicción contencioso administrativa en relación con  los  hechos  de  la</w:t>
        <w:br/>
        <w:t>masacre de El Aro, la Corte procederá a ordenar  reparaciones  por  concepto</w:t>
        <w:br/>
        <w:t>de daño material e inmaterial a las víctimas del presente  caso  que  vivían</w:t>
        <w:br/>
        <w:t>en dicho corregimiento. Lo anterior, sin perjuicio de que  el  Estado  pueda</w:t>
        <w:br/>
        <w:t>descontar las  cantidades  otorgadas  a  nivel  interno  al  momento  de  la</w:t>
        <w:br/>
        <w:t>liquidación de las reparaciones ordenadas por la Corte.  En caso de que  las</w:t>
        <w:br/>
        <w:t>reparaciones otorgadas en  los  procesos  contencioso  administrativos  sean</w:t>
        <w:br/>
        <w:t>mayores que las ordenadas por este Tribunal en esta Sentencia, el Estado  no</w:t>
        <w:br/>
        <w:t>podrá descontar dicha diferencia a la víctima.</w:t>
        <w:br/>
        <w:br/>
        <w:t>377.  Respecto de procesos de reparación directa incoados por  las  víctimas</w:t>
        <w:br/>
        <w:t>del presente caso o sus familiares que se  encontraran  pendientes  ante  la</w:t>
        <w:br/>
        <w:t>jurisdicción contencioso administrativa colombiana, la Corte  fija  en  esta</w:t>
        <w:br/>
        <w:t>Sentencia las reparaciones  pertinentes,  independientemente  de  su  estado</w:t>
        <w:br/>
        <w:t>actual. Al momento en que, en su caso, el Estado haga efectivo  el  pago  de</w:t>
        <w:br/>
        <w:t>las mismas, deberá comunicarlo a los tribunales que estén conociendo  dichos</w:t>
        <w:br/>
        <w:t>procesos para que resuelvan lo conducente[270].</w:t>
        <w:br/>
        <w:br/>
        <w:t>378.  Respecto de las personas desplazadas, la Corte tomará  en  cuenta,  al</w:t>
        <w:br/>
        <w:t>momento de determinar las  reparaciones  correspondientes,  que  algunas  de</w:t>
        <w:br/>
        <w:t>éstas han recibido ayuda por parte del Estado, en razón de dicha condición.</w:t>
        <w:br/>
        <w:br/>
        <w:t>379.   En  consecuencia,  la  Corte  determina  en   equidad,   tomando   en</w:t>
        <w:br/>
        <w:t>consideración la prueba aportada, así como los alegatos presentados por  las</w:t>
        <w:br/>
        <w:t>partes, las compensaciones por concepto del daño material  de  las  víctimas</w:t>
        <w:br/>
        <w:t>identificadas según se consigna en el Anexo I de la presente Sentencia  para</w:t>
        <w:br/>
        <w:t>las personas privadas de su vida y en el Anexo III  para  las  personas  que</w:t>
        <w:br/>
        <w:t>perdieron ganado.</w:t>
        <w:br/>
        <w:br/>
        <w:br/>
        <w:t xml:space="preserve">                             C) Daño Inmaterial</w:t>
        <w:br/>
        <w:br/>
        <w:br/>
        <w:t>Alegatos de la Comisión</w:t>
        <w:br/>
        <w:br/>
        <w:t>380.  En relación con el daño inmaterial, la Comisión señaló que:</w:t>
        <w:br/>
        <w:br/>
        <w:t xml:space="preserve">   a) la Corte debe ordenar el pago  de  una  compensación,  conforme  a  la</w:t>
        <w:br/>
        <w:t xml:space="preserve">      equidad y en consideración de las características  que  acompañan  las</w:t>
        <w:br/>
        <w:t xml:space="preserve">      circunstancias de la ejecución extrajudicial de las víctimas;</w:t>
        <w:br/>
        <w:br/>
        <w:br/>
        <w:t xml:space="preserve">   b) en cuanto a los montos de la indemnización a los  que  tienen  derecho</w:t>
        <w:br/>
        <w:t xml:space="preserve">      las víctimas y sus familiares, por concepto de daños inmateriales, sus</w:t>
        <w:br/>
        <w:t xml:space="preserve">      representantes  están  en  la  mejor  posición  para  cuantificar  sus</w:t>
        <w:br/>
        <w:t xml:space="preserve">      pretensiones; y</w:t>
        <w:br/>
        <w:br/>
        <w:br/>
        <w:t xml:space="preserve">   c) las consecuencias del daño derivado de las  masacres  de  Ituango  son</w:t>
        <w:br/>
        <w:t xml:space="preserve">      diversas y comprenden: daño físico y moral infligido  a  las  víctimas</w:t>
        <w:br/>
        <w:t xml:space="preserve">      directas; daño moral infligido  a  los  seres  cercando  a  éstas;  el</w:t>
        <w:br/>
        <w:t xml:space="preserve">      detrimento en las condiciones materiales  de  los  familiares  de  las</w:t>
        <w:br/>
        <w:t xml:space="preserve">      víctimas fatales; y el temor de los habitantes.</w:t>
        <w:br/>
        <w:br/>
        <w:t>Alegatos de los representantes</w:t>
        <w:br/>
        <w:br/>
        <w:t>381.  En relación con el  daño  inmaterial  los  representantes  solicitaron</w:t>
        <w:br/>
        <w:t>que, debido  al  tipo  de  vejámenes  y  agresiones  a  las  víctimas,  como</w:t>
        <w:br/>
        <w:t>desplazamiento forzado, desposesión, trabajos forzados, tortura,  derecho  a</w:t>
        <w:br/>
        <w:t>la vida, la Corte ordene, a título compensatorio  con  fines  de  reparación</w:t>
        <w:br/>
        <w:t>integral, el pago de una indemnización por concepto de daños inmateriales  a</w:t>
        <w:br/>
        <w:t>favor de las víctimas y  sus  familiares,  la  cual  deberá  ser  tasada  en</w:t>
        <w:br/>
        <w:t>equidad.</w:t>
        <w:br/>
        <w:br/>
        <w:t>Alegatos del Estado</w:t>
        <w:br/>
        <w:br/>
        <w:t>382.   En  relación  con  el  daño  inmaterial  el  Estado  señaló  que  las</w:t>
        <w:br/>
        <w:t>reparaciones reconocidas por el Estado en  las  audiencias  de  conciliación</w:t>
        <w:br/>
        <w:t>realizadas  ante  la   jurisdicción   contencioso   administrativa   deberán</w:t>
        <w:br/>
        <w:t>considerarse justas y suficientes, en relación con los derechos a la vida  y</w:t>
        <w:br/>
        <w:t>a la propiedad.</w:t>
        <w:br/>
        <w:br/>
        <w:t>Consideraciones de la Corte</w:t>
        <w:br/>
        <w:br/>
        <w:t>383.  El daño inmaterial puede  comprender  tanto  los  sufrimientos  y  las</w:t>
        <w:br/>
        <w:t>aflicciones causados a las  víctimas,  como  el  menoscabo  de  valores  muy</w:t>
        <w:br/>
        <w:t>significativos para las personas, así como las alteraciones, de carácter  no</w:t>
        <w:br/>
        <w:t>pecuniario, en las condiciones de existencia de  las  víctimas.   No  siendo</w:t>
        <w:br/>
        <w:t>posible asignar al daño inmaterial un preciso  equivalente  monetario,  sólo</w:t>
        <w:br/>
        <w:t>puede, para los fines de la reparación integral a las víctimas,  ser  objeto</w:t>
        <w:br/>
        <w:t>de compensación, y ello de dos maneras.  En primer lugar, mediante  el  pago</w:t>
        <w:br/>
        <w:t>de una cantidad de dinero que el Tribunal determine en aplicación  razonable</w:t>
        <w:br/>
        <w:t>del arbitrio judicial y en  términos  de  equidad.   Y,  en  segundo  lugar,</w:t>
        <w:br/>
        <w:t>mediante la realización de actos u obras de alcance o repercusión  públicos,</w:t>
        <w:br/>
        <w:t>tales como la transmisión  de  un  mensaje  de  reprobación  oficial  a  las</w:t>
        <w:br/>
        <w:t>violaciones de los derechos humanos de que se trata y de compromiso con  los</w:t>
        <w:br/>
        <w:t>esfuerzos tendientes a que no vuelvan a ocurrir, que tengan como  efecto  la</w:t>
        <w:br/>
        <w:t>recuperación de  la  memoria  de  las  víctimas,  el  reconocimiento  de  su</w:t>
        <w:br/>
        <w:t>dignidad y el  consuelo  de  sus  deudos[271].   El  primer  aspecto  de  la</w:t>
        <w:br/>
        <w:t>reparación de los daños inmateriales se  analizará  en  esta  sección  y  el</w:t>
        <w:br/>
        <w:t>segundo en la sección sobre otras formas de reparación de este capítulo.</w:t>
        <w:br/>
        <w:br/>
        <w:t>384.  Tal como lo  ha  señalado  la  Corte  en  otros  casos[272],  el  daño</w:t>
        <w:br/>
        <w:t>inmaterial infligido a las víctimas resulta evidente, pues es propio  de  la</w:t>
        <w:br/>
        <w:t>naturaleza humana que toda persona sometida a actos brutales en el  contexto</w:t>
        <w:br/>
        <w:t>del presente caso, experimente  un  profundo  sufrimiento,  angustia  moral,</w:t>
        <w:br/>
        <w:t>terror e inseguridad, por lo que este daño no requiere pruebas.</w:t>
        <w:br/>
        <w:br/>
        <w:br/>
        <w:t>385.  Según fue establecido, las condiciones en  que  algunos  familiares  y</w:t>
        <w:br/>
        <w:t>testigos encontraron  a  los  cadáveres  revelan  no  sólo  la  atrocidad  y</w:t>
        <w:br/>
        <w:t>barbarie de los  hechos,  sino  también  que,  en  la  menos  cruel  de  las</w:t>
        <w:br/>
        <w:t>situaciones, las víctimas fueron sometidas a  graves  torturas  psicológicas</w:t>
        <w:br/>
        <w:t>al presenciar las ejecuciones  de  otras  personas  y  al  prever  su  fatal</w:t>
        <w:br/>
        <w:t>destino, al verse sometidas a las condiciones  de  terror  ocurridas  en  La</w:t>
        <w:br/>
        <w:t>Granja el 11 de junio de 1996 y en El Aro entre el 22 de  octubre  y  12  de</w:t>
        <w:br/>
        <w:t>noviembre de 1997. Por  su  parte,  las  víctimas  han  sufrido  daños  como</w:t>
        <w:br/>
        <w:t>consecuencia de las ejecuciones,  los  trabajos  forzosos,  las  detenciones</w:t>
        <w:br/>
        <w:t>arbitrarias, la pérdida de sus hogares, ganado y otros bienes, por la  falta</w:t>
        <w:br/>
        <w:t>de apoyo de las autoridades estatales y el  miedo  a  verse  indefensos.  La</w:t>
        <w:br/>
        <w:t>ausencia de una investigación completa y efectiva  sobre  los  hechos  y  la</w:t>
        <w:br/>
        <w:t>impunidad  parcial  constituyen  una  fuente  de  sufrimiento   y   angustia</w:t>
        <w:br/>
        <w:t>adicionales para las víctimas y sus familiares. Todo lo anterior, además  de</w:t>
        <w:br/>
        <w:t>haber  afectado  su  integridad  física  y  psicológica,  ha  impactado  sus</w:t>
        <w:br/>
        <w:t>relaciones sociales y laborales, ha alterado la dinámica de sus  familias  y</w:t>
        <w:br/>
        <w:t>el tejido social de la comunidad.</w:t>
        <w:br/>
        <w:br/>
        <w:br/>
        <w:t>386.  En cuanto a los familiares de las personas privadas  de  la  vida,  el</w:t>
        <w:br/>
        <w:t>Tribunal ha presumido que los sufrimientos o muerte de una persona  acarrean</w:t>
        <w:br/>
        <w:t>a sus  hijas,  hijos,  cónyuge,  compañera  o  compañero,  madre,  padre,  y</w:t>
        <w:br/>
        <w:t>hermanas y hermanos  un  daño  inmaterial,  por  lo  cual  no  es  necesario</w:t>
        <w:br/>
        <w:t>demostrarlo[273].</w:t>
        <w:br/>
        <w:br/>
        <w:br/>
        <w:t>387.  La jurisprudencia internacional ha establecido reiteradamente  que  la</w:t>
        <w:br/>
        <w:t>sentencia constituye per se  una  forma  de  reparación[274].  No  obstante,</w:t>
        <w:br/>
        <w:t>debido a la gravedad de los hechos del  presente  caso  y  la  situación  de</w:t>
        <w:br/>
        <w:t>impunidad parcial, la intensidad del sufrimiento  causado  a  las  víctimas,</w:t>
        <w:br/>
        <w:t>las alteraciones de sus condiciones de existencia y las demás  consecuencias</w:t>
        <w:br/>
        <w:t>de orden no material o no pecuniario producidas, la Corte  estima  necesario</w:t>
        <w:br/>
        <w:t>ordenar el pago  de  una  compensación  por  concepto  de  daño  inmaterial,</w:t>
        <w:br/>
        <w:t>conforme a la equidad[275].</w:t>
        <w:br/>
        <w:br/>
        <w:t>388.  Al valorar los daños inmateriales causados en el caso sub  judice,  la</w:t>
        <w:br/>
        <w:t>Corte ha tomado en consideración lo manifestado  por  los  testigos,  sea  a</w:t>
        <w:br/>
        <w:t>través de declaración jurada, declaración rendida ante fedatario  público  o</w:t>
        <w:br/>
        <w:t>declaración rendida ante el Tribunal, en cuanto a que los daños  ocasionados</w:t>
        <w:br/>
        <w:t>son representativos de los producidos al resto de las víctimas,  quienes  en</w:t>
        <w:br/>
        <w:t>su mayoría vivían en o cerca de Ituango[276].</w:t>
        <w:br/>
        <w:br/>
        <w:t>389.   Una  vez  más,  la  Corte  toma  en  cuenta  que  en   los   acuerdos</w:t>
        <w:br/>
        <w:t>conciliatorios realizados en la vía contencioso administrativa se  fijó  una</w:t>
        <w:br/>
        <w:t>indemnización por concepto de daños morales a favor  de  algunos  familiares</w:t>
        <w:br/>
        <w:t>de las víctimas ejecutadas y algunas personas que sufrieron pérdida  de  sus</w:t>
        <w:br/>
        <w:t>bienes (supra párr. 125.101).  En  razón  de  que  esas  indemnizaciones  se</w:t>
        <w:br/>
        <w:t>determinaron únicamente a favor de los familiares de esas víctimas y que  no</w:t>
        <w:br/>
        <w:t>se  desprende  del  contenido  de  dichos  acuerdos  conciliatorios  que  se</w:t>
        <w:br/>
        <w:t>indemnicen también los daños sufridos  directamente  por  las  personas  que</w:t>
        <w:br/>
        <w:t>fueron ejecutadas, la Corte fijará una indemnización por el daño  inmaterial</w:t>
        <w:br/>
        <w:t>sufrido directamente por éstas últimas.</w:t>
        <w:br/>
        <w:br/>
        <w:t>390.  Teniendo en cuenta las distintas facetas  del  daño  aducidas  por  la</w:t>
        <w:br/>
        <w:t>Comisión y por los representantes, la Corte fija en equidad el valor de  las</w:t>
        <w:br/>
        <w:t>compensaciones  por  concepto  de  daño  inmaterial,  la  cual  deberá   ser</w:t>
        <w:br/>
        <w:t>entregada según lo estipulado en los párrafos  359  y  360  de  la  presente</w:t>
        <w:br/>
        <w:t>Sentencia, y de conformidad con los siguientes parámetros:</w:t>
        <w:br/>
        <w:br/>
        <w:br/>
        <w:t xml:space="preserve">   a) para cada una de las 19 personas ejecutadas entre La Granja y El  Aro,</w:t>
        <w:br/>
        <w:t xml:space="preserve">      quienes se señalan en el Anexo I de esta Sentencia, la Corte  fija  la</w:t>
        <w:br/>
        <w:t xml:space="preserve">      cantidad de US$ 30,000.00 (treinta mil dólares de los  Estados  Unidos</w:t>
        <w:br/>
        <w:t xml:space="preserve">      de América);</w:t>
        <w:br/>
        <w:br/>
        <w:br/>
        <w:br/>
        <w:br/>
        <w:t xml:space="preserve">   b) al momento de su muerte era menor de edad  Wilmar  de  Jesús  Restrepo</w:t>
        <w:br/>
        <w:t xml:space="preserve">      Torres.  En consecuencia, es de presumir que los sufrimientos causados</w:t>
        <w:br/>
        <w:t xml:space="preserve">      por los  hechos  del  caso  asumieron  características  de  particular</w:t>
        <w:br/>
        <w:t xml:space="preserve">      intensidad en relación con dicho menor de edad.  Por  tal  motivo,  la</w:t>
        <w:br/>
        <w:t xml:space="preserve">      compensación del daño a que se refiere el párrafo anterior,  debe  ser</w:t>
        <w:br/>
        <w:t xml:space="preserve">      compensado en equidad, además, por la cantidad de US$ 5,000.00  (cinco</w:t>
        <w:br/>
        <w:t xml:space="preserve">      mil dólares de los Estados Unidos de América), que acrecerá a la  suma</w:t>
        <w:br/>
        <w:t xml:space="preserve">      indicada anteriormente;</w:t>
        <w:br/>
        <w:br/>
        <w:br/>
        <w:br/>
        <w:br/>
        <w:t xml:space="preserve">      c)    para Jorge Correa Sánchez, Omar Daniel Pérez Areiza, José Leonel</w:t>
        <w:br/>
        <w:t xml:space="preserve">      Areiza Posada y Marco Aurelio Areiza Posada,  quienes  eran  niños  al</w:t>
        <w:br/>
        <w:t xml:space="preserve">      momento de los hechos, la Corte fija la cantidad de US$ 2,500.00  (dos</w:t>
        <w:br/>
        <w:t xml:space="preserve">      mil quinientos dólares de los Estados Unidos de América);</w:t>
        <w:br/>
        <w:br/>
        <w:br/>
        <w:br/>
        <w:br/>
        <w:t xml:space="preserve">      d)    algunos de los familiares que vivieron personalmente los  hechos</w:t>
        <w:br/>
        <w:t xml:space="preserve">      de la masacre han sido  identificados  y  declarados  víctimas  de  la</w:t>
        <w:br/>
        <w:t xml:space="preserve">      violación a su integridad personal (supra párr. 265), lo cual debe ser</w:t>
        <w:br/>
        <w:t xml:space="preserve">      tomado en cuenta. Si bien es imposible  para  el  Tribunal  determinar</w:t>
        <w:br/>
        <w:t xml:space="preserve">      claramente cuáles familiares de las  víctimas  se  encontraban  en  La</w:t>
        <w:br/>
        <w:t xml:space="preserve">      Granja o El Aro durante los días  de  los  hechos,  hayan  sido  o  no</w:t>
        <w:br/>
        <w:t xml:space="preserve">      individualizados, es razonable suponer que en  las  circunstancias  de</w:t>
        <w:br/>
        <w:t xml:space="preserve">      este caso todos los familiares de las personas ejecutadas han  sufrido</w:t>
        <w:br/>
        <w:t xml:space="preserve">      profundamente los daños  provocados  por  el  dolor  de  perder  a  un</w:t>
        <w:br/>
        <w:t xml:space="preserve">      familiar. Asimismo, algunos familiares tuvieron  que  enterrar  a  sus</w:t>
        <w:br/>
        <w:t xml:space="preserve">      seres  queridos,  sin  contar  con  la  ayuda   de   las   autoridades</w:t>
        <w:br/>
        <w:t xml:space="preserve">      competentes.  Además, dichos familiares han sufrido violaciones a  las</w:t>
        <w:br/>
        <w:t xml:space="preserve">      garantías judiciales y a la protección judicial (supra párr. 344). Por</w:t>
        <w:br/>
        <w:t xml:space="preserve">      tanto, la  Corte  considera  que  el  daño  correspondiente  debe  ser</w:t>
        <w:br/>
        <w:t xml:space="preserve">      compensado mediante el pago, a favor de cada uno de los familiares  de</w:t>
        <w:br/>
        <w:t xml:space="preserve">      las personas ejecutadas, quienes se encuentran señaladas en el Anexo I</w:t>
        <w:br/>
        <w:t xml:space="preserve">      del presente Fallo, de las cantidades  de  dinero  que  se  indican  a</w:t>
        <w:br/>
        <w:t xml:space="preserve">      continuación:</w:t>
        <w:br/>
        <w:br/>
        <w:br/>
        <w:br/>
        <w:t xml:space="preserve">           i.    US$ 10,000.00 (diez mil dólares de los Estados  Unidos  de</w:t>
        <w:br/>
        <w:t xml:space="preserve">           América) en el caso de la madre, del padre, del o de la  cónyuge</w:t>
        <w:br/>
        <w:t xml:space="preserve">           o de la compañera o compañero permanente y de cada hijo e  hija,</w:t>
        <w:br/>
        <w:t xml:space="preserve">           de las 19 víctimas ejecutadas;</w:t>
        <w:br/>
        <w:br/>
        <w:br/>
        <w:br/>
        <w:br/>
        <w:t xml:space="preserve">           ii.   US$ 1,500.00 (mil quinientos dólares de los Estados Unidos</w:t>
        <w:br/>
        <w:t xml:space="preserve">           de América) en el caso de cada hermana o hermano; y</w:t>
        <w:br/>
        <w:br/>
        <w:br/>
        <w:br/>
        <w:br/>
        <w:t xml:space="preserve">           iii.  estas cantidades serán acrecidas mediante el pago  de  US$</w:t>
        <w:br/>
        <w:t xml:space="preserve">           2,000.00 (dos mil dólares de los Estados Unidos de América) para</w:t>
        <w:br/>
        <w:t xml:space="preserve">           quienes acrediten ante las autoridades  competentes  del  Estado</w:t>
        <w:br/>
        <w:t xml:space="preserve">           meadiante   la   información   oficial   necesaria    para    su</w:t>
        <w:br/>
        <w:t xml:space="preserve">           identificación y comprobación de parentesco  que  eran  niños  o</w:t>
        <w:br/>
        <w:t xml:space="preserve">           niñas al momento de la masacre y perdieron a sus familiares,  ya</w:t>
        <w:br/>
        <w:t xml:space="preserve">           que dichos sufrimientos aumentaron por su condición  de  menores</w:t>
        <w:br/>
        <w:t xml:space="preserve">           de edad y la desprotección a la que se vieron sometidos  por  el</w:t>
        <w:br/>
        <w:t xml:space="preserve">           Estado.</w:t>
        <w:br/>
        <w:br/>
        <w:br/>
        <w:br/>
        <w:br/>
        <w:t xml:space="preserve">      e)    US$ 4,000 (cuatro mil dólares de los Estados Unidos de  América)</w:t>
        <w:br/>
        <w:t xml:space="preserve">      para cada una de las 17 personas obligadas a arrear ganado,  señaladas</w:t>
        <w:br/>
        <w:t xml:space="preserve">      en el párrafo 364.b y quienes se encuentran  en  el  Anexo  II  de  la</w:t>
        <w:br/>
        <w:t xml:space="preserve">      presente Sentencia;</w:t>
        <w:br/>
        <w:br/>
        <w:br/>
        <w:br/>
        <w:br/>
        <w:t xml:space="preserve">      f)    US$ 3,500 (tres mil quinientos dólares de los Estados Unidos  de</w:t>
        <w:br/>
        <w:t xml:space="preserve">      América) para cada una de las personas que perdieron su ganado  en  El</w:t>
        <w:br/>
        <w:t xml:space="preserve">      Aro, señaladas en el Anexo III de la presente Sentencia;</w:t>
        <w:br/>
        <w:br/>
        <w:br/>
        <w:br/>
        <w:br/>
        <w:t xml:space="preserve">      g)    US$ 6,000 (seis mil dólares de los Estados  Unidos  de  América)</w:t>
        <w:br/>
        <w:t xml:space="preserve">      para cada una de las personas que perdieron sus viviendas en  El  Aro,</w:t>
        <w:br/>
        <w:t xml:space="preserve">      señaladas en el Anexo III de la presente Sentencia; y</w:t>
        <w:br/>
        <w:br/>
        <w:br/>
        <w:br/>
        <w:br/>
        <w:t xml:space="preserve">      h)    US$ 2,500 (dos mil quinientos dólares de los Estados  Unidos  de</w:t>
        <w:br/>
        <w:t xml:space="preserve">      América) adicionales, para ser entregados a las  personas  que  fueron</w:t>
        <w:br/>
        <w:t xml:space="preserve">      declaradas víctimas del artículo 5,  en  relación  con  los  artículos</w:t>
        <w:br/>
        <w:t xml:space="preserve">      11.2, 21 y 22 de la Convención, quienes se encuentran señaladas en  el</w:t>
        <w:br/>
        <w:t xml:space="preserve">      Anexo III de esta Sentencia.</w:t>
        <w:br/>
        <w:br/>
        <w:br/>
        <w:t>391.  La  Corte  ha  tomado  en  consideración  al  momento  de  dictar  las</w:t>
        <w:br/>
        <w:t>reparaciones por concepto de daño inmaterial la violación del artículo 5  de</w:t>
        <w:br/>
        <w:t>la Convención sufrida por las personas señaladas en los párrafos 277  y  278</w:t>
        <w:br/>
        <w:t>de la presente Sentencia.</w:t>
        <w:br/>
        <w:br/>
        <w:t>392.  Con base en lo anterior, la compensación  de  los  daños  inmateriales</w:t>
        <w:br/>
        <w:t>ocasionados por las violaciones declaradas en el presente caso,  se  indican</w:t>
        <w:br/>
        <w:t>en los Anexos I, II y III de la presente Sentencia.</w:t>
        <w:br/>
        <w:br/>
        <w:br/>
        <w:t xml:space="preserve">                        D) Otras formas de reparación</w:t>
        <w:br/>
        <w:br/>
        <w:t xml:space="preserve">           (Medidas de satisfacción y garantías de no repetición)</w:t>
        <w:br/>
        <w:br/>
        <w:br/>
        <w:br/>
        <w:t>Alegatos de la Comisión</w:t>
        <w:br/>
        <w:br/>
        <w:br/>
        <w:br/>
        <w:t>393.  En su escrito de alegatos finales, la Comisión consideró que, para  la</w:t>
        <w:br/>
        <w:t>determinación de las víctimas de las  múltiples  violaciones  perpetradas  a</w:t>
        <w:br/>
        <w:t>través de la masacres, existían dos dimensiones en el  caso,  una  dimensión</w:t>
        <w:br/>
        <w:t>colectiva  y  una  dimensión  individual.   Dichas  perspectivas  deben  ser</w:t>
        <w:br/>
        <w:t>tomadas en cuenta en el  momento  de  dictar  las  medidas  necesarias  para</w:t>
        <w:br/>
        <w:t>garantizar a las víctimas los derechos conculcados.   En  este  sentido,  en</w:t>
        <w:br/>
        <w:t>relación con otras  formas  de  reparación,  la  Comisión  solicitó  que  se</w:t>
        <w:br/>
        <w:t>dispongan  las  siguientes  medidas  de  satisfacción  y  garantías  de   no</w:t>
        <w:br/>
        <w:t>repetición:</w:t>
        <w:br/>
        <w:br/>
        <w:br/>
        <w:br/>
        <w:t xml:space="preserve">   a) llevar a término una investigación seria,  completa  y  efectiva  para</w:t>
        <w:br/>
        <w:t xml:space="preserve">      determinar la responsabilidad intelectual y material de los autores de</w:t>
        <w:br/>
        <w:t xml:space="preserve">      las violaciones perpetradas en perjuicio de las víctimas de La  Granja</w:t>
        <w:br/>
        <w:t xml:space="preserve">      y El Aro, y así erradicar la impunidad de los responsables;</w:t>
        <w:br/>
        <w:br/>
        <w:br/>
        <w:br/>
        <w:br/>
        <w:t xml:space="preserve">   b) publicar el resultado del proceso judicial con el fin de coadyuvar  al</w:t>
        <w:br/>
        <w:t xml:space="preserve">      derecho a la verdad de los familiares de las víctimas y de la sociedad</w:t>
        <w:br/>
        <w:t xml:space="preserve">      colombiana en su conjunto;</w:t>
        <w:br/>
        <w:br/>
        <w:br/>
        <w:br/>
        <w:br/>
        <w:t xml:space="preserve">   c) efectuar, en consulta del Estado con los familiares de  las  víctimas,</w:t>
        <w:br/>
        <w:t xml:space="preserve">      un reconocimiento simbólico destinado a la recuperación de la  memoria</w:t>
        <w:br/>
        <w:t xml:space="preserve">      histórica de las víctimas.  Dicha disculpa debe albergar a  todas  las</w:t>
        <w:br/>
        <w:t xml:space="preserve">      víctimas del caso, ya  que  en  la  disculpa  que  se  suscitó  en  la</w:t>
        <w:br/>
        <w:t xml:space="preserve">      audiencia  pública sólo hubo un reconocimiento parcial;</w:t>
        <w:br/>
        <w:br/>
        <w:br/>
        <w:br/>
        <w:br/>
        <w:t xml:space="preserve">   d) adelantar  el  cumplimiento  efectivo  de  las  órdenes  de  detención</w:t>
        <w:br/>
        <w:t xml:space="preserve">      dictadas por las autoridades judiciales;</w:t>
        <w:br/>
        <w:br/>
        <w:br/>
        <w:br/>
        <w:br/>
        <w:t xml:space="preserve">   e) adoptar medidas necesarias para que los familiares   de  las  víctimas</w:t>
        <w:br/>
        <w:t xml:space="preserve">      reciban una adecuada y oportuna reparación  por  el  daño  material  e</w:t>
        <w:br/>
        <w:t xml:space="preserve">      inmaterial sufrido, incluyendo medidas de satisfacción y garantías  de</w:t>
        <w:br/>
        <w:t xml:space="preserve">      no repetición;</w:t>
        <w:br/>
        <w:br/>
        <w:br/>
        <w:br/>
        <w:br/>
        <w:t xml:space="preserve">   f) adelantar acciones destinadas a evitar la  repetición  de  los  hechos</w:t>
        <w:br/>
        <w:t xml:space="preserve">      materia de la demanda, en particular en cuanto al accionar  de  grupos</w:t>
        <w:br/>
        <w:t xml:space="preserve">      paramilitares en colaboración con miembros de la Fuerza Pública;</w:t>
        <w:br/>
        <w:br/>
        <w:br/>
        <w:br/>
        <w:br/>
        <w:t xml:space="preserve">   g) adoptar las medidas necesarias para garantizar el regreso a  su  lugar</w:t>
        <w:br/>
        <w:t xml:space="preserve">      de origen de las víctimas de la  incursión,  desplazadas  forzadamente</w:t>
        <w:br/>
        <w:t xml:space="preserve">      por la violencia; y</w:t>
        <w:br/>
        <w:br/>
        <w:br/>
        <w:br/>
        <w:br/>
        <w:t xml:space="preserve">   h) publicar los hechos del caso en el diario oficial del  Estado  u  otro</w:t>
        <w:br/>
        <w:t xml:space="preserve">      medio de circulación nacional.</w:t>
        <w:br/>
        <w:br/>
        <w:br/>
        <w:br/>
        <w:t>Alegatos de los representantes</w:t>
        <w:br/>
        <w:br/>
        <w:t>394.   En  relación  con  otras  formas  de  reparación  los  representantes</w:t>
        <w:br/>
        <w:t>indicaron que la Corte debe ordenar al Estado:</w:t>
        <w:br/>
        <w:br/>
        <w:t xml:space="preserve">   a) realizar  una  investigación  que  esclarezca  los  hechos,  juzgue  y</w:t>
        <w:br/>
        <w:t xml:space="preserve">      sancione a todos los responsables en un tribunal imparcial,  que  debe</w:t>
        <w:br/>
        <w:t xml:space="preserve">      pertenecer a la jurisdicción ordinaria;</w:t>
        <w:br/>
        <w:br/>
        <w:br/>
        <w:t xml:space="preserve">   b) integrar un conjunto de fiscales, con los medios logísticos necesarios</w:t>
        <w:br/>
        <w:t xml:space="preserve">      y suficientes para investigar  todos  los  crímenes  cometidos  en  el</w:t>
        <w:br/>
        <w:t xml:space="preserve">      municipio de Ituango y los demás municipios del norte del Departamento</w:t>
        <w:br/>
        <w:t xml:space="preserve">      de Antioquia, como zona donde la población civil se ha visto  afectada</w:t>
        <w:br/>
        <w:t xml:space="preserve">      por la violencia paramilitar;</w:t>
        <w:br/>
        <w:br/>
        <w:t xml:space="preserve">   c) honrar  la  memoria  de  las  víctimas  y  sus  familiares  y  de  las</w:t>
        <w:br/>
        <w:t xml:space="preserve">      comunidades;</w:t>
        <w:br/>
        <w:br/>
        <w:t xml:space="preserve">   d) que el Presidente de la  República  de  Colombia  pida  perdón  a  las</w:t>
        <w:br/>
        <w:t xml:space="preserve">      víctimas, sus familiares y a las poblaciones afectadas y  “aclare  que</w:t>
        <w:br/>
        <w:t xml:space="preserve">      las víctimas de las masacres ocurridas en La Granja y  El  Aro  fueron</w:t>
        <w:br/>
        <w:t xml:space="preserve">      personas  dedicadas  a  labores  agrarias  y  ganaderas,  honradas   y</w:t>
        <w:br/>
        <w:t xml:space="preserve">      trabajadoras,  acusadas  falsamente  de   ser   colaboradas   de   las</w:t>
        <w:br/>
        <w:t xml:space="preserve">      guerrillas, quienes fueron masacrados  por  grupos  paramilitares  que</w:t>
        <w:br/>
        <w:t xml:space="preserve">      contaron con el apoyo de  agentes  del  Estado.”  Esta  medida  deberá</w:t>
        <w:br/>
        <w:t xml:space="preserve">      llevarse a cabo con  especial  atención  para  aquellas  personas  que</w:t>
        <w:br/>
        <w:t xml:space="preserve">      fueron desplazadas y despojadas de sus bienes;</w:t>
        <w:br/>
        <w:br/>
        <w:t xml:space="preserve">   e) divulgar  la  anterior  medida  de  satisfacción  por  los  medios  de</w:t>
        <w:br/>
        <w:t xml:space="preserve">      comunicación a nivel regional y nacional;</w:t>
        <w:br/>
        <w:br/>
        <w:t xml:space="preserve">   f) fijar una placa en la escuela de La Granja en relación  con  las  tres</w:t>
        <w:br/>
        <w:t xml:space="preserve">      primeras víctimas y otra en el Politécnico "Jaime Isaza Cadavid" en el</w:t>
        <w:br/>
        <w:t xml:space="preserve">      municipio de Ituango con la finalidad de recuperar la memoria  de  los</w:t>
        <w:br/>
        <w:t xml:space="preserve">      señores  Héctor  Hernán  Correa  García,   María   Graciela   Arboleda</w:t>
        <w:br/>
        <w:t xml:space="preserve">      Rodríguez, William de Jesús Villa García y Jairo de Jesús Sepúlveda;</w:t>
        <w:br/>
        <w:br/>
        <w:t xml:space="preserve">   g) crear una beca perpetua de estudios universitarios, que  beneficien  a</w:t>
        <w:br/>
        <w:t xml:space="preserve">      las personas que acrediten habitar o provenir de Puerto  Valdivia,  La</w:t>
        <w:br/>
        <w:t xml:space="preserve">      Granja y El Aro;</w:t>
        <w:br/>
        <w:br/>
        <w:t xml:space="preserve">   h) el Estado deberá difundir la sentencia  de  la  Corte  en  colegios  y</w:t>
        <w:br/>
        <w:t xml:space="preserve">      universidades;</w:t>
        <w:br/>
        <w:br/>
        <w:t xml:space="preserve">   i) crear un “estatus especial” con fuerza de ley para los  corregimientos</w:t>
        <w:br/>
        <w:t xml:space="preserve">      de La Granja y El Aro con la  finalidad  de  contar  con  las  medidas</w:t>
        <w:br/>
        <w:t xml:space="preserve">      eficaces para la protección física de la población frente a los grupos</w:t>
        <w:br/>
        <w:t xml:space="preserve">      armados;</w:t>
        <w:br/>
        <w:br/>
        <w:t xml:space="preserve">   j) capacitar a los miembros de la fuerza pública de la zona en materia de</w:t>
        <w:br/>
        <w:t xml:space="preserve">      derechos humanos e informarles de los infortunados sucesos;</w:t>
        <w:br/>
        <w:br/>
        <w:t xml:space="preserve">   k) realizar acciones tendientes a superar el fenómeno del  desplazamiento</w:t>
        <w:br/>
        <w:t xml:space="preserve">      forzado.   Colombia  deberá  ajustar  su  legislación  en  materia  de</w:t>
        <w:br/>
        <w:t xml:space="preserve">      desplazamiento  forzado  a   las   obligaciones   internacionales   de</w:t>
        <w:br/>
        <w:t xml:space="preserve">      protección y garantía de los derechos humanos; y</w:t>
        <w:br/>
        <w:br/>
        <w:t xml:space="preserve">   l) mantener una política pública en  materia  de  desplazamiento  forzado</w:t>
        <w:br/>
        <w:t xml:space="preserve">      sustentada en informes, diagnósticos  y  evaluaciones  producidas  por</w:t>
        <w:br/>
        <w:t xml:space="preserve">      organismos intergubernamentales de protección a los derechos  humanos,</w:t>
        <w:br/>
        <w:t xml:space="preserve">      gubernamentales y no gubernamentales.</w:t>
        <w:br/>
        <w:br/>
        <w:br/>
        <w:t>Alegatos del Estado</w:t>
        <w:br/>
        <w:br/>
        <w:t>395.  En relación con otras formas de reparación el Estado señaló que:</w:t>
        <w:br/>
        <w:br/>
        <w:t xml:space="preserve">   a) el reconocimiento de responsabilidad constituye per se  una  forma  de</w:t>
        <w:br/>
        <w:t xml:space="preserve">      reparación;</w:t>
        <w:br/>
        <w:br/>
        <w:br/>
        <w:t xml:space="preserve">   b) los procesos  penales  han  sido  medios  efectivos  de  acceso  a  la</w:t>
        <w:br/>
        <w:t xml:space="preserve">      justicia. Además, se debe tener en cuenta como medidas de satisfacción</w:t>
        <w:br/>
        <w:t xml:space="preserve">      y garantía de no repetición las siguientes acciones conjuntas  de  los</w:t>
        <w:br/>
        <w:t xml:space="preserve">      órganos del Estado:</w:t>
        <w:br/>
        <w:br/>
        <w:t xml:space="preserve">             i. inclusión de las investigaciones por los casos de El Aro  y</w:t>
        <w:br/>
        <w:t xml:space="preserve">                La Granja dentro de los  procesos  seleccionados  para  dar</w:t>
        <w:br/>
        <w:t xml:space="preserve">                apoyo  por  el   Comité   Especial   de   Impulso   a   las</w:t>
        <w:br/>
        <w:t xml:space="preserve">                investigaciones de violaciones de los derechos humanos;</w:t>
        <w:br/>
        <w:t xml:space="preserve">            ii. proyecto de política pública de lucha contra  la  impunidad</w:t>
        <w:br/>
        <w:t xml:space="preserve">                por violaciones de los derechos humanos y DIH;</w:t>
        <w:br/>
        <w:t xml:space="preserve">           iii. política pública sobre desplazamiento;</w:t>
        <w:br/>
        <w:t xml:space="preserve">            iv. política pública sobre protección a testigos;</w:t>
        <w:br/>
        <w:t xml:space="preserve">             v.  plan  de  acción  para  la  población  en   situación   de</w:t>
        <w:br/>
        <w:t xml:space="preserve">                desplazamiento implementado en virtud de la Sentencia de la</w:t>
        <w:br/>
        <w:t xml:space="preserve">                Corte Constitucional T-025 de 2004;</w:t>
        <w:br/>
        <w:t xml:space="preserve">            vi. proceso de diálogo con los grupos de  autodefensa  bajo  la</w:t>
        <w:br/>
        <w:t xml:space="preserve">                tutela de la OEA;</w:t>
        <w:br/>
        <w:t xml:space="preserve">           vii. resultados operacionales de la fuerza  pública  contra  las</w:t>
        <w:br/>
        <w:t xml:space="preserve">                autodefensas ilegales; y</w:t>
        <w:br/>
        <w:t xml:space="preserve">          viii. resultados de los procesos contenciosos administrativos.</w:t>
        <w:br/>
        <w:br/>
        <w:br/>
        <w:t xml:space="preserve">   c) en consecuencia  con  los  hechos  y  violaciones  reconocidos  en  la</w:t>
        <w:br/>
        <w:t xml:space="preserve">      contestación de la demanda, se encontraba dispuesto  a  presentar  una</w:t>
        <w:br/>
        <w:t xml:space="preserve">      propuesta  de  reparación  concertada  con   los   peticionarios   que</w:t>
        <w:br/>
        <w:t xml:space="preserve">      acreditaran debidamente su posición.</w:t>
        <w:br/>
        <w:br/>
        <w:t>Consideraciones de la Corte</w:t>
        <w:br/>
        <w:br/>
        <w:t>396.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pública[277].  Estas medidas tienen especial relevancia en el presente  caso</w:t>
        <w:br/>
        <w:t>por la extrema gravedad de los hechos y el carácter colectivo de  los  daños</w:t>
        <w:br/>
        <w:t>ocasionados.</w:t>
        <w:br/>
        <w:br/>
        <w:t>397.  El Tribunal no determinará una  indemnización  por  concepto  de  daño</w:t>
        <w:br/>
        <w:t>inmaterial a favor de las personas que solamente fueron  desplazadas  de  la</w:t>
        <w:br/>
        <w:t>Granja y El Aro, contenidas en el Anexo IV de la  presente  Sentencia,  toda</w:t>
        <w:br/>
        <w:t>vez que la Corte considera pertinente otorgar  una  reparación  de  carácter</w:t>
        <w:br/>
        <w:t>colectivo, la cual se analizará en el presente capítulo.</w:t>
        <w:br/>
        <w:br/>
        <w:t>398.  Según  informó  el  Estado,  el  Comité  Especial  de  Impulso  a  las</w:t>
        <w:br/>
        <w:t>investigaciones  por  violaciones  a  los   derechos   humanos   y   derecho</w:t>
        <w:br/>
        <w:t>internacional humanitario ha seleccionado el presente  caso  para  darle  la</w:t>
        <w:br/>
        <w:t>debida celeridad en el esclarecimiento  de  los  hechos  y  sanción  de  los</w:t>
        <w:br/>
        <w:t>responsables  (supra  párr.  395).  La  Corte  estima  que  esta  vía  puede</w:t>
        <w:br/>
        <w:t>contribuir al cumplimiento de estas obligaciones.</w:t>
        <w:br/>
        <w:br/>
        <w:br/>
        <w:br/>
        <w:br/>
        <w:t>a)      Obligación  del  Estado  de  investigar   los   hechos   del   caso,</w:t>
        <w:br/>
        <w:t>identificar, juzgar y sancionar a los responsables</w:t>
        <w:br/>
        <w:br/>
        <w:br/>
        <w:br/>
        <w:t>399.  El Estado  debe  realizar  las  debidas  diligencias  para  activar  y</w:t>
        <w:br/>
        <w:t>completar   eficazmente   las    investigaciones    para    determinar    la</w:t>
        <w:br/>
        <w:t>responsabilidad de todos los  autores  de  la  masacre  y  de  las  personas</w:t>
        <w:br/>
        <w:t>responsables por acción o por omisión del incumplimiento  de  la  obligación</w:t>
        <w:br/>
        <w:t>estatal de garantizar  los  derechos  violados.  El  Estado  debe  llevar  a</w:t>
        <w:br/>
        <w:t>término el proceso penal  sobre  las  masacres  de  Ituango,  de  forma  que</w:t>
        <w:br/>
        <w:t>permita el  esclarecimiento  de  todos  los  hechos  y  la  sanción  de  los</w:t>
        <w:br/>
        <w:t>responsables. Los resultados de  estos  procesos  deberán  ser  públicamente</w:t>
        <w:br/>
        <w:t>divulgados por el  Estado,  de  manera  que  la  sociedad  colombiana  pueda</w:t>
        <w:br/>
        <w:t>conocer la verdad acerca de los hechos del presente caso.</w:t>
        <w:br/>
        <w:br/>
        <w:br/>
        <w:br/>
        <w:t>400.   Para  cumplir  la  obligación  de  investigar  y  sancionar   a   los</w:t>
        <w:br/>
        <w:t>responsables en el presente  caso,  Colombia  debe:  a)  remover  todos  los</w:t>
        <w:br/>
        <w:t>obstáculos, de facto y de jure, que  mantengan  la  impunidad;  b)  utilizar</w:t>
        <w:br/>
        <w:t>todos los medios disponibles para  hacer  expedita  la  investigación  y  el</w:t>
        <w:br/>
        <w:t>proceso judicial; y c) otorgar las garantías de seguridad  adecuadas  a  las</w:t>
        <w:br/>
        <w:t>víctimas,  investigadores,  testigos,  defensores   de   derechos   humanos,</w:t>
        <w:br/>
        <w:t>empleados judiciales, fiscales y otros operadores de justicia,  así  como  a</w:t>
        <w:br/>
        <w:t>los ex pobladores y actuales pobladores de Ituango[278].</w:t>
        <w:br/>
        <w:br/>
        <w:br/>
        <w:br/>
        <w:t>401.  Asimismo,  la  Corte  valora  los  siguientes  proyectos  y  políticas</w:t>
        <w:br/>
        <w:t>públicas adelantados por el Estado como otras formas de  reparación  de  los</w:t>
        <w:br/>
        <w:t>cuales el Estado informó en el proceso:  Proyecto  de  Política  Pública  de</w:t>
        <w:br/>
        <w:t>Lucha Contra la Impunidad por Violaciones de los Derechos Humanos y  D.I.H.;</w:t>
        <w:br/>
        <w:t>política pública sobre desplazamiento y protección a  testigos;  y  Plan  de</w:t>
        <w:br/>
        <w:t>acción para la población en  situación  de  desplazamiento  implementado  en</w:t>
        <w:br/>
        <w:t>virtud de la Sentencia de la Corte Constitucional T- 025 de 2004.</w:t>
        <w:br/>
        <w:br/>
        <w:br/>
        <w:t xml:space="preserve">                                      *</w:t>
        <w:br/>
        <w:t xml:space="preserve">                                *           *</w:t>
        <w:br/>
        <w:br/>
        <w:t>402.  La Corte reitera su jurisprudencia constante[279]  en  el  sentido  de</w:t>
        <w:br/>
        <w:t>que ninguna ley ni disposición de derecho interno puede impedir a un  Estado</w:t>
        <w:br/>
        <w:t>cumplir con la obligación de investigar y sancionar a  los  responsables  de</w:t>
        <w:br/>
        <w:t>violaciones de  derechos  humanos.   En  particular,  son  inaceptables  las</w:t>
        <w:br/>
        <w:t>disposiciones de amnistía, las reglas de prescripción y  el  establecimiento</w:t>
        <w:br/>
        <w:t>de excluyentes de responsabilidad que pretendan impedir la  investigación  y</w:t>
        <w:br/>
        <w:t>sanción de los responsables  de  las  violaciones  graves  de  los  derechos</w:t>
        <w:br/>
        <w:t>humanos, como las del presente caso.  El Tribunal reitera que la  obligación</w:t>
        <w:br/>
        <w:t>del Estado de investigar de manera adecuada y sancionar, en su caso,  a  los</w:t>
        <w:br/>
        <w:t>responsables, debe cumplirse diligentemente para evitar la impunidad  y  que</w:t>
        <w:br/>
        <w:t>este tipo de hechos vuelvan a repetirse.</w:t>
        <w:br/>
        <w:br/>
        <w:br/>
        <w:t>b)    Tratamiento adecuado a los familiares de las víctimas</w:t>
        <w:br/>
        <w:br/>
        <w:br/>
        <w:br/>
        <w:t>403.  La Corte estima que es preciso disponer una medida de  reparación  que</w:t>
        <w:br/>
        <w:t>busque reducir  los  padecimientos  físicos  y  psicológicos  de  todos  los</w:t>
        <w:br/>
        <w:t>familiares de las víctimas ejecutadas.   Con  el  fin  de  contribuir  a  la</w:t>
        <w:br/>
        <w:t>reparación de estos daños, el Tribunal dispone la  obligación  a  cargo  del</w:t>
        <w:br/>
        <w:t>Estado de brindar gratuitamente,  sin  cargo  alguno  y  por  medio  de  los</w:t>
        <w:br/>
        <w:t>servicios nacionales de salud, el tratamiento adecuado que requieran  dichas</w:t>
        <w:br/>
        <w:t>personas, previa manifestación de su consentimiento, y  por  el  tiempo  que</w:t>
        <w:br/>
        <w:t>sea  necesario,  incluida  la  provisión  de  medicamentos.  Al  proveer  el</w:t>
        <w:br/>
        <w:t>tratamiento  psicológico  se   deben   considerar   las   circunstancias   y</w:t>
        <w:br/>
        <w:t>necesidades particulares de cada persona,  de  manera  que  se  les  brinden</w:t>
        <w:br/>
        <w:t>tratamientos colectivos, familiares e individuales, según lo que se  acuerde</w:t>
        <w:br/>
        <w:t>con cada uno de ellos y después de una evaluación individual.</w:t>
        <w:br/>
        <w:br/>
        <w:br/>
        <w:br/>
        <w:br/>
        <w:t>c)    Garantías estatales de seguridad para los ex habitantes del  municipio</w:t>
        <w:br/>
        <w:t>de Ituango que decidan regresar</w:t>
        <w:br/>
        <w:br/>
        <w:br/>
        <w:br/>
        <w:t>404.  La Corte es consciente de que algunos miembros de  Ituango  no  desean</w:t>
        <w:br/>
        <w:t>regresar a los corregimientos de La Granja y El  Aro  debido  a  que  tienen</w:t>
        <w:br/>
        <w:t>temor de seguir siendo amenazados por los  paramilitares.   Es  posible  que</w:t>
        <w:br/>
        <w:t>esta situación no cambie hasta  que  se  complete  una  investigación  y  un</w:t>
        <w:br/>
        <w:t>proceso judicial efectivos, que tengan como resultado el esclarecimiento  de</w:t>
        <w:br/>
        <w:t>los hechos y la sanción de los responsables. En el momento  en  que  los  ex</w:t>
        <w:br/>
        <w:t>habitantes, que no lo han hecho aún, decidan regresar a Ituango,  el  Estado</w:t>
        <w:br/>
        <w:t>deberá garantizarles su seguridad, lo cual deberá incluir la supervisión  de</w:t>
        <w:br/>
        <w:t>las condiciones prevaleciente en la forma y término que permitan  garantizar</w:t>
        <w:br/>
        <w:t>dicha seguridad.  Si  no  existieran  estas  condiciones  el  Estado  deberá</w:t>
        <w:br/>
        <w:t>disponer de los recursos necesarios y  suficientes  para  procurar  que  las</w:t>
        <w:br/>
        <w:t>víctimas  de  desplazamiento  forzado  puedan  reasentarse  en   condiciones</w:t>
        <w:br/>
        <w:t>similares a las que se encontraban antes de  los  hechos  en  el  lugar  que</w:t>
        <w:br/>
        <w:t>ellas libre y voluntariamente indiquen.</w:t>
        <w:br/>
        <w:br/>
        <w:br/>
        <w:br/>
        <w:br/>
        <w:t>d)    Disculpa pública y reconocimiento de responsabilidad internacional</w:t>
        <w:br/>
        <w:br/>
        <w:br/>
        <w:br/>
        <w:t>405.  Para efectos de una disculpa pública para los  sobrevivientes  de  los</w:t>
        <w:br/>
        <w:t>hechos de las masacres de Ituango y  los  familiares  de  las  víctimas,  la</w:t>
        <w:br/>
        <w:t>Corte  valora  y  aprecia  el  reconocimiento  parcial  de   responsabilidad</w:t>
        <w:br/>
        <w:t>internacional  realizado  por  el  Estado  durante  la   audiencia   pública</w:t>
        <w:br/>
        <w:t>celebrada el 23 se septiembre de 2005 en relación con el presente  caso.  En</w:t>
        <w:br/>
        <w:t>esa oportunidad, el Estado manifestó que:</w:t>
        <w:br/>
        <w:br/>
        <w:br/>
        <w:br/>
        <w:t xml:space="preserve">      Expresa su respeto y consideración por las víctimas y sus familiares y</w:t>
        <w:br/>
        <w:t xml:space="preserve">      pide perdón por el comportamiento equivocado e ilegítimo de algunos de</w:t>
        <w:br/>
        <w:t xml:space="preserve">      sus Agentes en relación con los hechos del presente caso.</w:t>
        <w:br/>
        <w:br/>
        <w:br/>
        <w:br/>
        <w:t>406.  Sin embargo, por las magnitud  de  los  acontecimientos  del  presente</w:t>
        <w:br/>
        <w:t>caso, como una medida de satisfacción para las víctimas  y  garantía  de  no</w:t>
        <w:br/>
        <w:t>repetición de las graves violaciones  de  derechos  humanos  producidas,  el</w:t>
        <w:br/>
        <w:t>Estado deberá reconocer públicamente, con presencia  de  altas  autoridades,</w:t>
        <w:br/>
        <w:t>su responsabilidad internacional por los hechos de las masacres en El Aro  y</w:t>
        <w:br/>
        <w:t>La  Granja,  y  pedir  una  disculpa  a  los  familiares  de  las   personas</w:t>
        <w:br/>
        <w:t>desaparecidas y privadas de su vida por haber  incumplido  sus  obligaciones</w:t>
        <w:br/>
        <w:t>de garantizar los derechos a la libertad  personal,  integridad  personal  y</w:t>
        <w:br/>
        <w:t>vida de esas personas, como consecuencia de las  faltas  del  Estado  a  sus</w:t>
        <w:br/>
        <w:t>deberes  de  prevención,  protección  e  investigación,  así  como  por  las</w:t>
        <w:br/>
        <w:t>violaciones a los derechos de acceso a la justicia,  protección  judicial  y</w:t>
        <w:br/>
        <w:t>garantías judiciales cometidas en su perjuicio.</w:t>
        <w:br/>
        <w:br/>
        <w:br/>
        <w:br/>
        <w:t>e)    Programa de vivienda</w:t>
        <w:br/>
        <w:br/>
        <w:br/>
        <w:br/>
        <w:br/>
        <w:br/>
        <w:t>407.  Dado que algunos de los habitantes de La Granja  y  El  Aro  perdieron</w:t>
        <w:br/>
        <w:t>sus viviendas como consecuencia de  los  hechos  del  presente  caso  (supra</w:t>
        <w:br/>
        <w:t>párr. 125.81), este Tribunal considera que el  Estado  debe  implementar  un</w:t>
        <w:br/>
        <w:t>programa habitacional, mediante el cual se provea de vivienda  adecuada[280]</w:t>
        <w:br/>
        <w:t>a aquellas víctimas sobrevivientes que perdieron sus  casas  y  que  así  lo</w:t>
        <w:br/>
        <w:t>requieran.  El Estado debe desarrollar este programa dentro de un plazo  que</w:t>
        <w:br/>
        <w:t>no excedará  cinco  años,  a  partir  de  la  notificación  de  la  presente</w:t>
        <w:br/>
        <w:t>Sentencia.</w:t>
        <w:br/>
        <w:br/>
        <w:br/>
        <w:br/>
        <w:br/>
        <w:br/>
        <w:t>f)    Placa</w:t>
        <w:br/>
        <w:br/>
        <w:br/>
        <w:br/>
        <w:br/>
        <w:br/>
        <w:t>408.  Asimismo, el Estado  deberá  fijar  una  placa  en  un  lugar  público</w:t>
        <w:br/>
        <w:t>apropiado en cada uno de los corregimientos de La Granja y El  Aro,  con  el</w:t>
        <w:br/>
        <w:t>propósito de que las nuevas generaciones conozcan acerca de los  hechos  que</w:t>
        <w:br/>
        <w:t>dieron lugar al presente caso. Las placas deberán ser instaladas dentro  del</w:t>
        <w:br/>
        <w:t>año siguiente a la notificación de la presente Sentencia.  El  contenido  de</w:t>
        <w:br/>
        <w:t>dichas placas deberá ser acordado entre los representantes de  las  víctimas</w:t>
        <w:br/>
        <w:t>y el Estado.</w:t>
        <w:br/>
        <w:br/>
        <w:br/>
        <w:br/>
        <w:br/>
        <w:br/>
        <w:t>g)    Educación en derechos humanos</w:t>
        <w:br/>
        <w:br/>
        <w:br/>
        <w:br/>
        <w:br/>
        <w:br/>
        <w:t>409.  Considerando que  las  masacres  de  Ituango  fueron  perpetradas  por</w:t>
        <w:br/>
        <w:t>paramilitares que actuaron con la colaboración,  tolerancia  y  aquiescencia</w:t>
        <w:br/>
        <w:t>de  agentes  estatales,  en  violación  de  normas  imperativas  de  Derecho</w:t>
        <w:br/>
        <w:t>Internacional, el Estado  deberá  adoptar  medidas  tendientes  a  formar  y</w:t>
        <w:br/>
        <w:t>capacitar a los miembros de sus cuerpos  armados  y  de  sus  organismos  de</w:t>
        <w:br/>
        <w:t>seguridad sobre los principios  y  normas  de  protección  de  los  derechos</w:t>
        <w:br/>
        <w:t>humanos y del derecho internacional humanitario y sobre los  límites  a  los</w:t>
        <w:br/>
        <w:t>que debe estar sometido. Para ello, el  Estado  deberá  implementar,  en  un</w:t>
        <w:br/>
        <w:t>plazo razonable, programas  de  educación  en  derechos  humanos  y  Derecho</w:t>
        <w:br/>
        <w:t>Internacional  Humanitario  permanentes  dentro  de  las   fuerzas   armadas</w:t>
        <w:br/>
        <w:t>colombianas.</w:t>
        <w:br/>
        <w:br/>
        <w:br/>
        <w:br/>
        <w:br/>
        <w:br/>
        <w:t>h)    Publicación de las partes pertinentes de la presente Sentencia</w:t>
        <w:br/>
        <w:br/>
        <w:br/>
        <w:br/>
        <w:br/>
        <w:br/>
        <w:t>410.  La Corte estima que, como  medida  de  satisfacción,  el  Estado  debe</w:t>
        <w:br/>
        <w:t>publicar  dentro  del  plazo  de  seis  meses,  contado  a  partir   de   la</w:t>
        <w:br/>
        <w:t>notificación de la presente Sentencia, por una vez, en el Diario  Oficial  y</w:t>
        <w:br/>
        <w:t>en otro diario  de  circulación  nacional,  la  Sección  de  esta  Sentencia</w:t>
        <w:br/>
        <w:t>denominada   Hechos   Probados,   sin   las   notas   al   pie   de   página</w:t>
        <w:br/>
        <w:t>correspondientes, así como la parte resolutiva de la misma.</w:t>
        <w:br/>
        <w:br/>
        <w:br/>
        <w:t xml:space="preserve">                                    XVII</w:t>
        <w:br/>
        <w:br/>
        <w:t xml:space="preserve">                               Costas y Gastos</w:t>
        <w:br/>
        <w:br/>
        <w:br/>
        <w:t>Alegatos de la Comisión</w:t>
        <w:br/>
        <w:br/>
        <w:t>411.  En relación con el pago de las costas y gastos en  que  han  incurrido</w:t>
        <w:br/>
        <w:t>los familiares de las víctimas para litigar este caso en el ámbito  interno,</w:t>
        <w:br/>
        <w:t>así  como  ante  la  Comisión  y  la  Corte,  y  los   honorarios   de   sus</w:t>
        <w:br/>
        <w:t>representantes  legales, la Comisión solicitó que se ordene al Estado  hacer</w:t>
        <w:br/>
        <w:t>efectivo el pago de dichos gastos.</w:t>
        <w:br/>
        <w:br/>
        <w:t>Alegatos de los representantes</w:t>
        <w:br/>
        <w:br/>
        <w:t>412.  En relación con el pago de las costas y gastos en  que  han  incurrido</w:t>
        <w:br/>
        <w:t>los familiares de las víctimas para litigar este caso en el ámbito  interno,</w:t>
        <w:br/>
        <w:t>así como ante la Comisión y la Corte y los honorarios de sus  representantes</w:t>
        <w:br/>
        <w:t xml:space="preserve"> legales, los representantes señalaron que:</w:t>
        <w:br/>
        <w:br/>
        <w:t xml:space="preserve">   a) el GIDH ha incurrido en gastos para adelantar ambos  dos  casos,  los</w:t>
        <w:br/>
        <w:t xml:space="preserve">      cuales  se  acumularon  posteriormente  durante  el  trámite  de   la</w:t>
        <w:br/>
        <w:t xml:space="preserve">      Comisión. Éstos ascienden a US$11.074  para  las  gestiones  a  nivel</w:t>
        <w:br/>
        <w:t xml:space="preserve">      internacional y US$4.553 para las  gestiones  a  nivel  interno  ante</w:t>
        <w:br/>
        <w:t xml:space="preserve">      autoridades administrativas, judiciales y para viajes  y  entrevistas</w:t>
        <w:br/>
        <w:t xml:space="preserve">      con las víctimas. Esto arroja un total de US$15.627;</w:t>
        <w:br/>
        <w:br/>
        <w:br/>
        <w:t xml:space="preserve">   b) la Comisión Colombiana de Juristas como copeticionaria  del  caso  ha</w:t>
        <w:br/>
        <w:t xml:space="preserve">      adelantado gestiones ante la Comisión Interamericana desde 1999 en el</w:t>
        <w:br/>
        <w:t xml:space="preserve">      caso de La Granja y desde el año 2000 en el caso  de  El  Aro  y  sus</w:t>
        <w:br/>
        <w:t xml:space="preserve">      gastos ascienden a cuatro mil ochocientos noventa y cinco dólares  de</w:t>
        <w:br/>
        <w:t xml:space="preserve">      los Estados Unidos con setenta centavos (US $4.895.70);</w:t>
        <w:br/>
        <w:br/>
        <w:br/>
        <w:t xml:space="preserve">   c) los gastos relacionados con  el  trámite  del  caso  ante  la  Corte,</w:t>
        <w:br/>
        <w:t xml:space="preserve">      consistentes en el costo de las pruebas periciales, y  los  traslados</w:t>
        <w:br/>
        <w:t xml:space="preserve">      de los testigos, peritos y abogados a San José de Costa Rica para  la</w:t>
        <w:br/>
        <w:t xml:space="preserve">      realización de las audiencias  ante  ese  Tribunal,  ascienden  a  la</w:t>
        <w:br/>
        <w:t xml:space="preserve">      cantidad de cuarenta y cuatro mil doscientos veinticinco  dólares  de</w:t>
        <w:br/>
        <w:t xml:space="preserve">      los Estados Unidos con sesenta y ocho centavos (US $44.225.68); y</w:t>
        <w:br/>
        <w:br/>
        <w:br/>
        <w:t xml:space="preserve">   d) en cuanto  a  las  costas  o  agencias  en  derecho,  conforme  a  la</w:t>
        <w:br/>
        <w:t xml:space="preserve">      legislación interna, la fijación de las agencias en derecho responden</w:t>
        <w:br/>
        <w:t xml:space="preserve">      a  valores  establecidos  por  la  Corporación  Colegio  Nacional  de</w:t>
        <w:br/>
        <w:t xml:space="preserve">      Abogados. Dicho Colegio, mediante Resolución 1 del 5 de junio de 2004</w:t>
        <w:br/>
        <w:t xml:space="preserve">      ha establecido en la disposición 16.23 que en el caso de Acciones  de</w:t>
        <w:br/>
        <w:t xml:space="preserve">      Nulidad  y  Restablecimiento  del   Derecho,   tramitadas   ante   la</w:t>
        <w:br/>
        <w:t xml:space="preserve">      jurisdicción contenciosa administrativa, esto es, por responsabilidad</w:t>
        <w:br/>
        <w:t xml:space="preserve">      extracontractual del Estado, corresponden unos honorarios mínimos del</w:t>
        <w:br/>
        <w:t xml:space="preserve">      30% de la suma recaudada. Cuando la actuación realizada se  surta  en</w:t>
        <w:br/>
        <w:t xml:space="preserve">      dos instancias, el artículo 3.3 de la mencionada Resolución establece</w:t>
        <w:br/>
        <w:t xml:space="preserve">      “como mínimo el 30% del valor de los honorarios  convenidos  para  la</w:t>
        <w:br/>
        <w:t xml:space="preserve">      primera instancia”.  En  consecuencia,  serían  30%  por  la  primera</w:t>
        <w:br/>
        <w:t xml:space="preserve">      instancia y 9% por la segunda instancia, para un total de 39%.</w:t>
        <w:br/>
        <w:br/>
        <w:t>Alegatos del Estado</w:t>
        <w:br/>
        <w:br/>
        <w:t>413.  En relación con el pago de las costas y gastos el Estado señaló que:</w:t>
        <w:br/>
        <w:br/>
        <w:t xml:space="preserve">   a) para que se pueda  reconocer  un  gasto,  éste  debe  ser  necesario,</w:t>
        <w:br/>
        <w:t xml:space="preserve">      razonable, según  las  particularidades  del  caso,  y  realizado  en</w:t>
        <w:br/>
        <w:t xml:space="preserve">      relación directa con éste;</w:t>
        <w:br/>
        <w:br/>
        <w:br/>
        <w:t xml:space="preserve">   b) no tiene forma de aceptar el  reembolso  de  gastos  sin  una  mínima</w:t>
        <w:br/>
        <w:t xml:space="preserve">      certeza acerca de sus montos y conceptos;</w:t>
        <w:br/>
        <w:br/>
        <w:br/>
        <w:t xml:space="preserve">   c) los  referentes  a  costas  derivados  de  los  procesos  contencioso</w:t>
        <w:br/>
        <w:t xml:space="preserve">      administrativos habrán de ser definidos en las decisiones definitivas</w:t>
        <w:br/>
        <w:t xml:space="preserve">      que allí lleguen a proferirse; y</w:t>
        <w:br/>
        <w:br/>
        <w:t xml:space="preserve">   d) en la  medida  en  que  en  materia  penal  impera  el  principio  de</w:t>
        <w:br/>
        <w:t xml:space="preserve">      gratuidad, y que los familiares de  las  víctimas  no  han  promovido</w:t>
        <w:br/>
        <w:t xml:space="preserve">      actuaciones específicas dentro  de  la  investigación  en  curso,  no</w:t>
        <w:br/>
        <w:t xml:space="preserve">      habría en este aspecto costas que reembolsar.</w:t>
        <w:br/>
        <w:br/>
        <w:t>Consideraciones de la Corte</w:t>
        <w:br/>
        <w:br/>
        <w:t>414.  Como ya lo ha señalado la Corte en oportunidades anteriores[281],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 desplegada  por  los   familiares   de   las   víctimas   o   sus</w:t>
        <w:br/>
        <w:t>representantes con el fin de obtener justicia, tanto a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 En cuanto a su reembolso, corresponde  al  Tribunal</w:t>
        <w:br/>
        <w:t>apreciar prudentemente su alcance, que comprende los gastos  generados  ante</w:t>
        <w:br/>
        <w:t>las autoridades de la jurisdicción interna, así como  los  generados  en  el</w:t>
        <w:br/>
        <w:t>curso del proceso ante el sistema  interamericano,  teniendo  en  cuenta  la</w:t>
        <w:br/>
        <w:t>acreditación de los gastos hechos, las circunstancias del  caso  concreto  y</w:t>
        <w:br/>
        <w:t>la  naturaleza  de  la  jurisdicción  internacional  de  protección  de  los</w:t>
        <w:br/>
        <w:t>derechos humanos.  Esta apreciación puede  ser  realizada  con  base  en  el</w:t>
        <w:br/>
        <w:t>principio de equidad y tomando en cuenta los gastos señalados y  comprobados</w:t>
        <w:br/>
        <w:t>por las partes, siempre que su quantum sea razonable.</w:t>
        <w:br/>
        <w:br/>
        <w:t>415.  En el concepto de costas,  para  los  fines  que  ahora  se  examinan,</w:t>
        <w:br/>
        <w:t>quedan comprendidas tanto las que corresponden a la etapa  de  acceso  a  la</w:t>
        <w:br/>
        <w:t>justicia a nivel nacional, como las que se refieren a la  justicia  a  nivel</w:t>
        <w:br/>
        <w:t>internacional ante dos instancias del sistema interamericano  de  protección</w:t>
        <w:br/>
        <w:t>de los derechos humanos: la Comisión y la Corte[282].</w:t>
        <w:br/>
        <w:br/>
        <w:t>416.  La Corte toma en cuenta que las víctimas y sus familiares  actuaron  a</w:t>
        <w:br/>
        <w:t>través de representantes, tanto a nivel interno como ante la Comisión  y  la</w:t>
        <w:br/>
        <w:t>Corte.  En razón de la cantidad y dispersión de las  víctimas  del  presente</w:t>
        <w:br/>
        <w:t>caso, no es posible asignar  una  compensación  por  concepto  de  costas  y</w:t>
        <w:br/>
        <w:t>gastos directamente a los familiares de las  víctimas,  para  que  éstas  la</w:t>
        <w:br/>
        <w:t>distribuyeran entre quienes les hayan brindado  asistencia  legal,  como  ha</w:t>
        <w:br/>
        <w:t>sido la práctica de este Tribunal en algunos casos  recientes[283],  por  lo</w:t>
        <w:br/>
        <w:t>que estima equitativo ordenar  al  Estado  que  reintegre  directamente  por</w:t>
        <w:br/>
        <w:t>concepto de costas y gastos a las  dos  ONGs  que  han  representado  a  las</w:t>
        <w:br/>
        <w:t>víctimas  y  sus   familiares   en   el   presente   caso   las   cantidades</w:t>
        <w:br/>
        <w:t>correspondientes.  Por lo anterior, el Estado deberá pagar  la  cantidad  de</w:t>
        <w:br/>
        <w:t>US$ 15,000 (quince mil dólares de  los  Estados  Unidos  de  América)  o  su</w:t>
        <w:br/>
        <w:t>equivalente en  moneda  colombiana,  al  Grupo  Interdisciplinario  por  los</w:t>
        <w:br/>
        <w:t>Derechos Humanos y la cantidad  de  US$  8,000  (ocho  mil  dólares  de  los</w:t>
        <w:br/>
        <w:t>Estados Unidos de América) o  su  equivalente  en  moneda  colombiana  a  la</w:t>
        <w:br/>
        <w:t>Comisión Colombiana de Juristas por concepto  de  costas  y  gastos  en  que</w:t>
        <w:br/>
        <w:t>incurrieron en el ámbito interno y  en  el  proceso  internacional  ante  el</w:t>
        <w:br/>
        <w:t>sistema interamericano de protección de los derechos humanos.</w:t>
        <w:br/>
        <w:br/>
        <w:br/>
        <w:t xml:space="preserve">                                    XVIII</w:t>
        <w:br/>
        <w:br/>
        <w:br/>
        <w:t xml:space="preserve">                         Modalidades de Cumplimiento</w:t>
        <w:br/>
        <w:br/>
        <w:br/>
        <w:br/>
        <w:br/>
        <w:br/>
        <w:t>417.  Para  dar  cumplimiento  a  la  presente  Sentencia,  Colombia  deberá</w:t>
        <w:br/>
        <w:t>efectuar el pago de  las  indemnizaciones  por  concepto  de  daño  material</w:t>
        <w:br/>
        <w:t>(supra párrs. 371 a 379) e inmaterial (supra párr.  390),  el  reintegro  de</w:t>
        <w:br/>
        <w:t>costas y gastos (supra párr. 416) y colocar las placas  conmemorativas  para</w:t>
        <w:br/>
        <w:t>recordar los hechos de las masacres de Ituango  (supra  párr.  408),  dentro</w:t>
        <w:br/>
        <w:t>del plazo de un año, contado a  partir  de  la  notificación  de  la  misma.</w:t>
        <w:br/>
        <w:t>Asimismo,  el  Estado  deberá  efectuar  la  publicación   de   las   partes</w:t>
        <w:br/>
        <w:t>pertinentes de esta Sentencia (supra párr. 410), dentro del  plazo  de  seis</w:t>
        <w:br/>
        <w:t>meses, contado a partir de la notificación de la misma. A su  vez,  Colombia</w:t>
        <w:br/>
        <w:t>deberá realizar  inmediatamente  las  debidas  diligencias  para  activar  y</w:t>
        <w:br/>
        <w:t>completar  eficazmente,  en  un  plazo  razonable,  la  investigación   para</w:t>
        <w:br/>
        <w:t>determinar la responsabilidad intelectual y material de los autores  de  las</w:t>
        <w:br/>
        <w:t>masacres y de las personas cuya aquiescencia y colaboración hizo posible  la</w:t>
        <w:br/>
        <w:t>comisión de la misma (supra párrs. 399 a  402).  En  cuanto  al  tratamiento</w:t>
        <w:br/>
        <w:t>adecuado debido a los familiares de las  víctimas  ejecutadas,  éste  deberá</w:t>
        <w:br/>
        <w:t>brindarse en forma inmediata, y por  el  tiempo  que  sea  necesario  (supra</w:t>
        <w:br/>
        <w:t>párr. 403). Finalmente, el Estado deberá implementar programas de  educación</w:t>
        <w:br/>
        <w:t>en derechos humanos y Derecho Internacional Humanitario  permanentes  dentro</w:t>
        <w:br/>
        <w:t>de las fuerzas armadas colombianas,  en  un  plazo  razonable  (supra  párr.</w:t>
        <w:br/>
        <w:t>409).</w:t>
        <w:br/>
        <w:br/>
        <w:br/>
        <w:br/>
        <w:br/>
        <w:br/>
        <w:t>418.  El pago de las indemnizaciones establecidas a favor de los  familiares</w:t>
        <w:br/>
        <w:t>de las víctimas se realizará según lo dispuesto en los  párrafos  359,  363,</w:t>
        <w:br/>
        <w:t>364 y 390.d de la presente Sentencia.</w:t>
        <w:br/>
        <w:br/>
        <w:br/>
        <w:br/>
        <w:br/>
        <w:br/>
        <w:t>419.  Los  pagos  correspondientes  al  reintegro  de  costas  y  gastos  se</w:t>
        <w:br/>
        <w:t>realizarán según lo dispuesto en los párrafos  416  y  417  de  la  presente</w:t>
        <w:br/>
        <w:t>Sentencia.</w:t>
        <w:br/>
        <w:br/>
        <w:br/>
        <w:br/>
        <w:br/>
        <w:br/>
        <w:t>420.  El Estado deberá  cumplir  sus  obligaciones  de  carácter  pecuniario</w:t>
        <w:br/>
        <w:t>mediante el  pago  en  dólares  de  los  Estados  Unidos  de  América  o  su</w:t>
        <w:br/>
        <w:t>equivalente en moneda  nacional  del  Estado,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br/>
        <w:br/>
        <w:br/>
        <w:br/>
        <w:t>421.  Las cantidades asignadas en la presente Sentencia bajo  los  conceptos</w:t>
        <w:br/>
        <w:t>de indemnizaciones por daño material e inmaterial y por reintegro de  costas</w:t>
        <w:br/>
        <w:t>y gastos, no podrán ser afectados, reducidos  o  condicionados  por  motivos</w:t>
        <w:br/>
        <w:t>fiscales actuales  o  futuros.  Por  ende,  deberán  ser  entregados  a  los</w:t>
        <w:br/>
        <w:t>beneficiarios en forma íntegra conforme a lo establecido en esta  Sentencia.</w:t>
        <w:br/>
        <w:br/>
        <w:br/>
        <w:br/>
        <w:br/>
        <w:br/>
        <w:br/>
        <w:t>422.  Por lo que toca  a  las  indemnizaciones  ordenadas  a  favor  de  los</w:t>
        <w:br/>
        <w:t>menores  de  edad,  el  Estado  deberá  depositarlas  en   una   institución</w:t>
        <w:br/>
        <w:t>colombiana solvente.  La inversión se hará dentro del plazo de  un  año,  en</w:t>
        <w:br/>
        <w:t>las condiciones financieras más favorables que permitan la legislación y  la</w:t>
        <w:br/>
        <w:t>práctica bancaria, mientras los beneficiarios sean menores de  edad.   Podrá</w:t>
        <w:br/>
        <w:t>ser retirada por aquélla cuando alcancen la mayoría de edad, en su  caso,  o</w:t>
        <w:br/>
        <w:t>antes si  así  conviene  al  interés  superior  del  niño,  establecido  por</w:t>
        <w:br/>
        <w:t>determinación de una autoridad judicial competente.  Si  no  se  reclama  la</w:t>
        <w:br/>
        <w:t>indemnización una vez transcurridos  diez  años  contados  a  partir  de  la</w:t>
        <w:br/>
        <w:t>mayoría de edad,  la  suma  será  devuelta  al  Estado,  con  los  intereses</w:t>
        <w:br/>
        <w:t>devengados.</w:t>
        <w:br/>
        <w:br/>
        <w:br/>
        <w:br/>
        <w:br/>
        <w:br/>
        <w:t>423.  Si por causas atribuibles a los familiares de  las  víctimas  que  son</w:t>
        <w:br/>
        <w:t>beneficiarios de las indemnizaciones no fuese posible que éstos las  reciban</w:t>
        <w:br/>
        <w:t>dentro del plazo indicado, el Estado consignará dichos montos a su favor  en</w:t>
        <w:br/>
        <w:t>una cuenta o certificado de depósito en una institución bancaria  colombiana</w:t>
        <w:br/>
        <w:t>solvente, en dólares estadounidenses y en las  condiciones  financieras  más</w:t>
        <w:br/>
        <w:t>favorables que permitan la legislación y la práctica bancaria.  Si  al  cabo</w:t>
        <w:br/>
        <w:t>de diez años la  indemnización  no  ha  sido  reclamada,  la  cantidad  será</w:t>
        <w:br/>
        <w:t>devuelta al Estado con los intereses devengados.</w:t>
        <w:br/>
        <w:br/>
        <w:br/>
        <w:br/>
        <w:br/>
        <w:br/>
        <w:t>424.  En caso de que el Estado incurriese en mora, deberá pagar  un  interés</w:t>
        <w:br/>
        <w:t>sobre la cantidad adeudada, correspondiente al  interés  bancario  moratorio</w:t>
        <w:br/>
        <w:t>en Colombia.</w:t>
        <w:br/>
        <w:br/>
        <w:br/>
        <w:br/>
        <w:br/>
        <w:br/>
        <w:t>425.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Colombia deberá rendir a la  Corte  un  primer  informe  sobre  las  medidas</w:t>
        <w:br/>
        <w:t>adoptadas para dar cumplimiento a esta Sentencia.</w:t>
        <w:br/>
        <w:br/>
        <w:br/>
        <w:br/>
        <w:br/>
        <w:br/>
        <w:br/>
        <w:t xml:space="preserve">                                     XIX</w:t>
        <w:br/>
        <w:t xml:space="preserve">                             Puntos Resolutivos</w:t>
        <w:br/>
        <w:br/>
        <w:t>426.  Por tanto,</w:t>
        <w:br/>
        <w:br/>
        <w:t>LA CORTE,</w:t>
        <w:br/>
        <w:br/>
        <w:t>DECIDE,</w:t>
        <w:br/>
        <w:br/>
        <w:t>Por unanimidad,</w:t>
        <w:br/>
        <w:br/>
        <w:t>1.    Admitir el reconocimiento de responsabilidad  internacional  efectuado</w:t>
        <w:br/>
        <w:t>por el Estado por la violación de los derechos consagrados en los  artículos</w:t>
        <w:br/>
        <w:t>4 (Derecho a la Vida) de la Convención, en perjuicio de los señores  William</w:t>
        <w:br/>
        <w:t>de Jesús Villa García, María  Graciela  Arboleda  Rodríguez,  Héctor  Hernán</w:t>
        <w:br/>
        <w:t>Correa García, Jairo de Jesús  Sepúlveda  Arias,  Arnulfo  Sánchez  Álvarez,</w:t>
        <w:br/>
        <w:t>José Darío Martínez Pérez, Olcris Fail Díaz Pérez, Wilmar de Jesús  Restrepo</w:t>
        <w:br/>
        <w:t>Torres, Omar de Jesús Ortiz Carmona, Fabio Antonio  Zuleta  Zabala,  Otoniel</w:t>
        <w:br/>
        <w:t>de Jesús Tejada Jaramillo, Omar  Iván  Gutiérrez  Nohavá,  Guillermo  Andrés</w:t>
        <w:br/>
        <w:t>Mendoza Posso,  Nelson  de  Jesús  Palacio  Cárdenas,  Luis  Modesto  Múnera</w:t>
        <w:br/>
        <w:t>Posada, Dora Luz Areiza  Arroyave,  Alberto  Correa,  Marco  Aurelio  Areiza</w:t>
        <w:br/>
        <w:t>Osorio y Elvia Rosa Areiza Barrera; 7 (Derecho a la  Libertad  Personal)  de</w:t>
        <w:br/>
        <w:t>la Convención, en perjuicio de los señores Jairo de Jesús  Sepúlveda  Arias,</w:t>
        <w:br/>
        <w:t>Marco Aurelio Areiza Osorio y Elvia Rosa Areiza Barrera;  5  (Derecho  a  la</w:t>
        <w:br/>
        <w:t>Integridad Personal) de la Convención, en perjuicio  de  los  señores  Marco</w:t>
        <w:br/>
        <w:t>Aurelio Areiza Osorio y Elvia Rosa  Areiza  Barrera;  y  21  (Derecho  a  la</w:t>
        <w:br/>
        <w:t>Propiedad Privada) de la  Convención,  en  perjuicio  de  los  señores  Luis</w:t>
        <w:br/>
        <w:t>Humberto Mendoza, Libardo  Mendoza,  Francisco  Osvaldo  Pino  Posada,  Omar</w:t>
        <w:br/>
        <w:t>Alfredo Torres Jaramillo, Ricardo Alfredo Builes Echeverry y Bernardo  María</w:t>
        <w:br/>
        <w:t>Jiménez Lopera, todos ellos en conexión con el artículo 1.1  (Obligación  de</w:t>
        <w:br/>
        <w:t>Respetar  los  Derechos)  de  dicho  instrumento,  de  conformidad  con  los</w:t>
        <w:br/>
        <w:t>párrafos 56 a 72 de la presente Sentencia, con sus  consecuencias  jurídicas</w:t>
        <w:br/>
        <w:t>en materia de reparaciones.</w:t>
        <w:br/>
        <w:br/>
        <w:t>2.    Desestimar la excepción  preliminar  interpuesta  por  el  Estado,  de</w:t>
        <w:br/>
        <w:t>conformidad con los párrafos 103 y 104 del presente Fallo.</w:t>
        <w:br/>
        <w:br/>
        <w:t>DECLARA,</w:t>
        <w:br/>
        <w:br/>
        <w:t>Por unanimidad, que:</w:t>
        <w:br/>
        <w:br/>
        <w:t>3.    El Estado violó, en perjuicio de William de Jesús Villa García,  María</w:t>
        <w:br/>
        <w:t>Graciela Arboleda Rodríguez, Héctor Hernán Correa  García,  Jairo  de  Jesús</w:t>
        <w:br/>
        <w:t>Sepúlveda Arias, Arnulfo Sánchez Álvarez, José Darío Martínez Pérez,  Olcris</w:t>
        <w:br/>
        <w:t>Fail Díaz Pérez, Wilmar de  Jesús  Restrepo  Torres,  Omar  de  Jesús  Ortiz</w:t>
        <w:br/>
        <w:t>Carmona, Fabio Antonio Zuleta Zabala, Otoniel  de  Jesús  Tejada  Jaramillo,</w:t>
        <w:br/>
        <w:t>Omar Iván Gutiérrez Nohavá, Guillermo Andrés Mendoza Posso, Nelson de  Jesús</w:t>
        <w:br/>
        <w:t>Palacio Cárdenas, Luis Modesto Múnera  Posada,  Dora  Luz  Areiza  Arroyave,</w:t>
        <w:br/>
        <w:t>Alberto Correa, Marco Aurelio Areiza Osorio y Elvia Rosa Areiza Barrera,  el</w:t>
        <w:br/>
        <w:t>derecho a la vida, consagrado en el artículo 4 (Derecho a  la  Vida)  de  la</w:t>
        <w:br/>
        <w:t>Convención, en relación con el artículo 1.1  (Obligación  de  Respectar  los</w:t>
        <w:br/>
        <w:t>Derechos) de la misma, en los términos de los  párrafos  126  a  138  de  la</w:t>
        <w:br/>
        <w:t>presente Sentencia.</w:t>
        <w:br/>
        <w:br/>
        <w:t>4.    El Estado violó, en perjuicio de los señores  Francisco  Osvaldo  Pino</w:t>
        <w:br/>
        <w:t>Posada, Omar  Alfredo  Torres  Jaramillo,  Rodrigo  Alberto  Mendoza  Posso,</w:t>
        <w:br/>
        <w:t>Noveiri  Antonio  Jiménez  Jiménez,  Milciades  De  Jesús  Crespo,   Ricardo</w:t>
        <w:br/>
        <w:t>Barrera, Gilberto Lopera, Argemiro  Echavarría,  José  Luis  Palacio,  Román</w:t>
        <w:br/>
        <w:t>Salazar, William Chavarría, Libardo Carvajal, Eduardo Rua,  Eulicio  García,</w:t>
        <w:br/>
        <w:t>Alberto Lopera, Tomás Monsalve y Felipe “Pipe” Gomez, el derecho  a  no  ser</w:t>
        <w:br/>
        <w:t>constreñido a ejecutar un trabajo forzoso u obligatorio,  consagrado  en  el</w:t>
        <w:br/>
        <w:t>artículo 6.2 (Prohibición de la Esclavitud y Servidumbre) de la  Convención,</w:t>
        <w:br/>
        <w:t>en relación con el artículo 1.1 (Obligación de Respectar  los  Derechos)  de</w:t>
        <w:br/>
        <w:t>dicho Tratado, por las razones expuestas en los párrafos 145 a 148 y  154  a</w:t>
        <w:br/>
        <w:t>168 de esta Sentencia.</w:t>
        <w:br/>
        <w:br/>
        <w:t>5.    El Estado violó, en perjuicio de los señores  Francisco  Osvaldo  Pino</w:t>
        <w:br/>
        <w:t>Posada, Omar  Alfredo  Torres  Jaramillo,  Rodrigo  Alberto  Mendoza  Posso,</w:t>
        <w:br/>
        <w:t>Noveiri  Antonio  Jiménez  Jiménez,  Milciades  De  Jesús  Crespo,   Ricardo</w:t>
        <w:br/>
        <w:t>Barrera, Gilberto Lopera, Argemiro  Echavarría,  José  Luis  Palacio,  Román</w:t>
        <w:br/>
        <w:t>Salazar, William Chavarría, Libardo Carvajal, Eduardo Rua,  Eulicio  García,</w:t>
        <w:br/>
        <w:t>y  Alberto Lopera, el derecho a  la  libertad  personal,  consagrado  en  el</w:t>
        <w:br/>
        <w:t>artículo 7 (Derecho a la Libertad) de la  Convención,  en  relación  con  el</w:t>
        <w:br/>
        <w:t>artículo 1.1 (Obligación de Respetar los Derechos)  de  dicho  Tratado,  por</w:t>
        <w:br/>
        <w:t>las razones expuestas en los párrafos 145 a 153 de este Fallo.</w:t>
        <w:br/>
        <w:br/>
        <w:t>6.    El Estado violó, en perjuicio de las personas que perdieron bienes  en</w:t>
        <w:br/>
        <w:t>El Aro, quienes  se  encuentran  señaladas  en  el  párrafo  200.a  de  esta</w:t>
        <w:br/>
        <w:t>Sentencia, el derecho a la propiedad privada, consagrado en el  artículo  21</w:t>
        <w:br/>
        <w:t>(Derecho a la Propiedad Privada)  de  la  Convención,  en  relación  con  el</w:t>
        <w:br/>
        <w:t>artículo  1.1  (Obligación  de  Respetar  los  Derechos)  de  la  misma,  de</w:t>
        <w:br/>
        <w:t>conformidad con lo señalado en  los  párrafos  172  a  188  de  la  presente</w:t>
        <w:br/>
        <w:t>Sentencia.</w:t>
        <w:br/>
        <w:br/>
        <w:t>7.    El Estado violó, en perjuicio de las personas cuyos domicilios  fueron</w:t>
        <w:br/>
        <w:t>destruidos en El Aro, quienes se encuentran señaladas en  el  párrafo  200.b</w:t>
        <w:br/>
        <w:t>de esta Sentencia,  el  derecho  establecido  en  el  artículo  11.2  de  la</w:t>
        <w:br/>
        <w:t>Convención relativo a la prohibición de injerencias arbitrarias  o  abusivas</w:t>
        <w:br/>
        <w:t>en la vida privada y en el domicilio,  en  relación  con  los  artículos  21</w:t>
        <w:br/>
        <w:t>(Derecho  a  la  Propiedad  Privada)  y  1.1  (Obligación  de  Respetar  los</w:t>
        <w:br/>
        <w:t>Derechos) de la misma, de conformidad con lo señalado en los párrafos 189  a</w:t>
        <w:br/>
        <w:t>199 de esta Sentencia.</w:t>
        <w:br/>
        <w:br/>
        <w:t>8.    El Estado violó, en perjuicio de las personas desplazadas de El Aro  y</w:t>
        <w:br/>
        <w:t>La Granja, quienes se encuentran señaladas en los  párrafos  225  y  235  de</w:t>
        <w:br/>
        <w:t>esta Sentencia, el derecho de circulación y de residencia, consagrado en  el</w:t>
        <w:br/>
        <w:t>artículo 22 (Derecho de Circulación y de Residencia) de  la  Convención,  en</w:t>
        <w:br/>
        <w:t>relación con el artículo 1.1 (Obligación de Respetar  los  Derechos)  de  la</w:t>
        <w:br/>
        <w:t>misma, de conformidad con  lo  señalado  en  los  párrafos  204  a  235  del</w:t>
        <w:br/>
        <w:t>presente Fallo.</w:t>
        <w:br/>
        <w:br/>
        <w:t>9.    El Estado violó, en perjuicio de los niños Wilmar  de  Jesús  Restrepo</w:t>
        <w:br/>
        <w:t>Torres, Jorge Correa Sánchez, Omar Daniel Pérez Areiza, José  Leonel  Areiza</w:t>
        <w:br/>
        <w:t>Posada  y  Marco  Aurelio  Areiza  Posada,  el  derecho  a  las  medidas  de</w:t>
        <w:br/>
        <w:t>protección que por condición de menor requerían, consagrado en  el  artículo</w:t>
        <w:br/>
        <w:t>19 (Derechos del Niño) de la Convención, en relación  con  el  artículo  1.1</w:t>
        <w:br/>
        <w:t>(Obligación de Respetar los Derechos) de  dicho  tratado,  por  las  razones</w:t>
        <w:br/>
        <w:t>expuestas en los párrafos 239 a 248 de esta Sentencia</w:t>
        <w:br/>
        <w:br/>
        <w:t>10.   El Estado violó, en perjuicio de las víctimas ejecutadas en El  Aro  y</w:t>
        <w:br/>
        <w:t>La Granja y sus familiares, quienes se encuentran señaladas en los  párrafos</w:t>
        <w:br/>
        <w:t>257  y  265  de  esta  Sentencia,  el  derecho  a  la  integridad  personal,</w:t>
        <w:br/>
        <w:t>consagrado en el artículo  5  (Derecho  a  la  Integridad  Personal)  de  la</w:t>
        <w:br/>
        <w:t>Convención, en relación con el artículo  1.1  (Obligación  de  Respetar  los</w:t>
        <w:br/>
        <w:t>Derechos) de la misma, de conformidad con lo señalado en los párrafos 252  a</w:t>
        <w:br/>
        <w:t>268 del presente Fallo.</w:t>
        <w:br/>
        <w:br/>
        <w:t>11.   El Estado violó,  en  perjuicio  de  las  personas  señaladas  en  los</w:t>
        <w:br/>
        <w:t>párrafos 269, 270, 276 y 277 de esta Sentencia, el derecho a  la  integridad</w:t>
        <w:br/>
        <w:t>personal, consagrado en el artículo 5 (Derecho a la Integridad Personal)  de</w:t>
        <w:br/>
        <w:t>la  Convención,  en  relación  con  los  artículos  6  (Prohibición  de   la</w:t>
        <w:br/>
        <w:t>Esclavitud y Servidumbre), 7 (Derecho a la Libertad),  11.2  (Protección  de</w:t>
        <w:br/>
        <w:t>la Honra y de  la  Dignidad),  21  (Derecho  a  la  Propiedad  Privada),  22</w:t>
        <w:br/>
        <w:t>(Derecho de Circulación y de Residencia) y 1.1 (Obligación de  Respetar  los</w:t>
        <w:br/>
        <w:t>Derechos) de la misma,  de conformidad con lo señalado en los  párrafos  269</w:t>
        <w:br/>
        <w:t>a 277 y 279 de la presente Sentencia.</w:t>
        <w:br/>
        <w:br/>
        <w:t>12.   El Estado violó, en perjuicio de todos los pobladores de La  Granja  y</w:t>
        <w:br/>
        <w:t>El Aro, el derecho a la integridad personal, consagrado  en  el  artículo  5</w:t>
        <w:br/>
        <w:t>(Derecho a  la  Integridad  Personal)  de  la  Convención,  en  relación  el</w:t>
        <w:br/>
        <w:t>artículo 1.1  (Obligación  de  Respetar  los  Derechos)  de  la  misma,   de</w:t>
        <w:br/>
        <w:t>conformidad con lo señalado en los párrafos 278 y 279 del presente Fallo.</w:t>
        <w:br/>
        <w:br/>
        <w:t>13.   El Estado violó, en perjuicio de todas  las  personas  cuyos  derechos</w:t>
        <w:br/>
        <w:t>fueron vulnerados, y no se les garantizó el  pleno  acceso  a  la  justicia,</w:t>
        <w:br/>
        <w:t>quienes se encuentran señaladas en el párrafo 344 de la presente  Sentencia,</w:t>
        <w:br/>
        <w:t>los derechos consagrados en los artículos 8.1 (Garantías  Judiciales)  y  25</w:t>
        <w:br/>
        <w:t>(Protección Judicial) de la Convención, en  relación  con  el  artículo  1.1</w:t>
        <w:br/>
        <w:t>(Obligación de Respetar los Derechos) de la misma, de  conformidad  con  los</w:t>
        <w:br/>
        <w:t>párrafos 283 a 344 del presente Fallo.</w:t>
        <w:br/>
        <w:br/>
        <w:t>14.   Esta Sentencia constituye per se  una  forma  de  reparación,  en  los</w:t>
        <w:br/>
        <w:t>términos del párrafo 387 de la misma.</w:t>
        <w:br/>
        <w:br/>
        <w:t>Y DISPONE,</w:t>
        <w:br/>
        <w:br/>
        <w:t>Por unanimidad, que:</w:t>
        <w:br/>
        <w:br/>
        <w:t>15.   El  Estado  debe  llevar  adelante  las  diligencias  necesarias  para</w:t>
        <w:br/>
        <w:t>proveer justicia en el presente caso, en los términos de los párrafos 399  a</w:t>
        <w:br/>
        <w:t>402 de esta Sentencia.</w:t>
        <w:br/>
        <w:br/>
        <w:t>16.   El Estado debe brindar gratuitamente, y por  medio  de  los  servicios</w:t>
        <w:br/>
        <w:t>nacionales de salud, el tratamiento adecuado que  requieran  los  familiares</w:t>
        <w:br/>
        <w:t>de las víctimas ejecutadas en el presente caso, en los términos del  párrafo</w:t>
        <w:br/>
        <w:t>403 de esta Sentencia.</w:t>
        <w:br/>
        <w:br/>
        <w:t>17.   El Estado deberá realizar las acciones necesarias para garantizar  las</w:t>
        <w:br/>
        <w:t>condiciones de seguridad para que los ex habitantes  de  los  corregimientos</w:t>
        <w:br/>
        <w:t>de El Aro y La Granja que se hayan visto desplazados puedan  regresar  a  El</w:t>
        <w:br/>
        <w:t>Aro o La Granja, según sea el caso y si así lo  desearan,  en  los  términos</w:t>
        <w:br/>
        <w:t>del párrafo 404 de este Fallo.</w:t>
        <w:br/>
        <w:br/>
        <w:t>18.    El  Estado  debe  realizar  un  acto  público  de  reconocimiento  de</w:t>
        <w:br/>
        <w:t>responsabilidad  internacional  por  los  hechos  del  presente  caso,   con</w:t>
        <w:br/>
        <w:t>presencia de altas autoridades, en los términos de los párrafos  405  y  406</w:t>
        <w:br/>
        <w:t>de este Fallo.</w:t>
        <w:br/>
        <w:br/>
        <w:t>19.   El Estado debe implementar un programa habitacional, mediante el  cual</w:t>
        <w:br/>
        <w:t>se provea de  vivienda  adecuada  a  aquellas  víctimas  sobrevivientes  que</w:t>
        <w:br/>
        <w:t>perdieron sus casas y que así lo requieran, en los términos del párrafo  407</w:t>
        <w:br/>
        <w:t>de esta Sentencia.</w:t>
        <w:br/>
        <w:br/>
        <w:t>20.   El Estado deberá fijar una placa en  un  lugar  público  apropiado  en</w:t>
        <w:br/>
        <w:t>cada uno de los corregimientos de La Granja y El Aro, con  el  propósito  de</w:t>
        <w:br/>
        <w:t>que las nuevas generaciones conozcan acerca de los hechos que  dieron  lugar</w:t>
        <w:br/>
        <w:t>al presente caso. Lo anterior en  los  términos  del  párrafo  408  de  este</w:t>
        <w:br/>
        <w:t>Fallo.</w:t>
        <w:br/>
        <w:br/>
        <w:t>21.   El Estado debe  implementar,  en  un  plazo  razonable,  programas  de</w:t>
        <w:br/>
        <w:t>educación  en  derechos  humanos   y   derecho   internacional   humanitario</w:t>
        <w:br/>
        <w:t>permanentes dentro de las fuerzas armadas colombianas, en los  términos  del</w:t>
        <w:br/>
        <w:t>párrafo 409 de esta Sentencia.</w:t>
        <w:br/>
        <w:br/>
        <w:t>22.   El Estado debe publicar, en el plazo  de  seis  meses,  en  el  Diario</w:t>
        <w:br/>
        <w:t>Oficial y en otro diario de circulación  nacional,  por  una  sola  vez,  el</w:t>
        <w:br/>
        <w:t>capítulo relativo a los hechos probados de este Fallo, sin las notas al  pie</w:t>
        <w:br/>
        <w:t>de página correspondientes, y la parte resolutiva de la presente  Sentencia,</w:t>
        <w:br/>
        <w:t>en los términos del párrafo 410 de la misma.</w:t>
        <w:br/>
        <w:br/>
        <w:t>23.   El Estado debe pagar a las personas señaladas en los anexos  I  y  III</w:t>
        <w:br/>
        <w:t>del presente Fallo, en el plazo de un año, por concepto de la  indemnización</w:t>
        <w:br/>
        <w:t>por daño material, las cantidades fijadas en el párrafo 379 y en los  anexos</w:t>
        <w:br/>
        <w:t>I y III de la presente Sentencia, en los términos de los párrafos 358,  359,</w:t>
        <w:br/>
        <w:t>363, 364, 376, 377, 417 y 420 a 424 de la misma.</w:t>
        <w:br/>
        <w:br/>
        <w:t>24.   El Estado debe pagar a las personas señaladas en los anexos  I,  II  y</w:t>
        <w:br/>
        <w:t>III de la presente Sentencia, en el plazo de un  año,  por  concepto  de  la</w:t>
        <w:br/>
        <w:t>indemnización por daño inmaterial, las cantidades fijadas en el párrafo  390</w:t>
        <w:br/>
        <w:t>y en los anexos I, II y III del presente  Fallo,  en  los  términos  de  los</w:t>
        <w:br/>
        <w:t>párrafos 358, 359, 363, 364, 376, 377, 390, 417 y 420 a 424 del mismo.</w:t>
        <w:br/>
        <w:br/>
        <w:t>25.   El Estado debe pagar, en el plazo de  un  año,  por  concepto  de  las</w:t>
        <w:br/>
        <w:t>costas  y  gastos  generados  en  el  ámbito  interno  y   en   el   proceso</w:t>
        <w:br/>
        <w:t>internacional ante el sistema interamericano de protección de  los  derechos</w:t>
        <w:br/>
        <w:t>humanos, las cantidades fijadas en el párrafo 416 de la presente  Sentencia,</w:t>
        <w:br/>
        <w:t>las  cuales  deberán   ser   entregadas,   según   corresponda,   al   Grupo</w:t>
        <w:br/>
        <w:t>Interdisciplinario de  Derechos  Humanos  y  a  la  Comisión  Colombiana  de</w:t>
        <w:br/>
        <w:t>Juristas, en los términos de los párrafos 416, 417 y 419 a 421 del  presente</w:t>
        <w:br/>
        <w:t>Fallo.</w:t>
        <w:br/>
        <w:br/>
        <w:t>26.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425 del presente Fallo.</w:t>
        <w:br/>
        <w:br/>
        <w:t>Los Jueces García Ramírez y Cançado Trindade hicieron  conocer  a  la  Corte</w:t>
        <w:br/>
        <w:t>sus Votos Razonados, los cuales acompañan a la presente Sentencia.</w:t>
        <w:br/>
        <w:br/>
        <w:t>Redactada en español e inglés, haciendo fe  el  texto  en  español,  en  San</w:t>
        <w:br/>
        <w:t>José, Costa Rica, el 1 de julio de 2006.</w:t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Alirio  Abreu  Burelli                                 Antônio  A.   Cançado</w:t>
        <w:br/>
        <w:t>Trindade</w:t>
        <w:br/>
        <w:br/>
        <w:br/>
        <w:br/>
        <w:br/>
        <w:t>Cecilia Medina Quiroga                          Manuel E. Ventura Robles</w:t>
        <w:br/>
        <w:br/>
        <w:br/>
        <w:br/>
        <w:br/>
        <w:t xml:space="preserve">                             Diego García-Sayán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       VOTO RAZONADO DEL JUEZ SERGIO GARCÍA RAMÍREZ</w:t>
        <w:br/>
        <w:t xml:space="preserve">                     EN RELACIÓN CON LA SENTENCIA DE LA</w:t>
        <w:br/>
        <w:t xml:space="preserve">                  CORTE INTERAMERICANA DE DERECHOS HUMANOS</w:t>
        <w:br/>
        <w:t xml:space="preserve">                          DEL 29 DE JUNIO DE 2006,</w:t>
        <w:br/>
        <w:t xml:space="preserve">                    EN EL CASO DE LAS MASACRES DE ITUANGO</w:t>
        <w:br/>
        <w:br/>
        <w:br/>
        <w:br/>
        <w:t xml:space="preserve">      1.    ADMISIÓN DE HECHOS Y PRETENSIONES Y SENTENCIA</w:t>
        <w:br/>
        <w:t xml:space="preserve">            DE LA CORTEIDH</w:t>
        <w:br/>
        <w:br/>
        <w:t>1.     En diversas oportunidades me he referido a ciertos  actos  realizados</w:t>
        <w:br/>
        <w:t>en el curso del procedimiento internacional  --específicamente,  el  proceso</w:t>
        <w:br/>
        <w:t>judicial seguido ante la Corte  Interamericana  de  Derechos  Humanos--  que</w:t>
        <w:br/>
        <w:t>poseen relevancia sustantiva y procesal e influyen directamente,  por  ende,</w:t>
        <w:br/>
        <w:t>en  la  marcha  del  enjuiciamiento,  la  decisión  acerca  de  los   hechos</w:t>
        <w:br/>
        <w:t>(inicialmente) controvertidos  y  la  determinación  de  sus  consecuencias.</w:t>
        <w:br/>
        <w:t>Aludo   a   la   confesión,   el   allanamiento,   el   reconocimiento    de</w:t>
        <w:br/>
        <w:t>responsabilidad, la  admisión  de  imputaciones,  que  por  supuesto  poseen</w:t>
        <w:br/>
        <w:t>naturaleza jurídica propia --no siempre deslindada cuando  dichos  actos  se</w:t>
        <w:br/>
        <w:t>producen--, aun cuando frecuentemente se utilicen como conceptos  sinónimos.</w:t>
        <w:br/>
        <w:t>Revelan, en esencia, la disposición del Estado de reconocer, para  fines  de</w:t>
        <w:br/>
        <w:t>responsabilidad internacional, los  hechos  que  se  le  atribuyen  y  --más</w:t>
        <w:br/>
        <w:t>limitadamente-- las consecuencias jurídicas  de éstos.</w:t>
        <w:br/>
        <w:br/>
        <w:t>2.    En otros órdenes procesales, la confesión de hechos y la  admisión  de</w:t>
        <w:br/>
        <w:t>pretensiones pondrían  término  a  la  controversia  y  excluirían,  en  tal</w:t>
        <w:br/>
        <w:t>virtud, la resistencia  de la contraparte,  la carga probatoria  de  lo  que</w:t>
        <w:br/>
        <w:t>ya fue  admitido  --que,  por  lo  tanto,  no  se  halla  cuestionado--,  la</w:t>
        <w:br/>
        <w:t>descripción de los hechos violatorios y la reafirmación de las  infracciones</w:t>
        <w:br/>
        <w:t>cometidas. En efecto, si el deudor reconoce la existencia de una  obligación</w:t>
        <w:br/>
        <w:t>a su cargo, en los términos sostenidos por el acreedor,  carece  de  sentido</w:t>
        <w:br/>
        <w:t>recibir probanzas  sobre  el  deber  reconocido  y  emprender  descripciones</w:t>
        <w:br/>
        <w:t>acerca de la adquisición de éste y su incumplimiento.</w:t>
        <w:br/>
        <w:br/>
        <w:t>3.    Esta regla, que ciertamente simplifica y abrevia el procedimiento,  no</w:t>
        <w:br/>
        <w:t>puede imperar lisa y llanamente en el  juicio  acerca  de  la  violación  de</w:t>
        <w:br/>
        <w:t>derechos humanos. Este versa sobre cuestiones que se  hallan  sujetas  a  la</w:t>
        <w:br/>
        <w:t>dispositividad de las partes --sobre todo las partes  en  sentido  material,</w:t>
        <w:br/>
        <w:t>titulares de derechos y obligaciones  sustantivas--,  pero  también  entraña</w:t>
        <w:br/>
        <w:t>temas sustraídos a ésta, que deben  ser  considerados  y  resueltos  por  la</w:t>
        <w:br/>
        <w:t>autoridad judicial que tiene a su cargo la interpretación  y  aplicación  de</w:t>
        <w:br/>
        <w:t>la Convención Americana y la definición última, a la luz de los  derechos  y</w:t>
        <w:br/>
        <w:t>libertades  acogidos  en  aquélla,  en  torno  a  la  observancia   de   las</w:t>
        <w:br/>
        <w:t>obligaciones internacionales del Estado.</w:t>
        <w:br/>
        <w:br/>
        <w:t>4.     En sus decisiones sobre esta  materia,  la  Corte  Interamericana  ha</w:t>
        <w:br/>
        <w:t>atendido tanto la lógica del  enjuiciamiento  sobre  derechos  humanos,  que</w:t>
        <w:br/>
        <w:t>sirve  a  propósitos  diversos   (restablecimiento   del   orden   jurídico,</w:t>
        <w:br/>
        <w:t>restauración de la paz en la que se funda el desarrollo  de  las  relaciones</w:t>
        <w:br/>
        <w:t>sociales,  preservación  y  recuperación  de  derechos   e   intereses   del</w:t>
        <w:br/>
        <w:t>individuo), como la frecuente solicitud de la Comisión Interamericana y  los</w:t>
        <w:br/>
        <w:t>representantes de las víctimas (a las que el propio Estado, en  el  acto  al</w:t>
        <w:br/>
        <w:t>que me vengo refiriendo, implícitamente ha hecho pasar de  la  condición  de</w:t>
        <w:br/>
        <w:t>“presuntas” víctimas a la calidad de  sujetos  lesionados  por  la  conducta</w:t>
        <w:br/>
        <w:t>violatoria reconocida). Es  así  que  el  Tribunal  acepta  el  desahogo  de</w:t>
        <w:br/>
        <w:t>pruebas sobre los hechos, en el curso de una audiencia pública;  se  refiere</w:t>
        <w:br/>
        <w:t>en un capítulo especial de la sentencia a los  acontecimientos  probados,  y</w:t>
        <w:br/>
        <w:t>enuncia, en sendas fórmulas declarativas, la  existencia  de  violaciones  a</w:t>
        <w:br/>
        <w:t>derechos y libertades específicos. Esto es consecuencia del carácter  propio</w:t>
        <w:br/>
        <w:t>del enjuiciamiento sobre violación de derechos humanos y, más  todavía,  del</w:t>
        <w:br/>
        <w:t>sistema mismo de  tutela  de  los  derechos  fundamentales,  del  que  aquél</w:t>
        <w:br/>
        <w:t>constituye reflejo e instrumento.</w:t>
        <w:br/>
        <w:br/>
        <w:t>5.    La aparentemente innecesaria recepción de  pruebas  y  declaración  de</w:t>
        <w:br/>
        <w:t>violaciones  satisface  diversos  objetivos:  a)  acredita  la  legalidad  y</w:t>
        <w:br/>
        <w:t>legitimidad,  la  veracidad,  la  admisibilidad  del  reconocimiento  o   la</w:t>
        <w:br/>
        <w:t>confesión, que pudieran ser rechazados por la Corte si  ésta  considera  que</w:t>
        <w:br/>
        <w:t>se apartan de la verdad o contrarían de alguna manera el régimen tutelar  de</w:t>
        <w:br/>
        <w:t>los  derechos  humanos;  b)  contribuyen  a  la  prevención   de   conductas</w:t>
        <w:br/>
        <w:t>violatorias futuras, en tanto exhiben ante la  sociedad  y  ante  el  propio</w:t>
        <w:br/>
        <w:t>Estado  las  infracciones  cometidas  --a  menudo  violaciones  de  gravedad</w:t>
        <w:br/>
        <w:t>extrema--, prevención que no constituye propiamente una medida  reparatoria,</w:t>
        <w:br/>
        <w:t>por más que se suela incluirla en esta categoría (inclusión  en  la  que  yo</w:t>
        <w:br/>
        <w:t>mismo he incurrido); c) proveen satisfacción moral a la víctima, que  no  se</w:t>
        <w:br/>
        <w:t>necesita en la gran mayoría de  los  litigios  patrimoniales,  pero  resulta</w:t>
        <w:br/>
        <w:t>indispensable en controversias sobre derechos humanos: éstas interesan a  la</w:t>
        <w:br/>
        <w:t>sociedad en su conjunto, han marcado  la  vida  de  la  víctima  y  gravitan</w:t>
        <w:br/>
        <w:t>intensamente   sobre   las    experiencias,    sentimientos,    capacidades,</w:t>
        <w:br/>
        <w:t>expectativas de aquélla; de ahí que se insista en que la  sentencia  es,  de</w:t>
        <w:br/>
        <w:t>suyo,  un  medio  de  reparación  moral;  y  d)  atienden  al  requerimiento</w:t>
        <w:br/>
        <w:t>individual y social de verdad y justicia.</w:t>
        <w:br/>
        <w:br/>
        <w:t>6.    En la sentencia dictada en el caso que ahora me  ocupa,  la  Corte  ha</w:t>
        <w:br/>
        <w:t>puesto el acento, una vez más, en el valor que posee  el  reconocimiento  de</w:t>
        <w:br/>
        <w:t>hechos y responsabilidad --así sea parcial--  como  medio  de  acreditar  la</w:t>
        <w:br/>
        <w:t>condición ética del Estado, que de esta suerte  concurre  a  rectificar  una</w:t>
        <w:br/>
        <w:t>desviación gravísima, y de emprender  también  aquí  --como  en  el  régimen</w:t>
        <w:br/>
        <w:t>penal-- el camino de la justicia restaurativa que  proviene  de  la  difícil</w:t>
        <w:br/>
        <w:t>aproximación entre los contendientes --tan desiguales en este orden--  y  no</w:t>
        <w:br/>
        <w:t>sólo de la decisión del tribunal.  Esta  expone  los  hechos  y  define  sus</w:t>
        <w:br/>
        <w:t>consecuencias, pero no necesariamente reconstruye, como  puede  hacerlo  una</w:t>
        <w:br/>
        <w:t>composición entre partes, la relación gobernada por el  entendimiento  y  la</w:t>
        <w:br/>
        <w:t>justicia que son el profundo sustento moral y político para el  trato  entre</w:t>
        <w:br/>
        <w:t>el poder público y los ciudadanos.</w:t>
        <w:br/>
        <w:br/>
        <w:t>7.     Ya  he  señalado  y  ponderado  ante  los  órganos  políticos  de  la</w:t>
        <w:br/>
        <w:t>Organización de los Estados Americanos --Comisión  de  Asuntos  Jurídicos  y</w:t>
        <w:br/>
        <w:t>Políticos y Asamblea General-- la existencia de un notable número  de  casos</w:t>
        <w:br/>
        <w:t>en  que  existe   allanamiento   --o,   genéricamente,   reconocimiento   de</w:t>
        <w:br/>
        <w:t>responsabilidad--  total  o  parcial.  Esto  posee  trascendencia  ética   y</w:t>
        <w:br/>
        <w:t>jurídica y anuncia una vía de solución que conviene transitar  en  la  mayor</w:t>
        <w:br/>
        <w:t>medida posible. Obviamente, la determinación a este respecto  compete  única</w:t>
        <w:br/>
        <w:t>y exclusivamente a los Estados. La  Comisión  Interamericana  puede  alentar</w:t>
        <w:br/>
        <w:t>las composiciones y la Corte, a su turno, puede y debe registrar el hecho  y</w:t>
        <w:br/>
        <w:t>apreciar sus ventajas. Vale decir que en el período  ordinario  de  sesiones</w:t>
        <w:br/>
        <w:t>al que corresponde la sentencia dictada  en  el  Caso  de  las  Masacres  de</w:t>
        <w:br/>
        <w:t>Ituango, los tres casos resueltos incluyeron en mayor o menor medida  --pero</w:t>
        <w:br/>
        <w:t>siempre  en  gran  medida--   admisión  de  hechos   y   reconocimiento   de</w:t>
        <w:br/>
        <w:t>responsabilidad: el propio Caso  de  Ituango  (Colombia),  el  Caso  Ximenes</w:t>
        <w:br/>
        <w:t>Lopes (Brasil) y el Caso Montero Aranguren  (Venezuela).  Este  es  un  dato</w:t>
        <w:br/>
        <w:t>relevante y creciente en la historia de la jurisdicción interamericana.</w:t>
        <w:br/>
        <w:br/>
        <w:t>8.    Por otra  parte,  la  Corte  tomó  nota  del  desarrollo  de  diversos</w:t>
        <w:br/>
        <w:t>procedimientos internos conducentes  a  esclarecer  los  hechos,  establecer</w:t>
        <w:br/>
        <w:t>responsabilidades   --de   diversa   naturaleza--   y    disponer    ciertas</w:t>
        <w:br/>
        <w:t>consecuencias. Es pertinente que se haya abierto esta  diversidad  de  vías,</w:t>
        <w:br/>
        <w:t>conforme a la legislación doméstica,  en  tanto  se  trata  de  medios  para</w:t>
        <w:br/>
        <w:t>conocer la verdad y disponer, con este fundamento, lo que corresponda.</w:t>
        <w:br/>
        <w:br/>
        <w:t>9.    El procesamiento de quienes deban afrontar  las  consecuencias  de  su</w:t>
        <w:br/>
        <w:t>conducta bajo el concepto de responsabilidad penal, precisamente,  sirve  al</w:t>
        <w:br/>
        <w:t>deber de garantizar la observancia de los derechos, conforme al  artículo  1</w:t>
        <w:br/>
        <w:t>CADH, pero no  es  el  único  camino  hacia  ese  fin,  si  la  ley  interna</w:t>
        <w:br/>
        <w:t>suministra otros de  carácter  concurrente  o  complementario  que  permitan</w:t>
        <w:br/>
        <w:t>avanzar en algunos extremos de justicia conducentes a restablecer  el  orden</w:t>
        <w:br/>
        <w:t>alterado y atender intereses legítimos de las víctimas. Cabe la  posibilidad</w:t>
        <w:br/>
        <w:t>de que por esos otros medios, regulados por normas nacionales, se avance  en</w:t>
        <w:br/>
        <w:t>el camino de la justicia, en la  inteligencia  de  que  ello  no  ignora  ni</w:t>
        <w:br/>
        <w:t>cancela la vía penal, en su caso  y  conforme  a  sus  propios  fundamentos.</w:t>
        <w:br/>
        <w:t>Evidentemente, la solución de ciertos temas de reparación  patrimonial,  que</w:t>
        <w:br/>
        <w:t>no es  irrelevante,  no  desvanece  los  otros  requerimientos  de  justicia</w:t>
        <w:br/>
        <w:t>inherentes a la obligación estatal de garantizar el respeto a  los  derechos</w:t>
        <w:br/>
        <w:t>humanos.</w:t>
        <w:br/>
        <w:br/>
        <w:br/>
        <w:br/>
        <w:t xml:space="preserve">      2.     VÍCTIMA</w:t>
        <w:br/>
        <w:br/>
        <w:t>10. La definición e identificación de las víctimas,  para  los  efectos  del</w:t>
        <w:br/>
        <w:t>pronunciamiento judicial que debe sustentarse en derecho,  suscita  diversas</w:t>
        <w:br/>
        <w:t>consideraciones que no han sido ajenas a la reflexión de la Corte. Es  claro</w:t>
        <w:br/>
        <w:t>que la víctima o lesionado es el titular  de  un  bien  jurídico  que  halla</w:t>
        <w:br/>
        <w:t>amparo en el derecho recogido en la Convención  Americana:  vida,  libertad,</w:t>
        <w:br/>
        <w:t>seguridad, propiedad, integridad, etcétera. Víctima, pues,  es  quien  sufre</w:t>
        <w:br/>
        <w:t>la lesión de ese derecho, que le corresponde.  En  algunas  ocasiones  hemos</w:t>
        <w:br/>
        <w:t>hablado de víctimas  directas  e  indirectas.  En  rigor,  sólo  existe  una</w:t>
        <w:br/>
        <w:t>categoría  relevante  para  los  fines  de  la  Convención:  la  víctima   o</w:t>
        <w:br/>
        <w:t>lesionado,  acreedora  a  las  reparaciones  que  la  Convención  ordena   o</w:t>
        <w:br/>
        <w:t>autoriza, que no podrían destinarse a otras categorías de sujetos,  como  no</w:t>
        <w:br/>
        <w:t>sea  a  través  de  un  fenómeno  de  transmisión  de   derechos,   cuestión</w:t>
        <w:br/>
        <w:t>tradicionalmente prevista en el ordenamiento interno.</w:t>
        <w:br/>
        <w:br/>
        <w:t>11.   Cuando hablamos de víctima directa nos referimos a la  persona  contra</w:t>
        <w:br/>
        <w:t>la que se dirige, en forma inmediata,  explícita,  deliberada,  la  conducta</w:t>
        <w:br/>
        <w:t>ilícita del agente del Estado: el individuo que pierde la  vida,  que  sufre</w:t>
        <w:br/>
        <w:t>en su integridad o libertad,  que  se  ve  privado  de  su  patrimonio,  con</w:t>
        <w:br/>
        <w:t>violación de los preceptos  convencionales  en  los  que  se  recogen  estos</w:t>
        <w:br/>
        <w:t>derechos. Y cuando nos referimos a víctima indirecta aludimos  a  un  sujeto</w:t>
        <w:br/>
        <w:t>que no sufre  de  la  misma  forma  --inmediata,  directa,  deliberada-  tal</w:t>
        <w:br/>
        <w:t>conducta ilícita, pero también  mira  afectados,  violentados,  sus  propios</w:t>
        <w:br/>
        <w:t>derechos a partir del impacto que recibe la denominada víctima  directa.  El</w:t>
        <w:br/>
        <w:t>daño que padece se produce como efecto del que ésta  ha  sufrido,  pero  una</w:t>
        <w:br/>
        <w:t>vez que la violación le alcanza se convierte en  lesionado  bajo  un  título</w:t>
        <w:br/>
        <w:t>propio –y no reflejo o derivado-- que se funda en la misma Convención  y  en</w:t>
        <w:br/>
        <w:t>los derechos reconocidos por ésta.</w:t>
        <w:br/>
        <w:br/>
        <w:t>12.    En realidad, una  y  otras  son,  en  esencia,  víctimas  en  sentido</w:t>
        <w:br/>
        <w:t>estricto:  es  decir,  víctimas  directas  o  víctimas  “a  secas”,  pura  y</w:t>
        <w:br/>
        <w:t>llanamente, aunque resulten diferentes las  violaciones  que  les  agravian,</w:t>
        <w:br/>
        <w:t>generalmente sucesivas. En un caso, por ejemplo,  quien  pierde  la  vida  o</w:t>
        <w:br/>
        <w:t>sufre tortura es víctima original de la violación de los artículos  artículo</w:t>
        <w:br/>
        <w:t>4º o 5º CADH. Su familiar o allegado son,  o  pueden  ser,  víctimas  de  la</w:t>
        <w:br/>
        <w:t>violación del artículo 5º por el severo menoscabo de su integridad  psíquica</w:t>
        <w:br/>
        <w:t>o moral  como  consecuencia  de  aquella  pérdida  de  la  vida  o  tortura.</w:t>
        <w:br/>
        <w:t>Finalmente, es posible que aparezcan víctimas en la secuela  de  los  hechos</w:t>
        <w:br/>
        <w:t>que siguen al original y poseen entidad propia;  así,  negativa  de  brindar</w:t>
        <w:br/>
        <w:t>acceso  a  la  justicia  para  la  investigación  y  enjuiciamiento  de  los</w:t>
        <w:br/>
        <w:t>responsables.  Los  sujetos   correspondientes   a   las   tres   categorías</w:t>
        <w:br/>
        <w:t>mencionadas son víctimas --sin necesidad de más deslindes o calificaciones--</w:t>
        <w:br/>
        <w:t xml:space="preserve"> del quebranto que sufren.</w:t>
        <w:br/>
        <w:br/>
        <w:t>13.   La definición sobre la existencia de víctimas y la  identificación  de</w:t>
        <w:br/>
        <w:t>éstas --que no es indispensable hacer, evidentemente, a través de nombres  y</w:t>
        <w:br/>
        <w:t>apellidos establecidos en constancias del  registro  civil  conforme  a  las</w:t>
        <w:br/>
        <w:t>estrictas formalidades del derecho interno-- forma parte de la  presentación</w:t>
        <w:br/>
        <w:t>de los hechos que corre a cargo del  organismo  que  somete  el  caso  a  la</w:t>
        <w:br/>
        <w:t>consideración de la Corte Interamericana.  En  la  demanda  de  la  Comisión</w:t>
        <w:br/>
        <w:t>debiera figurar, pues, la relación de  las  víctimas,  como  deben  aparecer</w:t>
        <w:br/>
        <w:t>todos los hechos del caso.</w:t>
        <w:br/>
        <w:br/>
        <w:t>14.    Al  respecto,  es  explícito  el  Reglamento  de  la  Corte  --cuarto</w:t>
        <w:br/>
        <w:t>Reglamento, vigente en los últimos años y que proviene de la  observación  y</w:t>
        <w:br/>
        <w:t>la experiencia del  Tribunal--  cuando  manifiesta  que  en  el  escrito  de</w:t>
        <w:br/>
        <w:t>demanda la Comisión “deberá consignar  el  nombre  y  la  dirección  de  las</w:t>
        <w:br/>
        <w:t>presuntas víctimas…” (artículo 33.1). Esta norma se debe relacionar  con  la</w:t>
        <w:br/>
        <w:t>definición de presunta víctima que  contiene  el  artículo  2.30  del  mismo</w:t>
        <w:br/>
        <w:t>instrumento: “persona de la cual se alega han  sido  violados  los  derechos</w:t>
        <w:br/>
        <w:t>protegidos en la Convención”.  Desde luego, esto no evita que aquélla o  sus</w:t>
        <w:br/>
        <w:t>representantes formulen consideraciones --como ha dicho  insistentemente  la</w:t>
        <w:br/>
        <w:t>jurisprudencia de la Corte-- acerca de violaciones  cometidas,  a  condición</w:t>
        <w:br/>
        <w:t>de que se mantenga la presentación de los hechos  que  formula,  conforme  a</w:t>
        <w:br/>
        <w:t>sus atribuciones convencionales, el órgano legitimado para el  ejercicio  de</w:t>
        <w:br/>
        <w:t>la acción internacional en materia de derechos humanos.</w:t>
        <w:br/>
        <w:br/>
        <w:t>15.   El realismo propio  del  enjuiciamiento  sobre  derechos  humanos,  el</w:t>
        <w:br/>
        <w:t>propósito de  conocer  la  verdad  histórica,  la  exclusión  o  elusión  de</w:t>
        <w:br/>
        <w:t>formalidades excesivas, no relevan  al  Tribunal  del  cumplimiento  de  sus</w:t>
        <w:br/>
        <w:t>deberes conforme a la función  jurisdiccional  que  le  corresponda,  ni  le</w:t>
        <w:br/>
        <w:t>autorizan a emprender indagaciones o  asumir  hipótesis  que  incumben,  más</w:t>
        <w:br/>
        <w:t>bien, al actor que al juzgador. Resultaría muy inquietante que  un  tribunal</w:t>
        <w:br/>
        <w:t>interpretara a discreción --en realidad, modificara-- los  términos  de  sus</w:t>
        <w:br/>
        <w:t>atribuciones y generara, con  ello,  inseguridad  jurídica  que  pondría  en</w:t>
        <w:br/>
        <w:t>predicamento la objetividad del proceso y los derechos  de  las  partes.  La</w:t>
        <w:br/>
        <w:t>actuación del Tribunal dentro del marco de la competencia que  le  atribuyen</w:t>
        <w:br/>
        <w:t>las normas de las que toma sus potestades es garantía  de  seguridad  y,  en</w:t>
        <w:br/>
        <w:t>seguida, de justicia. Expresa el imperio  de  la  legalidad  y  ahuyenta  la</w:t>
        <w:br/>
        <w:t>tentación de discrecionalidad o arbitrariedad.</w:t>
        <w:br/>
        <w:br/>
        <w:t>16.    El  desbordamiento  de  esas   fronteras,   así   sea   por   motivos</w:t>
        <w:br/>
        <w:t>(eventualmente) plausibles erosiona o cancela la confianza que  el  tribunal</w:t>
        <w:br/>
        <w:t>merece y que  repercute,  sin  duda,  a  favor  de  la  justicia  y  de  los</w:t>
        <w:br/>
        <w:t>justiciables.  Desde  luego,  pudiera  resultar  deseable,  en  determinadas</w:t>
        <w:br/>
        <w:t>circunstancias, modificar --y ampliar-- la competencia de un Tribunal,  pero</w:t>
        <w:br/>
        <w:t>esto debe lograrse mediante reformas normativas, también subordinadas  a  la</w:t>
        <w:br/>
        <w:t>regla de legalidad, no a través de actos de propia autoridad que carecen  de</w:t>
        <w:br/>
        <w:t>sustento  jurídico,  a  pesar  de  que  resulten  atractivos  para   algunos</w:t>
        <w:br/>
        <w:t>justiciables y para juzgadores que se deslizan en esta peligrosa pendiente.</w:t>
        <w:br/>
        <w:br/>
        <w:t>17.   Aun cuando la presentación formal de los  casos  contenciosos  incluya</w:t>
        <w:br/>
        <w:t>regularmente  un  señalamiento   puntual   de   los   hechos   supuestamente</w:t>
        <w:br/>
        <w:t>violatorios, de los preceptos a los que estas violaciones se refieren  y  de</w:t>
        <w:br/>
        <w:t>las personas afectadas por ellas, también puede ocurrir que  en  algún  caso</w:t>
        <w:br/>
        <w:t>complejo  la  demanda  no contenga elementos para  precisar  suficientemente</w:t>
        <w:br/>
        <w:t>–no digo perfectamente, en forma absoluta-- los sujetos  lesionados  por  la</w:t>
        <w:br/>
        <w:t>violación. Si así fuere, la Corte puede y debe revisar con el mayor  cuidado</w:t>
        <w:br/>
        <w:t>y el mejor esfuerzo los datos que constan en  la  demanda  y  responder  tan</w:t>
        <w:br/>
        <w:t>ampliamente como le sea posible las interrogantes que enfrenta.</w:t>
        <w:br/>
        <w:br/>
        <w:t>18.    Con esto, el Tribunal cumple su deber  y  sirve  a  la  causa  de  la</w:t>
        <w:br/>
        <w:t>justicia y a la tutela de los derechos humanos. Lo que  no  puede  hacer  es</w:t>
        <w:br/>
        <w:t>desbordar sus atribuciones, añadir extremos a la demanda,  motu  proprio,  y</w:t>
        <w:br/>
        <w:t>fallar sin consideración sobre los hechos --rubro  bajo  el  que  figura  la</w:t>
        <w:br/>
        <w:t>relativa precisión acerca de las víctimas-- que se le someten, no  más  allá</w:t>
        <w:br/>
        <w:t>de ellos. En fin de cuentas, el juez no es el “dueño” del proceso  ni  puede</w:t>
        <w:br/>
        <w:t>convertirse en parte, además de tribunal.</w:t>
        <w:br/>
        <w:br/>
        <w:t>19.    Esta reflexión acerca del marco jurídico en el que actúa la Corte  --</w:t>
        <w:br/>
        <w:t>que fija a ésta atribuciones y fronteras, limitación que  es  característica</w:t>
        <w:br/>
        <w:t>del Estado de Derecho; lo contrario desemboca  en  puro  arbitrio,  con  los</w:t>
        <w:br/>
        <w:t>riesgos que bien sabemos-- no me priva  de  reconocer  el  buen  trabajo  de</w:t>
        <w:br/>
        <w:t>integración de la demanda que realiza el órgano  competente  para  ello.  En</w:t>
        <w:br/>
        <w:t>muchos casos, particularmente  aquellos  que  incluyen  hechos  numerosos  y</w:t>
        <w:br/>
        <w:t>complejos y un gran número de participantes --sea a título de víctimas,  sea</w:t>
        <w:br/>
        <w:t>en condición de  victimarios--  esa  integración  no  constituye  una  tarea</w:t>
        <w:br/>
        <w:t>sencilla.</w:t>
        <w:br/>
        <w:br/>
        <w:t>20.   En el caso al que se refiere la sentencia que acompaño con este  Voto,</w:t>
        <w:br/>
        <w:t>la Corte desplegó el esfuerzo que estuvo a  su  alcance,  sin  subvertir  la</w:t>
        <w:br/>
        <w:t>naturaleza de sus funciones, para avanzar en la precisión de las víctimas  y</w:t>
        <w:br/>
        <w:t>procurar, con ello, la más amplia satisfacción  por  violaciones  cometidas,</w:t>
        <w:br/>
        <w:t>tomando en cuenta los datos que se desprendieron de un muy reflexivo  examen</w:t>
        <w:br/>
        <w:t>de la demanda y de los elementos de prueba contenidos en el expediente.</w:t>
        <w:br/>
        <w:br/>
        <w:t>21.   Conviene destacar que la Corte, al fijar determinadas  prestaciones  a</w:t>
        <w:br/>
        <w:t>favor de víctimas de los hechos violatorios, expresamente dejó a  salvo  los</w:t>
        <w:br/>
        <w:t>derechos que pudieran corresponder, conforme a las normas  internas  y  ante</w:t>
        <w:br/>
        <w:t>las  autoridades  nacionales,  a   otras   personas   afectadas   por   esas</w:t>
        <w:br/>
        <w:t>violaciones. Aquéllos tienen su propia  fuente  y  deben  atenderse  en  sus</w:t>
        <w:br/>
        <w:t>términos,  sin  pretender  que  la  sentencia   del   órgano   internacional</w:t>
        <w:br/>
        <w:t>interfiera la satisfacción que corresponda.</w:t>
        <w:br/>
        <w:br/>
        <w:t>22.   Más aún, si resultara que conforme a la ley nacional ciertas  víctimas</w:t>
        <w:br/>
        <w:t>reconocidas en la sentencia pudieran alcanzar  mayores  beneficios  que  los</w:t>
        <w:br/>
        <w:t>previstos en la resolución internacional, los lesionados  conservarían  --en</w:t>
        <w:br/>
        <w:t>mi concepto-- la posibilidad de reclamar ante ésta, con  el  título  que  el</w:t>
        <w:br/>
        <w:t>Derecho  interno  les  concede,  las  compensaciones  o  satisfacciones   de</w:t>
        <w:br/>
        <w:t>carácter complementario que legítimamente puedan obtener. Si no  fuera  así,</w:t>
        <w:br/>
        <w:t>el  acto  jurídico  internacional  suprimiría  derechos  de  particulares  o</w:t>
        <w:br/>
        <w:t>reduciría su alcance, lo cual resultaría completamente inconsecuente con  la</w:t>
        <w:br/>
        <w:t>intangibilidad de los mejores derechos que pudieran tener los  individuos  a</w:t>
        <w:br/>
        <w:t>partir de normas diferentes, no solamente de la CADH.</w:t>
        <w:br/>
        <w:br/>
        <w:br/>
        <w:br/>
        <w:t xml:space="preserve">      3.    PLAZO RAZONABLE</w:t>
        <w:br/>
        <w:br/>
        <w:t>23.   Entre las cuestiones analizadas en el Caso de las Masacres de  Ituango</w:t>
        <w:br/>
        <w:t>ha  figurado  uno  de  los  temas  más  abundantemente  llevados  ante   las</w:t>
        <w:br/>
        <w:t>jurisdicciones  sobre  derechos  humanos:  el  plazo   razonable   para   la</w:t>
        <w:br/>
        <w:t>realización de ciertos actos, la vigencia de una situación (así, p. ej.,  la</w:t>
        <w:br/>
        <w:t>prisión preventiva) o la satisfacción  misma  de  un  derecho  (v.  gr.,  el</w:t>
        <w:br/>
        <w:t>derecho a recibir justicia, no sólo a requerirla o aguardarla), en el  cauce</w:t>
        <w:br/>
        <w:t>del debido proceso: ser oído en un plazo razonable para  la  decisión  sobre</w:t>
        <w:br/>
        <w:t>responsabilidades, derechos o situaciones que atañen a los  derechos  y  las</w:t>
        <w:br/>
        <w:t>obligaciones  de  los  individuos.  La  justicia  quedaría  al  garete,   en</w:t>
        <w:br/>
        <w:t>suspenso, irrealizada o ilusoria, si  no  se  produjeran  oportunamente  las</w:t>
        <w:br/>
        <w:t>definiciones en las que aquélla se concreta.</w:t>
        <w:br/>
        <w:br/>
        <w:t>24.    La diligencia en el despacho de los asuntos sujetos  a  consideración</w:t>
        <w:br/>
        <w:t>jurisdiccional constituye un dato central  de  la  justicia.  Por  supuesto,</w:t>
        <w:br/>
        <w:t>diligencia no significa desatención  hacia  los  derechos  y  las  garantías</w:t>
        <w:br/>
        <w:t>inherentes al proceso, descuido  en  la  apreciación  de  los  hechos  y  el</w:t>
        <w:br/>
        <w:t>derecho, inconsistencia de las resoluciones judiciales. Pero  la  demora  en</w:t>
        <w:br/>
        <w:t>la emisión de éstas,  mientras  los  justiciables  aguardan  y  consumen  su</w:t>
        <w:br/>
        <w:t>tiempo y sus esperanzas, también  contraviene  frontalmente  el  derecho  de</w:t>
        <w:br/>
        <w:t>acceso a la justicia. Satisfacerlo  reclama  un  esfuerzo  especial  de  los</w:t>
        <w:br/>
        <w:t>tribunales, obligados a lograr la  mayor  productividad  compatible  con  el</w:t>
        <w:br/>
        <w:t>acierto en las decisiones que emiten. No se trata de ganar  una  carrera  al</w:t>
        <w:br/>
        <w:t>tiempo, sino de emplear el tiempo en recorrer efectivamente  el  camino  que</w:t>
        <w:br/>
        <w:t>conduce a la justicia.</w:t>
        <w:br/>
        <w:br/>
        <w:t>25.   A menudo nos ocupamos en el plazo razonable, concepto indispensable  y</w:t>
        <w:br/>
        <w:t>arraigado,  pero  no  fórmula  matemática  universal  y  constante,   cuando</w:t>
        <w:br/>
        <w:t>examinamos las condiciones en las que se encuentra  el  inculpado  sujeto  a</w:t>
        <w:br/>
        <w:t>proceso. En estos casos valoramos la racionalidad  del  tiempo  transcurrido</w:t>
        <w:br/>
        <w:t>entre  el  principio  y  el  final  del  procedimiento   del   que   derivan</w:t>
        <w:br/>
        <w:t>restricciones a derechos o que desembocará, en el otro extremo,  en  goce  y</w:t>
        <w:br/>
        <w:t>ejercicio efectivos de éstos. En esta circunstancia  adoptamos,  para  guiar</w:t>
        <w:br/>
        <w:t>nuestra apreciación --puesto que no  existen,  ni  podrían  existir,  ya  lo</w:t>
        <w:br/>
        <w:t>dije, reglas cuantitativas  únicas,  aplicables  a  todos  los  supuestos--,</w:t>
        <w:br/>
        <w:t>determinados elementos tomados de la experiencia judicial, a los que  se  ha</w:t>
        <w:br/>
        <w:t>referido la jurisprudencia europea: complejidad del caso,  conducta  de  las</w:t>
        <w:br/>
        <w:t>partes, comportamiento de las autoridades, puntos, todos  ellos,  sujetos  a</w:t>
        <w:br/>
        <w:t>consideración casuística en  función  de  su  razonabilidad  y  pertinencia.</w:t>
        <w:br/>
        <w:t>Estos criterios se ven naturalmente influidos por las circunstancias en  las</w:t>
        <w:br/>
        <w:t>que cada caso se desenvuelve.</w:t>
        <w:br/>
        <w:br/>
        <w:t>26.   He  sugerido  agregar  un  dato  a  la  estimación  acerca  del  plazo</w:t>
        <w:br/>
        <w:t>razonable: la mayor o menor “afectación actual que el procedimiento  implica</w:t>
        <w:br/>
        <w:t>para los  derechos  y  deberes  --es  decir,  la  situación  jurídica--  del</w:t>
        <w:br/>
        <w:t>individuo”, como manifesté en mi Voto razonado sobre el Caso  López  Alvarez</w:t>
        <w:br/>
        <w:t>vs. Honduras, con sentencia del 1 de febrero  del  2006.  Estimo  procedente</w:t>
        <w:br/>
        <w:t>asociar este elemento a los  otros  que  generalmente  consideramos.  En  la</w:t>
        <w:br/>
        <w:t>materia que ahora interesa, es preciso estimar la razonabilidad de un  plazo</w:t>
        <w:br/>
        <w:t>también --pero no exclusivamente-- desde la  perspectiva  del  gravamen   --</w:t>
        <w:br/>
        <w:t>desde leve hasta insoportable-- que el paso del tiempo impone al sujeto  que</w:t>
        <w:br/>
        <w:t>aguarda la solución al conflicto que le atañe.</w:t>
        <w:br/>
        <w:br/>
        <w:t>27.   En fin de cuentas, la razonabilidad del plazo  para  proveer  justicia</w:t>
        <w:br/>
        <w:t>debe analizarse con referencia al fin que se procura alcanzar y a  la  mejor</w:t>
        <w:br/>
        <w:t>manera de obtenerlo, considerando  los  diversos  extremos  que  implica  la</w:t>
        <w:br/>
        <w:t>administración de justicia en todos los aspectos que debe abarcar a  fin  de</w:t>
        <w:br/>
        <w:t>alcanzar   la   plenitud   posible   y   deseable:    declaración,    previo</w:t>
        <w:br/>
        <w:t>esclarecimiento de los hechos;  disposición  de  reparaciones  adecuadas  en</w:t>
        <w:br/>
        <w:t>función de las  violaciones  cometidas  y  cumplimiento  de  las  decisiones</w:t>
        <w:br/>
        <w:t>adoptadas, a este fin, por los órganos competentes.</w:t>
        <w:br/>
        <w:br/>
        <w:t>28.   Como señalé, en la mayoría de los casos analizamos el plazo  razonable</w:t>
        <w:br/>
        <w:t>desde el ángulo del individuo  sujeto  al  procedimiento  (regularmente,  el</w:t>
        <w:br/>
        <w:t>inculpado, el enjuiciado), y menos desde la óptica del  otro  sujeto  de  la</w:t>
        <w:br/>
        <w:t>relación: el  ofendido,  el  victimado,  el  lesionado,  que  también  tiene</w:t>
        <w:br/>
        <w:t>derechos --ante todo, el derecho a la justicia  y,  a  través  de  éste,  el</w:t>
        <w:br/>
        <w:t>derecho a la satisfacción  de  sus  legítimos  intereses--  cuya  definición</w:t>
        <w:br/>
        <w:t>depende de la mayor o menor  diligencia  con  que  actúen  los  órganos  del</w:t>
        <w:br/>
        <w:t>Estado  llamados  a   pronunciarse   sobre   los   hechos,   a   través   de</w:t>
        <w:br/>
        <w:t>investigaciones eficaces, juicios expeditos, decisiones oportunas.</w:t>
        <w:br/>
        <w:br/>
        <w:t>29.    Dado que nos hallamos ante  un  problema  de  “plazo  razonable”,  es</w:t>
        <w:br/>
        <w:t>preciso acotar los extremos dentro de los que corre un plazo, es  decir,  el</w:t>
        <w:br/>
        <w:t>tiempo para la solución de asunto sometido a  determinadas  autoridades:  el</w:t>
        <w:br/>
        <w:t>momento en que  comienza  y  el  instante  en  que  concluye,  aunque  estas</w:t>
        <w:br/>
        <w:t>definiciones se hagan en términos aproximados y sin perder  jamás  de  vista</w:t>
        <w:br/>
        <w:t>las   circunstancias   de   cada   caso,   que   dominan   las    soluciones</w:t>
        <w:br/>
        <w:t>correspondientes.  En  este  orden  reviste  gran  importancia  el   régimen</w:t>
        <w:br/>
        <w:t>procesal  prevaleciente,  que  no  es  un  dato  neutro,  sino  un  fenómeno</w:t>
        <w:br/>
        <w:t>presionante o condicionante.</w:t>
        <w:br/>
        <w:br/>
        <w:t>30.    Bajo algunos regímenes  de  enjuiciamiento,  las  investigaciones  se</w:t>
        <w:br/>
        <w:t>sustraen a  la  autoridad  judicial  y  pueden  prolongarse  apreciablemente</w:t>
        <w:br/>
        <w:t>mientras el indagador satisface los requerimientos legales para  someter  el</w:t>
        <w:br/>
        <w:t>punto  al  órgano  jurisdiccional.  En  otros,   la   investigación   y   el</w:t>
        <w:br/>
        <w:t>enjuiciamiento corren por diversas etapas, cada  una  de  las  cuales  posee</w:t>
        <w:br/>
        <w:t>rasgos e implicaciones característicos,  y  quedan  en  manos  de  distintas</w:t>
        <w:br/>
        <w:t>autoridades. También puede ocurrir que sea el propio  juzgador  quien  lleve</w:t>
        <w:br/>
        <w:t>adelante  la  investigación,  a  reserva  de  remitir  sus   resultados   al</w:t>
        <w:br/>
        <w:t>Ministerio Público o a un juez de diversa competencia para  la  prosecución,</w:t>
        <w:br/>
        <w:t>en su caso, del juzgamiento. Todo esto incide en  los  tiempos  de  sujeción</w:t>
        <w:br/>
        <w:t>del individuo a la autoridad que conoce --lato sensu-- su  caso,  y  por  lo</w:t>
        <w:br/>
        <w:t>tanto en los tiempos de definición de derechos y deberes, que es lo  que  en</w:t>
        <w:br/>
        <w:t>definitiva interesa y afecta al  individuo,  más  allá  de  los  tecnicismos</w:t>
        <w:br/>
        <w:t>procesales.</w:t>
        <w:br/>
        <w:br/>
        <w:t>31.   En mi citado Voto en el Caso López Alvarez vs. Honduras  me  referí  a</w:t>
        <w:br/>
        <w:t>este  problema  en  los  términos  que  ahora  reproduzco  y  confirmo:  “La</w:t>
        <w:br/>
        <w:t>precisión a este respecto (es decir, a propósito del inicio y el  final  del</w:t>
        <w:br/>
        <w:t>plazo) es indispensable cuando nos  encontramos  a  la  vista  de  regímenes</w:t>
        <w:br/>
        <w:t>jurídicos diferentes, con estructuras  judiciales  y  procesales  distintas,</w:t>
        <w:br/>
        <w:t>que se hallan igualmente sujetas a las disposiciones convencionales y  deben</w:t>
        <w:br/>
        <w:t>aplicar el criterio del plazo razonable”.</w:t>
        <w:br/>
        <w:br/>
        <w:t>32.   “En mi concepto,  lo  que  pretende  el  orden  internacional  de  los</w:t>
        <w:br/>
        <w:t>derechos humanos es que la afectación de los derechos  de  la  persona,  por</w:t>
        <w:br/>
        <w:t>acción o abstención del Estado, no  se  prolongue  injustificadamente  hasta</w:t>
        <w:br/>
        <w:t>generar condiciones de injusticia,  inequidad  o  inseguridad  jurídica.  La</w:t>
        <w:br/>
        <w:t>solución de este  problema  reclama  precisiones  que  debe  suministrar  la</w:t>
        <w:br/>
        <w:t>jurisprudencia  y  que   resulten   aprovechables   en   diversos   sistemas</w:t>
        <w:br/>
        <w:t>procesales” (párr. 38).</w:t>
        <w:br/>
        <w:br/>
        <w:t>33.    Considero, en fin, que el plazo razonable para satisfacer el  derecho</w:t>
        <w:br/>
        <w:t>a la justicia no puede verse condicionado por  la  técnica  propia  de  cada</w:t>
        <w:br/>
        <w:t>sistema  procesal,  de  manera  tal  que  cada   uno   arroje   conclusiones</w:t>
        <w:br/>
        <w:t>diferentes, que pudieran ser engañosas, acerca de la eficaz  observancia  de</w:t>
        <w:br/>
        <w:t>un mismo derecho. Tras el tecnicismo se ocultaría la inequidad.  De  lo  que</w:t>
        <w:br/>
        <w:t>se  trata  es  de  que  exista  un  buen  despacho  --diligente,  razonable,</w:t>
        <w:br/>
        <w:t>adecuado, pertinente, sin ignorar el peso de las circunstancias-- por  parte</w:t>
        <w:br/>
        <w:t>de las autoridades del Estado que concurren, conforme  al  sistema  procesal</w:t>
        <w:br/>
        <w:t>adoptado por éste, al cumplimiento de los actos que llevan a la solución  de</w:t>
        <w:br/>
        <w:t>la controversia.</w:t>
        <w:br/>
        <w:br/>
        <w:t>34.   Si el trámite se distribuye entre diversas autoridades o se  concentra</w:t>
        <w:br/>
        <w:t>en unas solas manos, si en  el  curso  del  procedimiento  las  definiciones</w:t>
        <w:br/>
        <w:t>parciales --así, la sujeción a proceso, una vez formulados los  cargos--  se</w:t>
        <w:br/>
        <w:t>producen en forma inmediata a la vinculación del inculpado o a  la  denuncia</w:t>
        <w:br/>
        <w:t>de la víctima o mucho tiempo después de que éstas se  presentaron,  nada  de</w:t>
        <w:br/>
        <w:t>ello debe alterar, desviar o encubrir la exigencia de  que  exista  solución</w:t>
        <w:br/>
        <w:t>en  un  plazo  razonable  a  partir  de  que  ocurrieron  los   hechos   que</w:t>
        <w:br/>
        <w:t>desencadenaron el procedimiento.</w:t>
        <w:br/>
        <w:br/>
        <w:t>35.     El  primer  acto  de  autoridad  que  afecta  derechos  del   sujeto</w:t>
        <w:br/>
        <w:t>constituye el punto de referencia para estimar el plazo razonable, medir  su</w:t>
        <w:br/>
        <w:t>duración,  cotejarla  con  las  condiciones  del  asunto  y   la   razonable</w:t>
        <w:br/>
        <w:t>diligencia del Estado y apreciar el  cumplimiento  o  incumplimiento  de  la</w:t>
        <w:br/>
        <w:t>garantía judicial de plazo razonable. En  este  sentido  se  ha  pronunciado</w:t>
        <w:br/>
        <w:t>últimamente la jurisprudencia de la Corte Interamericana. Basta,  pues,  con</w:t>
        <w:br/>
        <w:t>que exista esa afectación del individuo para  que  se  ponga  en  alerta  la</w:t>
        <w:br/>
        <w:t>valoración sobre el plazo razonable, aunque la afectación  no  se  presente,</w:t>
        <w:br/>
        <w:t>técnicamente, dentro del “proceso” penal, sino dentro de un  “procedimiento”</w:t>
        <w:br/>
        <w:t>penal. Para los efectos de la tutela de los derechos humanos, la  distinción</w:t>
        <w:br/>
        <w:t>entre esos supuestos no posee relevancia decisiva: en ambos, en  efecto,  se</w:t>
        <w:br/>
        <w:t>afecta la libertad del individuo a  través  de  vinculaciones  que  implican</w:t>
        <w:br/>
        <w:t>injerencia en su esfera de libre determinación.</w:t>
        <w:br/>
        <w:br/>
        <w:t>36.   De lo contrario bastaría con fragmentar la persecución,  abrir  largos</w:t>
        <w:br/>
        <w:t>períodos de investigación, diferir a conveniencia la  apertura  del  juicio,</w:t>
        <w:br/>
        <w:t>generar actos de los que dependa  la  calificación  del  procedimiento  como</w:t>
        <w:br/>
        <w:t>verdadero proceso o simple preparación de  éste,  etcétera,  para  prolongar</w:t>
        <w:br/>
        <w:t>una indagación, retrasar  un  juicio  o  postergar  la  satisfacción  de  un</w:t>
        <w:br/>
        <w:t>derecho  o  el   cumplimiento   de   un   deber,   sea   que   ello   afecte</w:t>
        <w:br/>
        <w:t>desfavorablemente a un inculpado, sea que lesione  el  interés  jurídico  de</w:t>
        <w:br/>
        <w:t>una víctima. La forma sacrificaría el fondo.</w:t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t>Pablo Saavedra Alessandri</w:t>
        <w:br/>
        <w:t xml:space="preserve">       Secretario</w:t>
        <w:br/>
        <w:br/>
        <w:t xml:space="preserve">                VOTO RAZONADO DEL JUEZ A.A. CANÇADO TRINDADE</w:t>
        <w:br/>
        <w:br/>
        <w:br/>
        <w:br/>
        <w:t>1.    He concurrido con mi voto a la adopción, por la  Corte  Interamericana</w:t>
        <w:br/>
        <w:t>de Derechos Humanos, de su presente Sentencia en el caso de las Masacres  de</w:t>
        <w:br/>
        <w:t>Ituango. Dada la particular gravedad de los hechos del  presente  caso,  que</w:t>
        <w:br/>
        <w:t>retratan nuevamente ante esta Corte la verdadera tragedia humana vivida  por</w:t>
        <w:br/>
        <w:t>Colombia en los últimos años, me veo en la obligación  de  dejar  constancia</w:t>
        <w:br/>
        <w:t>de mis reflexiones sobre lo tratado por la Corte en la  presente  Sentencia,</w:t>
        <w:br/>
        <w:t>como fundamento de mi posición al respecto. Con  este  propósito,  abordaré,</w:t>
        <w:br/>
        <w:t>en el presente Voto  Razonado,  los  siguientes  puntos,  no  necesariamente</w:t>
        <w:br/>
        <w:t>circunscritos al presente caso aunque relacionados con  él,  y  además  como</w:t>
        <w:br/>
        <w:t>reflexiones de orden general para la labor futura de  la  Corte  y  para  el</w:t>
        <w:br/>
        <w:t>refinamiento  de  la   doctrina   jusinternacionalista   contemporánea:   a)</w:t>
        <w:br/>
        <w:t>consideraciones  previas;  b)  la   crueldad   humana   en   sus   distintas</w:t>
        <w:br/>
        <w:t>manifestaciones  en   la   ejecución   de   políticas   estatales;   c)   la</w:t>
        <w:br/>
        <w:t>insensibilidad del Estado ante las consecuencias de  sus  propias  prácticas</w:t>
        <w:br/>
        <w:t>criminales; d) la total indefensión de los seres humanos ante las  prácticas</w:t>
        <w:br/>
        <w:t>criminales del Estado;  e)  nuevas  reflexiones  sobre  la  planificación  y</w:t>
        <w:br/>
        <w:t>ejecución de masacres como crímenes de Estado; f) el derecho de acceso a  la</w:t>
        <w:br/>
        <w:t>justicia lato sensu en la indisociabilidad entre los artículos 25 y 8 de  la</w:t>
        <w:br/>
        <w:t>Convención Americana; y  g)  la  reacción  de  la  conciencia  jurídica:  la</w:t>
        <w:br/>
        <w:t>evolución de la noción de víctima.</w:t>
        <w:br/>
        <w:br/>
        <w:br/>
        <w:t xml:space="preserve">      I.    Consideraciones Previas.</w:t>
        <w:br/>
        <w:br/>
        <w:t>2.    En la presente Sentencia sobre el caso  de  las  Masacres  de  Ituango</w:t>
        <w:br/>
        <w:t>(resultantes de las incursiones armadas en las localidades de  La  Granja  y</w:t>
        <w:br/>
        <w:t>El  Aro),  la  Corte  precisó  el  alcance  del  reconocimiento  parcial  de</w:t>
        <w:br/>
        <w:t>responsabilidad internacional por  determinados  hechos,  efectuado  por  el</w:t>
        <w:br/>
        <w:t>Estado demandando, haciendo notas que dicho  reconocimiento  no  abarcó  las</w:t>
        <w:br/>
        <w:t>pretensiones de los demandantes sobre reparaciones y costas (párr. 73).  Uno</w:t>
        <w:br/>
        <w:t>de los peritajes rendidos ante la Corte dio  cuenta  de  que  las  referidas</w:t>
        <w:br/>
        <w:t>masacres   fueran   perpetradas   con   "extrema   brutalidad"   (incluyendo</w:t>
        <w:br/>
        <w:t>mutilaciones,  torturas   y   ejecuciones   extrajudiciales)   por   "grupos</w:t>
        <w:br/>
        <w:t>paramilitares  que  actuaron  conjuntamente  con  las  fuerzas  armadas   de</w:t>
        <w:br/>
        <w:t>Colombia, o que al menos  contaron  con  la  aquiescencia  o  tolerancia  de</w:t>
        <w:br/>
        <w:t>éstas" (párr. 110(a)(1)). La Corte dio por probadas las  brutalidades  y  el</w:t>
        <w:br/>
        <w:t>desplazamiento forzado interno en Colombia (párrs. 125.1-113).</w:t>
        <w:br/>
        <w:br/>
        <w:t>3.     En  el  procedimiento  ante  la  Corte  en  el   cas   d'espèce,   la</w:t>
        <w:br/>
        <w:t>representación de las víctimas, al sostener "la responsabilidad  del  Estado</w:t>
        <w:br/>
        <w:t>por la acción de los paramilitares", señaló, en la audiencia pública del  23</w:t>
        <w:br/>
        <w:t>de septiembre de 2005, que</w:t>
        <w:br/>
        <w:br/>
        <w:t xml:space="preserve">            "El paramilitarismo en Colombia es  una  estrategia  del  Estado</w:t>
        <w:br/>
        <w:t xml:space="preserve">      para  enfrentar  a  los  grupos  guerrilleros;  esta   estrategia   ha</w:t>
        <w:br/>
        <w:t xml:space="preserve">      consistido en promover la acción de grupos civiles armados para atacar</w:t>
        <w:br/>
        <w:t xml:space="preserve">      a población civil que real o presuntamente apoya  a  los  insurgentes,</w:t>
        <w:br/>
        <w:t xml:space="preserve">      mediante el asesinato  selectivo,  las  desapariciones  forzadas,  las</w:t>
        <w:br/>
        <w:t xml:space="preserve">      masacres y los ataques indiscriminados contra esta población civil"</w:t>
        <w:br/>
        <w:t xml:space="preserve">      [284].</w:t>
        <w:br/>
        <w:br/>
        <w:t>4.    En relación con lo  ocurrido  en  el  caso  concreto  en  la  zona  de</w:t>
        <w:br/>
        <w:t>Ituango, de valor estratégico porque ahí operaba la guerrilla de  las  FARC,</w:t>
        <w:br/>
        <w:t>se configuró, - según aquella  representación,  -  "la  responsabilidad  del</w:t>
        <w:br/>
        <w:t>Estado colombiano",</w:t>
        <w:br/>
        <w:br/>
        <w:t xml:space="preserve">            "no sólo porque participaron activamente miembros de  la  Fuerza</w:t>
        <w:br/>
        <w:t xml:space="preserve">      Pública colombiana, sino también porque [los hechos] hicieron parte de</w:t>
        <w:br/>
        <w:t xml:space="preserve">      un  plan  convenido  de  lucha  contra  insurgentes  que   contemplaba</w:t>
        <w:br/>
        <w:t xml:space="preserve">      aterrorizar a la población civil de la zona  para  eliminar  cualquier</w:t>
        <w:br/>
        <w:t xml:space="preserve">      apoyo real o presunto a favor de las guerrillas"[285].</w:t>
        <w:br/>
        <w:br/>
        <w:t>5.     La  representación  de  las  víctimas  sostuvo   además   violaciones</w:t>
        <w:br/>
        <w:t>adicionales de los artículos 8(1) y 25  de  la  Convención  Americana  sobre</w:t>
        <w:br/>
        <w:t>Derechos Humanos, al agregar que</w:t>
        <w:br/>
        <w:br/>
        <w:t xml:space="preserve">            "el Estado colombiano no  ha  brindado  a  las  víctimas  y  sus</w:t>
        <w:br/>
        <w:t xml:space="preserve">      familiares recursos eficaces  que  les  garanticen  el  derecho  a  la</w:t>
        <w:br/>
        <w:t xml:space="preserve">      verdad, la justicia y la reparación en  estas  graves  violaciones  de</w:t>
        <w:br/>
        <w:t xml:space="preserve">      derechos  humanos.  (...)  El  Estado  colombiano  ha  dispuesto   sus</w:t>
        <w:br/>
        <w:t xml:space="preserve">      estructuras para mantener a los autores de estas graves violaciones de</w:t>
        <w:br/>
        <w:t xml:space="preserve">      los derechos humanos fuera del alcance de la ley; y  (...)  el  Estado</w:t>
        <w:br/>
        <w:t xml:space="preserve">      colombiano ha adoptado legislación interna que impide a  las  víctimas</w:t>
        <w:br/>
        <w:t xml:space="preserve">      de estos graves hechos a acceder a que se les garantice el  derecho  a</w:t>
        <w:br/>
        <w:t xml:space="preserve">      la verdad y a la justicia"[286].</w:t>
        <w:br/>
        <w:br/>
        <w:t>6.    En sus alegatos finales ante la Corte, la referida representación,  al</w:t>
        <w:br/>
        <w:t>sostener la responsabilidad internacional  del  Estado  demandado,  concluyó</w:t>
        <w:br/>
        <w:t>que</w:t>
        <w:br/>
        <w:br/>
        <w:t xml:space="preserve">             "La  promoción,  creación,  apoyo  y  acciones  de  los  grupos</w:t>
        <w:br/>
        <w:t xml:space="preserve">      paramilitares hacen parte de una política del Estado  colombiano  para</w:t>
        <w:br/>
        <w:t xml:space="preserve">      enfrentar a los grupos        insurgentes,  ideada  a  finales  de  la</w:t>
        <w:br/>
        <w:t xml:space="preserve">      década de los años sesenta  del  siglo  pasado  y  desarrollada  desde</w:t>
        <w:br/>
        <w:t xml:space="preserve">      entonces por la fuerza pública colombiana.</w:t>
        <w:br/>
        <w:t xml:space="preserve">            Esa estrategia de lucha contrainsurgente ha tenido y  tiene  por</w:t>
        <w:br/>
        <w:t xml:space="preserve">      objeto atacar a las personas y grupos que real o presuntamente  apoyan</w:t>
        <w:br/>
        <w:t xml:space="preserve">      a  los  grupos  guerrilleros   en   Colombia.   (...)   Estos   grupos</w:t>
        <w:br/>
        <w:t xml:space="preserve">      paramilitares resultan adecuados a tal objetivo, en la medida  en  que</w:t>
        <w:br/>
        <w:t xml:space="preserve">      para  las  fuerzas  regulares,  esto  es,  para  la   fuerza   pública</w:t>
        <w:br/>
        <w:t xml:space="preserve">      colombiana, es difícil, bajo su régimen legal, emprender  acciones  de</w:t>
        <w:br/>
        <w:t xml:space="preserve">      combate directo contra la población civil.</w:t>
        <w:br/>
        <w:t xml:space="preserve">      Estos ataques contra la población civil, que fueron  calificados  como</w:t>
        <w:br/>
        <w:t xml:space="preserve">      ‘guerra sucia'  por  el  relator  sobre  ejecuciones  extrajudiciales,</w:t>
        <w:br/>
        <w:t xml:space="preserve">      sumarias o arbitrarias [de Naciones Unidas, Sr.  S.  Amos  Wako,]  que</w:t>
        <w:br/>
        <w:t xml:space="preserve">      visitó a Colombia en 1989, han sido también reconocidos por el  propio</w:t>
        <w:br/>
        <w:t xml:space="preserve">      Estado en un Informe del 25 de octubre de 2002 (...).</w:t>
        <w:br/>
        <w:t xml:space="preserve">            La acción de los  grupos  paramilitares  tuvo  una  extensión  y</w:t>
        <w:br/>
        <w:t xml:space="preserve">      magnitud de grandes proporciones a finales de los [años]  ochenta  del</w:t>
        <w:br/>
        <w:t xml:space="preserve">      siglo pasado. (...) No  solamente  no  se  pusieron  en  práctica  las</w:t>
        <w:br/>
        <w:t xml:space="preserve">      medidas contra el paramilitarismo en Colombia, sino que se organizó un</w:t>
        <w:br/>
        <w:t xml:space="preserve">      marco legal sustitutorio para dar cobertura  a  la  actividad  de  los</w:t>
        <w:br/>
        <w:t xml:space="preserve">      grupos paramilitares, pieza fundamental  en  la  estrategia  de  lucha</w:t>
        <w:br/>
        <w:t xml:space="preserve">      contrainsurgente de la fuerza pública colombiana"[287].</w:t>
        <w:br/>
        <w:br/>
        <w:t>7.    En la presente Sentencia sobre el caso de las Masacres de Ituango,  la</w:t>
        <w:br/>
        <w:t>Corte ha dado por comprobado que los hechos del presente caso  "se  enmarcan</w:t>
        <w:br/>
        <w:t>en una situación generalizada de desplazamiento forzado interno  que  afecta</w:t>
        <w:br/>
        <w:t>a Colombia y que es causada por el conflicto armado  interno"  (párr.  208).</w:t>
        <w:br/>
        <w:t>La Corte tuvo presentes las iniciativas del Estado para  prohibir,  prevenir</w:t>
        <w:br/>
        <w:t>y sancionar las actividades de los grupos de "autodefensa" o  paramilitares,</w:t>
        <w:br/>
        <w:t>las cuales, sin embargo, han carecido de efectividad "en la  desarticulación</w:t>
        <w:br/>
        <w:t>de  las  estructuras  paramilitares"  (párrs.  134-135).  La  Corte   señaló</w:t>
        <w:br/>
        <w:t>significativamente (párr. 133):</w:t>
        <w:br/>
        <w:br/>
        <w:t xml:space="preserve">            "Tal y como reconoció el Estado (supra párrs.  63  y  64),  está</w:t>
        <w:br/>
        <w:t xml:space="preserve">      comprobado que agentes estatales  tenían  pleno  conocimiento  de  las</w:t>
        <w:br/>
        <w:t xml:space="preserve">      actividades de terror realizadas por estos grupos paramilitares  sobre</w:t>
        <w:br/>
        <w:t xml:space="preserve">      los pobladores de La Granja y El Aro. Lejos  de  tomar  acciones  para</w:t>
        <w:br/>
        <w:t xml:space="preserve">      proteger a la  población,  miembros  del  Ejército  nacional  no  sólo</w:t>
        <w:br/>
        <w:t xml:space="preserve">      prestaron  su  aquiescencia  a   los   actos   perpetrados   por   los</w:t>
        <w:br/>
        <w:t xml:space="preserve">      paramilitares,  sino  que  también   se   produjeron   instancias   de</w:t>
        <w:br/>
        <w:t xml:space="preserve">      participación y colaboración directa. Efectivamente, la  participación</w:t>
        <w:br/>
        <w:t xml:space="preserve">      de agentes del Estado en la incursión armada no se limitó a  facilitar</w:t>
        <w:br/>
        <w:t xml:space="preserve">      el ingreso de  los  paramilitares  en  la  región,  sino  que  también</w:t>
        <w:br/>
        <w:t xml:space="preserve">      omitieron asistir a  la  población  civil  durante  el  desarrollo  de</w:t>
        <w:br/>
        <w:t xml:space="preserve">      aquélla, resultando así  en  la  total  indefensión  de  éstos.  Dicha</w:t>
        <w:br/>
        <w:t xml:space="preserve">      colaboración entre paramilitares y agentes del Estado  resultó  en  la</w:t>
        <w:br/>
        <w:t xml:space="preserve">      muerte violenta de diecinueve pobladores de La Granja y El Aro".</w:t>
        <w:br/>
        <w:br/>
        <w:t>8.    Asimismo, en la presente Sentencia en  el  caso  de  las  Masacres  de</w:t>
        <w:br/>
        <w:t>Ituango, la Corte determinó la existencia de  circunstancias  agravantes  en</w:t>
        <w:br/>
        <w:t>las violaciones de los derechos humanos,  en  el  marco  de  "un  patrón  de</w:t>
        <w:br/>
        <w:t>masacres semejantes", de que fueron víctimas los pobladores de La  Granja  y</w:t>
        <w:br/>
        <w:t>El Aro, que padecieron de un intenso sufrimiento (párr.  278).  Y  la  Corte</w:t>
        <w:br/>
        <w:t>procedió a la determinación de  la  "responsabilidad  agravada"  del  Estado</w:t>
        <w:br/>
        <w:t>demandado, por el hecho de que entre los victimados  encontrábanse  niños  y</w:t>
        <w:br/>
        <w:t>niñas (párr. 246). Estos datos me conllevan  a  las  reflexiones  personales</w:t>
        <w:br/>
        <w:t>que desarrollo en seguida, las cuales, como ya  advertí,  se  relacionan  al</w:t>
        <w:br/>
        <w:t>presente caso pero trascienden al mismo, y pueden  quizás  apoyar  la  labor</w:t>
        <w:br/>
        <w:t>futura de esta  Corte  en  el  conocimiento  de  nuevos  casos  atinentes  a</w:t>
        <w:br/>
        <w:t>masacres.</w:t>
        <w:br/>
        <w:br/>
        <w:br/>
        <w:t xml:space="preserve">      II.   La Crueldad  Humana  en  sus  Distintas  Manifestaciones  en  la</w:t>
        <w:br/>
        <w:t>Ejecución              de Políticas Estatales.</w:t>
        <w:br/>
        <w:br/>
        <w:t>9.    En esta Corte ya hemos tomado conocimiento de todo  tipo  de  crueldad</w:t>
        <w:br/>
        <w:t>(o así  lo  pensamos),  lo  que  nos  conlleva  a  vislumbrar  con  profunda</w:t>
        <w:br/>
        <w:t>preocupación la ilimitada imaginación del ser humano para practicar el  mal,</w:t>
        <w:br/>
        <w:t>en detrimento de sus semejantes, en nombre de  políticas  de  Estado.  Hemos</w:t>
        <w:br/>
        <w:t>tomado conocimiento de jóvenes lanzados vivos de aviones o  helicópteros  al</w:t>
        <w:br/>
        <w:t>mar,  y  luego  transformados   en  "desaparecidos",  por  las  "fuerzas  de</w:t>
        <w:br/>
        <w:t>inteligencia [sic][288]  y  de  seguridad".  Hemos  tomado  conocimiento  de</w:t>
        <w:br/>
        <w:t>poblaciones rurales  enteras  exterminadas  después  de  tener  sus  tierras</w:t>
        <w:br/>
        <w:t>"arrasadas" en ejecución de  políticas  de  Estado  de  "contra-insurgencia"</w:t>
        <w:br/>
        <w:t>(cf.  infra).  Hemos  tomado  conocimiento   de   ejecuciones   sumarias   y</w:t>
        <w:br/>
        <w:t>extrajudiciales  sistemáticas  por   fuerzas   de   seguridad   estatal   en</w:t>
        <w:br/>
        <w:t>operaciones de "limpieza social". Hemos tomado conocimiento de  la  práctica</w:t>
        <w:br/>
        <w:t>sistemática de  tortura,  en  distintas  formas,  también  en  ejecución  de</w:t>
        <w:br/>
        <w:t>políticas de seguridad del Estado.</w:t>
        <w:br/>
        <w:br/>
        <w:t>10.   Hemos tomado conocimiento del recurso, en la llamada lucha  contra  el</w:t>
        <w:br/>
        <w:t>terrorismo, al  terrorismo  de  Estado.  Hemos  tomado  conocimiento  de  la</w:t>
        <w:br/>
        <w:t>ocultación de los restos mortales de las víctimas por parte de  las  fuerzas</w:t>
        <w:br/>
        <w:t>de seguridad del Estado, y de la recusa de estas últimas de entregar  dichos</w:t>
        <w:br/>
        <w:t>restos mortales a los familiares de las víctimas. Hemos tomado  conocimiento</w:t>
        <w:br/>
        <w:t>la  crueldad  de  las  fuerzas  de  seguridad  del  Estado  de  obligar  los</w:t>
        <w:br/>
        <w:t>familiares sobrevivientes de las víctimas a convivir con los victimarios.</w:t>
        <w:br/>
        <w:br/>
        <w:t>11.   Hemos tomado conocimiento de prácticas  sistemáticas  de  las  fuerzas</w:t>
        <w:br/>
        <w:t>armadas del Estado de raptos o secuestros  de  niños  indefensos[289]  y  la</w:t>
        <w:br/>
        <w:t>consecuente desagregación familiar en situación se conflicto  armado.  Hemos</w:t>
        <w:br/>
        <w:t>tomado conocimiento de humillaciones indescriptibles impuestas  por  agentes</w:t>
        <w:br/>
        <w:t>del Estado  a  los  torturados  y  marginados,  destruyendo  por  entero  su</w:t>
        <w:br/>
        <w:t>autoestima, su capacidad de relacionarse con los demás, y su  dignidad  como</w:t>
        <w:br/>
        <w:t>personas humanas. Hemos  tomado  conocimiento  de  políticas  oficiales  del</w:t>
        <w:br/>
        <w:t>Estado de destrucción deliberada  de  la  identidad  cultural  de  grupos  o</w:t>
        <w:br/>
        <w:t>poblaciones enteras.</w:t>
        <w:br/>
        <w:br/>
        <w:t>12.    Hemos  tomado  conocimiento  de   políticas   de   Estado   dirigidas</w:t>
        <w:br/>
        <w:t>sistemáticamente contra determinadas minorías  étnicas,  inclusive  a  punto</w:t>
        <w:br/>
        <w:t>de, en la pretendida destrucción de su cultura,  dañar  la  crucial  y  sana</w:t>
        <w:br/>
        <w:t>comunicación entre los  familiares  sobrevivientes  con  sus  muertos;  esta</w:t>
        <w:br/>
        <w:t>última crueldad me ha conllevado a proponer, por primera vez en la  doctrina</w:t>
        <w:br/>
        <w:t>jurídica (por lo menos según me consta), en mi  extenso  Voto  Razonado[290]</w:t>
        <w:br/>
        <w:t>en  el  caso  de  la  Comunidad  Moiwana  versus  Suriname  (Sentencia   del</w:t>
        <w:br/>
        <w:t>15.06.2005), los conceptos de proyecto de post-vida, mas allá  del  proyecto</w:t>
        <w:br/>
        <w:t>de vida, y de daño espiritual,  más  allá  del  daño  moral,  con  contenido</w:t>
        <w:br/>
        <w:t>jurídico propio.</w:t>
        <w:br/>
        <w:br/>
        <w:t>13.   ¿Qué más podríamos conocer de la ilimitada imaginación del ser  humano</w:t>
        <w:br/>
        <w:t>para victimizar sus semejantes, para practicar el mal  absoluto,  en  nombre</w:t>
        <w:br/>
        <w:t>de las políticas del Estado? No obstante todo esto, la  mayor  parte  de  la</w:t>
        <w:br/>
        <w:t>doctrina  jusinternacionalista  contemporánea  sigue  insistiendo  en  hacer</w:t>
        <w:br/>
        <w:t>creer que el crimen de Estado no existe. Cierra los ojos  a  los  hechos  de</w:t>
        <w:br/>
        <w:t>crueldad probados ante un tribunal internacional de  derechos  humanos  como</w:t>
        <w:br/>
        <w:t>la Corte Interamericana de Derechos Humanos, y sigue intentando persuadir  a</w:t>
        <w:br/>
        <w:t>los incautos de la pretendida imposibilidad del  crimen  de  Estado.  En  su</w:t>
        <w:br/>
        <w:t>apego a un dogma  (societas  delinquere  non  potest),  da  muestras  de  su</w:t>
        <w:br/>
        <w:t>sumisión al poder Estado,  de  su  servilismo  intelectual  que  sólo  puede</w:t>
        <w:br/>
        <w:t>generar la repulsa de la conciencia  humana,  y  desvenda  la  más  completa</w:t>
        <w:br/>
        <w:t>insensibilidad e indiferencia ante el sufrimiento humano.</w:t>
        <w:br/>
        <w:br/>
        <w:br/>
        <w:br/>
        <w:br/>
        <w:br/>
        <w:br/>
        <w:t xml:space="preserve">      III.  La Insensibilidad del  Estado  ante  las  Consecuencias  de  sus</w:t>
        <w:br/>
        <w:t>Propias                Prácticas Criminales.</w:t>
        <w:br/>
        <w:br/>
        <w:t>14.   Ante este estado de cosas, los que  laboramos  en  el  dominio  de  la</w:t>
        <w:br/>
        <w:t>protección internacional de los derechos humanos seguimos luchando,  movidos</w:t>
        <w:br/>
        <w:t>ya no tanto por el conocimiento de la disciplina puesto  a  servicio  de  la</w:t>
        <w:br/>
        <w:t>salvaguardia  de  los  oprimidos,  sino  más  bien  por  un  sentimiento  de</w:t>
        <w:br/>
        <w:t>indeclinable indignación, y una inclinación hacia al misticismo.  Al  fin  y</w:t>
        <w:br/>
        <w:t>al cabo, la crueldad humana no parece tener límites, y los  extremos  de  la</w:t>
        <w:br/>
        <w:t>maldad humana parecen estar constantemente superando la propia  imaginación.</w:t>
        <w:br/>
        <w:t>Ese cuadro es agotador, para quien realmente se preocupan con la  suerte  de</w:t>
        <w:br/>
        <w:t>sus semejantes.</w:t>
        <w:br/>
        <w:br/>
        <w:t>15.   En uno de sus últimos libros, el erudito pensador  Isaiah  Berlin,  al</w:t>
        <w:br/>
        <w:t>advertir para el "deber público" de evitar "los extremos  del  sufrimiento",</w:t>
        <w:br/>
        <w:t>señaló la melancólica constatación que ninguna  época  testimonió  "so  much</w:t>
        <w:br/>
        <w:t>remorseless and continued slaughter of human beings by one another" como  el</w:t>
        <w:br/>
        <w:t>siglo XX[291].  Y  agregó  que,  distintamente  del  desastre,  la  tragedia</w:t>
        <w:br/>
        <w:t>consiste de "conflictos de acciones, carácter, o  valores  humanos",  siendo</w:t>
        <w:br/>
        <w:t>que  el  "elemento  trágico"  es   siempre   debido   a   "errores   humanos</w:t>
        <w:br/>
        <w:t>evitables"[292].</w:t>
        <w:br/>
        <w:br/>
        <w:t>16.   En  efecto, uno de los tristes legados del  siglo  XX  encuéntrase  en</w:t>
        <w:br/>
        <w:t>los testimonios y relatos  de  las  personas  que  enfrentaron  atrocidades,</w:t>
        <w:br/>
        <w:t>varias de éstas fríamente calculadas, planificadas  y  ejecutadas  en  larga</w:t>
        <w:br/>
        <w:t>escala por el  Estado;  en  tales  atrocidades  o  crímenes  de  Estado,  se</w:t>
        <w:br/>
        <w:t>constató "la sumisión  de  la  conciencia  individual  a  la  ideología  del</w:t>
        <w:br/>
        <w:t>Estado"[293].  Un  historiador   contemporáneo,   -   entre   varios   otros</w:t>
        <w:br/>
        <w:t>pensadores[294], - al final de su reseña del siglo XX confesó ser  capaz  de</w:t>
        <w:br/>
        <w:t>constatar lo  que  tantos  otros  sospechaban,  a  saber,  que  la  historia</w:t>
        <w:br/>
        <w:t>equivale, al fin y al cabo, entre muchos otros factores, al registro de  los</w:t>
        <w:br/>
        <w:t>"crímenes  y  la  locura"  del  ser  humano[295].  Los  crímenes  de  Estado</w:t>
        <w:br/>
        <w:t>perpetrados a lo largo del siglo XX continúan insuficientemente conocidos  y</w:t>
        <w:br/>
        <w:t>reconocidos en este inicio del siglo XXI. Las brutalidades  y  crueldades  a</w:t>
        <w:br/>
        <w:t>lo largo del siglo XX prosiguen en este inicio del siglo XXI.</w:t>
        <w:br/>
        <w:br/>
        <w:t>17.   No obstante, es y continúa a  ser  el  deber  de  todos  los  que  nos</w:t>
        <w:br/>
        <w:t>mantenemos fieles a los principios y propósitos del jus  gentium  contribuir</w:t>
        <w:br/>
        <w:t>a preservar u fortalecer los fundamentos jurídicos para la  construcción  de</w:t>
        <w:br/>
        <w:t>un mundo mejor, en el cual la justicia, y por consiguiente  la  paz  social,</w:t>
        <w:br/>
        <w:t>puedan prevalecer. La conciencia jurídica universal - la  cual,  como  vengo</w:t>
        <w:br/>
        <w:t>sosteniendo en  mis  escritos  y  mis  Votos  en  el  seno  de  esta  Corte,</w:t>
        <w:br/>
        <w:t>constituye, a mi juicio, en última instancia, la fuente material de todo  el</w:t>
        <w:br/>
        <w:t>Derecho[296], - ha al menos alcanzado un grado de evolución que  le  permite</w:t>
        <w:br/>
        <w:t>identificar en nuestros días  las  metas  a  alcanzar  en  beneficio  de  la</w:t>
        <w:br/>
        <w:t>humanidad como un todo, - en  un  voto  renovado  de  confianza,  quizás  la</w:t>
        <w:br/>
        <w:t>última esperanza, en la razón humana.</w:t>
        <w:br/>
        <w:br/>
        <w:br/>
        <w:t xml:space="preserve">      IV.   La Total Indefensión de los Seres  Humanos  ante  las  Prácticas</w:t>
        <w:br/>
        <w:t xml:space="preserve">            Criminales del Estado.</w:t>
        <w:br/>
        <w:br/>
        <w:t>18.   Ya  los  antiguos  griegos  tenían  plena  conciencia  de  la  trágica</w:t>
        <w:br/>
        <w:t>indefensión de los seres humanos ante el poder  arbitrario;  la  convivencia</w:t>
        <w:br/>
        <w:t>con lo irracional  prevaleciente  en  el  mundo  marcaba  presencia  en  las</w:t>
        <w:br/>
        <w:t>tragedias griegas (v.g., las de Eurípides), y muchas veces se  reconoció  la</w:t>
        <w:br/>
        <w:t>"impotencia  moral  de  la   razón",   sobre   todo   frente   a   conductas</w:t>
        <w:br/>
        <w:t>brutales[297]. El gran teatrólogo rumano del siglo XX,  Eugène  Ionesco,  al</w:t>
        <w:br/>
        <w:t>invocar la actualidad de Sófocles y Eurípides, señalaba que</w:t>
        <w:br/>
        <w:br/>
        <w:t xml:space="preserve">            "la obra de Eurípides nos habla como  si  hubiera  sido  escrita</w:t>
        <w:br/>
        <w:t xml:space="preserve">      ayer. Lo que hay de reconfortante es que su  obra  nos  prueba  que  a</w:t>
        <w:br/>
        <w:t xml:space="preserve">      través de los siglos y los siglos, una identidad humana  se  perpetúa.</w:t>
        <w:br/>
        <w:t xml:space="preserve">      Es desesperante porque  la  condición  humana  permanece  conmovedora,</w:t>
        <w:br/>
        <w:t xml:space="preserve">      trágica  a  través  de  toda  la  historia,  a  través  de  todas  las</w:t>
        <w:br/>
        <w:t xml:space="preserve">      conmociones sociales. (...) El teatro griego es mucho más verdadero  y</w:t>
        <w:br/>
        <w:t xml:space="preserve">      más  humano.  Nos  reconcilia  con  las  taras  y  las  virtudes   del</w:t>
        <w:br/>
        <w:t xml:space="preserve">      hombre"[298].</w:t>
        <w:br/>
        <w:br/>
        <w:t>19.   Para  Ionesco,  en  la  existencia  humana  todo  está  circundado  de</w:t>
        <w:br/>
        <w:t>misterio, tanto el sufrimiento como la alegría, tanto el bien como  el  mal,</w:t>
        <w:br/>
        <w:t>y lo que es más sorprendente es el hecho de habituarse uno a la  existencia,</w:t>
        <w:br/>
        <w:t>"de tal modo que ella nos parece completamente normal"[299].  Al  investirse</w:t>
        <w:br/>
        <w:t>contra los totalitarismos que testimonió en su vida, y contra los cuales  se</w:t>
        <w:br/>
        <w:t>rebeló como un intelectual honesto, Ionesco escribió que</w:t>
        <w:br/>
        <w:br/>
        <w:t xml:space="preserve">            "(...) Estamos ahora subyugados  por  la  razón  de  Estado  que</w:t>
        <w:br/>
        <w:t xml:space="preserve">      permite todo: los genocidios, los asesinatos, el meter  en  cintura  a</w:t>
        <w:br/>
        <w:t xml:space="preserve">      los intelectuales. Es decir, la muerte espiritual.</w:t>
        <w:br/>
        <w:t xml:space="preserve">            El Estado es la defensa del crimen. El Estado impulsa al crimen,</w:t>
        <w:br/>
        <w:t xml:space="preserve">      justifica el crimen. (...) La cultura, que  es  la  única  que  podría</w:t>
        <w:br/>
        <w:t xml:space="preserve">      dejar al hombre respirar y darle un poco de  libertad,  está  devorada</w:t>
        <w:br/>
        <w:t xml:space="preserve">      por el Estado, y es necesario que todo sea del  Estado,  es  necesario</w:t>
        <w:br/>
        <w:t xml:space="preserve">      que cada individuo no sea movilizado sino para el  Estado,  (...)  que</w:t>
        <w:br/>
        <w:t xml:space="preserve">      sus sueños sean los sueños de Estado,  y  es  en  ese  momento,  (...)</w:t>
        <w:br/>
        <w:t xml:space="preserve">      cuando siendo el Estado todos, no hay más Estado"[300].</w:t>
        <w:br/>
        <w:br/>
        <w:t>20.   A los anteriormente  mencionados  actos  y  prácticas  de  crueldad  y</w:t>
        <w:br/>
        <w:t>brutalidad extremas, de que hemos tomado  conocimiento,  se  agregan  tantos</w:t>
        <w:br/>
        <w:t>otros que, si bien  no  hayan  sido  sometidos  a  nuestro  juicio,  son  de</w:t>
        <w:br/>
        <w:t>conocimiento público y notorio. En regímenes represivos, violaciones  graves</w:t>
        <w:br/>
        <w:t>de derechos humanos fueron ordenadas  por  el  propio  Estado[301],  y,  "en</w:t>
        <w:br/>
        <w:t>muchos casos, el Estado mismo sancionó leyes de manera que  tales  actos  no</w:t>
        <w:br/>
        <w:t>fueran ilegales al momento de su comisión", y creó "obstáculos  adicionales"</w:t>
        <w:br/>
        <w:t>para la persecución de sus  perpetradores[302].  En  el  crimen  de  Estado,</w:t>
        <w:br/>
        <w:t>marca presencia "la intención dolosa (el dolo entendido como  el  grado  más</w:t>
        <w:br/>
        <w:t>grave de la culpa)"[303]. Esas prácticas no han  ocurrido  sólo  en  nuestra</w:t>
        <w:br/>
        <w:t>región, sino en todas partes del mundo.</w:t>
        <w:br/>
        <w:br/>
        <w:t>21.   En  el  continente  europeo,  por  ejemplo,  la  era  stalinista,  por</w:t>
        <w:br/>
        <w:t>ejemplo,  el  Estado  promovió,  con  esmerada  eficiencia,  una   "política</w:t>
        <w:br/>
        <w:t>explícita de ilegalidad institucionalizada", que conllevó a cerca  de  17  a</w:t>
        <w:br/>
        <w:t>20 millones de personas asesinadas por  motivos  políticos,  o  sometidas  a</w:t>
        <w:br/>
        <w:t>"las   más   crueles   condiciones   de   encarcelamiento,   deportación   y</w:t>
        <w:br/>
        <w:t>detención"[304]. En el corazón del continente europeo, el Holocausto  reveló</w:t>
        <w:br/>
        <w:t>el mal absoluto, los extremos de la maldad humana, un crimen de  Estado  que</w:t>
        <w:br/>
        <w:t>constituyó una de las páginas más horrendas de la historia universal,  sobre</w:t>
        <w:br/>
        <w:t>la cual muchos evitan  hablan  (habiendo  hoy  día  inclusive  los  llamados</w:t>
        <w:br/>
        <w:t>"revisionistas"    históricos    que    buscan    descaracterizarla).    Más</w:t>
        <w:br/>
        <w:t>recientemente, la política serbia de "limpieza étnica" incluido  "asesinatos</w:t>
        <w:br/>
        <w:t>indiscriminados de civiles desarmados, algunos de  ellos  tan  atroces  como</w:t>
        <w:br/>
        <w:t>pasar por encima de niños con camiones; la violación  masiva  y  sistemática</w:t>
        <w:br/>
        <w:t>de  mujeres;  torturas  y  humillaciones;  desplazamientos  de   poblaciones</w:t>
        <w:br/>
        <w:t>enteras; y destrucción de propiedad"[305].</w:t>
        <w:br/>
        <w:br/>
        <w:t>22.   En los crímenes de Estado  hay  no  sólo  aquiescencia,  sino  también</w:t>
        <w:br/>
        <w:t>planificación por parte de las autoridades estatales, y acción  ilícita  por</w:t>
        <w:br/>
        <w:t>parte de múltiplos perpetradores  de  violaciones  graves  de  los  derechos</w:t>
        <w:br/>
        <w:t>humanos y de sus colaboradores. En el continente africano, el  genocidio  de</w:t>
        <w:br/>
        <w:t>Ruanda de 1994, al contrario de lo que algunos piensan, no fue  una  "guerra</w:t>
        <w:br/>
        <w:t>étnica espontánea", sino más bien un genocidio deliberadamente incitado,  un</w:t>
        <w:br/>
        <w:t>crimen de Estado, que  contó  con  la  complicidad  de  un  gran  número  de</w:t>
        <w:br/>
        <w:t>perpetradores, responsables colectiva y conjuntamente  por  las  atrocidades</w:t>
        <w:br/>
        <w:t>cometidas[306]. El aparato de exterminio montado dejó a  miles  y  miles  de</w:t>
        <w:br/>
        <w:t>seres humanos en la más completa indefensión.</w:t>
        <w:br/>
        <w:br/>
        <w:t>23.   Sobre esta indefensión, me permito tan sólo agregar que, en contra  de</w:t>
        <w:br/>
        <w:t>la pretensión hegeliana de  que  la  historia  universal  puede  moverse  al</w:t>
        <w:br/>
        <w:t>margen de la justicia y la injusticia, Dostoyevski descubrió la  experiencia</w:t>
        <w:br/>
        <w:t>silenciosa  del  sufrimiento  humano  in  extremis,  en  Siberia;  como   se</w:t>
        <w:br/>
        <w:t>desprende de sus Recuerdos de la Casa de los Muertos, el  sufrimiento  y  la</w:t>
        <w:br/>
        <w:t>desesperación  lo  llevaron  a  la  experiencia  de  lo  trascendental.   La</w:t>
        <w:br/>
        <w:t>secularización de  la  filosofía  hegeliana  (que  inclusive  transformó  el</w:t>
        <w:br/>
        <w:t>Estado en repositorio  de  toda  libertad  humana)  conllevó  al  triunfo  -</w:t>
        <w:br/>
        <w:t>presentido con tristeza y  lucidez  por  Dostoyevski  -  de  las  soluciones</w:t>
        <w:br/>
        <w:t>"técnicas"  y  "pragmáticas"  practicadas  a  lo   largo   del   siglo   XX,</w:t>
        <w:br/>
        <w:t>prescindiendo de toda  trascendencia,  y  acompañadas  de  manipulaciones  y</w:t>
        <w:br/>
        <w:t>actos de barbarie y brutalidad[307], victimando millones  de  seres  humanos</w:t>
        <w:br/>
        <w:t>indefensos.</w:t>
        <w:br/>
        <w:br/>
        <w:t>24.   A lo largo del siglo XX, y en este inicio del siglo XXI,  millones  de</w:t>
        <w:br/>
        <w:t>seres humanos se han tornado víctimas de violaciones graves de los  derechos</w:t>
        <w:br/>
        <w:t>humanos perpetradas  en  conformidad  con  políticas  de  Estado:  han  sido</w:t>
        <w:br/>
        <w:t>condenados al hambre y a la miseria en consecuencia de  políticas  públicas,</w:t>
        <w:br/>
        <w:t>han sido sometidos a torturas y malos tratos  por  fuerzas  de  seguridad  y</w:t>
        <w:br/>
        <w:t>policiales en operaciones de "limpieza social", han sido victimados  por  el</w:t>
        <w:br/>
        <w:t>terrorismo de Estado bajo el pretexto de la "lucha  contra  el  terrorismo",</w:t>
        <w:br/>
        <w:t>han sido exterminados por "escuadrones de la muerte" y por  el  uso  ilícito</w:t>
        <w:br/>
        <w:t>de armas de destrucción masiva  por  el  propio  Estado[308].  ¿Cómo  seguir</w:t>
        <w:br/>
        <w:t>negando, - como hace la mayor  parte  de  la  doctrina  jusinternacionalista</w:t>
        <w:br/>
        <w:t>contemporánea - la existencia de crímenes de Estado?</w:t>
        <w:br/>
        <w:br/>
        <w:br/>
        <w:t xml:space="preserve">      V.     Nuevas  Reflexiones  sobre  la  Planificación  y  Ejecución  de</w:t>
        <w:br/>
        <w:t>Masacres               como Crímenes de Estado.</w:t>
        <w:br/>
        <w:br/>
        <w:t>25.     ¿Cómo   se   atreve   una   amplia   corriente   de   la    doctrina</w:t>
        <w:br/>
        <w:t>jusinternacionalista  contemporánea  a  insistir  en  la  negación   de   la</w:t>
        <w:br/>
        <w:t>"posibilidad" del crimen de Estado? Crímenes de Estado  son  lamentablemente</w:t>
        <w:br/>
        <w:t>cometidos reiteradamente, y los padecimientos silenciosos de  sus  numerosas</w:t>
        <w:br/>
        <w:t>víctimas indefensas no han logrado sensibilizar en lo más  mínimo  la  mente</w:t>
        <w:br/>
        <w:t>de los jusinternacionalistas mentalmente rehenes del estatismo. A  pesar  de</w:t>
        <w:br/>
        <w:t>que la mayor parte de la  doctrina  contemporánea  sigue  padeciendo  de  un</w:t>
        <w:br/>
        <w:t>aparente letargo mental al respecto,  gradualmente  se  levantan  voces  que</w:t>
        <w:br/>
        <w:t>sostienen  la  existencia  y  la  ocurrencia  del  crimen   de   Estado   en</w:t>
        <w:br/>
        <w:t>determinadas circunstancias. En este sentido me he pronunciado en mis  Votos</w:t>
        <w:br/>
        <w:t>Razonados en los casos, ante esta Corte,  de  Myrna  Mack  versus  Guatemala</w:t>
        <w:br/>
        <w:t>(Sentencia del 25.11.2003), Masacre de  Plan  de  Sánchez  versus  Guatemala</w:t>
        <w:br/>
        <w:t>(Sentencias del 29.04.2004 y del 19.11.2004), de  la  Masacre  de  Mapiripán</w:t>
        <w:br/>
        <w:t>versus Colombia (Sentencia del 07.03.2004), y de la masacre de la  Comunidad</w:t>
        <w:br/>
        <w:t>Moiwana versus Suriname (Sentencia del 15.06.2005)[309].</w:t>
        <w:br/>
        <w:br/>
        <w:t>26.   No  es  mi  intención  reiterar  aquí  los  argumentos  jurídicos  que</w:t>
        <w:br/>
        <w:t>sostienen mi posición, desarrollados en aquellos Votos; por eso  me  permito</w:t>
        <w:br/>
        <w:t>aquí referirme a ellos, y tan  sólo  agregar  algunos  datos  y  reflexiones</w:t>
        <w:br/>
        <w:t>adicionales. En estudio publicado en 2003, J.  Verhaegen,  Profesor  Emérito</w:t>
        <w:br/>
        <w:t>de  la  Universidad  Católica  de  Louvain,  utiliza   sistemáticamente   la</w:t>
        <w:br/>
        <w:t>expresión "crimen de Estado" (crime  d'État)[310]  al  referirse  a  ciertas</w:t>
        <w:br/>
        <w:t>prácticas sistemáticas de violaciones graves de los  derechos  humanos  como</w:t>
        <w:br/>
        <w:t>parte de una política de Estado[311].  Otros  estudios  identifican,  en  la</w:t>
        <w:br/>
        <w:t>aplicación reciente de  determinados  tratados  de  derechos  humanos  y  de</w:t>
        <w:br/>
        <w:t>Derecho  Internacional  Humanitario,  una  tendencia  hacia   la   necesaria</w:t>
        <w:br/>
        <w:t>criminalización de las violaciones graves de  los  derechos  de  la  persona</w:t>
        <w:br/>
        <w:t>humana[312].</w:t>
        <w:br/>
        <w:br/>
        <w:t>27.   Otros estudios han  identificado  la  criminalidad  del  Estado  y  la</w:t>
        <w:br/>
        <w:t>necesidad de determinación de sus consecuencias jurídicas (v.g.,  los  daños</w:t>
        <w:br/>
        <w:t>punitivos)[313]. La determinación de la responsabilidad del Estado  por  las</w:t>
        <w:br/>
        <w:t>graves violaciones de los derechos  de  la  persona  humana  atiende  a  una</w:t>
        <w:br/>
        <w:t>legítima  preocupación  de  la  propia  comunidad  internacional   como   un</w:t>
        <w:br/>
        <w:t>todo[314]. Aún otros estudios, divulgados en 2002-2004,  sobre  la  sucesión</w:t>
        <w:br/>
        <w:t>de genocidios[315] y crímenes contra la humanidad cometidos a lo  largo  del</w:t>
        <w:br/>
        <w:t>siglo XXI, advierten que las violaciones  masivas  de  los  derechos  de  la</w:t>
        <w:br/>
        <w:t>persona  humana  se  hicieron  acompañar  de   una   política   estatal   de</w:t>
        <w:br/>
        <w:t>"deshumanización" de las víctimas, para  forjar  un  supuesto  "derecho  del</w:t>
        <w:br/>
        <w:t>Estado de perseguir  o  masacrar"[316].  O  sea,  en  otras  palabras,  para</w:t>
        <w:br/>
        <w:t>perpetrar un verdadero crimen de Estado.</w:t>
        <w:br/>
        <w:br/>
        <w:t>28.   Otro estudio del género, publicado en 2004,  igualmente  enfatiza  las</w:t>
        <w:br/>
        <w:t>campañas de propaganda de  "deshumanización"  de  las  víctimas,  sumadas  a</w:t>
        <w:br/>
        <w:t>otras estrategias, calculadas  y  planificadas  para  perpetrar  violaciones</w:t>
        <w:br/>
        <w:t>masivas de los derechos de la persona humana, a saber,  privaciones  de  los</w:t>
        <w:br/>
        <w:t>hogares,  de  la  propiedad,  de  las  viviendas   y   la   agricultura   de</w:t>
        <w:br/>
        <w:t>subsistencia,  del  propio  modus  vivendi  y,  en  algunos  casos,  de   la</w:t>
        <w:br/>
        <w:t>nacionalidad, terminando por difundir la creencia perversa de que los  fines</w:t>
        <w:br/>
        <w:t>justifican los medios[317], - para la perpetración de  crímenes  de  Estado.</w:t>
        <w:br/>
        <w:br/>
        <w:br/>
        <w:t>29.   En los últimos años, algunos de los Informes de las Comisiones  de  la</w:t>
        <w:br/>
        <w:t>Verdad  han  relatado  patrones  sistemáticos  de  crímenes  planificados  y</w:t>
        <w:br/>
        <w:t>perpetrados por el propio Estado (a través de sus agentes y  colaboradores),</w:t>
        <w:br/>
        <w:t>como secuestros, detenciones ilegales (en cárceles clandestinos),  torturas,</w:t>
        <w:br/>
        <w:t>ejecuciones  sumarias,  desapariciones  forzadas  de  personas,  -  ante  la</w:t>
        <w:br/>
        <w:t>sumisión silenciosa  y  total  de  los  individuos  al  poder  absoluto  del</w:t>
        <w:br/>
        <w:t>Estado[318]. En su Prólogo al Informe "Nunca Más"  (1984),  de  la  Comisión</w:t>
        <w:br/>
        <w:t>Nacional [Argentina] sobre la  Desaparición  de  Personas,  Ernesto  Sábato,</w:t>
        <w:br/>
        <w:t>Doctor honoris causa por la Universidad Nacional de La  Plata,  ponderó  con</w:t>
        <w:br/>
        <w:t>particular lucidez que</w:t>
        <w:br/>
        <w:br/>
        <w:t xml:space="preserve">            "(...) A los delitos de los  terroristas,  las  Fuerzas  Armadas</w:t>
        <w:br/>
        <w:t xml:space="preserve">      respondieron con un terrorismo infinitamente peor  que  el  combatido,</w:t>
        <w:br/>
        <w:t xml:space="preserve">      porque desde el 24.03.1976 contaron con el poderío y la impunidad  del</w:t>
        <w:br/>
        <w:t xml:space="preserve">      Estado absoluto, secuestrando, torturando  y  asesinando  a  miles  de</w:t>
        <w:br/>
        <w:t xml:space="preserve">      seres humanos. (...)  La  dictadura  militar  produjo  la  más  grande</w:t>
        <w:br/>
        <w:t xml:space="preserve">      tragedia de nuestra historia, y la más salvaje. (...) Con  la  técnica</w:t>
        <w:br/>
        <w:t xml:space="preserve">      de la desaparición y sus consecuencias, todos  los  principios  éticos</w:t>
        <w:br/>
        <w:t xml:space="preserve">      que las grandes religiones y las más elevadas filosofías  erigieron  a</w:t>
        <w:br/>
        <w:t xml:space="preserve">      lo largo de milenios de sufrimientos y calamidades fueron pisoteados y</w:t>
        <w:br/>
        <w:t xml:space="preserve">      bárbaramente desconocidos.</w:t>
        <w:br/>
        <w:t xml:space="preserve">            (...) Los derechos humanos fueron violados en forma  orgánica  y</w:t>
        <w:br/>
        <w:t xml:space="preserve">      estatal por la represión de las Fuerzas  Armadas.  Y  no  violados  de</w:t>
        <w:br/>
        <w:t xml:space="preserve">      manera esporádica sino sistemática, de manera siempre  la  misma,  con</w:t>
        <w:br/>
        <w:t xml:space="preserve">      similares secuestros e idénticos tormentos en toda  la  extensión  del</w:t>
        <w:br/>
        <w:t xml:space="preserve">      territorio.  ¿Cómo  no  atribuirlo  a  una  metodología   del   terror</w:t>
        <w:br/>
        <w:t xml:space="preserve">      planificada por los  altos  mandos?  (...)  ¿Como  puede  hablarse  de</w:t>
        <w:br/>
        <w:t xml:space="preserve">      `excesos individuales'?</w:t>
        <w:br/>
        <w:t xml:space="preserve">            (...)  Los  operativos  de  secuestro  manifestaban  la  precisa</w:t>
        <w:br/>
        <w:t xml:space="preserve">      organización (...). (...) Desde el momento del secuestro,  la  víctima</w:t>
        <w:br/>
        <w:t xml:space="preserve">      perdía todos los derechos; privada de todo comunicación con  el  mundo</w:t>
        <w:br/>
        <w:t xml:space="preserve">      exterior, confinada en  lugares  desconocidos,  sometido  a  suplicios</w:t>
        <w:br/>
        <w:t xml:space="preserve">      infernales, ignorante de su destino mediato o  inmediato,  susceptible</w:t>
        <w:br/>
        <w:t xml:space="preserve">      de ser arrojada al río o al mar, con bloques de cemento en sus pies, o</w:t>
        <w:br/>
        <w:t xml:space="preserve">      reducida a cenizas (...)"[319].</w:t>
        <w:br/>
        <w:br/>
        <w:t>30.   ¿Cómo es posible  negar  la  existencia  del  crimen  de  Estado?  Los</w:t>
        <w:br/>
        <w:t>jusinternacionalistas que lo han hecho (en  gran  mayoría)  han  simplemente</w:t>
        <w:br/>
        <w:t>cerrado los ojos a los hechos, y dado muestras de su falta de conciencia  al</w:t>
        <w:br/>
        <w:t>negarse  a  extraer  las  consecuencias  jurídicas  de  tales   hechos.   Su</w:t>
        <w:br/>
        <w:t>dogmatismo ciego ha frenado la  evolución  y  la  humanización  del  Derecho</w:t>
        <w:br/>
        <w:t>Internacional. Los crímenes de Estado - no  hay  como  negarlo  -  han  sido</w:t>
        <w:br/>
        <w:t>planificados y  perpetrados  por  sus  agentes  y  colaboradores,  de  forma</w:t>
        <w:br/>
        <w:t>recurrente, y en diferentes continentes.  Los  jusinternacionalistas  tienen</w:t>
        <w:br/>
        <w:t>el deber de rescatar  el  concepto  de  crimen  de  Estado,  inclusive  para</w:t>
        <w:br/>
        <w:t>sostener la credibilidad de su oficio.</w:t>
        <w:br/>
        <w:br/>
        <w:t>31.   Ya hubo ocasiones - y esto no  puede  pasar  desapercibido  -  en  que</w:t>
        <w:br/>
        <w:t>algunos Estados, en un frenesí de criminalidad, han cooperado entre sí  para</w:t>
        <w:br/>
        <w:t>matar seres humanos bajo el  pretexto  de  la  seguridad  del  Estado,  -  a</w:t>
        <w:br/>
        <w:t>ejemplo de la así-llamada "operación Condor" entre dictaduras  suramericanas</w:t>
        <w:br/>
        <w:t>(sobre todo en los años setenta, y que hoy día algunos osan menoscabar).  En</w:t>
        <w:br/>
        <w:t>operaciones  del  género,  los  Estados  en  cuestión  se  coordinaron  para</w:t>
        <w:br/>
        <w:t>asegurar la eficiencia del exterminio de segmentos de uno de  los  elementos</w:t>
        <w:br/>
        <w:t>constitutivos del Estado, precisamente  el  más  importante:  la  población.</w:t>
        <w:br/>
        <w:t>Además, la máquina  estatal  ha  buscado,  con  posterioridad,  asegurar  la</w:t>
        <w:br/>
        <w:t>impunidad de los responsables por la ejecución de sus  políticas  criminales</w:t>
        <w:br/>
        <w:t>- por  él  instrumentalizados  para  el  exterminio,  -  en  una  monstruosa</w:t>
        <w:br/>
        <w:t>inversión de valores en cuanto a los fines del Estado.</w:t>
        <w:br/>
        <w:br/>
        <w:t>32.   El extenso e histórico Informe de la Comisión para el  Esclarecimiento</w:t>
        <w:br/>
        <w:t>Histórico (CEH) de  Guatemala  demostró  a  cabalidad  que  las  fuerzas  de</w:t>
        <w:br/>
        <w:t>seguridad del  Estado  actuaron  "con  coordinación  con  las  Patrullas  de</w:t>
        <w:br/>
        <w:t>Autodefensa Civil", según una "estrategia  contrainsurgente"  elaborada  por</w:t>
        <w:br/>
        <w:t>el ejército en 1982, que formó la base de la represión  militarizada  contra</w:t>
        <w:br/>
        <w:t>comunidades mayas; "la CEH llegó a la convicción  de  que  no  se  trató  de</w:t>
        <w:br/>
        <w:t>actos aislados y excesos esporádicos sino sobre todo  de  una  planificación</w:t>
        <w:br/>
        <w:t>estratégica"[320]. La política estatal de represión y exterminio conllevó  a</w:t>
        <w:br/>
        <w:t>violaciones masivas de los derechos humanos,  como  "operaciones  de  tierra</w:t>
        <w:br/>
        <w:t>arrasada, mediante las que masacró y  arrasó  comunidades  enteras";  dichas</w:t>
        <w:br/>
        <w:t>"masacres forzaron de diversas maneras a miles y miles  de  guatemaltecos  a</w:t>
        <w:br/>
        <w:t>desplazarse de  sus  hogares,  como  única  alternativa  para  conservar  la</w:t>
        <w:br/>
        <w:t>vida"[321].</w:t>
        <w:br/>
        <w:br/>
        <w:t>33.    Estas  masacres,  además,  afectaron  "de  forma  grave  el   derecho</w:t>
        <w:br/>
        <w:t>colectivo de dichos pueblos a tener su propia vida cultural, a  conservar  y</w:t>
        <w:br/>
        <w:t>desarrollar sus  propias  instituciones  y  su  derecho  consuetudinario,  a</w:t>
        <w:br/>
        <w:t>designar sus propias autoridades, a tener sus  propios  métodos  de  control</w:t>
        <w:br/>
        <w:t>social y de respuesta ante los delitos"[322]. El mismo  Informe  de  la  CEH</w:t>
        <w:br/>
        <w:t>acrecentó que</w:t>
        <w:br/>
        <w:br/>
        <w:t xml:space="preserve">            "Aunque  cada  masacre  tuvo  características  particulares,  la</w:t>
        <w:br/>
        <w:t xml:space="preserve">      recurrencia   de   ciertas   características   durante   varios   años</w:t>
        <w:br/>
        <w:t xml:space="preserve">      (especialmente en el período 1978-1983) y en todas las regiones  donde</w:t>
        <w:br/>
        <w:t xml:space="preserve">      se  produjeron  múltiples  operaciones  de  este   tipo,   constituyen</w:t>
        <w:br/>
        <w:t xml:space="preserve">      elementos indicativos de que éstas no respondieron a  simples  excesos</w:t>
        <w:br/>
        <w:t xml:space="preserve">      de unos pocos oficiales, sino que formaron  parte  de  una  estrategia</w:t>
        <w:br/>
        <w:t xml:space="preserve">      debidamente planificada y dirigida a aniquilar físicamente a miles  de</w:t>
        <w:br/>
        <w:t xml:space="preserve">      personas  indefensas  y  a  aterrorizar  a  los  sobrevivientes.   Las</w:t>
        <w:br/>
        <w:t xml:space="preserve">      masacres, sin duda, fueron el método más cruel y  desproporcionado  de</w:t>
        <w:br/>
        <w:t xml:space="preserve">      la guerra contrainsurgente"[323].</w:t>
        <w:br/>
        <w:br/>
        <w:t>34.   En fin, las referidas masacres  -  verdaderos  crímenes  de  Estado  -</w:t>
        <w:br/>
        <w:t>fueron perpetrados con "extrema dureza", según "los componentes  básicos  de</w:t>
        <w:br/>
        <w:t>la  doctrina  de  seguridad  nacional",  y  una  "estrategia  cuidadosamente</w:t>
        <w:br/>
        <w:t>planificada por el Estado"; el principal sujeto  de  esa  represión  fue  la</w:t>
        <w:br/>
        <w:t>población  maya,  especialmente  en  el  área  rural[324].   Las   distintas</w:t>
        <w:br/>
        <w:t>"operaciones contrainsurgentes", detalladamente  relatadas  en  el  referido</w:t>
        <w:br/>
        <w:t>Informe[325], fueron ejecutadas por las fuerzas de seguridad  del  Estado  y</w:t>
        <w:br/>
        <w:t>las  "patrullas  de  autodefensa  civil  con  "extrema  crueldad"[326].  Los</w:t>
        <w:br/>
        <w:t>ciudadanos tenían que estar a favor o en contra las  fuerzas  de  represión,</w:t>
        <w:br/>
        <w:t>"no existiendo lugar para la  neutralidad",  y  "el  involucramiento  de  la</w:t>
        <w:br/>
        <w:t>población civil en  operaciones  armadas"  formó  "parte  de  la  estrategia</w:t>
        <w:br/>
        <w:t>contrainsurgente  del  Estado"[327].  El  "masivo  involucramiento   de   la</w:t>
        <w:br/>
        <w:t>población" demostró "los altos índices que alcanzó la militarización  de  la</w:t>
        <w:br/>
        <w:t>sociedad guatemalteca"; los métodos de  delación  y  entrega  de  vecinos  o</w:t>
        <w:br/>
        <w:t>familiares rompieron "los lazos de solidaridad comunitarios" e  introdujeron</w:t>
        <w:br/>
        <w:t>"una  alta  conflictividad,  afectando  seriamente  la  integridad  de   las</w:t>
        <w:br/>
        <w:t>comunidades indígenas y rurales", - habiendo sido el Estado  el  responsable</w:t>
        <w:br/>
        <w:t>de todo esto[328].</w:t>
        <w:br/>
        <w:br/>
        <w:t>35.   Ante  los  hechos,  históricamente  comprobados,  de  perpetración  de</w:t>
        <w:br/>
        <w:t>crimen   de   Estado,   ¿cómo   seguir   negándolo?   ¿Cómo    pueden    los</w:t>
        <w:br/>
        <w:t>jusinternacionalistas (en su gran mayoría)  seguir  intentando  eludir  esta</w:t>
        <w:br/>
        <w:t>materia? A cada vez les será más difícil hacerlo, sobre todo ahora  que  los</w:t>
        <w:br/>
        <w:t>casos de masacres empiezan a llegar al conocimiento de un tribunal  como  la</w:t>
        <w:br/>
        <w:t>Corte Interamericana de Derechos Humanos[329]. El tema empieza a  atraer  la</w:t>
        <w:br/>
        <w:t>atención de la bibliografía especializada[330]. Además, ante esta  Corte  ha</w:t>
        <w:br/>
        <w:t>habido casos de reconocimiento - aunque parcial -  de  responsabilidad,  por</w:t>
        <w:br/>
        <w:t>parte de Estados  demandados,  por  hechos  constitutivos  de  crímenes  del</w:t>
        <w:br/>
        <w:t>género: así ocurrió en los casos de la Masacre de Plan de  Sánchez[331],  de</w:t>
        <w:br/>
        <w:t>la Masacre de Mapiripán[332], de las Masacres de Ituango. En el caso  de  la</w:t>
        <w:br/>
        <w:t>masacre de la Comunidad  Moiwana,  en  que  esto  no  ocurrió,  sin  embargo</w:t>
        <w:br/>
        <w:t>Suriname afirmó que no tenía objeciones a "emitir  una  disculpa  pública  a</w:t>
        <w:br/>
        <w:t>toda la nación, y a  los  sobrevivientes  y  familiares  en  particular,  en</w:t>
        <w:br/>
        <w:t>relación con los hechos que ocurrieron en la aldea de Moiwana"[333].  Si  ha</w:t>
        <w:br/>
        <w:t>habido casos de masacres, inclusive  de  reconocimiento  de  responsabilidad</w:t>
        <w:br/>
        <w:t>por parte de los propios Estados en cuestión, ¿cómo negar la  ocurrencia  de</w:t>
        <w:br/>
        <w:t>crímenes de Estado?</w:t>
        <w:br/>
        <w:br/>
        <w:t>36.   Uno de los más extensos y recientes informes de las Comisiones  de  la</w:t>
        <w:br/>
        <w:t>Verdad de nuestros tiempos, el Informe Final de la Comisión de la  Verdad  y</w:t>
        <w:br/>
        <w:t>Reconciliación (CVR) del  Perú  (2003),  que  cubre  el  período  1980-2000,</w:t>
        <w:br/>
        <w:t>revela  los  resultados  trágicos  de  la  así-llamada  "lucha   contra   el</w:t>
        <w:br/>
        <w:t>terrorismo",  cuando  los  actos  iniciales   de   grupos   terroristas[334]</w:t>
        <w:br/>
        <w:t>conllevan al Estado a practicar él mismo,  equivocadamente,  el  terrorismo:</w:t>
        <w:br/>
        <w:t>en los términos de las conclusiones generales del  referido  Informe  Final,</w:t>
        <w:br/>
        <w:t>esta situación llevó al colapso del Estado  de  Derecho,  y  a  la  práctica</w:t>
        <w:br/>
        <w:t>sistemática, ya no sólo por parte de  grupos  terroristas  sino  del  propio</w:t>
        <w:br/>
        <w:t>Estado, de torturas y tratos crueles, inhumanos y  degradantes,  ejecuciones</w:t>
        <w:br/>
        <w:t>extrajudiciales, masacres, desapariciones forzadas de personas,  prohibición</w:t>
        <w:br/>
        <w:t>de entierros, violaciones graves y masivas de los  derechos  humanos  y  del</w:t>
        <w:br/>
        <w:t>Derecho Internacional Humanitario, constituyendo a veces crímenes  de  lesa-</w:t>
        <w:br/>
        <w:t>humanidad[335].</w:t>
        <w:br/>
        <w:br/>
        <w:t>37.   Las secuelas de esta situación demencial han  sido  identificadas  por</w:t>
        <w:br/>
        <w:t>la CVR: las injusticias, el desamparo y la impunidad (con la  implosión  del</w:t>
        <w:br/>
        <w:t>Poder Judicial y del Poder Legislativo, así como del Ministerio  Público,  y</w:t>
        <w:br/>
        <w:t>la hipertrofia autoritaria del Poder  Ejecutivo),  el  doloroso  proceso  de</w:t>
        <w:br/>
        <w:t>desarraigo y empobrecimiento de miles de personas, la casi imposibilidad  de</w:t>
        <w:br/>
        <w:t>superar las heridas del pasado (v.g., en consecuencia  de  las  matanzas  de</w:t>
        <w:br/>
        <w:t>inocentes),  los  abismos  de  corrupción  de  la  autocracia,  la  profunda</w:t>
        <w:br/>
        <w:t>desconfianza  en  el  poder  público,  la  "descomposición   moral"   y   el</w:t>
        <w:br/>
        <w:t>"debilitamiento del tejido social e institucional"[336].   En  suma,  a  los</w:t>
        <w:br/>
        <w:t>crímenes de grupos terroristas se agregaron, en amplia escala, los  crímenes</w:t>
        <w:br/>
        <w:t>de Estado.</w:t>
        <w:br/>
        <w:br/>
        <w:t>38.   Y éstos últimos  siguen  lamentablemente  repitiéndose,  en  distintas</w:t>
        <w:br/>
        <w:t>latitudes, en medio a la  manipulación,  o  fabricación  de  la  así-llamada</w:t>
        <w:br/>
        <w:t>"opinión pública" (o publicada). El ser humano  "pos-moderno"  parece  haber</w:t>
        <w:br/>
        <w:t>perdido su memoria, y con esto siguen repitiéndose los crímenes  de  Estado.</w:t>
        <w:br/>
        <w:t>Así, poco después de la invasión y ocupación de Iraq  en  2003,  perpetradas</w:t>
        <w:br/>
        <w:t>por una autodesignada "coalición de Estados" al margen de la  Carta  de  las</w:t>
        <w:br/>
        <w:t>Naciones Unidas, en una  de  las  más  flagrantes  violaciones  del  Derecho</w:t>
        <w:br/>
        <w:t>Internacional  en  las  últimas  décadas,  se  han  sucedido   matanzas   de</w:t>
        <w:br/>
        <w:t>inocentes,  detenciones  arbitrarias  (inclusive  en  prisiones   secretas),</w:t>
        <w:br/>
        <w:t>prácticas  sistemáticas  de  tortura   y   tratos   crueles,   inhumanos   y</w:t>
        <w:br/>
        <w:t>degradantes, violaciones graves e sistemáticas de  los  derechos  humanos  y</w:t>
        <w:br/>
        <w:t>del Derecho Internacional Humanitario, de conocimiento público y notorio,  y</w:t>
        <w:br/>
        <w:t>fehacientemente comprobadas[337], en ejecución -  ciertamente  equivocada  -</w:t>
        <w:br/>
        <w:t>de  una  política  de  Estado  (la   así-llamada   "guerra   [sic][338]   al</w:t>
        <w:br/>
        <w:t>terrorismo").  Desde sus Sentencias en los casos Cantoral  Benavides  versus</w:t>
        <w:br/>
        <w:t>Perú (del 18.08.2000, párrs. 95-96) y Maritza Urrutia versus Guatemala  (del</w:t>
        <w:br/>
        <w:t>27.11.2003,  párr.  89),  la  Corte   Interamericana   ha   consistentemente</w:t>
        <w:br/>
        <w:t>sostenido la prohibición absoluta de la tortura y de malos tratos, en  todas</w:t>
        <w:br/>
        <w:t>y cualesquiera circunstancias, inclusive guerra, amenaza  de  guerra,  lucha</w:t>
        <w:br/>
        <w:t>contra  el  terrorismo,  conflicto  interno,  inestabilidad  o   emergencias</w:t>
        <w:br/>
        <w:t>internas, entre otras.</w:t>
        <w:br/>
        <w:br/>
        <w:t>39.   A lo largo de los siglos, han sido los pensadores y poetas, mucho  más</w:t>
        <w:br/>
        <w:t>que los juristas, que han advertido para el absurdo y la criminalidad de  la</w:t>
        <w:br/>
        <w:t>guerra como tal.  Me  permito  aquí  recordar  las  amonestaciones  de  tres</w:t>
        <w:br/>
        <w:t>escritores del siglo XIX, que abordaron  el  tema  con  particular  lucidez.</w:t>
        <w:br/>
        <w:t>Víctor Hugo, en "Russia 1812", describió:</w:t>
        <w:br/>
        <w:br/>
        <w:t xml:space="preserve">      "They were no longer living men and troops,</w:t>
        <w:br/>
        <w:t xml:space="preserve">      but a dream drifting in a fog, a mystery,</w:t>
        <w:br/>
        <w:t xml:space="preserve">      mourners parading under the black sky".</w:t>
        <w:br/>
        <w:br/>
        <w:t>40.   A su vez, Lord  Tennyson,  en  "The  Charge  of  the  Light  Brigade",</w:t>
        <w:br/>
        <w:t>lamentó:</w:t>
        <w:br/>
        <w:br/>
        <w:t xml:space="preserve">      "Their's not to make reply,</w:t>
        <w:br/>
        <w:t xml:space="preserve">      Their's not to reason why,</w:t>
        <w:br/>
        <w:t xml:space="preserve">      Their's but to do and die".</w:t>
        <w:br/>
        <w:br/>
        <w:t>Y Stephen Crane, de su parte, escribió de modo penetrante:</w:t>
        <w:br/>
        <w:br/>
        <w:t xml:space="preserve">      "These men were born to drill and die.</w:t>
        <w:br/>
        <w:t xml:space="preserve">      The unexplained glory flies above them, (...)</w:t>
        <w:br/>
        <w:t xml:space="preserve">      A field where a thousand corpses lie. (...)</w:t>
        <w:br/>
        <w:t xml:space="preserve">      These men were born to drill and die.</w:t>
        <w:br/>
        <w:t xml:space="preserve">      Point for them the virtue of slaughter,</w:t>
        <w:br/>
        <w:t xml:space="preserve">      Make plain to them the excellence of killing</w:t>
        <w:br/>
        <w:t xml:space="preserve">      And a field where a thousand corpses lie"[339].</w:t>
        <w:br/>
        <w:br/>
        <w:t>41.   Sucesivos crímenes de Estado -  los  ya  determinados  y  comprobados,</w:t>
        <w:br/>
        <w:t>sumados a los de que no se tiene noticia - continúan  a  ocurrir,  ante  los</w:t>
        <w:br/>
        <w:t>ojos   complacientes   e   indiferentes   de   la   mayor   parte   de   los</w:t>
        <w:br/>
        <w:t>jusinternacionalistas contemporáneos. Los crímenes de Estado no  han  dejado</w:t>
        <w:br/>
        <w:t>de existir por afirmar ellos que el crimen de Estado no existe  y  no  puede</w:t>
        <w:br/>
        <w:t>existir. Todo lo contrario: el crimen de Estado sí,  existe,  y  no  debería</w:t>
        <w:br/>
        <w:t>existir, y los jusinternacionalistas  deberían  empeñarse  en  combatirlo  y</w:t>
        <w:br/>
        <w:t>sancionarlo como tal. La mayor parte  de  la  doctrina  jusinternacionalista</w:t>
        <w:br/>
        <w:t>contemporánea ha sido omisa,  al  buscar  eludir  el  tema[340].  No  pueden</w:t>
        <w:br/>
        <w:t>seguir haciéndolo,  pues,  afortunadamente,  para  buscar  asegurar  su  no-</w:t>
        <w:br/>
        <w:t>repetición,   las   atrocidades   han   sido   reconstituidas   en   relatos</w:t>
        <w:br/>
        <w:t>recientes[341], y la memoria ha sido preservada, por las  publicaciones  que</w:t>
        <w:br/>
        <w:t>empiezan a ampliarse de sobrevivientes de masacres como crímenes de  Estado.</w:t>
        <w:br/>
        <w:br/>
        <w:br/>
        <w:t>42.   Hay evidencia histórica irrefutable en el sentido de  que  algunos  de</w:t>
        <w:br/>
        <w:t>los  más  graves  crímenes  de  Estado  ya  perpetrados  contaron   con   la</w:t>
        <w:br/>
        <w:t>aquiescencia, y a  veces  la  participación,  de  amplios  segmentos  de  la</w:t>
        <w:br/>
        <w:t>población (resultante de un prolongado proceso de  indoctrinación,  a  veces</w:t>
        <w:br/>
        <w:t>intergeneracional, y de propaganda en  amplia  escala)[342].  No  estoy  con</w:t>
        <w:br/>
        <w:t>esto sugiriendo que sea este un trazo común a todos los crímenes de  Estado;</w:t>
        <w:br/>
        <w:t>lo que  sí,  sostengo,  es  que  los  crímenes  de  Estado,  planificados  y</w:t>
        <w:br/>
        <w:t>ejecutados por este último y  perpetrados  según  políticas  estatales  (que</w:t>
        <w:br/>
        <w:t>varían de un caso a otro), son imputables al Estado  como  persona  jurídica</w:t>
        <w:br/>
        <w:t>de Derecho Internacional Público, y acarrean para  el  Estado  consecuencias</w:t>
        <w:br/>
        <w:t>jurídicas ineludibles  (tales  como  los  daños  punitivos,  como  forma  de</w:t>
        <w:br/>
        <w:t>reparación).</w:t>
        <w:br/>
        <w:br/>
        <w:t>43.   El Estado, a mi juicio, no se configura como una "entidad  abstracta",</w:t>
        <w:br/>
        <w:t>-  como  insiste  parte  de  la   doctrina   jurídica   tradicional,   tanto</w:t>
        <w:br/>
        <w:t>internacional como penal, - particularmente cuando se trata de  la  comisión</w:t>
        <w:br/>
        <w:t>de delitos y crímenes internacionales. Toda una estructura  de  represión  y</w:t>
        <w:br/>
        <w:t>violencia  es  por  él  montada,  en  el   marco   de   la   cual   ilícitos</w:t>
        <w:br/>
        <w:t>internacionales  son  efectivamente  cometidos.  Un  punto  que  ha   pasado</w:t>
        <w:br/>
        <w:t>desapercibido - o no suficientemente tomado en cuenta - hasta  la  fecha  es</w:t>
        <w:br/>
        <w:t>atinente a las  considerables  dificultades  enfrentadas  para  desmontar  o</w:t>
        <w:br/>
        <w:t>"desmovilizar" dichas  estructuras,  en  sus  más  distintas  formas  (v.g.,</w:t>
        <w:br/>
        <w:t>policía secreta, servicios  de  "inteligencia"  e  información  o  delación,</w:t>
        <w:br/>
        <w:t>escuadrones de la muerte, "paramilitares", patrulleros  civiles,  batallones</w:t>
        <w:br/>
        <w:t>policiales, agentes de seguridad estatal,  cárceles  clandestinos,  y  otras</w:t>
        <w:br/>
        <w:t>del género)[343].</w:t>
        <w:br/>
        <w:br/>
        <w:t>44.   Pero de esto casi nunca se habla. La verdad es que crímenes  han  sido</w:t>
        <w:br/>
        <w:t>cometidos, mediante tales estructuras de represión, no solamente  en  nombre</w:t>
        <w:br/>
        <w:t>del Estado, pero por el Estado mismo, a través de sus propios agentes, o  de</w:t>
        <w:br/>
        <w:t>terceros por estos últimos apoyados (la "tercerización" de la  crueldad).  Y</w:t>
        <w:br/>
        <w:t>lo ha hecho en ciertas ocasiones con la tolerancia  o  la  aquiescencia  del</w:t>
        <w:br/>
        <w:t>cuerpo social. En definitiva, al contrario de lo que  se  ha  pensado  a  lo</w:t>
        <w:br/>
        <w:t>largo de los últimos siglos, the king can - indeed - do wrong, and  societas</w:t>
        <w:br/>
        <w:t>delinquere potest.</w:t>
        <w:br/>
        <w:br/>
        <w:br/>
        <w:t xml:space="preserve">       VI.    El  Derecho  de  Acceso  a  la  Justicia  Lato  Sensu  en   la</w:t>
        <w:br/>
        <w:t>Indisociabilidad                   entre  los  Artículos  25  y  8   de   la</w:t>
        <w:br/>
        <w:t>Convención Americana.</w:t>
        <w:br/>
        <w:br/>
        <w:t>45.   Otra de las  cuestiones  centrales  examinadas  por  la  Corte  en  la</w:t>
        <w:br/>
        <w:t>presente Sentencia sobre la Masacre  de  Ituango  es  la  del  acceso  a  la</w:t>
        <w:br/>
        <w:t>justicia lato sensu, consustanciado en la indisociabilidad - que  hace  años</w:t>
        <w:br/>
        <w:t>sostengo en el seno de esta Corte -  entre  los  artículos  25  y  8  de  la</w:t>
        <w:br/>
        <w:t>Convención Americana. Al respecto, en mi reciente y  extenso  Voto  Razonado</w:t>
        <w:br/>
        <w:t>en el caso de la Masacre de Pueblo  Bello  versus  Colombia  (Sentencia  del</w:t>
        <w:br/>
        <w:t>31.01.2006), abordé, en  secuencia  lógica,  el  amplio  alcance  del  deber</w:t>
        <w:br/>
        <w:t>general de garantía  (artículo  1(1)  de  la  Convención  Americana)  y  las</w:t>
        <w:br/>
        <w:t>obligaciones erga omnes de protección (párrs. 2-13), la  génesis,  ontología</w:t>
        <w:br/>
        <w:t>y hermenéutica de los artículos 25 y 8 de la  Convención  Americana  (párrs.</w:t>
        <w:br/>
        <w:t>14-21), la irrelevancia de la alegación de dificultades de  derecho  interno</w:t>
        <w:br/>
        <w:t>(párrs. 22-23),  el  derecho  a  un  recurso  efectivo  en  la  construcción</w:t>
        <w:br/>
        <w:t>jurisprudencial de la  Corte  Interamericana  (párrs.  24-27);  en  seguida,</w:t>
        <w:br/>
        <w:t>examiné la indisociabilidad entre el acceso a  la  justicia  (derecho  a  un</w:t>
        <w:br/>
        <w:t>recurso efectivo) y las garantías del debido proceso legal (artículos  25  y</w:t>
        <w:br/>
        <w:t>8  de  la  Convención  Americana)  (párrs.  28-34),  e  concluí  que   dicha</w:t>
        <w:br/>
        <w:t>indisociabilidad, plasmada en la jurisprudence constante de la  Corte  hasta</w:t>
        <w:br/>
        <w:t>la fecha (párrs. 35-43), constituye  "un  patrimonio  jurídico  del  sistema</w:t>
        <w:br/>
        <w:t>interamericano de protección y de los pueblos de  nuestra  región",  por  lo</w:t>
        <w:br/>
        <w:t>que "me opongo firmemente a  cualquier  intento  de  desconstruirlo"  (párr.</w:t>
        <w:br/>
        <w:t>33).</w:t>
        <w:br/>
        <w:br/>
        <w:t>46.   En el mismo Voto Razonado en el caso de la Masacre  de  Pueblo  Bello,</w:t>
        <w:br/>
        <w:t>sostuve que la referida indisociabilidad entre los artículos 25 y  8  de  la</w:t>
        <w:br/>
        <w:t>Convención Americana como un "avance jurisprudencial intangible" (párrs. 44-</w:t>
        <w:br/>
        <w:t>52)[344]. En seguida, abordé el derecho de acceso a la justicia lato  sensu,</w:t>
        <w:br/>
        <w:t>observando que</w:t>
        <w:br/>
        <w:br/>
        <w:t xml:space="preserve">            "En los Informes que presenté, como entonces  Presidente  de  la</w:t>
        <w:br/>
        <w:t xml:space="preserve">      Corte Interamericana, a los órganos competentes de la Organización  de</w:t>
        <w:br/>
        <w:t xml:space="preserve">      los Estados Americanos (OEA), e.g., los días 19.04.2002 y  16.10.2002,</w:t>
        <w:br/>
        <w:t xml:space="preserve">      sostuve mi entendimiento en el sentido del amplio alcance del  derecho</w:t>
        <w:br/>
        <w:t xml:space="preserve">      de acceso a la justicia a nivel internacional, del derecho de acceso a</w:t>
        <w:br/>
        <w:t xml:space="preserve">      la justicia lato sensu[345].  Tal  derecho  no  se  reduce  al  acceso</w:t>
        <w:br/>
        <w:t xml:space="preserve">      formal, stricto sensu, a la instancia  judicial  (tanto  interna  como</w:t>
        <w:br/>
        <w:t xml:space="preserve">      internacional), sino comprende, además, el  derecho  a  la  prestación</w:t>
        <w:br/>
        <w:t xml:space="preserve">      jurisdiccional,   y    encuéntrase    subyacente    a    disposiciones</w:t>
        <w:br/>
        <w:t xml:space="preserve">      interrelacionadas de la Convención Americana (como los artículos 25  y</w:t>
        <w:br/>
        <w:t xml:space="preserve">      8), además de permear el derecho interno de los  Estados  Partes[346].</w:t>
        <w:br/>
        <w:t xml:space="preserve">      El derecho de acceso a  la  justicia,  dotado  de  contenido  jurídico</w:t>
        <w:br/>
        <w:t xml:space="preserve">      propio,  significa,  lato  sensu,  el  derecho  a  obtener   justicia.</w:t>
        <w:br/>
        <w:t xml:space="preserve">      Configúrase, así, en suma, como el derecho a la propia realización  de</w:t>
        <w:br/>
        <w:t xml:space="preserve">      la justicia.</w:t>
        <w:br/>
        <w:t xml:space="preserve">             Uno  de  los  componentes  principales  de   ese   derecho   es</w:t>
        <w:br/>
        <w:t xml:space="preserve">      precisamente el acceso directo a un tribunal competente,  mediante  un</w:t>
        <w:br/>
        <w:t xml:space="preserve">      recurso efectivo y rápido, y el derecho a  ser  prontamente  oído  por</w:t>
        <w:br/>
        <w:t xml:space="preserve">      dicho tribunal, independiente e imparcial, a  niveles  tanto  nacional</w:t>
        <w:br/>
        <w:t xml:space="preserve">      como internacional (artículos 25 y 8 de la Convención Americana). Como</w:t>
        <w:br/>
        <w:t xml:space="preserve">      me permití señalar en una obra reciente, podemos  aquí  visualizar  un</w:t>
        <w:br/>
        <w:t xml:space="preserve">      verdadero derecho al Derecho, o sea,  el  derecho  a  un  ordenamiento</w:t>
        <w:br/>
        <w:t xml:space="preserve">      jurídico  -  a  niveles  tanto  nacional  como  internacional  -   que</w:t>
        <w:br/>
        <w:t xml:space="preserve">      efectivamente salvaguarde los derechos  fundamentales  de  la  persona</w:t>
        <w:br/>
        <w:t xml:space="preserve">      humana[347]" (párrs. 61-62).</w:t>
        <w:br/>
        <w:br/>
        <w:t>47.   En fin, en el mismo Voto Razonado en el caso de la Masacre  de  Pueblo</w:t>
        <w:br/>
        <w:t>Bello, me permití reiterar mi entendimiento en el sentido de que el  derecho</w:t>
        <w:br/>
        <w:t>al Derecho constituye un "imperativo del jus cogens":</w:t>
        <w:br/>
        <w:br/>
        <w:t xml:space="preserve">            "La indisociabilidad que sostengo entre los artículos 25 y 8  de</w:t>
        <w:br/>
        <w:t xml:space="preserve">      la Convención Americana (supra) conlleva a  caracterizar  como  siendo</w:t>
        <w:br/>
        <w:t xml:space="preserve">      del dominio del jus cogens el acceso a la justicia entendido  como  la</w:t>
        <w:br/>
        <w:t xml:space="preserve">      plena realización de la misma, o sea, como siendo del dominio del  jus</w:t>
        <w:br/>
        <w:t xml:space="preserve">      cogens la intangibilidad de  todas  las  garantías  judiciales  en  el</w:t>
        <w:br/>
        <w:t xml:space="preserve">      sentido de los artículos 25 y 8 tomados conjuntamente. No puede  haber</w:t>
        <w:br/>
        <w:t xml:space="preserve">      duda  de  que  las  garantías  fundamentales,   comunes   al   Derecho</w:t>
        <w:br/>
        <w:t xml:space="preserve">      Internacional de los  Derechos  Humanos  y  al  Derecho  Internacional</w:t>
        <w:br/>
        <w:t xml:space="preserve">      Humanitario[348], tienen una vocación universal al aplicarse en  todas</w:t>
        <w:br/>
        <w:t xml:space="preserve">      y  cualesquiera  circunstancias,  conforman  un   derecho   imperativo</w:t>
        <w:br/>
        <w:t xml:space="preserve">      (perteneciendo al jus cogens), y acarrean obligaciones erga  omnes  de</w:t>
        <w:br/>
        <w:t xml:space="preserve">      protección[349].</w:t>
        <w:br/>
        <w:t xml:space="preserve">            Posteriormente a su histórica Opinión Consultiva n. 18, sobre la</w:t>
        <w:br/>
        <w:t xml:space="preserve">      Condición Jurídica y Derechos  de  los  Migrantes  Indocumentados,  de</w:t>
        <w:br/>
        <w:t xml:space="preserve">      2003, la Corte ya podía y debía haber dado este otro salto cualitativo</w:t>
        <w:br/>
        <w:t xml:space="preserve">      adelante en su jurisprudencia. Me atrevo a alimentar la  esperanza  de</w:t>
        <w:br/>
        <w:t xml:space="preserve">      que la Corte lo  hará  lo  más  pronto  posible,  si  realmente  sigue</w:t>
        <w:br/>
        <w:t xml:space="preserve">      adelante en su jurisprudencia de vanguardia, - en  lugar  de  intentar</w:t>
        <w:br/>
        <w:t xml:space="preserve">      frenarla, - y amplíe el avance logrado con fundamentación y coraje por</w:t>
        <w:br/>
        <w:t xml:space="preserve">      su referida Opinión Consultiva n.  18  en  la  línea  de  la  contínua</w:t>
        <w:br/>
        <w:t xml:space="preserve">      expansión del contenido material del jus cogens" (párrs. 64-65).</w:t>
        <w:br/>
        <w:br/>
        <w:t>48.   Para mi  particular  satisfacción,  la  Corte  Interamericana,  en  la</w:t>
        <w:br/>
        <w:t>presente Sentencia sobre las Masacres de Ituango, se ha mantenido fiel,  por</w:t>
        <w:br/>
        <w:t>unanimidad, a su más lúcida jurisprudence constante al respecto,  reiterando</w:t>
        <w:br/>
        <w:t>con la mayor claridad su entendimiento de  la  ineluctable  indisociabilidad</w:t>
        <w:br/>
        <w:t>entre los artículos  25  y  8  de  la  Convención  Americana,  tal  como  se</w:t>
        <w:br/>
        <w:t>desprende  inequívocamente  de  los  párrafos  309  y  344  de  la  presente</w:t>
        <w:br/>
        <w:t>Sentencia. En el mismo sentido, el párrafo  339  de  la  presente  Sentencia</w:t>
        <w:br/>
        <w:t>observa con acierto que</w:t>
        <w:br/>
        <w:br/>
        <w:t xml:space="preserve">            "(...) Al establecer la responsabilidad internacional del Estado</w:t>
        <w:br/>
        <w:t xml:space="preserve">      con motivo de la violación de los derechos humanos consagrados en  los</w:t>
        <w:br/>
        <w:t xml:space="preserve">      artículos 8(1) y 25 de la Convención Americana, un aspecto  sustancial</w:t>
        <w:br/>
        <w:t xml:space="preserve">      de la controversia ante la Corte no es si  en  el  ámbito  interno  se</w:t>
        <w:br/>
        <w:t xml:space="preserve">      emitieron  sentencias  o  se  llegó  a  acuerdos  conciliatorios   por</w:t>
        <w:br/>
        <w:t xml:space="preserve">      responsabilidad administrativa  o  civil  de  un  órgano  estatal,  en</w:t>
        <w:br/>
        <w:t xml:space="preserve">      relación con las violaciones cometidas en perjuicio de las víctimas de</w:t>
        <w:br/>
        <w:t xml:space="preserve">      violaciones de   los derechos humanos o sus familiares,  sino  si  los</w:t>
        <w:br/>
        <w:t xml:space="preserve">      procesos internos permitieron que se garantizara un pleno acceso a  la</w:t>
        <w:br/>
        <w:t xml:space="preserve">      justicia  conforme  a  los  estándares  previstos  en  la   Convención</w:t>
        <w:br/>
        <w:t xml:space="preserve">      Americana".</w:t>
        <w:br/>
        <w:br/>
        <w:br/>
        <w:t xml:space="preserve">      VII.  La Reacción de  la  Conciencia  Jurídica:  La  Evolución  de  la</w:t>
        <w:br/>
        <w:t>Noción de              Víctima.</w:t>
        <w:br/>
        <w:br/>
        <w:t>49.   El presente caso de las Masacres de  Ituango  me  suscita  una  última</w:t>
        <w:br/>
        <w:t>línea  de  reflexión.  Los  familiares  de  los  muertos  y   las   víctimas</w:t>
        <w:br/>
        <w:t>sobrevivientes de la masacre  han  en  fin  encontrado  justicia  ante  esta</w:t>
        <w:br/>
        <w:t>instancia judicial internacional. Los asesinados, mediante  esta  Sentencia,</w:t>
        <w:br/>
        <w:t>han tenido su suplicio  reconocido  y  su  memoria  honrada.  La  Corte  ha,</w:t>
        <w:br/>
        <w:t>además, valorado positivamente la iniciativa  del  Estado  demandado  en  el</w:t>
        <w:br/>
        <w:t>presente   contencioso   ante   ella   de   reconocer   su   responsabilidad</w:t>
        <w:br/>
        <w:t>internacional por determinados  hechos  (aunque  no  la  extendió,  para  mi</w:t>
        <w:br/>
        <w:t>sorpresa,  a  las  consecuencias  jurídicas  de  los   mismos,   ante   esta</w:t>
        <w:br/>
        <w:t>jurisdicción internacional). Se despertó, en suma, la  conciencia  jurídica,</w:t>
        <w:br/>
        <w:t>fuente material de todo el Derecho, para hacer justicia a  las  víctimas  de</w:t>
        <w:br/>
        <w:t>la masacre de Ituango, el cual se inserta en un patrón de  masacres  que  ha</w:t>
        <w:br/>
        <w:t>flagelado el país en cuestión.</w:t>
        <w:br/>
        <w:br/>
        <w:t>50.   No hay que pasar desapercibido que la noción de víctima -  a  la  cual</w:t>
        <w:br/>
        <w:t>vengo dedicando mis reflexiones hace muchos años[350] - sigue  evolucionando</w:t>
        <w:br/>
        <w:t>en el Derecho Internacional de los Derechos Humanos. La  presente  Sentencia</w:t>
        <w:br/>
        <w:t>de la Corte da testimonio de esto, por cuanto, en la  línea  de  pensamiento</w:t>
        <w:br/>
        <w:t>de la ampliación de la noción de víctima en casos de  masacres  (párrs.  92-</w:t>
        <w:br/>
        <w:t>95), ha  considerado  como  víctimas  todos  los  afectados,  en  diferentes</w:t>
        <w:br/>
        <w:t>grados, por las masacres de Ituango, haciendo reflejar  las  diferencias  de</w:t>
        <w:br/>
        <w:t>sus condiciones existenciales en las distintas formas de  reparación.  Todos</w:t>
        <w:br/>
        <w:t>son  víctimas,  aunque  las  reparaciones  varían,  de   acuerdo   con   las</w:t>
        <w:br/>
        <w:t>circunstancias existenciales de cada uno.</w:t>
        <w:br/>
        <w:br/>
        <w:t>51.    La  presente  Sentencia  de  la  Corte  ha,  pues,   a   mi   juicio,</w:t>
        <w:br/>
        <w:t>correctamente contribuido a la ampliación de la concepción  de  víctimas  de</w:t>
        <w:br/>
        <w:t>violaciones graves de los derechos  humanos:  todos  los  afectados  por  la</w:t>
        <w:br/>
        <w:t>masacre son víctimas, con consecuencias  jurídicas  distintas,  variando  de</w:t>
        <w:br/>
        <w:t>caso a  caso.  Las  reparaciones  son,  por  consiguiente,  del  mismo  modo</w:t>
        <w:br/>
        <w:t>distintas; incluyen, para citar un ejemplo, -  al  cual  atribuyo  la  mayor</w:t>
        <w:br/>
        <w:t>importancia en el marco de la gran tragedia humana que  aflige  Colombia,  -</w:t>
        <w:br/>
        <w:t>la garantía de retorno  voluntario  de  los  desplazados  forzadamente  como</w:t>
        <w:br/>
        <w:t>forma de reparación no-pecuniaria de carácter colectivo[351]. Con  esto,  se</w:t>
        <w:br/>
        <w:t>busca mitigar el dolor de las víctimas  sobrevivientes  (cuyas  vidas  jamás</w:t>
        <w:br/>
        <w:t>serán las mismas después de la masacre de Ituango),  así  como  amenizar  la</w:t>
        <w:br/>
        <w:t>convivencia con sus  muertos,  al  honrar  su  memoria;  se  busca,  además,</w:t>
        <w:br/>
        <w:t>reafirmar el necesario primado del Derecho sobre la fuerza bruta.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Secretario</w:t>
        <w:br/>
        <w:br/>
        <w:t>-----------------------</w:t>
        <w:br/>
        <w:t>*     El Juez Oliver Jackman y el Juez ad hoc Jaime  Enrique  Granados  Peña</w:t>
        <w:br/>
        <w:t>(infra párrs. 53 y 54), informaron al Tribunal que, por  motivos  de  fuerza</w:t>
        <w:br/>
        <w:t>mayor,  no  podían  estar  presentes  en  la  deliberación  de  la  presente</w:t>
        <w:br/>
        <w:t>Sentencia.</w:t>
        <w:br/>
        <w:t>[1]    Los   representantes   y   los   mismos   testigos   solicitaron   la</w:t>
        <w:br/>
        <w:t>confidencialidad de los nombres por razones de seguridad.</w:t>
        <w:br/>
        <w:t>[2]   La Comisión  Interamericana  y  los  mismos  testigos  solicitaron  la</w:t>
        <w:br/>
        <w:t>confidencialidad de los nombres por razones de seguridad.</w:t>
        <w:br/>
        <w:t>[3]    Los   representantes   y   los   mismos   testigos   solicitaron   la</w:t>
        <w:br/>
        <w:t>confidencialidad de los nombres por razones de seguridad.</w:t>
        <w:br/>
        <w:t>[4]   La Comisión y los mismos testigos solicitaron la  confidencialidad  de</w:t>
        <w:br/>
        <w:t>los nombres por razones de seguridad.</w:t>
        <w:br/>
        <w:t>[5]   Cfr. Caso Baldeón García. Sentencia de 6 de abril  de  2006.  Serie  C</w:t>
        <w:br/>
        <w:t>No. 147, párr. 37; Caso Blanco Romero y otros. Sentencia de 28 de  noviembre</w:t>
        <w:br/>
        <w:t>de 2005. Serie C No. 138, párr 54; y  Caso  García  Asto  y  Ramírez  Rojas.</w:t>
        <w:br/>
        <w:t>Sentencia de 25 de noviembre de 2005. Serie C No. 137, párr. 57.</w:t>
        <w:br/>
        <w:t>[6]   Cfr. Caso Baldeón García, supra nota 5, párr. 38; Caso  Blanco  Romero</w:t>
        <w:br/>
        <w:t>y otros, supra nota 5, párr 55; y Caso García Asto y  Ramírez  Rojas,  supra</w:t>
        <w:br/>
        <w:t>nota 5, párr. 58.</w:t>
        <w:br/>
        <w:t>[7]   Cfr. Caso Baldeón García, supra nota 5, párr. 55; Caso  Blanco  Romero</w:t>
        <w:br/>
        <w:t>y otros, supra nota 5, párr. 64; y Caso García Asto y Ramírez  Rojas,  supra</w:t>
        <w:br/>
        <w:t>nota 5, párr. 60.</w:t>
        <w:br/>
        <w:t>[8]   Cfr. Caso Baldeón García, supra  nota  5,  párr.  56;  y  Caso  de  la</w:t>
        <w:br/>
        <w:t>“Masacre de Mapiripán”. Sentencia de 15 de septiembre de 2005. Serie  C  No.</w:t>
        <w:br/>
        <w:t>134, párr. 69.</w:t>
        <w:br/>
        <w:t>[9]   Cfr. Caso Comunidad Indígena Sawhoyamaxa. Sentencia de 29 de marzo  de</w:t>
        <w:br/>
        <w:t>2006.  Serie  C  No.  146,  párr.  68;  Caso  de  la   Masacre   de   Pueblo</w:t>
        <w:br/>
        <w:t>Bello. Sentencia de 31 de enero de 2006. Serie C No. 140, párr. 54;  y  Caso</w:t>
        <w:br/>
        <w:t>García Asto y Ramírez Rojas, supra nota 5, párr. 73.</w:t>
        <w:br/>
        <w:t>[10]  Cfr. Caso de la Masacre de Pueblo Bello, supra nota  9,  párr.  54;  y</w:t>
        <w:br/>
        <w:t>Caso de la “Masacre de Mapiripán”, supra nota 8, párr. 58.</w:t>
        <w:br/>
        <w:t>[11]  Cfr. Caso Comunidad Indígena Sawhoyamaxa,  supra  nota  9,  párr.  69;</w:t>
        <w:br/>
        <w:t>Caso de la Masacre de Pueblo Bello, supra nota 9, párr. 54;  y  Caso  de  la</w:t>
        <w:br/>
        <w:t>“Masacre de Mapiripán”, supra nota 8, párrs. 57 y 59.</w:t>
        <w:br/>
        <w:t>[12]  Cfr. Caso Acevedo Jaramillo y otros. Sentencia  de  7  de  febrero  de</w:t>
        <w:br/>
        <w:t>2006. Serie C No. 144, párr. 227; Caso de la “Masacre de  Mapiripán”,  supra</w:t>
        <w:br/>
        <w:t>nota 8, párr. 183; Caso de la Comunidad Moiwana. Sentencia 15  de  junio  de</w:t>
        <w:br/>
        <w:t>2005. Serie C No. 124, párr. 74; Caso “Instituto de Reeducación del  Menor”.</w:t>
        <w:br/>
        <w:t>Sentencia de 2 de septiembre de 2004. Serie C No. 112,  párr.  111;  y  Caso</w:t>
        <w:br/>
        <w:t>Masacre Plan de Sánchez. Sentencia de 29 de abril de 2004. Serie C No.  105,</w:t>
        <w:br/>
        <w:t>párr. 48.</w:t>
        <w:br/>
        <w:t>[13]  Cfr. Caso de la Comunidad Moiwana, supra nota 12,  párr.  74;  y  Caso</w:t>
        <w:br/>
        <w:t>“Instituto de Reeducación del Menor”, supra nota 12, párr. 111</w:t>
        <w:br/>
        <w:t>[14]  Cfr. Caso Masacre Plan de Sánchez, supra nota 12, párr. 48.   Cfr.  en</w:t>
        <w:br/>
        <w:t>este sentido, Caso de la “Masacre de Mapiripán”, supra nota 8, párrs. 183  y</w:t>
        <w:br/>
        <w:t>305.</w:t>
        <w:br/>
        <w:t>[15]  Cfr. Caso de la Comunidad Moiwana, supra nota 12,  párr.  74;  y  Caso</w:t>
        <w:br/>
        <w:t>“Instituto de Reeducación del Menor”, supra nota 12, párr. 111.</w:t>
        <w:br/>
        <w:t>[16]  Cfr. Caso de la Comunidad Moiwana, supra nota 12, párr. 71.</w:t>
        <w:br/>
        <w:t>[17]  Cfr. Caso “Instituto de Reeducación del Menor”, supra nota 12,  párrs.</w:t>
        <w:br/>
        <w:t>107 y 111.</w:t>
        <w:br/>
        <w:t>[18]  Cfr. Caso “Instituto de Reeducación del Menor”, supra nota 12,  párrs.</w:t>
        <w:br/>
        <w:t>107 y 111.</w:t>
        <w:br/>
        <w:t>[19]  Cfr. Caso de la “Masacre de Mapiripán”, supra nota  8,  párrs.  247  y</w:t>
        <w:br/>
        <w:t>252.</w:t>
        <w:br/>
        <w:t>[20]  Cfr. Caso de la “Masacre de Mapiripán”, supra nota  8,  párrs.  305  y</w:t>
        <w:br/>
        <w:t>306.</w:t>
        <w:br/>
        <w:t>[21]  Cfr. Caso Acevedo Jaramillo y otros, supra nota 12, párr. 227.</w:t>
        <w:br/>
        <w:t>[22]  Cfr. Caso de la “Masacre de Mapiripán”, supra nota  8,  párrs.  255  y</w:t>
        <w:br/>
        <w:t>258.</w:t>
        <w:br/>
        <w:t>[23]   Cfr.  Caso  “Masacre  de  Mapiripán”.  Excepciones   preliminares   y</w:t>
        <w:br/>
        <w:t>reconocimiento de responsabilidad. Sentencia 7 de marzo 2005.  Serie  C  No.</w:t>
        <w:br/>
        <w:t>122, párr. 30.</w:t>
        <w:br/>
        <w:t>[24]  Cfr. Caso Baldeón García, supra  nota  5,  párr.  60;  Caso  Comunidad</w:t>
        <w:br/>
        <w:t>Indígena Sawhoyamaxa, supra nota 9, párr. 30;  y  Caso  Acevedo Jaramillo  y</w:t>
        <w:br/>
        <w:t>otros, supra nota 12, párr. 183.</w:t>
        <w:br/>
        <w:t>[25]  Cfr. Caso Baldeón García, supra  nota  5,  párr.  61;  Caso  Comunidad</w:t>
        <w:br/>
        <w:t>Indígena Sawhoyamaxa, supra nota 9, párr. 31;  y  Caso  Acevedo Jaramillo  y</w:t>
        <w:br/>
        <w:t>otros, supra nota 12, párr. 184.</w:t>
        <w:br/>
        <w:t>[26]  Cfr. Caso Baldeón García, supra  nota  5,  párr.  62;  Caso  Comunidad</w:t>
        <w:br/>
        <w:t>Indígena Sawhoyamaxa, supra nota 9, párr. 32;  y  Caso  Acevedo Jaramillo  y</w:t>
        <w:br/>
        <w:t>otros, supra nota 12, párr. 185.</w:t>
        <w:br/>
        <w:t>[27]  Los nombres de los testigos serán mantenidos en  confidencialidad  por</w:t>
        <w:br/>
        <w:t>razones de seguridad de éstos.</w:t>
        <w:br/>
        <w:t>[28]  Los nombres de los testigos serán mantenidos en  confidencialidad  por</w:t>
        <w:br/>
        <w:t>razones de seguridad de éstos.</w:t>
        <w:br/>
        <w:t>[29]    La   Comisión   Interamericana   y   el   testigo   solicitaron   la</w:t>
        <w:br/>
        <w:t>confidencialidad de los nombres por razones de seguridad.</w:t>
        <w:br/>
        <w:t>[30]   Los   representantes   y   los   mismos   testigos   solicitaron   la</w:t>
        <w:br/>
        <w:t>confidencialidad de los nombres por razones de seguridad.</w:t>
        <w:br/>
        <w:t>[31]  Cfr. Caso Baldeón García, supra  nota  5,  párr.  65;  Caso  Comunidad</w:t>
        <w:br/>
        <w:t>Indígena Sawhoyamaxa, supra nota 9, párr. 36;  y  Caso  Acevedo Jaramillo  y</w:t>
        <w:br/>
        <w:t>otros, supra nota 12, párr. 189.</w:t>
        <w:br/>
        <w:t>[32]  Cfr. Caso Baldeón García, supra  nota  5,  párr.  67;  Caso  Comunidad</w:t>
        <w:br/>
        <w:t>Indígena Sawhoyamaxa, supra nota 9, párr. 42;  y  Caso  Acevedo Jaramillo  y</w:t>
        <w:br/>
        <w:t>otros, supra nota 12, párr. 191.</w:t>
        <w:br/>
        <w:t>[33]  Cfr. Caso Baldeón García, supra  nota  5,  párr.  66;  Caso  Comunidad</w:t>
        <w:br/>
        <w:t>Indígena Sawhoyamaxa, supra nota 9, párr. 37;  y  Caso  Acevedo Jaramillo  y</w:t>
        <w:br/>
        <w:t>otros, supra nota 12, párr. 203.</w:t>
        <w:br/>
        <w:t>[34]  Cfr. Caso Baldeón García, supra  nota  5,  párr.  70;  Caso  Comunidad</w:t>
        <w:br/>
        <w:t>Indígena Sawhoyamaxa, supra nota 9, párr. 45;  y  Caso  Acevedo Jaramillo  y</w:t>
        <w:br/>
        <w:t>otros, supra nota 12, párr. 199.</w:t>
        <w:br/>
        <w:t>[35]  Los párrafos 125.1 a 125.103 de la presente Sentencia  son  hechos  no</w:t>
        <w:br/>
        <w:t>controvertidos, que este Tribunal tiene por  establecidos  con  base  en  el</w:t>
        <w:br/>
        <w:t>reconocimiento de responsabilidad efectuado por el Estado.</w:t>
        <w:br/>
        <w:t>[36]  Cfr. Decreto legislativo 3398 de 24 de diciembre de 1965;  Ley  48  de</w:t>
        <w:br/>
        <w:t>16 de diciembre de 1968; sentencia emitida por el Tribunal Superior  Militar</w:t>
        <w:br/>
        <w:t>el 17 de marzo de 1998; e informe  del  Relator  Especial  de  las  Naciones</w:t>
        <w:br/>
        <w:t>Unidas sobre ejecuciones sumarias o arbitrarias sobre la visita  a  Colombia</w:t>
        <w:br/>
        <w:t>realizada del 11 al 20 de octubre de 1989,  E/CN.4/1990/22/Add.1  de  24  de</w:t>
        <w:br/>
        <w:t>enero de 1990.</w:t>
        <w:br/>
        <w:t>[37]  Cfr. sentencia emitida por el Tribunal Nacional  el  14  de  abril  de</w:t>
        <w:br/>
        <w:t>1998; sentencia emitida por el Tribunal Superior Militar el 17 de  marzo  de</w:t>
        <w:br/>
        <w:t>1998; sentencia emitida por el Juzgado Regional de Cúcuta el 28 de  mayo  de</w:t>
        <w:br/>
        <w:t>1997;  e  informe  del  Relator  Especial  de  las  Naciones  Unidas   sobre</w:t>
        <w:br/>
        <w:t>ejecuciones sumarias o arbitrarias sobre la visita a Colombia realizada  del</w:t>
        <w:br/>
        <w:t>11 al 20 de octubre de 1989, E/CN.4/1990/22/Add.1 de 24 de enero de 1990.</w:t>
        <w:br/>
        <w:t>[38]   Cfr.  Decreto  0180  de  27  de  enero  de  1988,  por  el  cual  “se</w:t>
        <w:br/>
        <w:t>complementan  algunas  normas  del  código   penal   y   se   dictan   otras</w:t>
        <w:br/>
        <w:t>disposiciones conducentes al restablecimiento del  orden  público”;  Decreto</w:t>
        <w:br/>
        <w:t>0815 de 19 de abril de 1989; Decreto 1194 de 8 de  junio  de  1989,  por  el</w:t>
        <w:br/>
        <w:t>cual  “se  establecían  nuevas  modalidades  delictivas   relacionadas   con</w:t>
        <w:br/>
        <w:t>actitvidades de gurpos armados, comúnmente  denominados  escuadrones  de  la</w:t>
        <w:br/>
        <w:t>muerte, bandas de sicarios o de justicia privada”; sentencia emitida por  el</w:t>
        <w:br/>
        <w:t>Tribunal Superior Militar el 17 de marzo de  1998;  e  informe  del  Relator</w:t>
        <w:br/>
        <w:t>Especial de las Naciones Unidas sobre  ejecuciones  sumarias  o  arbitrarias</w:t>
        <w:br/>
        <w:t>sobre la visita a Colombia realizada del  11  al  20  de  octubre  de  1989,</w:t>
        <w:br/>
        <w:t>E/CN.4/1990/22/Add.1 de 24 de enero de 1990.</w:t>
        <w:br/>
        <w:t>[39]   Cfr.  Decreto  0180  de  27  de  enero  de  1988,  por  el  cual  “se</w:t>
        <w:br/>
        <w:t>complementan  algunas  normas  del  código   penal   y   se   dictan   otras</w:t>
        <w:br/>
        <w:t>disposiciones conducentes al restablecimiento del orden público”; y  Decreto</w:t>
        <w:br/>
        <w:t>2266 de 4 de octubre de 1991.</w:t>
        <w:br/>
        <w:t>[40]  Cfr. Decreto 0815 de 19 de abril de 1989; y sentencia emitida  por  la</w:t>
        <w:br/>
        <w:t>Corte Suprema de Justicia el 25 de mayo de 1989.</w:t>
        <w:br/>
        <w:t>[41]  Cfr. Decreto 1194 de 8 de junio de 1989, por el cual  “se  establecían</w:t>
        <w:br/>
        <w:t>nuevas  modalidades  delictivas  relacionadas  con  actividades  de   grupos</w:t>
        <w:br/>
        <w:t>armados,  comúnmente  denominados  escuadrones  de  la  muerte,  bandas   de</w:t>
        <w:br/>
        <w:t>sicarios o de justicia privada”; Decreto 2266 de 4 de octubre de  1991,  por</w:t>
        <w:br/>
        <w:t>el  cual  “se  adoptan  como  legislación  permanente   unas   disposiciones</w:t>
        <w:br/>
        <w:t>expedidas en ejercicio de las facultades del Estado de Sitio”.</w:t>
        <w:br/>
        <w:t>[42]   Cfr. Decreto 3030/90 de 14 de diciembre de 1990, “por medio del  cual</w:t>
        <w:br/>
        <w:t>se establecen los requisitos para  la  rebaja  de  penas  por  confesión  de</w:t>
        <w:br/>
        <w:t>delitos cometidos hasta el 5 de septiembre de 1990”.</w:t>
        <w:br/>
        <w:t>[43]  Cfr. Decreto 2535 emitido el 17 de diciembre de 1993 “por el  cual  se</w:t>
        <w:br/>
        <w:t>expiden normas sobre armas, municiones y explosivos” (expediente  de  anexos</w:t>
        <w:br/>
        <w:t>al escrito de solicitudes y argumentos, tomo 3, anexo H7, folio 3571 bis).</w:t>
        <w:br/>
        <w:t>[44]  Cfr. Decreto 356/94 emitido el 11 de febrero de 1994 “por el  cual  se</w:t>
        <w:br/>
        <w:t>expide el Estatuto de Vigilancia y Seguridad Privada” (expediente de  anexos</w:t>
        <w:br/>
        <w:t>al escrito de solicitudes y argumentos, tomo 3, anexo H8, folio 3597).</w:t>
        <w:br/>
        <w:t>[45]  Cfr. Resolución 368 emitida por la Superintendencia  de  Vigilancia  y</w:t>
        <w:br/>
        <w:t>Seguridad Privada el 27 de abril de 1995 “por el  cual  se  fijan  criterios</w:t>
        <w:br/>
        <w:t>técnicos y jurídicos y se señalan procedimientos para el desarrollo  de  los</w:t>
        <w:br/>
        <w:t>servicios de vigilancia y seguridad privada de que trata el artículo 39  del</w:t>
        <w:br/>
        <w:t>decreto 356 de 1994” (expediente de anexos al peritaje rendido por el  señor</w:t>
        <w:br/>
        <w:t>Hernán Sanín Posada, folio 5230).</w:t>
        <w:br/>
        <w:t>[46]   Cfr.  Sentencia  C-  296  emitida  por  de  la  Corte  Constitucional</w:t>
        <w:br/>
        <w:t>colombiana el 6  de  julio  de  1995  (expediente  de  observaciones  a  los</w:t>
        <w:br/>
        <w:t>affidávits, folio 5369).</w:t>
        <w:br/>
        <w:t>[47]  Cfr. Resolución 7164 emitida por la Superintendencia de  Vigilancia  y</w:t>
        <w:br/>
        <w:t>Seguridad Privada el  22  de  octubre  de  1997  (expediente  de  anexos  al</w:t>
        <w:br/>
        <w:t>peritaje rendido por el señor Hernán Sanín Posada, folio 5232).</w:t>
        <w:br/>
        <w:t>[48]   Cfr.  Sentencia  C-572  emitida  por  de  la   Corte   Constitucional</w:t>
        <w:br/>
        <w:t>colombiana el 7 de noviembre de 1997  (expediente  de  observaciones  a  los</w:t>
        <w:br/>
        <w:t>affidávits, folio 5373).</w:t>
        <w:br/>
        <w:t>[49]  Cfr. Decreto 2974 emitido el 16 de diciembre de 1997 “por el  cual  se</w:t>
        <w:br/>
        <w:t>reglamentan  los  Servicios  Especiales  y  los  Servicios  Comunitarios  de</w:t>
        <w:br/>
        <w:t>Vigilancia y Seguridad Privada” (expediente de anexos  al  peritaje  rendido</w:t>
        <w:br/>
        <w:t>por el señor Hernán Sanín Posada, folio 5224).</w:t>
        <w:br/>
        <w:t>[50]  Cfr. Ley 418 emitida el 26 de  diciembre  de  1997  “por  la  cual  se</w:t>
        <w:br/>
        <w:t>consagran unos instrumentos para la búsqueda de la convivencia, la  eficacia</w:t>
        <w:br/>
        <w:t>de la justicia y se dictan otras disposiciones”; Ley 548 de 23 de  diciembre</w:t>
        <w:br/>
        <w:t>de 1999 “por medio de la cual se prorroga la vigencia de la Ley 418  del  26</w:t>
        <w:br/>
        <w:t>de diciembre de 1997 y se dictan otras disposiciones”; y Ley 782  de  23  de</w:t>
        <w:br/>
        <w:t>diciembre de 2002 “por medio de la cual se prorroga la vigencia  de  la  Ley</w:t>
        <w:br/>
        <w:t>418 de 1997, prorrogada y modificada por la Ley 548 de 1999 y  se  modifican</w:t>
        <w:br/>
        <w:t>algunas de sus disposiciones”.</w:t>
        <w:br/>
        <w:t>[51]  Cfr. Decreto 324 emitido el 25 de febrero de  2000  “por  el  cual  se</w:t>
        <w:br/>
        <w:t>crea  el  Centro  de  coordinación  de  la  lucha  contra  los   grupos   de</w:t>
        <w:br/>
        <w:t>autodefensas ilegales y demás grupos al margen de la ley.”</w:t>
        <w:br/>
        <w:t>[52]  Cfr. Informe del Alto Comisionado de  las  Naciones  Unidas  para  los</w:t>
        <w:br/>
        <w:t>Derechos Humanos sobre la situación de los derechos humanos en  Colombia  de</w:t>
        <w:br/>
        <w:t>17 de febrero de 2004, E/CN.4/2004/13, párr. 13; Alto  Comisionado  para  la</w:t>
        <w:br/>
        <w:t>Paz  en  Colombia,  Diálogos  y  Negociación,  Grupos  de  Autodefensa,   en</w:t>
        <w:br/>
        <w:t>http://www.altocomisionadoparalapaz.gov.co/g_autodefensa/dialogos.htm,     e</w:t>
        <w:br/>
        <w:t>Informe de la Comisión Interamericana de Derechos Humanos sobre  el  Proceso</w:t>
        <w:br/>
        <w:t>de  Desmovilización   en   Colombia   del   13   de   diciembre   de   2004,</w:t>
        <w:br/>
        <w:t>OEA/Ser.L/V/II.120 Doc. 60, párr. 75.</w:t>
        <w:br/>
        <w:t>[53]  Cfr. Decreto 128 emitido el 22 de enero  de  2003,  “por  el  cual  se</w:t>
        <w:br/>
        <w:t>reglamenta la ley 418 de 1997, prorrogada y modificada por  la  Ley  548  de</w:t>
        <w:br/>
        <w:t>1999 y la Ley 782 de 2002  en  materia  de  reincorporación  a  la  sociedad</w:t>
        <w:br/>
        <w:t>civil”.</w:t>
        <w:br/>
        <w:t>[54]  Cfr. Decreto 3360 emitido el 24 de noviembre de 2003 “por el  cual  se</w:t>
        <w:br/>
        <w:t>reglamenta la Ley 418 de 1997, prorrogada y modificada por  la  Ley  548  de</w:t>
        <w:br/>
        <w:t>1999 y por la Ley 782 de 2002”.</w:t>
        <w:br/>
        <w:t>[55]     Cfr. Decreto 2767 emitido el 31 de agosto de 2004 “por el  cual  se</w:t>
        <w:br/>
        <w:t>reglamenta la Ley 418 de 1997, prorrogada y modificada por  la  Ley  548  de</w:t>
        <w:br/>
        <w:t>1999 y la Ley 782 de 2002 en materia de reincorporación a la vida civil”.</w:t>
        <w:br/>
        <w:t>[56]  Cfr. Informe del Alto Comisionado de  las  Naciones  Unidas  para  los</w:t>
        <w:br/>
        <w:t>Derechos Humanos sobre la situación de los  derechos  humanos  en  Colombia,</w:t>
        <w:br/>
        <w:t>E/CN.4/2004/13, 17 de febrero de 2004, párr. 13; Alto  Comisionado  para  la</w:t>
        <w:br/>
        <w:t>Paz  en  Colombia,  Diálogos  y  Negociación,  Grupos  de  Autodefensa,   en</w:t>
        <w:br/>
        <w:t>http://www.altocomisionadoparalapaz.gov.co/g_autodefensa/dialogos.htm;</w:t>
        <w:br/>
        <w:t>Informe de la Comisión Interamericana de Derechos Humanos sobre  el  Proceso</w:t>
        <w:br/>
        <w:t>de  Desmovilización   en   Colombia   del   13   de   diciembre   de   2004,</w:t>
        <w:br/>
        <w:t>OEA/Ser.L/V/II.120 Doc. 60, párrs. 56,  75  y  94,  e  Informe  de  la  Alta</w:t>
        <w:br/>
        <w:t>Comisionada de las Naciones  Unidas  para  los  Derechos  Humanos  sobre  la</w:t>
        <w:br/>
        <w:t>situación de  los  derechos  humanos  en  Colombia,  E/CN.4/2005/10,  28  de</w:t>
        <w:br/>
        <w:t>febrero de 2005, introducción.</w:t>
        <w:br/>
        <w:t>[57]  Cfr. Ley 975 emitida el 25 de julio de 2005  por  la  cual  se  dictan</w:t>
        <w:br/>
        <w:t>disposiciones para la reincorporacio[pic]n de  miembros  de  grupos  armados</w:t>
        <w:br/>
        <w:t>organizados al margen de la ley, que contribuyan de  manera  efectiva  a  la</w:t>
        <w:br/>
        <w:t>consecución de lade 2005 “por  la  cual  se  dictan  disposiciones  para  la</w:t>
        <w:br/>
        <w:t>reincorporación de miembros de grupos armados organizados al  margen  de  la</w:t>
        <w:br/>
        <w:t>ley, que contribuyan de manera efectiva a la consecución de la paz  nacional</w:t>
        <w:br/>
        <w:t>y se dictan otras disposiciones para acuerdos humanitarios”.</w:t>
        <w:br/>
        <w:t>[58]  Cfr. Informe de la Alta Comisionada de las Naciones  Unidas  para  los</w:t>
        <w:br/>
        <w:t>Derechos Humanos sobre la situación de los  derechos  humanos  en  Colombia,</w:t>
        <w:br/>
        <w:t>E/CN.4/2005/10, 28 de febrero de  2005,  párr.  8,  e  Informe  de  la  Alta</w:t>
        <w:br/>
        <w:t>Comisionada de las Naciones  Unidas  para  los  Derechos  Humanos  sobre  la</w:t>
        <w:br/>
        <w:t>situación de los derechos humanos en Colombia, E/CN.4/2001/15, 20  de  marzo</w:t>
        <w:br/>
        <w:t>de 2001, párrs. 29 y 30.</w:t>
        <w:br/>
        <w:t>[59]  Cfr. Informe de la Alta Comisionada de las Naciones  Unidas  para  los</w:t>
        <w:br/>
        <w:t>Derechos Humanos sobre la situación de los  derechos  humanos  en  Colombia,</w:t>
        <w:br/>
        <w:t>E/CN.4/2001/15, 20 de marzo de 2001, párrs. 131, 134 y 254;  Informe  de  la</w:t>
        <w:br/>
        <w:t>Alta Comisionada de las Naciones Unidas para los Derechos Humanos  sobre  la</w:t>
        <w:br/>
        <w:t>situación de  los  derechos  humanos  en  Colombia,  E/CN.4/2005/10,  28  de</w:t>
        <w:br/>
        <w:t>febrero de 2005, párrs. 9, 45, 61, 73, 84, 87, 112 a 116; Informe  del  Alto</w:t>
        <w:br/>
        <w:t>Comisionado de las Naciones  Unidas  para  los  Derechos  Humanos  sobre  la</w:t>
        <w:br/>
        <w:t>situación de  los  derechos  humanos  en  Colombia,  E/CN.4/2004/13,  17  de</w:t>
        <w:br/>
        <w:t>febrero de 2004,  párrs.  22,  24,  26,  59,  65  y  73;  Informe  del  Alto</w:t>
        <w:br/>
        <w:t>Comisionado de las Naciones  Unidas  para  los  Derechos  Humanos  sobre  la</w:t>
        <w:br/>
        <w:t>situación de  los  derechos  humanos  en  Colombia,  E/CN.4/2003/13,  24  de</w:t>
        <w:br/>
        <w:t>febrero de 2003, párrs. 34, 74 y 77; Informe de la Alta Comisionada  de  las</w:t>
        <w:br/>
        <w:t>Naciones Unidas  para  los  Derechos  Humanos  sobre  la  situación  de  los</w:t>
        <w:br/>
        <w:t>derechos humanos en Colombia, E/CN.4/2002/17, 28 de febrero de 2002,  párrs.</w:t>
        <w:br/>
        <w:t>202, 211, 356 y 365; Informe de la Alta Comisionada de las  Naciones  Unidas</w:t>
        <w:br/>
        <w:t>para los Derechos Humanos sobre la situación  de  los  derechos  humanos  en</w:t>
        <w:br/>
        <w:t>Colombia, E/CN.4/2000/11, 9 de marzo de 2000, párrs. 25 y  111;  Informe  de</w:t>
        <w:br/>
        <w:t>la Alta Comisionada de las Naciones Unidas para los Derechos  Humanos  sobre</w:t>
        <w:br/>
        <w:t>la situación de los derechos humanos en Colombia, E/CN.4/1998,  9  de  marzo</w:t>
        <w:br/>
        <w:t>de 1998/16, párrs. 21 y  29;  e  Informe  de  la  Alta  Comisionada  de  las</w:t>
        <w:br/>
        <w:t>Naciones Unidas  para  los  Derechos  Humanos  sobre  la  situación  de  los</w:t>
        <w:br/>
        <w:t>derechos humanos en Colombia, E/CN.4/1998/16, 9 de  marzo  de  1998,  párrs.</w:t>
        <w:br/>
        <w:t>27, 28, 29, 34, 42, 46 y 88.</w:t>
        <w:br/>
        <w:t>[60]  Cfr. Informe de la Alta Comisionada de las Naciones  Unidas  para  los</w:t>
        <w:br/>
        <w:t>Derechos Humanos sobre la situación de los  derechos  humanos  en  Colombia,</w:t>
        <w:br/>
        <w:t>E/CN.4/2005/10, 28 de febrero de 2005, párrs. 61  y  92;  Informe  del  Alto</w:t>
        <w:br/>
        <w:t>Comisionado de las Naciones  Unidas  para  los  Derechos  Humanos  sobre  la</w:t>
        <w:br/>
        <w:t>situación de  los  derechos  humanos  en  Colombia,  E/CN.4/2004/13,  17  de</w:t>
        <w:br/>
        <w:t>febrero de 2004, párrs. 26, 27, 28, 34 y 77; Informe de la Alta  Comisionada</w:t>
        <w:br/>
        <w:t>de las Naciones Unidas para los Derechos Humanos sobre la situación  de  los</w:t>
        <w:br/>
        <w:t>derechos humanos en Colombia en el año 2002, E/CN.4/2003/13, 24  de  febrero</w:t>
        <w:br/>
        <w:t>de 2003, párr. 77; Informe de la Alta Comisionada  de  las  Naciones  Unidas</w:t>
        <w:br/>
        <w:t>para los Derechos Humanos sobre la situación  de  los  derechos  humanos  en</w:t>
        <w:br/>
        <w:t>Colombia, E/CN.4/2002/17, 28 de febrero de  2002,  párr.  211,  212  y  365;</w:t>
        <w:br/>
        <w:t>Informe de la Alta Comisionada de las  Naciones  Unidas  para  los  Derechos</w:t>
        <w:br/>
        <w:t>Humanos sobre la situación de los derechos humanos en  Colombia  en  el  año</w:t>
        <w:br/>
        <w:t>2000, E/CN.4/2001/15, 20 de marzo de 2001, párrs. 57,  142,  206  y  254,  e</w:t>
        <w:br/>
        <w:t>Informe de la Alta Comisionada de las  Naciones  Unidas  para  los  Derechos</w:t>
        <w:br/>
        <w:t>Humanos  sobre  la  situación  de  los   derechos   humanos   en   Colombia,</w:t>
        <w:br/>
        <w:t>E/CN.4/2000/11, 9 de marzo de 2000, párr. 27, 47, 146 y 173.</w:t>
        <w:br/>
        <w:t>[61]  Cfr. Partida de defunción del señor  William  de  Jesús  Villa  García</w:t>
        <w:br/>
        <w:t>(expediente de anexos al escrito  de  solicitudes  y  argumentos,  tomo  II,</w:t>
        <w:br/>
        <w:t>folio 3192).</w:t>
        <w:br/>
        <w:t>[62]  Cfr. Partida de  defunción  del  señor  Héctor  Hernán  Correa  García</w:t>
        <w:br/>
        <w:t>(expediente de anexos al escrito  de  solicitudes  y  argumentos,  tomo  II,</w:t>
        <w:br/>
        <w:t>folio 3188).</w:t>
        <w:br/>
        <w:t>[63]  Cfr. Partida  de  defunción  de  la  señora  María  Graciela  Arboleda</w:t>
        <w:br/>
        <w:t>Rodríguez (expediente de anexos al  escrito  de  solicitudes  y  argumentos,</w:t>
        <w:br/>
        <w:t>tomo II, folio 3190).</w:t>
        <w:br/>
        <w:t>[64]  Cfr. cédula de identidad de la  señora  María  Oliva  Calle  Fernández</w:t>
        <w:br/>
        <w:t>(expediente de anexos a la demanda, tomo I, folio 0459).</w:t>
        <w:br/>
        <w:t>[65]   Cfr.  partida  de  bautismo  del  señor  Johan  Daniel  Ortiz   Calle</w:t>
        <w:br/>
        <w:t>(expediente de anexos a la demanda, tomo I, folios 0474 a 0478).</w:t>
        <w:br/>
        <w:t>[66]  Cfr. certificado de nacimiento de  la  señora  María  Graciela  Cossio</w:t>
        <w:br/>
        <w:t>Jaramillo (expediente de anexos  a  la  demanda,  tomo  I,  folio  0516);  y</w:t>
        <w:br/>
        <w:t>certificado de nacimiento del señor Juan Felipe  Zuleta  Cossio  (expediente</w:t>
        <w:br/>
        <w:t>de anexos a la demanda, tomo I, folio 518).</w:t>
        <w:br/>
        <w:t>[67]  Cfr. certificado de nacimiento del señor  Juan  Felipe  Zuleta  Cossio</w:t>
        <w:br/>
        <w:t>(expediente de anexos a la demanda,  tomo  I,  folio  518);  certificado  de</w:t>
        <w:br/>
        <w:t>nacimiento del señor Carlos Adrián Zuleta Cossio (expediente de anexos a  la</w:t>
        <w:br/>
        <w:t>demanda, tomo I, folio 520); y certificado de nacimiento  del  señor  Yeison</w:t>
        <w:br/>
        <w:t>Andrés Zuleta Cossio (expediente de anexos  a  la  demanda,  tomo  I,  folio</w:t>
        <w:br/>
        <w:t>522).</w:t>
        <w:br/>
        <w:t>[68]  Cfr. certificado de nacimiento del señor Fabio Antonio  Zuleta  Zabala</w:t>
        <w:br/>
        <w:t>(expediente de anexos a  la  demanda,  tomo  I,  folio  513);  y  cédula  de</w:t>
        <w:br/>
        <w:t>ciudadanía de la señora María Magdalena Zabala (expediente de  anexos  a  la</w:t>
        <w:br/>
        <w:t>demanda, tomo I, folio 492).</w:t>
        <w:br/>
        <w:t>[69]  Cfr. certificado de nacimiento del señor Fabio Antonio  Zuleta  Zabala</w:t>
        <w:br/>
        <w:t>(expediente de anexos a la demanda, tomo I, folio 513).</w:t>
        <w:br/>
        <w:t>[70]  Cfr. testimonio rendido por el señor Amado de Jesús Jaramillo Cano  el</w:t>
        <w:br/>
        <w:t>30 de agosto de  2000  ante  el  Juzgado  Promiscuo  Municipal  de  Valdivia</w:t>
        <w:br/>
        <w:t>(expediente de anexos de la demanda, tomo II, anexo C34, folio 917).</w:t>
        <w:br/>
        <w:t>[71]  Cfr. registro civil de  matrimonio  de  los  señores  Arnulfo  Sánchez</w:t>
        <w:br/>
        <w:t>Álvarez y Teresa del Niño Jesús Álvarez  Placio  (expediente  de  documentos</w:t>
        <w:br/>
        <w:t>presentados por los representantes  de  las  presuntas  víctimas  el  23  de</w:t>
        <w:br/>
        <w:t>septiembrer de 2005, folio 5613).</w:t>
        <w:br/>
        <w:t>[72]   Cfr.  certificado  de  bautismo  de  Vilma  Ester   Sánchez   Álvarez</w:t>
        <w:br/>
        <w:t>(expediente  de  documentos  presentados  por  los  representantes  de   las</w:t>
        <w:br/>
        <w:t>presuntas víctimas el 23 de septiembrer de 2005, folio 5618).</w:t>
        <w:br/>
        <w:t>[73]  Cfr. registro civil  de  nacimiento  de  Omar  Iván  Gutiérrez  Nohavá</w:t>
        <w:br/>
        <w:t>(expediente de anexos a la demanda, folio 282); registro civil de  defunción</w:t>
        <w:br/>
        <w:t>de Omar Iván Gutiérrez Nohavá (expediente de  anexos  a  la  demanda,  folio</w:t>
        <w:br/>
        <w:t>284);  y   declaración   rendida   en   confidencialidad   ante   la   Corte</w:t>
        <w:br/>
        <w:t>Interamericana de Derechos Humanos el 28 de octubre de 2004  (expediente  de</w:t>
        <w:br/>
        <w:t>anexos al escrito de solicitudes y argumentos, folio 3166).</w:t>
        <w:br/>
        <w:t>[74]   Cfr.  registro  de  defunción  del  señor  Olcris  Fail  Díaz   Pérez</w:t>
        <w:br/>
        <w:t>(expediente de anexos a la demanda, tomo I, folio 174).</w:t>
        <w:br/>
        <w:t>[75]   Cfr.  declaración  rendida  en   confidencialidad   ante   la   Corte</w:t>
        <w:br/>
        <w:t>Interamericana de Derechos Humanos el 27 de octubre de 2004  (expediente  de</w:t>
        <w:br/>
        <w:t>anexos al escrito de solicitudes y argumentos, folio 3168).</w:t>
        <w:br/>
        <w:t>[76]  Cfr. certificado  de  nacimiento  de  la  señora  María  Ester  Orrego</w:t>
        <w:br/>
        <w:t>(expediente de anexos a la demanda, tomo I, folio 432).</w:t>
        <w:br/>
        <w:t>[77]  Cfr. cédula de ciudadanía del señor  Heraldo  Enrique  Martínez  Pérez</w:t>
        <w:br/>
        <w:t>(expediente de anexos a la demanda, tomo I, folio 425).</w:t>
        <w:br/>
        <w:t>[78]   Cfr.  registro  de  nacimiento  del  señor  Danilo  de  Jesús  Tejada</w:t>
        <w:br/>
        <w:t>Jaramillo (expediente de anexos a la demanda, folio 79).</w:t>
        <w:br/>
        <w:t>[79]   Cfr.  declaración  rendida  en   confidencialidad   ante   la   Corte</w:t>
        <w:br/>
        <w:t>Interamericana de Derechos Humanos el 18 de agosto de  2005  (expediente  de</w:t>
        <w:br/>
        <w:t>affidávits y sus observaciones, folio 5120)</w:t>
        <w:br/>
        <w:t>[80]   Cfr.  declaración  rendida  en   confidencialidad   ante   la   Corte</w:t>
        <w:br/>
        <w:t>Interamericana de Derechos Humanos el 18 de agosto de  2005  (expediente  de</w:t>
        <w:br/>
        <w:t>affidávits y sus observaciones, folio 5120).</w:t>
        <w:br/>
        <w:t>[81]   Cfr.  registro  civil  del  niño  Wilmar  de  Jesús  Restrepo  Torres</w:t>
        <w:br/>
        <w:t>(expediente de anexos a la demanda, tomo I, folio 150).</w:t>
        <w:br/>
        <w:t>[82]  Cfr. cédula de ciudadanía de la señora  Miladis  del  Carmen  Restrepo</w:t>
        <w:br/>
        <w:t>Torres (expediente de anexos a la demanda, tomo I, folio 78).</w:t>
        <w:br/>
        <w:t>[83]   Cfr.  declaración  rendida  en   confidencialidad   ante   la   Corte</w:t>
        <w:br/>
        <w:t>Interamericana de Derechos Humanos el 28 de octubre de 2004  (expediente  de</w:t>
        <w:br/>
        <w:t>anexos al escrito de solicitudes y argumentos, folio 3170).</w:t>
        <w:br/>
        <w:t>[84]  Cfr. registro de nacimiento del señor Guillermo Andrés  Mendoza  Posso</w:t>
        <w:br/>
        <w:t>(expediente de anexos a la demanda, tomo I, folio 240).</w:t>
        <w:br/>
        <w:t>[85]  Cfr. registros de nacimiento  de  los  señores  María  Gloria  Granada</w:t>
        <w:br/>
        <w:t>López, y Astrid Elena, María Clementina,  Aracelly,  Gloria  Emilsen,  Marta</w:t>
        <w:br/>
        <w:t>Consuelo y Juan Alberto, todos de apellido  Múnera  Granada  (expediente  de</w:t>
        <w:br/>
        <w:t>anexos a la demanda, tomo I, anexo B10, folios 368 a 415)</w:t>
        <w:br/>
        <w:t>[86]  Cfr. declaración con destino a la Comisión Interamericana de  Derechos</w:t>
        <w:br/>
        <w:t>Humanos rendida el 21 de abril de 1998 por la señora Lylliam  Amparo  Areiza</w:t>
        <w:br/>
        <w:t>Tobón (expediente de anexos a la demanda, tomo III, folio 1409).</w:t>
        <w:br/>
        <w:t>[87]  Cfr. certificado de nacimiento del señor  John  Freddy  Palacio  Posso</w:t>
        <w:br/>
        <w:t>(expediente de anexos a la demanda, tomo I, folio 215).</w:t>
        <w:br/>
        <w:t>[88]  Cfr. testimonio rendido por la señora María Elena  Torres  de  Barrera</w:t>
        <w:br/>
        <w:t>el 14 de septiembre de 2000 ante el Juzgado Promiscuo Municipal de  Valdivia</w:t>
        <w:br/>
        <w:t>(expediente de anexos de la demanda, anexos C1-C59, folio 868).</w:t>
        <w:br/>
        <w:t>[89]  Cfr. cédula de identidad del señor Eligio Pérez  Aguirre,  certificado</w:t>
        <w:br/>
        <w:t>de nacimiento de Eligio de Jesús Pérez Areiza, acta de  bautismo  del  señor</w:t>
        <w:br/>
        <w:t>Julio Eliver Pérez Areiza, registro de nacimiento de la señora  Ligia  Lucía</w:t>
        <w:br/>
        <w:t>Pérez Areiza, y registro de nacimiento del señor Omar  Daniel  Pérez  Areiza</w:t>
        <w:br/>
        <w:t>(expediente de anexos a la demanda, tomo I, folios, anexo B14, folios 563  a</w:t>
        <w:br/>
        <w:t>569).</w:t>
        <w:br/>
        <w:t>[90]  Cfr. registro  civil  de  nacimiento  de  Elvia  Rosa  Areiza  Barrera</w:t>
        <w:br/>
        <w:t>(Expediente de anexos al escrito de  solicitudes  y  argumentos,  anexo  E2,</w:t>
        <w:br/>
        <w:t>folio 3079).</w:t>
        <w:br/>
        <w:t>[91]  Cfr. declaración rendida por el señor Jaime Adonai Quintero  Tobón  el</w:t>
        <w:br/>
        <w:t>5 de noviembre de 2005 con destino a la Comisión Interamericana de  Derechos</w:t>
        <w:br/>
        <w:t>Humanos (expediente de anexos al escrito de solicitudes y  argumentos,  tomo</w:t>
        <w:br/>
        <w:t>I, folio 3173).</w:t>
        <w:br/>
        <w:t>[92]  Cfr. cédula de identidad de los señores  Luis  Ufrán  Areiza  Posso  y</w:t>
        <w:br/>
        <w:t>Jael Esther Arroyave Posso, así como el registro civil de nacimiento de  los</w:t>
        <w:br/>
        <w:t>señores Freidon Esteban Areiza Arroyave, Nohelia Estelia Areiza Arroyave,  y</w:t>
        <w:br/>
        <w:t>Robinson Argiro Areiza Arroyave, (expediente de anexos a  la  demanda,  tomo</w:t>
        <w:br/>
        <w:t>I, anexo B8, folios 302 a 332).</w:t>
        <w:br/>
        <w:t>[93]  Cfr. declaración rendida por la señora María Resfa Posso de Areiza  el</w:t>
        <w:br/>
        <w:t>17 de agosto de 2005 con destino  a  la  Corte  Interamericana  de  Derechos</w:t>
        <w:br/>
        <w:t>Humanos (expediente de affidávits y sus observaciones, folio 5094).</w:t>
        <w:br/>
        <w:t>[94]  Cfr. testimonio ante el Juzgado Único Promiscuo Municipal de San  José</w:t>
        <w:br/>
        <w:t>de la Montaña, rendido el 14 de marzo de 2001 por el  señor  Reinel  Octavio</w:t>
        <w:br/>
        <w:t>Correa Hidalgo (expediente de anexos de la  demanda,  tomo  II,  anexo  C39,</w:t>
        <w:br/>
        <w:t>folio  971);  declaración  rendida  en  confidencialidad   ante   la   Corte</w:t>
        <w:br/>
        <w:t>Interamericana de Derechos Humanos el 18 de agosto de  2005  (expediente  de</w:t>
        <w:br/>
        <w:t>affidávits y sus  observaciones,  folio  5119);  y  declaración  rendida  en</w:t>
        <w:br/>
        <w:t>confidencialidad ante la Corte Interamericana de Derechos Humanos el  11  de</w:t>
        <w:br/>
        <w:t>agosto de 2005 (expediente de affidávits y sus observaciones, folio 5102).</w:t>
        <w:br/>
        <w:t>[95]   Cfr.  declaración  rendida  en   confidencialidad   ante   la   Corte</w:t>
        <w:br/>
        <w:t>Interamericana de Derechos Humanos el 17 de agosto de  2005  (expediente  de</w:t>
        <w:br/>
        <w:t>affidávits y sus observaciones, folio 5100).</w:t>
        <w:br/>
        <w:t>[96]  Cfr. testimonio ante Juzgado Único Promiscuo Municipal de San José  de</w:t>
        <w:br/>
        <w:t>la Montaña, Antioquia, rendido el 14 de marzo de 2001 por  el  señor  Reynel</w:t>
        <w:br/>
        <w:t>Correa (expediente de anexos de  la  demanda,  tomo  II,  anexo  C39,  folio</w:t>
        <w:br/>
        <w:t>0971).</w:t>
        <w:br/>
        <w:t>[97]   Cfr.  declaración  rendida  en   confidencialidad   ante   la   Corte</w:t>
        <w:br/>
        <w:t>Interamericana de Derechos Humanos el 17 de agosto de  2005  (expediente  de</w:t>
        <w:br/>
        <w:t>affidávits  y  sus  observaciones,  folio  5098);  declaración  rendida   en</w:t>
        <w:br/>
        <w:t>confidencialidad ante la Corte Interamericana de Derechos Humanos el  11  de</w:t>
        <w:br/>
        <w:t>agosto de 2005 (expediente de affidávits y sus observaciones folio 5109);  y</w:t>
        <w:br/>
        <w:t>declaración con destino a la Comisión  Interamericana  de  Derechos  Humanos</w:t>
        <w:br/>
        <w:t>rendida el 08 de noviembre de  2004  por  la  señora  Lucelly  Amparo  Posso</w:t>
        <w:br/>
        <w:t>Molina (expediente de anexos al escrito de solicitudes y  argumentos,  folio</w:t>
        <w:br/>
        <w:t>3177).</w:t>
        <w:br/>
        <w:t>[98]   Cfr.  declaración  rendida  en   confidencialidad   ante   la   Corte</w:t>
        <w:br/>
        <w:t>Interamericana de Derechos Humanos el 22 de agosto de  2005  (expediente  de</w:t>
        <w:br/>
        <w:t>affidávits y sus  observaciones,  folio  5091);  y  declaración  rendida  en</w:t>
        <w:br/>
        <w:t>confidencialidad ante la Corte Interamericana de Derechos Humanos el  17  de</w:t>
        <w:br/>
        <w:t>agosto de 2005 (expediente de affidávits y sus observaciones, folio 5100).</w:t>
        <w:br/>
        <w:t>[99]  Cfr. testimonio  ante  el  Juzgado  Promiscuo  Municipal  de  Valdivia</w:t>
        <w:br/>
        <w:t>rendido el 14 de diciembre de  1999  por  el  señor  Rodrigo  Mendoza  Posso</w:t>
        <w:br/>
        <w:t>Molina (expediente de anexos de la demanda, tomo II, anexo 32, folio  0932);</w:t>
        <w:br/>
        <w:t>testimonio ante el Juzgado Único Promiscuo  Municipal  de  San  José  de  la</w:t>
        <w:br/>
        <w:t>Montaña rendido el 14 de marzo de 2001 por el señor  Reinel  Octavio  Correa</w:t>
        <w:br/>
        <w:t>Hidalgo (expediente de anexos de la  demanda,  tomo  II,  anexo  C39,  folio</w:t>
        <w:br/>
        <w:t>0968); testimonio ante el Tribunal Administrativo de  Antioquia  rendido  el</w:t>
        <w:br/>
        <w:t>03 de abril de 2000 por el señor Luis Humberto Mendoza Arroyave  (expediente</w:t>
        <w:br/>
        <w:t>de anexos de la demanda, anexo C40, folio 0996); y  declaración  rendida  en</w:t>
        <w:br/>
        <w:t>confidencialidad ante la Corte Interamericana de Derechos Humanos el  18  de</w:t>
        <w:br/>
        <w:t>agosto de 2005 (expediente de affidávits y sus observaciones, folio 5101).</w:t>
        <w:br/>
        <w:t>[100]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[101]       Cfr. declaración con destino a  la  Comisión  Interamericana  de</w:t>
        <w:br/>
        <w:t>Derechos Humanos rendida el 08 de noviembre de 2004 por  la  señora  Lucelly</w:t>
        <w:br/>
        <w:t>Amparo Posso Molina (expediente  de  anexos  al  escrito  de  solicitudes  y</w:t>
        <w:br/>
        <w:t>argumentos, tomo I, anexo F7, folio 3177).</w:t>
        <w:br/>
        <w:t>[102]       Cfr. declaración  rendida  en  confidencialidad  ante  la  Corte</w:t>
        <w:br/>
        <w:t>Interamericana de Derechos Humanos el 22 de agosto de  2005  (expediente  de</w:t>
        <w:br/>
        <w:t>affidávits y sus observaciones, folio 5080).</w:t>
        <w:br/>
        <w:t>[103]       Cfr. testimonio ante el  Tribunal  Administrativo  de  Antioquia</w:t>
        <w:br/>
        <w:t>rendido el 03 de abril de 2000 por el señor Luis Humberto  Mendoza  Arroyave</w:t>
        <w:br/>
        <w:t>(expediente de anexos de la  demanda,  tomo  II,  anexo  C40,  folio  0996);</w:t>
        <w:br/>
        <w:t>declaración con destino a la Comisión  Interamericana  de  Derechos  Humanos</w:t>
        <w:br/>
        <w:t>rendida el 08 de noviembre de  2004  por  la  señora  Lucelly  Amparo  Posso</w:t>
        <w:br/>
        <w:t>Molina (expediente de anexos al escrito de solicitudes y  argumentos,  folio</w:t>
        <w:br/>
        <w:t>3177);  y  declaración   rendida   en   confidencialidad   ante   la   Corte</w:t>
        <w:br/>
        <w:t>Interamericana de Derechos Humanos el 11 de agosto de  2005  (expediente  de</w:t>
        <w:br/>
        <w:t>affidávits y sus observaciones, folio 5109).</w:t>
        <w:br/>
        <w:t>[104]       Cfr. testimonio ante el  Tribunal  Administrativo  de  Antioquia</w:t>
        <w:br/>
        <w:t>rendido el 27 de junio de 2001 por la  señora  Maria  Fraccedie  Aristizabal</w:t>
        <w:br/>
        <w:t>(expediente de anexos de la demanda, tomo II,  anexo  C38,  folio  0963);  y</w:t>
        <w:br/>
        <w:t>testimonio ante el Juzgado Único Promiscuo  Municipal  de  San  José  de  la</w:t>
        <w:br/>
        <w:t>Montaña rendido  el  14  de  marzo  de  2001  por  el  señor  Reynel  Correa</w:t>
        <w:br/>
        <w:t>(expediente de anexos de la demanda, tomo II, anexo C39, folio 970).</w:t>
        <w:br/>
        <w:t>[105]       Cfr. declaración  rendida  en  confidencialidad  ante  la  Corte</w:t>
        <w:br/>
        <w:t>Interamericana de Derechos Humanos el 18 de agosto de  2005  (expediente  de</w:t>
        <w:br/>
        <w:t>affidávits y sus observaciones, folio 5117).</w:t>
        <w:br/>
        <w:t>[106]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[107]       Cfr. declaración  rendida  en  confidencialidad  ante  la  Corte</w:t>
        <w:br/>
        <w:t>Interamericana de Derechos Humanos el 18 de agosto de  2005  (expediente  de</w:t>
        <w:br/>
        <w:t>affidávits y sus observaciones, folio 5117).</w:t>
        <w:br/>
        <w:t>[108]       Cfr. declaración  rendida  en  confidencialidad  ante  la  Corte</w:t>
        <w:br/>
        <w:t>Interamericana de Derechos Humanos el 14 de agosto de  2005  (expediente  de</w:t>
        <w:br/>
        <w:t>affidávits y sus observaciones, folio 5099).</w:t>
        <w:br/>
        <w:t>[109]       Cfr. declaración  rendida  en  confidencialidad  ante  la  Corte</w:t>
        <w:br/>
        <w:t>Interamericana de Derechos Humanos el 18 de agosto de  2005  (expediente  de</w:t>
        <w:br/>
        <w:t>affidávits y sus observaciones, folio 5104).</w:t>
        <w:br/>
        <w:t>[110]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[111]       Cfr. declaración  rendida  en  confidencialidad  ante  la  Corte</w:t>
        <w:br/>
        <w:t>Interamericana de Derechos Humanos el 14 de agosto de  2005  (expediente  de</w:t>
        <w:br/>
        <w:t>affidávits y sus observaciones, folio 5099); y  listado  de  la  Oficina  de</w:t>
        <w:br/>
        <w:t>Catastro del Departamento de Antioquia, Municipio  de  Ituango,  del  18  de</w:t>
        <w:br/>
        <w:t>octubre de 2005 (expediente de prueba para  mejor  resolver  presentada  por</w:t>
        <w:br/>
        <w:t>los representantes de las presuntas víctimas, folio 5699).</w:t>
        <w:br/>
        <w:t>[112]       Cfr. declaración  rendida  en  confidencialidad  ante  la  Corte</w:t>
        <w:br/>
        <w:t>Interamericana de Derechos Humanos el 18 de agosto de  2005  (expediente  de</w:t>
        <w:br/>
        <w:t>affidávits y sus observaciones, folio 5119).</w:t>
        <w:br/>
        <w:t>[113]       Cfr. testimonio ante el Juzgado Promiscuo Municipal de  Valdivia</w:t>
        <w:br/>
        <w:t>rendido el 5 de julio de 2000 por el señor Fabio de  Jesús  Tobón  Gutiérrez</w:t>
        <w:br/>
        <w:t>(expediente de anexos al escrito  de  solicitudes  y  argumentos,  tomo  II,</w:t>
        <w:br/>
        <w:t>anexo 50, folio 3489).</w:t>
        <w:br/>
        <w:t>[114]       Cfr. declaración  rendida  en  confidencialidad  ante  la  Corte</w:t>
        <w:br/>
        <w:t>Interamericana de Derechos Humanos el 18 de agosto de  2005  (expediente  de</w:t>
        <w:br/>
        <w:t>affidávits y sus observaciones, folio 5102).</w:t>
        <w:br/>
        <w:t>[115]       Cfr. declaración  rendida  en  confidencialidad  ante  la  Corte</w:t>
        <w:br/>
        <w:t>Interamericana de Derechos Humanos el 17 de agosto de  2005  (expediente  de</w:t>
        <w:br/>
        <w:t>affidávits y sus observaciones, folio 5100).</w:t>
        <w:br/>
        <w:t>[116]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[117]       Cfr. testimonio ante el  Tribunal  Administrativo  de  Antioquia</w:t>
        <w:br/>
        <w:t>rendido el 03 de abril de 2000 por el señor Luis Humberto  Mendoza  Arroyave</w:t>
        <w:br/>
        <w:t>(expediente de anexos de la demanda, tomo II,  anexo  C40,  folio  0996);  y</w:t>
        <w:br/>
        <w:t>declaración rendida en confidencialidad  ante  la  Corte  Interamericana  de</w:t>
        <w:br/>
        <w:t>Derechos Humanos el 22 de agosto de 2005 (expediente  de  affidávits  y  sus</w:t>
        <w:br/>
        <w:t>observaciones, folio 5090).</w:t>
        <w:br/>
        <w:t>[118]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[119]       Cfr. testimonio ante el Juzgado Promiscuo Municipal de  Valdivia</w:t>
        <w:br/>
        <w:t>rendido el 14 de diciembre de 1999 por  el  señor  Rodrigo  Alberto  Mendoza</w:t>
        <w:br/>
        <w:t>Posso (expediente de anexos de la demanda, tomo II, anexo C35, folio 0937).</w:t>
        <w:br/>
        <w:t>[120]       Cfr. declaración  rendida  en  confidencialidad  ante  la  Corte</w:t>
        <w:br/>
        <w:t>Interamericana de Derechos Humanos el 11 de agosto de  2005  (expediente  de</w:t>
        <w:br/>
        <w:t>affidávits y sus observaciones, folio 5107).</w:t>
        <w:br/>
        <w:t>[121]       Cfr. declaración  rendida  en  confidencialidad  ante  la  Corte</w:t>
        <w:br/>
        <w:t>Interamericana de Derechos Humanos el 18 de agosto de  2005  (expediente  de</w:t>
        <w:br/>
        <w:t>affidávits y sus observaciones, folio 5102).</w:t>
        <w:br/>
        <w:t>[122]       Cfr. testimonio ante el Juzgado Promiscuo Municipal de  Valdivia</w:t>
        <w:br/>
        <w:t>rendido el 15 de mayo de 2001 por la señora Maria  Edilma  Torres  Jaramillo</w:t>
        <w:br/>
        <w:t>(expediente de anexos de la demanda, tomo II, anexo C28, folio 0878).</w:t>
        <w:br/>
        <w:t>[123]       Cfr. testimonio ante el Juzgado Promiscuo Municipal de  Valdivia</w:t>
        <w:br/>
        <w:t>rendido el 05 de julio de 2000  por  el  señor  José  Noé  Peláez  Chavarría</w:t>
        <w:br/>
        <w:t>(expediente de anexos al escrito  de  solicitudes  y  argumentos,  tomo  II,</w:t>
        <w:br/>
        <w:t>anexo G51, folio 3484).</w:t>
        <w:br/>
        <w:t>[124]       Cfr. testimonio ante el Juzgado Promiscuo Municipal de  Valdivia</w:t>
        <w:br/>
        <w:t>rendido el 14 de diciembre de 1999 por  el  señor  Álvaro  Antonio  Martínez</w:t>
        <w:br/>
        <w:t>Moreno (expediente de anexos de la demanda, tomo II, anexo C35, 0943).</w:t>
        <w:br/>
        <w:t>[125]       Cfr. declaración  rendida  en  confidencialidad  ante  la  Corte</w:t>
        <w:br/>
        <w:t>Interamericana de Derechos Humanos el 22 de agosto de  2005  (expediente  de</w:t>
        <w:br/>
        <w:t>affidávits y sus observaciones, folio 5080).</w:t>
        <w:br/>
        <w:t>[126]       Cfr. declaración  rendida  en  confidencialidad  ante  la  Corte</w:t>
        <w:br/>
        <w:t>Interamericana de Derechos Humanos el 16 de agosto de  2005  (expediente  de</w:t>
        <w:br/>
        <w:t>affidávits  y  sus  observaciones,  folio  5087);  declaración  rendida   en</w:t>
        <w:br/>
        <w:t>confidencialidad ante la Corte Interamericana de Derechos Humanos el  17  de</w:t>
        <w:br/>
        <w:t>agosto de 2005 (expediente de affidávits y sus observaciones,  folio  5100);</w:t>
        <w:br/>
        <w:t>y declaración con destino a la Comisión Interamericana de  Derechos  Humanos</w:t>
        <w:br/>
        <w:t>rendida el 08 de noviembre de  2004  por  la  señora  Lucelly  Amparo  Posso</w:t>
        <w:br/>
        <w:t>Molina (expediente de anexos al escrito de solicitudes  y  argumentos,  tomo</w:t>
        <w:br/>
        <w:t>I, anexo F7, folio 3177).</w:t>
        <w:br/>
        <w:t>[127]       Cfr. declaración con destino a  la  Comisión  Interamericana  de</w:t>
        <w:br/>
        <w:t>Derechos Humanos rendida el 08 de noviembre de 2004 por  la  señora  Lucelly</w:t>
        <w:br/>
        <w:t>Amparo Posso Molina (expediente  de  anexos  al  escrito  de  solicitudes  y</w:t>
        <w:br/>
        <w:t>argumentos, tomo I, anexo F7, folio 3177).</w:t>
        <w:br/>
        <w:t>[128]       Cfr. transcripción de  declaración  rendida  por  Luis  Humberto</w:t>
        <w:br/>
        <w:t>Mendoza Arroyave  en  audiencia  ante  la  Corte  Interamericana  el  22  de</w:t>
        <w:br/>
        <w:t>septiembre de 2005; y declaración rendida en confidencialidad ante la  Corte</w:t>
        <w:br/>
        <w:t>Interamericana de Derechos Humanos el 18 de agosto de  2005  (expediente  de</w:t>
        <w:br/>
        <w:t>affidávits y sus observaciones, folio 5102).</w:t>
        <w:br/>
        <w:t>[129]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[130]       Cfr. declaración  rendida  en  confidencialidad  ante  la  Corte</w:t>
        <w:br/>
        <w:t>Interamericana de Derechos Humanos el 16 de agosto de  2005  (expediente  de</w:t>
        <w:br/>
        <w:t>affidávits y sus observaciones, folio 5088).</w:t>
        <w:br/>
        <w:t>[131]       Cfr. testimonio ante el  Tribunal  Administrativo  de  Antioquia</w:t>
        <w:br/>
        <w:t>rendido el 03 de abril de 2000 por el señor Luis Humberto  Mendoza  Arroyave</w:t>
        <w:br/>
        <w:t>(expediente de anexos de la demanda, tomo II,  anexo  C40,  folio  0996);  y</w:t>
        <w:br/>
        <w:t>declaración con destino a la Comisión  Interamericana  de  Derechos  Humanos</w:t>
        <w:br/>
        <w:t>rendida el 08 de noviembre de  2004  por  la  señora  Lucelly  Amparo  Posso</w:t>
        <w:br/>
        <w:t>Molina (expediente de anexos al escrito de solicitudes  y  argumentos,  tomo</w:t>
        <w:br/>
        <w:t>I, anexo F7, folio 3177).</w:t>
        <w:br/>
        <w:t>[132]       Cfr. testimonio ante el  Tribunal  Administrativo  de  Antioquia</w:t>
        <w:br/>
        <w:t>rendido el 03 de abril de 2000 por el señor Luis Humberto  Mendoza  Arroyave</w:t>
        <w:br/>
        <w:t>(expediente de anexos de la demanda, tomo II, anexo C40, folio 0996).</w:t>
        <w:br/>
        <w:t>[133]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[134]       Cfr. declaración  rendida  en  confidencialidad  ante  la  Corte</w:t>
        <w:br/>
        <w:t>Interamericana de Derechos Humanos el 18 de agosto de  2005  (expediente  de</w:t>
        <w:br/>
        <w:t>affidávits y sus observaciones, folio 5117).</w:t>
        <w:br/>
        <w:t>[135]       Cfr. declaración  rendida  en  confidencialidad  ante  la  Corte</w:t>
        <w:br/>
        <w:t>Interamericana de Derechos Humanos el 11 de agosto de  2005  (expediente  de</w:t>
        <w:br/>
        <w:t>affidávits y sus observaciones, folios 5107 y 5109).</w:t>
        <w:br/>
        <w:t>[136]       Cfr. declaración  rendida  en  confidencialidad  ante  la  Corte</w:t>
        <w:br/>
        <w:t>Interamericana de Derechos Humanos el 11 de agosto de  2005  (expediente  de</w:t>
        <w:br/>
        <w:t>affidávits y sus observaciones, folio 5107).</w:t>
        <w:br/>
        <w:t>[137]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[138]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[139]       Cfr. declaración  rendida  en  confidencialidad  ante  la  Corte</w:t>
        <w:br/>
        <w:t>Interamericana de Derechos Humanos el 18 de agosto de  2005  (expediente  de</w:t>
        <w:br/>
        <w:t>affidávits y sus observaciones, folio 5102).</w:t>
        <w:br/>
        <w:t>[140]       Cfr. declaración  rendida  en  confidencialidad  ante  la  Corte</w:t>
        <w:br/>
        <w:t>Interamericana de Derechos Humanos el 18 de agosto de  2005  (expediente  de</w:t>
        <w:br/>
        <w:t>affidávits y sus  observaciones,  folio  5102);  y  declaración  rendida  en</w:t>
        <w:br/>
        <w:t>confidencialidad ante la Corte Interamericana de Derechos Humanos el  18  de</w:t>
        <w:br/>
        <w:t>agosto de 2005 (expediente de affidávits y sus observaciones, folio 5122).</w:t>
        <w:br/>
        <w:t>[141]       Cfr. declaración  rendida  en  confidencialidad  ante  la  Corte</w:t>
        <w:br/>
        <w:t>Interamericana de Derechos Humanos el 18 de agosto de  2005  (expediente  de</w:t>
        <w:br/>
        <w:t>affidávits y sus observaciones, folio 5123).</w:t>
        <w:br/>
        <w:t>[142]       Cfr. declaración  rendida  en  confidencialidad  ante  la  Corte</w:t>
        <w:br/>
        <w:t>Interamericana de Derechos Humanos el 11 de agosto de  2005  (expediente  de</w:t>
        <w:br/>
        <w:t>affidávits y sus observaciones, folio 5107).</w:t>
        <w:br/>
        <w:t>[143]       Cfr. declaración  rendida  en  confidencialidad  ante  la  Corte</w:t>
        <w:br/>
        <w:t>Interamericana de Derechos Humanos el 22 de agosto de  2005  (expediente  de</w:t>
        <w:br/>
        <w:t>affidávits y sus observaciones, folio 5090).</w:t>
        <w:br/>
        <w:t>[144]       Cfr. declaración  rendida  en  confidencialidad  ante  la  Corte</w:t>
        <w:br/>
        <w:t>Interamericana de Derechos Humanos el 11 de agosto de  2005  (expediente  de</w:t>
        <w:br/>
        <w:t>affidávits y sus  observaciones,  folio  5109);  y  declaración  rendida  en</w:t>
        <w:br/>
        <w:t>confidencialidad ante la Corte Interamericana de Derechos Humanos el  22  de</w:t>
        <w:br/>
        <w:t>agosto de 2005 (expediente de affidávits y sus observaciones, folio 5080).</w:t>
        <w:br/>
        <w:t>[145]       Cfr. declaración  rendida  en  confidencialidad  ante  la  Corte</w:t>
        <w:br/>
        <w:t>Interamericana de Derechos Humanos el 11 de agosto de  2005  (expediente  de</w:t>
        <w:br/>
        <w:t>affidávits y sus  observaciones,  folio  5109);  y  declaración  rendida  en</w:t>
        <w:br/>
        <w:t>confidencialidad ante la Corte Interamericana de Derechos Humanos el  18  de</w:t>
        <w:br/>
        <w:t>agosto de 2005 (expediente de affidávits y sus observaciones, folio 5117).</w:t>
        <w:br/>
        <w:t>[146]       Cfr. declaración  rendida  en  confidencialidad  ante  la  Corte</w:t>
        <w:br/>
        <w:t>Interamericana de Derechos Humanos el 11 de agosto de  2005  (expediente  de</w:t>
        <w:br/>
        <w:t>affidávits y sus observaciones, folio 5107).</w:t>
        <w:br/>
        <w:t>[147]       Cfr. declaración  rendida  en  confidencialidad  ante  la  Corte</w:t>
        <w:br/>
        <w:t>Interamericana de Derechos Humanos el 18 de agosto de  2005  (expediente  de</w:t>
        <w:br/>
        <w:t>affidávits y sus observaciones, folio 5104).</w:t>
        <w:br/>
        <w:t>[148]       Cfr. declaración  rendida  en  confidencialidad  ante  la  Corte</w:t>
        <w:br/>
        <w:t>Interamericana de Derechos Humanos el 18 de agosto de  2005  (expediente  de</w:t>
        <w:br/>
        <w:t>affidávits y sus observaciones, folio 5103).</w:t>
        <w:br/>
        <w:t>[149]       Cfr. declaración  rendida  en  confidencialidad  ante  la  Corte</w:t>
        <w:br/>
        <w:t>Interamericana de Derechos Humanos el 11 de agosto de  2005  (expediente  de</w:t>
        <w:br/>
        <w:t>affidávits y sus observaciones, folio 5109).</w:t>
        <w:br/>
        <w:t>[150]       Cfr. declaración  rendida  en  confidencialidad  ante  la  Corte</w:t>
        <w:br/>
        <w:t>Interamericana de Derechos Humanos el 18 de agosto de  2005  (expediente  de</w:t>
        <w:br/>
        <w:t>affidávits y sus  observaciones,  folio  5104);  y  declaración  rendida  en</w:t>
        <w:br/>
        <w:t>confidencialidad ante la Corte Interamericana de Derechos Humanos el  18  de</w:t>
        <w:br/>
        <w:t>agosto de 2005 (expediente de affidávits y sus observaciones, folio 5117).</w:t>
        <w:br/>
        <w:t>[151]       Cfr. testimonio ante el  Tribunal  Administrativo  de  Antioquia</w:t>
        <w:br/>
        <w:t>rendido el 03 de abril de 2000 por el señor Luis Humberto  Mendoza  Arroyave</w:t>
        <w:br/>
        <w:t>(expediente de anexos de la demanda, tomo II,  anexo  C40,  folio  9096);  y</w:t>
        <w:br/>
        <w:t>listado de la Oficina de Catastro del Departamento de  Antioquia,  Municipio</w:t>
        <w:br/>
        <w:t>de Ituango, del 18 de octubre de  2005  (expediente  de  prueba  para  mejor</w:t>
        <w:br/>
        <w:t>resolver presentada por los representantes de las presuntas víctimas,  folio</w:t>
        <w:br/>
        <w:t>5699).</w:t>
        <w:br/>
        <w:t>[152]       Cfr. declaración  rendida  en  confidencialidad  ante  la  Corte</w:t>
        <w:br/>
        <w:t>Interamericana de Derechos Humanos el 17 de agosto de  2005  (expediente  de</w:t>
        <w:br/>
        <w:t>affidávits y sus observaciones, folio 5092).</w:t>
        <w:br/>
        <w:t>[153] Cfr. Registro Único  de  Población  Desplazada,  número  acumulado  de</w:t>
        <w:br/>
        <w:t>personas incluidas por  desplazamiento  hasta  el  31  de  agosto  del  2005</w:t>
        <w:br/>
        <w:t>(http://www.red.gov.co/Programas/Apoyo_Integral_   Desplazados/Registro_SUR/</w:t>
        <w:br/>
        <w:t>Registro_SUR_Agos_31_2005/Registro_SUR_Sept_10_web_Acumulado.htm).</w:t>
        <w:br/>
        <w:t>[154] Cfr. sentencia T025 de 22 de  enero  de  2004,  emitida  por  la  sala</w:t>
        <w:br/>
        <w:t>Tercera de Revisión de la Corte  Constitucional  (expediente  de  anexos  al</w:t>
        <w:br/>
        <w:t>escrito de contestación de la demanda,  tomo  III,  anexo  30,  ff.  4363  a</w:t>
        <w:br/>
        <w:t>4747hh);  Informe  Anual  de  Derechos  Humanos  y   Derecho   Internacional</w:t>
        <w:br/>
        <w:t>Humanitario 2002  y  Avances  Periodo  Presidencial  2003,  emitido  por  el</w:t>
        <w:br/>
        <w:t>Ministerio de Defensa  Nacional  de  la  República  de  Colombia,  pág.  81;</w:t>
        <w:br/>
        <w:t>Informe de la Alta Comisionada de las  Naciones  Unidas  para  los  Derechos</w:t>
        <w:br/>
        <w:t>Humanos  sobre  la  situación  de  los   derechos   humanos   en   Colombia,</w:t>
        <w:br/>
        <w:t>E/CN.4/2005/10, 28 de febrero de  2005,  párr.  14;  datos  de  la  Sala  de</w:t>
        <w:br/>
        <w:t>Asistencia Humanitaria  de  Naciones  Unidas,  estadísticas  de  la  Red  de</w:t>
        <w:br/>
        <w:t>Solidaridad Social; y datos proporcionados por el asesor  presidencial  para</w:t>
        <w:br/>
        <w:t>la        Acción         Social,         Luis         Alfonso         Hoyos,</w:t>
        <w:br/>
        <w:t>ttp://eltiempo.terra.com.co/hist_imp/HISTORICO_IMPRESO/poli_hist/2005-05-</w:t>
        <w:br/>
        <w:t>19/ARTICULO-WEB-NOTA_ INTERIOR_HIST-2073692.html.</w:t>
        <w:br/>
        <w:t>[155] Cfr. sentencia T025 de 22 de  enero  de  2004,  emitida  por  la  sala</w:t>
        <w:br/>
        <w:t>Tercera de Revisión de la Corte  Constitucional  (expediente  de  anexos  al</w:t>
        <w:br/>
        <w:t>escrito de contestación de la demanda,  tomo  III,  anexo  30,  ff.  4363  a</w:t>
        <w:br/>
        <w:t>4747hh).</w:t>
        <w:br/>
        <w:t>[156] Cfr. sentencia T025 de 22 de  enero  de  2004,  emitida  por  la  sala</w:t>
        <w:br/>
        <w:t>Tercera de Revisión de la Corte  Constitucional  (expediente  de  anexos  al</w:t>
        <w:br/>
        <w:t>escrito de contestación de la demanda,  tomo  III,  anexo  30,  ff.  4363  a</w:t>
        <w:br/>
        <w:t>4747hh); sentencia T-721/03 de 20 de agosto de 2003,  emitida  por  la  Sala</w:t>
        <w:br/>
        <w:t>Octava  de  Revisión  de  la  Corte  Constitucional;  Programa  Nacional  de</w:t>
        <w:br/>
        <w:t>atención integral a la población desplazada por  la  violencia  -  CONPES  –</w:t>
        <w:br/>
        <w:t>Consejería Presidencial para los Derechos Humanos, documento 2804 de  13  de</w:t>
        <w:br/>
        <w:t>septiembre de 1995, Departamento Nacional de Planeación del  Ministerio  del</w:t>
        <w:br/>
        <w:t>Interior; Economic, Social  and  Cultural  Rights,  Report  of  the  Special</w:t>
        <w:br/>
        <w:t>Rapporteur on adequate standard of living,  E/CN.4/2005/48,  3  march  2005,</w:t>
        <w:br/>
        <w:t>para. 38; e Informe del Alto Comisionado de las  Naciones  Unidas  para  los</w:t>
        <w:br/>
        <w:t>Derechos Humanos sobre la situación de los  derechos  humanos  en  Colombia,</w:t>
        <w:br/>
        <w:t>E/CN.4/2003/13, 24 de febrero de 2003, párr. 94.</w:t>
        <w:br/>
        <w:t>[157]       Cfr. Programa Nacional  de  atención  integral  a  la  población</w:t>
        <w:br/>
        <w:t>desplazada por la violencia – CONPES  –  Consejería  Presidencial  para  los</w:t>
        <w:br/>
        <w:t>Derechos Humanos, documento 2804 de 13 de septiembre de  1995,  Departamento</w:t>
        <w:br/>
        <w:t>Nacional de Planeación del Ministerio del Interior, pág. 3;  Informe  de  la</w:t>
        <w:br/>
        <w:t>Alta Comisionada de las Naciones Unidas para los Derechos Humanos  sobre  la</w:t>
        <w:br/>
        <w:t>situación de  los  derechos  humanos  en  Colombia,  E/CN.4/2003/13,  24  de</w:t>
        <w:br/>
        <w:t>febrero de 2003, e informe de la Alta Comisionada  de  las  Naciones  Unidas</w:t>
        <w:br/>
        <w:t>para los Derechos Humanos sobre la situación  de  los  derechos  humanos  en</w:t>
        <w:br/>
        <w:t>Colombia, E/CN.4/2001/15, 20 de marzo de 2001.</w:t>
        <w:br/>
        <w:t>[158] Cfr. sentencia T025 de 22 de  enero  de  2004,  emitida  por  la  sala</w:t>
        <w:br/>
        <w:t>Tercera de Revisión de la Corte  Constitucional  (expediente  de  anexos  al</w:t>
        <w:br/>
        <w:t>escrito de contestación de la demanda,  tomo  III,  anexo  30,  ff.  4363  a</w:t>
        <w:br/>
        <w:t>4747hh); Ley 387 de 1997 (julio 18), “por el cual se  adoptan  medidas  para</w:t>
        <w:br/>
        <w:t>la prevención del desplazamiento forzado; y decreto 250 de 7 de  febrero  de</w:t>
        <w:br/>
        <w:t>2005, “por el cual se expide el Plan Nacional para la  Atención  Integral  a</w:t>
        <w:br/>
        <w:t>la Población Desplazada por la Violencia y se dictan otras disposiciones”.</w:t>
        <w:br/>
        <w:t>[159]       Cfr. sentencia T025 de 22 de enero de 2004, emitida por la  sala</w:t>
        <w:br/>
        <w:t>Tercera de Revisión de la Corte  Constitucional  (expediente  de  anexos  al</w:t>
        <w:br/>
        <w:t>escrito de contestación de la demanda,  tomo  III,  anexo  30,  ff.  4363  a</w:t>
        <w:br/>
        <w:t>4747hh).</w:t>
        <w:br/>
        <w:t>[160]       Informe de 14 de diciembre de 2004 la Directora  Técnica  de  la</w:t>
        <w:br/>
        <w:t>Unidad de Atención Integral  del  Programa  de  Desplazados  de  la  Red  de</w:t>
        <w:br/>
        <w:t>Solidaridad Social de la Presidencia de la República (expediente  de  anexos</w:t>
        <w:br/>
        <w:t>al escrito de contestación de la demanda, tomo III, folios 4629 a 4635).</w:t>
        <w:br/>
        <w:t>[161]       Informe de 14 de diciembre de 2004 la Directora  Técnica  de  la</w:t>
        <w:br/>
        <w:t>Unidad de Atención Integral  del  Programa  de  Desplazados  de  la  Red  de</w:t>
        <w:br/>
        <w:t>Solidaridad Social de la Presidencia de la República (expediente  de  anexos</w:t>
        <w:br/>
        <w:t>al escrito de contestación de la demanda, tomo III, folios 4629 a 4635).</w:t>
        <w:br/>
        <w:t>[162]       Cfr. comprobantes de costas y gastos realizados por la  Comisión</w:t>
        <w:br/>
        <w:t>Colombiana de Juristas  y  el  Grupo  Interdisciplinario  por  los  Derechos</w:t>
        <w:br/>
        <w:t>Humanos (anexos al escrito de solicitudes y  argumentos,  tomo  anexo  I  2,</w:t>
        <w:br/>
        <w:t>folios 3943 a 3967).</w:t>
        <w:br/>
        <w:br/>
        <w:t>[163]        Cfr.  Caso  Baldeón  García,  supra  nota  5,  párr.  82;  Caso</w:t>
        <w:br/>
        <w:t>Comunidad Indígena Sawhoyamaxa, supra nota  9,  párr.  150;  y  Caso  de  la</w:t>
        <w:br/>
        <w:t>Masacre de Pueblo Bello, supra nota 9, párr. 120.</w:t>
        <w:br/>
        <w:t>[164] Cfr. Caso Baldeón García, supra  nota  5,  párr.  82;  Caso  Comunidad</w:t>
        <w:br/>
        <w:t>Indígena Sawhoyamaxa, supra nota 9, párr. 150; y Caso de los  “Niños  de  la</w:t>
        <w:br/>
        <w:t>Calle” (Villagrán Morales y otros). Sentencia de 19 de  noviembre  de  1999.</w:t>
        <w:br/>
        <w:t>Serie C No. 63, párr. 144. En el mismo  sentido,  cfr.  Eur.C.H.R.,  Nachova</w:t>
        <w:br/>
        <w:t>and others v. Bulgaria [GC], nos. 43577/98 and 43579/98 Judgment of  6  July</w:t>
        <w:br/>
        <w:t>2005, par. 94.</w:t>
        <w:br/>
        <w:t>[165] Cfr. Caso Baldeón García, supra  nota  5,  párr.  82;  Caso  Comunidad</w:t>
        <w:br/>
        <w:t>Indígena Sawhoyamaxa, supra nota 9, párr. 150;  y  Caso  de  la  Masacre  de</w:t>
        <w:br/>
        <w:t>Pueblo Bello, supra nota 9, párr. 119.</w:t>
        <w:br/>
        <w:t>[166]        Cfr.  Caso  Baldeón  García,  supra  nota  5,  párr.  83;  Caso</w:t>
        <w:br/>
        <w:t>Comunidad Indígena Sawhoyamaxa, supra nota 9, párr. 151; Caso de la  Masacre</w:t>
        <w:br/>
        <w:t>de Pueblo Bello, supra nota 9, párrs. 120, 123 y 124. En  el  mismo  sentido</w:t>
        <w:br/>
        <w:t>cfr. Eur.C.H.R., Öneryildiz v Turkey, no. 48939/99, Judgment of 30  November</w:t>
        <w:br/>
        <w:t>2004, par. 71.</w:t>
        <w:br/>
        <w:t>[167]       Cfr. Caso Baldeón García, supra nota 5, párr. 83; Caso  Hilaire.</w:t>
        <w:br/>
        <w:t>Excepciones Preliminares. Sentencia de 1 de septiembre de 2001. Serie C  No.</w:t>
        <w:br/>
        <w:t>80, párr. 83; y Caso del Tribunal Constitucional. Competencia. Sentencia  de</w:t>
        <w:br/>
        <w:t>24 de septiembre de 1999. Serie C No. 55, párr. 36.  En  el  mismo  sentido,</w:t>
        <w:br/>
        <w:t>cfr. Eur.C.H.R., McCann and Others v. the United  Kingdom,  Judgment  of  27</w:t>
        <w:br/>
        <w:t>September 1995, Series A no. 324, pars. 146-147.</w:t>
        <w:br/>
        <w:t>[168] Cfr. Caso Baldeón García, supra  nota  5,  párr.  84;  Caso  Comunidad</w:t>
        <w:br/>
        <w:t>Indígena Sawhoyamaxa, supra nota 9, párr. 152;  y  Caso  de  la  Masacre  de</w:t>
        <w:br/>
        <w:t>Pueblo  Bello,  supra  nota  9,  párr.  120.  En  el  mismo  sentido,   cfr.</w:t>
        <w:br/>
        <w:t>Eur.C.H.R., L.C.B. v. the United Kingdom, Judgment of 8 June 1998, par. 36.</w:t>
        <w:br/>
        <w:t>[169] Cfr. Caso Baldeón García, supra  nota  5,  párr.  85;  Caso  Comunidad</w:t>
        <w:br/>
        <w:t>Indígena Sawhoyamaxa, supra nota 9, párr. 153;  y  Caso  de  la  Masacre  de</w:t>
        <w:br/>
        <w:t>Pueblo Bello, supra nota 9, párr. 120.</w:t>
        <w:br/>
        <w:br/>
        <w:t>[170] Cfr. Caso de la Masacre de Pueblo Bello, supra nota 9, párr. 54;  Caso</w:t>
        <w:br/>
        <w:t>García Asto y Ramírez Rojas, supra nota 5, párr. 219; y Caso de la  “Masacre</w:t>
        <w:br/>
        <w:t>de Mapiripán”, supra nota 8, párr. 57.</w:t>
        <w:br/>
        <w:t>[171]       Párrafo 55 de la demanda de la Comisión Interamericana.</w:t>
        <w:br/>
        <w:t>[172]       El testimonios del señor Alfredo  Torres  Jaramillo,  transcrito</w:t>
        <w:br/>
        <w:t>en el párrafo 55 de la demanda de  la  Comisión,  señala  lo  siguiente:  “a</w:t>
        <w:br/>
        <w:t>nosotros, todos los que nos tuvieron con ellos ahí, de quienes  no  recuerdo</w:t>
        <w:br/>
        <w:t>sus nombres nos cogieron a 17 y nos mandaron a recoger ganado de las  fincas</w:t>
        <w:br/>
        <w:t>y bestias, a  amontonarlo  en  una  finca  sola  (...)  nos  obligaron,  que</w:t>
        <w:br/>
        <w:t>teníamos que arriarlos (...) no  recibimos  nada  por  eso.”   Asimismo,  el</w:t>
        <w:br/>
        <w:t>testimonio del  señor  Francisco  Osvaldo  Pino  Posada,  transcrito  en  el</w:t>
        <w:br/>
        <w:t>párrafo 56 de  la  demanda  de  la  Comisión,  señala  lo  siguiente:   “los</w:t>
        <w:br/>
        <w:t>arrieros […] estábamos obligados a conducir el ganado […] ya  sumábamos  17,</w:t>
        <w:br/>
        <w:t>entre ellos Ricardo Barrera, Omar Torres, Román Salazar,  Libardo  Carvajal,</w:t>
        <w:br/>
        <w:t>Rodrigo Mendoza, Milcíades Crespo, etc.”</w:t>
        <w:br/>
        <w:t>[173]        Cfr.  Fallo  de  30  septiembre  de  2002,   emitido   por   la</w:t>
        <w:br/>
        <w:t>Procuraduría General de la Nación (expediente de anexos a la  demanda,  tomo</w:t>
        <w:br/>
        <w:t>III, anexo 62, folio 1382);</w:t>
        <w:br/>
        <w:t>[174] Cfr. Caso Comunidad Indígena Sawhoyamaxa, supra  nota  9,  párr.  117;</w:t>
        <w:br/>
        <w:t>Caso de la Comunidad Indígena Yakye Axa. Sentencia  17  de  junio  de  2005.</w:t>
        <w:br/>
        <w:t>Serie C No. 125, párr.  125;  y  Caso  de  los  Hermanos  Gómez  Paquiyauri.</w:t>
        <w:br/>
        <w:t>Sentencia de 8 de julio de 2004. Serie C No. 110, párr. 165.   En  el  mismo</w:t>
        <w:br/>
        <w:t>sentido, cfr. El Derecho a la Información sobre la  Asistencia  Consular  en</w:t>
        <w:br/>
        <w:t>el Marco de las Garantías del Debido Proceso Legal.  Opinión Consultiva  OC-</w:t>
        <w:br/>
        <w:t>16/97 de 14 de noviembre de 1997. Serie A No. 16, párr. 114.</w:t>
        <w:br/>
        <w:t>[175] Cfr. Eur.C.H.R., Tyrer v. The United Kingdom, 5856/72, Judgment of  25</w:t>
        <w:br/>
        <w:t>April 1978. Series A no. A26, párr. 31.</w:t>
        <w:br/>
        <w:t>[176] Cfr. Caso de la Comunidad Indígena Yakye Axa, supra  nota  174,  párr.</w:t>
        <w:br/>
        <w:t>126; Caso Tibi. Sentencia de 7 de septiembre  de  2004.  Serie  C  No.  114,</w:t>
        <w:br/>
        <w:t>párr. 144; y Caso de los Hermanos Gómez Paquiyauri, supra  nota  174,  párr.</w:t>
        <w:br/>
        <w:t>164.  En el mismo sentido,  cfr.  El  Derecho  a  la  Información  sobre  la</w:t>
        <w:br/>
        <w:t>Asistencia Consular en el Marco de  las Garantías del Debido Proceso  Legal,</w:t>
        <w:br/>
        <w:t>supra nota 174, párr. 113.</w:t>
        <w:br/>
        <w:t>[177]       Al respecto, la Corte  ha  señalado  que  el  corpus  juris  del</w:t>
        <w:br/>
        <w:t>Derecho Internacional de los Derechos Humanos está formado por  un  conjunto</w:t>
        <w:br/>
        <w:t>de instrumentos internacionales de contenido y  efectos  jurídicos  variados</w:t>
        <w:br/>
        <w:t>(tratados, convenios, resoluciones y declaraciones). Su  evolución  dinámica</w:t>
        <w:br/>
        <w:t>ha ejercido un impacto positivo en el Derecho Internacional, en  el  sentido</w:t>
        <w:br/>
        <w:t>de afirmar y  desarrollar  la  aptitud  de  este  último  para  regular  las</w:t>
        <w:br/>
        <w:t>relaciones entre los Estados  y  los  seres  humanos  bajo  sus  respectivas</w:t>
        <w:br/>
        <w:t>jurisdicciones. Por lo tanto, esta Corte debe adoptar un  criterio  adecuado</w:t>
        <w:br/>
        <w:t>para considerar la cuestión sujeta a examen en el marco de la  evolución  de</w:t>
        <w:br/>
        <w:t>los derechos fundamentales de la persona humana en el derecho  internacional</w:t>
        <w:br/>
        <w:t>contemporáneo.  Cfr.  Condición  Jurídica  y  Derechos  de   los   Migrantes</w:t>
        <w:br/>
        <w:t>Indocumentados. Opinión Consultiva OC-18/03  de 17 de  Septiembre  de  2003.</w:t>
        <w:br/>
        <w:t>Serie A No. 18, párr. 120, y cfr. El  Derecho  a  la  Información  sobre  la</w:t>
        <w:br/>
        <w:t>Asistencia Consular en el Marco de las Garantías del Debido  Proceso  Legal,</w:t>
        <w:br/>
        <w:t>supra nota 174, párr. 115.</w:t>
        <w:br/>
        <w:br/>
        <w:t>[178]        Cfr.  Informe  global  con  arreglo  al   seguimiento   de   la</w:t>
        <w:br/>
        <w:t>Declaración de la OIT relativa a los principios y derechos fundamentales  en</w:t>
        <w:br/>
        <w:t>el  trabajo,  “Una  alianza  contra   el   trabajo   forzoso”,   Conferencia</w:t>
        <w:br/>
        <w:t>Internacional del Trabajo, 93ª reunión de 2005.</w:t>
        <w:br/>
        <w:t>[179]        Cfr.  párrafos  55  y  62  de  la  demanda   de   la   Comisión</w:t>
        <w:br/>
        <w:t>Interamericana.</w:t>
        <w:br/>
        <w:t>[180]        Alfredo  Torres  Jaramillo,  Francisco  Osvaldo  Pino   Posada,</w:t>
        <w:br/>
        <w:t>Ricardo Barrera, Omar  Torres,  Román  Salazar,  Libardo  Carvajal,  Rodrigo</w:t>
        <w:br/>
        <w:t>Mendoza y Milcíades Crespo.</w:t>
        <w:br/>
        <w:t>[181]        Cfr.  Fallo  de  30  septiembre  de  2002,   emitido   por   la</w:t>
        <w:br/>
        <w:t>Procuraduría General de la Nación (expediente de anexos a la  demanda,  tomo</w:t>
        <w:br/>
        <w:t>III, anexo 62, folio 1381).</w:t>
        <w:br/>
        <w:t>[182]       Cfr. Caso Comunidad Indígena Sawhoyamaxa, supra  nota  9,  párr.</w:t>
        <w:br/>
        <w:t>121; Caso Palamara Iribarne. Sentencia de 22 de noviembre de 2005.  Serie  C</w:t>
        <w:br/>
        <w:t>No. 135, párr. 102; y Caso de la Comunidad Indígena Yakye  Axa,  supra  nota</w:t>
        <w:br/>
        <w:t>174, párr. 137.</w:t>
        <w:br/>
        <w:t>[183]       Cfr. Corte Constitutional de Colombia. Sala de Revisión  No.  1.</w:t>
        <w:br/>
        <w:t>Sentencia No. T/506/92 del 21 de agosto de 1992.</w:t>
        <w:br/>
        <w:t>[184]       Cfr. párrafo 54 de la demanda de la Comisión Interamericana.</w:t>
        <w:br/>
        <w:t>[185]        Cfr.  párrafos  55  y  88  de  la  demanda   de   la   Comisión</w:t>
        <w:br/>
        <w:t>Interamericana.</w:t>
        <w:br/>
        <w:t>[186]       Cfr. párrafo 28  del  escrito  de  contestación  de  la  demanda</w:t>
        <w:br/>
        <w:t>presentado por el Estado.</w:t>
        <w:br/>
        <w:t>[187] Cfr. Sentencia del Juzgado Segundo Penal  del  Circuito  Especializado</w:t>
        <w:br/>
        <w:t>de Antioquia del 22 de abril de 2003, pág. 3.</w:t>
        <w:br/>
        <w:t>[188] Cfr. Caso Comunidad Indígena Sawhoyamaxa, supra  nota  9,  párr.  186;</w:t>
        <w:br/>
        <w:t>Caso de la Masacre de Pueblo Bello, supra nota 9, párr. 54;  y  Caso  García</w:t>
        <w:br/>
        <w:t>Asto y Ramírez Rojas, supra nota 5, párr. 74.</w:t>
        <w:br/>
        <w:t>[189] El artículo 8 CEDH (Derecho al respeto a la vida privada  y  familiar)</w:t>
        <w:br/>
        <w:t>establece que : “1.Toda persona tiene derecho al respeto de su vida  privada</w:t>
        <w:br/>
        <w:t>y familiar, de su domicilio y de  su  correspondencia.  2.  No  podrá  haber</w:t>
        <w:br/>
        <w:t>injerencia de la autoridad pública en el ejercicio de este derecho, sino  en</w:t>
        <w:br/>
        <w:t>tanto en cuanto esta injerencia esté prevista por la ley  y  constituya  una</w:t>
        <w:br/>
        <w:t>medida que, en una sociedad democrática, sea  necesaria  para  la  seguridad</w:t>
        <w:br/>
        <w:t>nacional, la seguridad pública, el bienestar económico del país, la  defensa</w:t>
        <w:br/>
        <w:t>del orden y la prevención del delito, la protección de  la  salud  o  de  la</w:t>
        <w:br/>
        <w:t>moral, o la protección de los derechos y las libertades de los demás.”</w:t>
        <w:br/>
        <w:t>[190] Cfr. Eur.C.H.R., Ayder et al v. Turkey, No. 23656/94, Judgmente  of  8</w:t>
        <w:br/>
        <w:t>January 2004, para. 119.</w:t>
        <w:br/>
        <w:t>[191] Cfr. Eur.C.H.R., Bilgin  v.  Turkey,  No.  23819/94,  Judgment  of  16</w:t>
        <w:br/>
        <w:t>November 2000, para. 108.</w:t>
        <w:br/>
        <w:t>[192] Cfr. Eur.C.H.R., Selçuk v. Turkey, No. 23184/94, Judgment of 24  April</w:t>
        <w:br/>
        <w:t>1998, para. 86.</w:t>
        <w:br/>
        <w:t>[193] En este mismo sentido véase también los casos de Eur.C.H.R.,  Xenides-</w:t>
        <w:br/>
        <w:t>Arestis v. Turkey, no. 46347/99, Judgment of 22 December  2005;  Eur.C.H.R.,</w:t>
        <w:br/>
        <w:t>Demades v. Turkey, no. 16219/90, Judgment of 31  October  2003;  Eur.C.H.R.,</w:t>
        <w:br/>
        <w:t>Yöyler v. Turkey, no. 26973/95, Judgment of 10 May 2001; Eur.C.H.R.,  Chipre</w:t>
        <w:br/>
        <w:t>v. Turkey, no. 25781/94, Judgment of 10 May 2001; y  Eur.C.H.R.,  Akdivar  y</w:t>
        <w:br/>
        <w:t>otros v. Turkey, no. 21893/93, Judgment of 16 de September 1996.</w:t>
        <w:br/>
        <w:t>[194] Cfr. Caso de la “Masacre de Mapiripán”, supra nota 8, párr. 168;  Caso</w:t>
        <w:br/>
        <w:t>de la Comunidad Moiwana, supra nota 12, párr. 110; y  Caso  Ricardo  Canese.</w:t>
        <w:br/>
        <w:t>Sentencia de 31 de agosto de 2004. Serie C No. 111, párr. 115.</w:t>
        <w:br/>
        <w:t>[195] Cfr. Caso de la “Masacre de Mapiripán”, supra nota 8, párr. 168;  Caso</w:t>
        <w:br/>
        <w:t>de la Comunidad Moiwana, supra nota 12, párr. 110; y Caso Ricardo Canese,  ,</w:t>
        <w:br/>
        <w:t>supra nota 194, párr. 115. En este mismo sentido, cfr.  Comité  de  Derechos</w:t>
        <w:br/>
        <w:t>Humanos de Naciones Unidas, Comentario general no. 27 de 2 de  noviembre  de</w:t>
        <w:br/>
        <w:t>1999, párrs. 1, 4, 5 y 19.</w:t>
        <w:br/>
        <w:t>[196]       Cfr. Caso de la “Masacre de  Mapiripán”,  supra  nota  8,  párr.</w:t>
        <w:br/>
        <w:t>188.</w:t>
        <w:br/>
        <w:t>[197]       Cfr. Caso de la “Masacre de Mapiripán”,   supra  nota  8,  párr.</w:t>
        <w:br/>
        <w:t>169.</w:t>
        <w:br/>
        <w:t>[198] Cfr. Principios  Rectores  de  los  Desplazamientos  Internos  de  las</w:t>
        <w:br/>
        <w:t>Naciones  Unidas,  E/CN.4/1998/53/Add.2  de  11  de  febrero  de  1998;  ver</w:t>
        <w:br/>
        <w:t>también, Caso de la “Masacre de Mapiripán”, supra nota 8,  párr.  171;  Caso</w:t>
        <w:br/>
        <w:t>de la Comunidad Moiwana, supra nota 12, párrs. 113 a 120.</w:t>
        <w:br/>
        <w:br/>
        <w:t>[199]       Cfr. Sentencia C-225/95 de 18  de  mayo  de  1995,  emitida  por</w:t>
        <w:br/>
        <w:t>Corte Constitucional, párr. 33.</w:t>
        <w:br/>
        <w:br/>
        <w:t>[200]       Cfr. Caso de la “Masacre de  Mapiripán”,  supra  nota  8,  párr.</w:t>
        <w:br/>
        <w:t>179.</w:t>
        <w:br/>
        <w:t>[201]       Cfr. Sentencia T025 de 22 de enero de 2004, emitida por la  sala</w:t>
        <w:br/>
        <w:t>Tercera de Revisión de la Corte  Constitucional  (expediente  de  anexos  al</w:t>
        <w:br/>
        <w:t>escrito de contestación de la demanda, tomo  III,  anexo  30,  ff.  4363   a</w:t>
        <w:br/>
        <w:t>4747hh).</w:t>
        <w:br/>
        <w:br/>
        <w:t>[202] Cfr. Consejo Económico y Social, Informe del  Relator  Especial  sobre</w:t>
        <w:br/>
        <w:t>una vivienda adecuada como elemento  integrante del derecho a  un  nivel  de</w:t>
        <w:br/>
        <w:t>vida adecuado y sobre el derecho  de  no  discriminación  a  este  respecto,</w:t>
        <w:br/>
        <w:t>E/CN.4/2005/48, 3 de marzo de 2005, párr. 38.  En este mismo  sentido,  cfr.</w:t>
        <w:br/>
        <w:t>Caso de la “Masacre de Mapiripán”, supra nota 8, párr. 175.</w:t>
        <w:br/>
        <w:br/>
        <w:t>[203]       Cfr. Caso de la “Masacre de Mapiripán”, supra nota 8, párr. 175</w:t>
        <w:br/>
        <w:t>[204]       Cfr. Ley 387 de 18 de julio de 1997, Diario  oficial  no.  43091</w:t>
        <w:br/>
        <w:t>de           24            de            julio            de            1997</w:t>
        <w:br/>
        <w:t>(http://www.secretariasenado.gov.co/leyes/L0387_97.HTM).</w:t>
        <w:br/>
        <w:t>[205]       Cfr. Sentencia T025 de 22 de enero de 2004, emitida por la  sala</w:t>
        <w:br/>
        <w:t>Tercera de Revisión de la Corte  Constitucional  (expediente  de  anexos  al</w:t>
        <w:br/>
        <w:t>escrito de contestación de la demanda,  Tomo  III,  Anexo  30,  ff.  4363  a</w:t>
        <w:br/>
        <w:t>4747hh)</w:t>
        <w:br/>
        <w:t>[206]       Cfr. Sentencia T025 de 22 de enero de 2004, emitida por la  sala</w:t>
        <w:br/>
        <w:t>Tercera de Revisión de la Corte  Constitucional  (expediente  de  anexos  al</w:t>
        <w:br/>
        <w:t>escrito de contestación de la demanda,  Tomo  III,  Anexo  30,  ff.  4363  a</w:t>
        <w:br/>
        <w:t>4747hh).</w:t>
        <w:br/>
        <w:br/>
        <w:t>[207]       Cfr. declaración rendida en audiencia pública durante el  LXVIII</w:t>
        <w:br/>
        <w:t>periodo ordinario de sesiones el  21  de  septiembre  2005,  el  nombre  del</w:t>
        <w:br/>
        <w:t>testigo se mantiene en confidencialidad de  conformidad  con  lo  solicitado</w:t>
        <w:br/>
        <w:t>por las partes (supra párrs. 45 y 111).</w:t>
        <w:br/>
        <w:t>[208]       Cfr.  Fallo  emitido  por  la  Procuraduría  Delegada  para  los</w:t>
        <w:br/>
        <w:t>Derechos Humanos el 30 de septiembre de  2002  (expediente  de  anexo  a  la</w:t>
        <w:br/>
        <w:t>demanda tomo III, ff. 1310 a 1392).</w:t>
        <w:br/>
        <w:t>[209]       Cfr. Caso de la “Masacre de  Mapiripán”,  supra  nota  8,  párr.</w:t>
        <w:br/>
        <w:t>183.</w:t>
        <w:br/>
        <w:t>[210]       Cfr. Informe del Alto Comisionado de las  Naciones  Unidas  para</w:t>
        <w:br/>
        <w:t>los  Derechos  Humanos  sobre  la  situación  de  los  derechos  humanos  en</w:t>
        <w:br/>
        <w:t>Colombia,   E/CN.4/2003/13,   24   de   febrero   de    2003,    párr.    94</w:t>
        <w:br/>
        <w:t>(ap.ohchr.org/documents/alldocs.aspx?doc_id=3260).</w:t>
        <w:br/>
        <w:br/>
        <w:t>[211]       Párrafo 54 de la demanda de  la  Comisión  Interamericana.   Ver</w:t>
        <w:br/>
        <w:t>también párrafos 2 y 150 de la demanda de la Comisión Interamericana.</w:t>
        <w:br/>
        <w:t>[212]       Párrafo 62 de la demanda de la Comisión Interamericana.</w:t>
        <w:br/>
        <w:t>[213]       Párrafo 133 de la demanda de la  Comisión  Interamericana.   Ver</w:t>
        <w:br/>
        <w:t>también párrafo 134 de la demanda de la Comisión Interamericana.</w:t>
        <w:br/>
        <w:t>[214]        Párrafo  154,  inciso  vii  de  la  demanda  de   la   Comisión</w:t>
        <w:br/>
        <w:t>Interamericana.</w:t>
        <w:br/>
        <w:t>[215]       Cfr. Caso Comunidad Indígena Sawhoyamaxa, supra  nota  9,  párr.</w:t>
        <w:br/>
        <w:t>117; Caso de la Comunidad Indígena Yakye Axa, supra nota 174, párr.  125;  y</w:t>
        <w:br/>
        <w:t>Caso de los Hermanos Gómez Paquiyauri, supra nota 174,  párr.  165.   En  el</w:t>
        <w:br/>
        <w:t>mismo sentido,  cfr.  El  Derecho  a  la  Información  sobre  la  Asistencia</w:t>
        <w:br/>
        <w:t>Consular en el Marco de las Garantías del Debido Proceso Legal,  supra  nota</w:t>
        <w:br/>
        <w:t>174, párr. 114.</w:t>
        <w:br/>
        <w:br/>
        <w:t>[216]       Cfr. Caso de la “Masacre de  Mapiripán”,  supra  nota  8,  párr.</w:t>
        <w:br/>
        <w:t>186; Caso de la Comunidad Indígena Yakye Axa, supra nota 174, párrs.  162  y</w:t>
        <w:br/>
        <w:t>163; Caso “Instituto de Reeducación del Menor”, supra nota 12, párr. 164;  y</w:t>
        <w:br/>
        <w:t>Caso de los “Niños de la Calle” (Villagrán  Morales  y  otros),  supra  nota</w:t>
        <w:br/>
        <w:t>164, párr. 191.</w:t>
        <w:br/>
        <w:br/>
        <w:t>[217]       Cfr. Condición Jurídica y Derechos  Humanos  del  Niño.  Opinión</w:t>
        <w:br/>
        <w:t>Consultiva OC-17/02 de 28 de agosto de 2002.  Serie  A  No.  17,  párr.  54.</w:t>
        <w:br/>
        <w:t>Asimismo, cfr. Caso Comunidad Indígena  Sawhoyamaxa,  supra  nota  9,  párr.</w:t>
        <w:br/>
        <w:t>177; Caso de la “Masacre de Mapiripán”, supra nota 8, párr. 152; y  Caso  de</w:t>
        <w:br/>
        <w:t>las Niñas Yean y Bosico. Sentencia de 8 de septiembre de 2005. Serie  C  No.</w:t>
        <w:br/>
        <w:t>130, párr. 133.</w:t>
        <w:br/>
        <w:br/>
        <w:t>[218]       Cfr. Condición Jurídica  y  Derechos  Humanos  del  Niño,  supra</w:t>
        <w:br/>
        <w:t>párr. 217, párr. 54. Asimismo, cfr.  Caso  de  la  “Masacre  de  Mapiripán”,</w:t>
        <w:br/>
        <w:t>supra nota 8, párr. 152; Caso de las Niñas Yean y Bosico,  supra  nota  217,</w:t>
        <w:br/>
        <w:t>párr. 133; y Caso “Instituto de  Reeducación  del  Menor”,  supra  nota  12,</w:t>
        <w:br/>
        <w:t>párr. 147.</w:t>
        <w:br/>
        <w:br/>
        <w:t>[219] Cfr. Condición Jurídica y Derechos Humanos del Niño, supra párr.  217,</w:t>
        <w:br/>
        <w:t>párr. 56. Asimismo, cfr. Caso de la “Masacre de Mapiripán”,  supra  nota  8,</w:t>
        <w:br/>
        <w:t>párr. 152; Caso de las Niñas Yean y Bosico, supra nota  217,  párr.  134;  y</w:t>
        <w:br/>
        <w:t>Caso de la Comunidad Indígena Yakye Axa, supra nota 174, párr. 172.</w:t>
        <w:br/>
        <w:br/>
        <w:t>[220]       Cfr. Caso de los Hermanos  Gómez  Paquiyauri,  supra  nota  174,</w:t>
        <w:br/>
        <w:t>párr. 76.</w:t>
        <w:br/>
        <w:t>[221]       Cfr. Condición Jurídica  y  Derechos  Humanos  del  Niño,  supra</w:t>
        <w:br/>
        <w:t>párr. 217, párr. 82; y Caso de la “Masacre  de  Mapiripán”,  supra  nota  8,</w:t>
        <w:br/>
        <w:t>párr. 156.</w:t>
        <w:br/>
        <w:br/>
        <w:t>[222] Cfr. Caso Baldeón García, supra nota 5, párr. 119;  Caso  Tibi,  supra</w:t>
        <w:br/>
        <w:t>nota 176, párr. 147; y Caso 19 Comerciantes. Sentencia  de  5  de  julio  de</w:t>
        <w:br/>
        <w:t>2004. Serie C No. 109, párr. 149. En este mismo  sentido,  cfr.  Eur.C.H.R.,</w:t>
        <w:br/>
        <w:t>Campbell and Cosans, Judgment of 25 February 1982, Series A, No. 48, p.  12,</w:t>
        <w:br/>
        <w:t>§ 26.</w:t>
        <w:br/>
        <w:t>[223] Cfr. Caso Baldeón García, supra nota 5, párr. 119;  Caso  Tibi,  supra</w:t>
        <w:br/>
        <w:t>nota 176, párr. 147; y Caso 19 Comerciantes, supra nota 222, párr.  149.  En</w:t>
        <w:br/>
        <w:t>este mismo sentido, cfr. Eur.C.H.R., Campbell and Cosans,  supra  nota  222,</w:t>
        <w:br/>
        <w:t>p. 12, § 26.</w:t>
        <w:br/>
        <w:t>[224] Cfr. Caso de la Masacre de Pueblo Bello,  supra  nota  9,  párr.  158;</w:t>
        <w:br/>
        <w:t>Caso de la “Masacre de Mapiripán”, supra nota  8,  párr.  145;  Caso  de  la</w:t>
        <w:br/>
        <w:t>Comunidad Moiwana, supra nota 12, párr. 94.</w:t>
        <w:br/>
        <w:br/>
        <w:t>[225]       Cfr. Caso de la “Masacre de  Mapiripán”,  supra  nota  8,  párr.</w:t>
        <w:br/>
        <w:t>146.</w:t>
        <w:br/>
        <w:br/>
        <w:t>[226]       Cfr. Caso de la Masacre de Pueblo Bello,  supra  nota  9,  párr.</w:t>
        <w:br/>
        <w:t>235; Caso de la “Masacre de Mapiripán”, supra nota 8, párr. 257; y  Caso  de</w:t>
        <w:br/>
        <w:t>la Comunidad Moiwana, supra nota 12, párr. 178.</w:t>
        <w:br/>
        <w:br/>
        <w:t>[227]       Cfr. Caso de la “Masacre de  Mapiripán”,  supra  nota  8,  párr.</w:t>
        <w:br/>
        <w:t>257.</w:t>
        <w:br/>
        <w:t>[228]       El artículo 3 CEDH  (Prohibición  de  la  Tortura)  establece  :</w:t>
        <w:br/>
        <w:t>“Nadie podrá ser sometido  a  tortura  ni  a  penas  o  tratos  inhumanos  o</w:t>
        <w:br/>
        <w:t>degradantes.”</w:t>
        <w:br/>
        <w:t>[229]       Cfr. Eur.C.H.R., Ayder et al v. Turkey, No. 23656/94,  Judgmente</w:t>
        <w:br/>
        <w:t>of 8 January 2004, paras. 109 and 110.</w:t>
        <w:br/>
        <w:t>[230]       Cfr. Eur.C.H.R., Bilgin v. Turkey, No. 23819/94, Judgment of  16</w:t>
        <w:br/>
        <w:t>November 2000, para. 103.</w:t>
        <w:br/>
        <w:t>[231]       Cfr. Eur.C.H.R., Selçuk v. Turkey, No. 23184/94, Judgment of  24</w:t>
        <w:br/>
        <w:t>April 1998, paras. 77 y 78.</w:t>
        <w:br/>
        <w:t>[232] Cfr. Caso  Baldeón  García,  supra  nota  5,  párr.  143;  Caso  López</w:t>
        <w:br/>
        <w:t>Álvarez. Sentencia de 1 de febrero de 2006. Serie C No. 141,  párr.  147;  y</w:t>
        <w:br/>
        <w:t>Caso de la Masacre de Pueblo Bello, supra nota 9, párr. 169.</w:t>
        <w:br/>
        <w:t>[233] Cfr. Caso Velásquez Rodríguez. Sentencia  de  29  de  julio  de  1988.</w:t>
        <w:br/>
        <w:t>Serie C No. 4, párr. 64.</w:t>
        <w:br/>
        <w:t>[234]       Cfr. mutatis mutandis, Eur.C.H.R., Öneryildiz  vs.  Turkey,  No.</w:t>
        <w:br/>
        <w:t>48939/99, Judgment of 18 June 2002, para. 100.</w:t>
        <w:br/>
        <w:t>[235]       Cfr. Caso Baldeón García, supra nota 5, párr. 166;  Caso  de  la</w:t>
        <w:br/>
        <w:t>Masacre de Pueblo Bello, supra nota 9, párr. 171; y Caso de la  “Masacre  de</w:t>
        <w:br/>
        <w:t>Mapiripán”, supra nota 8, párr. 216.</w:t>
        <w:br/>
        <w:t>[236]       Cfr. Caso Baldeón García, supra nota 5, párr.  151;  Caso  López</w:t>
        <w:br/>
        <w:t>Álvarez, supra nota 232, párr. 132; y Caso de la Masacre  de  Pueblo  Bello,</w:t>
        <w:br/>
        <w:t>supra nota 9, párr. 171.</w:t>
        <w:br/>
        <w:t>[237]       Cfr. Caso de la Masacre de Pueblo Bello,  supra  nota  9,  párr.</w:t>
        <w:br/>
        <w:t>171.</w:t>
        <w:br/>
        <w:t>[238]       Cfr. Caso de la Masacre de Pueblo Bello,  supra  nota  9,  párr.</w:t>
        <w:br/>
        <w:t>170; y Caso de la “Masacre de Mapiripán”, supra nota 8, párr. 222.</w:t>
        <w:br/>
        <w:t>[239] Cfr. Caso Baldeón García, supra nota 5, párr. 146; Caso de la  Masacre</w:t>
        <w:br/>
        <w:t>de Pueblo Bello, supra  nota  9,  párr.  146;  y  Caso  de  la  “Masacre  de</w:t>
        <w:br/>
        <w:t>Mapiripán”, supra nota 8, párr. 219.</w:t>
        <w:br/>
        <w:t>[240] Cfr. Caso Baldeón García, supra nota 5, párr. 93; Caso de  la  Masacre</w:t>
        <w:br/>
        <w:t>de Pueblo Bello, supra  nota  9,  párr.  144;  y  Caso  de  la  “Masacre  de</w:t>
        <w:br/>
        <w:t>Mapiripán”, supra nota 8, párr. 219.</w:t>
        <w:br/>
        <w:t>[241] Cfr. Caso de la Masacre de Pueblo Bello,  supra  nota  9,  párr.  143;</w:t>
        <w:br/>
        <w:t>Caso de la “Masacre de Mapiripán”, supra nota 8, párr. 223;  y  Caso  de  la</w:t>
        <w:br/>
        <w:t>Comunidad Moiwana, supra nota 12, párr. 146.</w:t>
        <w:br/>
        <w:t>[242] Cfr. Caso Baldeón García, supra nota 5, párr. 96; Caso de  la  Masacre</w:t>
        <w:br/>
        <w:t>de Pueblo Bello, supra  nota  9,  párr.  177;  y  Caso  de  la  “Masacre  de</w:t>
        <w:br/>
        <w:t>Mapiripán”, supra nota 8, párr. 224.  En  igual  sentido,  Manual  Sobre  la</w:t>
        <w:br/>
        <w:t>Prevención  e  Investigación  Efectiva   de   Ejecuciones   Extrajudiciales,</w:t>
        <w:br/>
        <w:t>Arbitrarias y Sumarias de las Naciones Unidas, Doc. E/ST/CSDHA/.12 (1991).</w:t>
        <w:br/>
        <w:t>[243]       Cfr. Caso de la “Masacre de  Mapiripán”,  supra  nota  8,  párr.</w:t>
        <w:br/>
        <w:t>237; Caso de la Comunidad Moiwana, supra nota 12, párr. 203; y Caso  de  las</w:t>
        <w:br/>
        <w:t>Hermanas Serrano Cruz. Sentencia de 1 de marzo de 2005.  Serie  C  No.  120,</w:t>
        <w:br/>
        <w:t>párr. 170.</w:t>
        <w:br/>
        <w:t>[244]        Cfr. Caso Baldeón García, supra nota 5, párr. 168; Caso  de  la</w:t>
        <w:br/>
        <w:t>Masacre de Pueblo Bello, supra nota 9, párr. 266; y Caso de la  “Masacre  de</w:t>
        <w:br/>
        <w:t>Mapiripán”, supra nota 8, párr. 237.</w:t>
        <w:br/>
        <w:t>[245] Cfr. Caso de la Masacre de Pueblo Bello,  supra  nota  9,  párr.  146;</w:t>
        <w:br/>
        <w:t>Caso García Asto y Ramírez Rojas, supra nota 5, párr.  170;  y  Caso  de  la</w:t>
        <w:br/>
        <w:t>“Masacre de Mapiripán”, supra nota 8, párr. 238.</w:t>
        <w:br/>
        <w:t>[246] Cfr. Caso de la Masacre de Pueblo Bello,  supra  nota  9,  párr.  146;</w:t>
        <w:br/>
        <w:t>Caso de la “Masacre de Mapiripán”, supra nota 8, párr. 238;  y  Caso  de  la</w:t>
        <w:br/>
        <w:t>Comunidad Moiwana, supra nota 12, párr. 153.</w:t>
        <w:br/>
        <w:t>[247]       Cfr. Caso Baldeón García, supra nota 5, párr. 195;  Caso  de  la</w:t>
        <w:br/>
        <w:t>Masacre de Pueblo Bello, supra nota 9, párr. 266;  y  Caso  Gómez  Palomino.</w:t>
        <w:br/>
        <w:t>Sentencia de 22 de noviembre de 2005. Serie C No. 136, párr. 76.</w:t>
        <w:br/>
        <w:t>[248]       Cfr. Caso de la Masacre de Pueblo Bello,  supra  nota  9,  párr.</w:t>
        <w:br/>
        <w:t>149; Caso de la “Masacre de Mapiripán”, supra nota 8, párr. 235; y  Caso  19</w:t>
        <w:br/>
        <w:t>Comerciantes, supra nota 222, párr. 257.</w:t>
        <w:br/>
        <w:t>[249]       Cfr. Caso de la Masacre de Pueblo Bello,  supra  nota  9,  párr.</w:t>
        <w:br/>
        <w:t>203; y Caso de la “Masacre de Mapiripán”, supra nota 8, párr. párr. 215.</w:t>
        <w:br/>
        <w:t>[250]       Cfr. Caso de la Masacre de Pueblo Bello,  supra  nota  9,  párr.</w:t>
        <w:br/>
        <w:t>200.</w:t>
        <w:br/>
        <w:t>[251]       Cfr. Caso de la Masacre de Pueblo Bello,  supra  nota  9,  párr.</w:t>
        <w:br/>
        <w:t>206; y Caso de la “Masacre de Mapiripán”, supra nota 8, párr. 210.</w:t>
        <w:br/>
        <w:t>[252]       Cfr. Caso de la Masacre de Pueblo Bello,  supra  nota  9,  párr.</w:t>
        <w:br/>
        <w:t>206; y Caso de la “Masacre de Mapiripán”, supra nota 8,  párr.  214.  En  el</w:t>
        <w:br/>
        <w:t>mismo  sentido,  cfr.  Eur.C.H.R.,  Yasa  v.  Turkey  [GC],  Judgment  of  2</w:t>
        <w:br/>
        <w:t>September 1998,  Reports  of  Judgments  and  Decisions  1998-VI,  §  74;  y</w:t>
        <w:br/>
        <w:t>Eur.C.H.R., Kaya v. Turkey [GC], Judgment of 19 February  1998,  Reports  of</w:t>
        <w:br/>
        <w:t>Judgments and Decisions 1998-I, § 105.</w:t>
        <w:br/>
        <w:t>[253]       Cfr. Caso de la Masacre de Pueblo Bello,  supra  nota  9,  párr.</w:t>
        <w:br/>
        <w:t>206; y Caso de la “Masacre de Mapiripán”, supra nota 8, párr. 214.</w:t>
        <w:br/>
        <w:t>[254]       Cfr. Caso de la Masacre de Pueblo Bello,  supra  nota  9,  párr.</w:t>
        <w:br/>
        <w:t>206; y Caso de la “Masacre de Mapiripán”, supra nota 8, párr. 211.</w:t>
        <w:br/>
        <w:t>[255]       Cfr. Caso de la Masacre de Pueblo Bello,  supra  nota  9,  párr.</w:t>
        <w:br/>
        <w:t>109.</w:t>
        <w:br/>
        <w:t>[256] Cfr. Caso Baldeón García, supra nota  5,  párr.  174;  Caso  Comunidad</w:t>
        <w:br/>
        <w:t>Indígena Sawhoyamaxa, supra nota 9, párr. 195; y  Caso  Acevedo Jaramillo  y</w:t>
        <w:br/>
        <w:t>otros, supra nota 12, párr. 294.</w:t>
        <w:br/>
        <w:br/>
        <w:t>[257] Cfr. Caso Baldeón García, supra nota  5,  párr.  175;  Caso  Comunidad</w:t>
        <w:br/>
        <w:t>Indígena Sawhoyamaxa, supra nota 9, párr. 196; y  Caso  Acevedo Jaramillo  y</w:t>
        <w:br/>
        <w:t>otros, supra nota 12, párr. 295.</w:t>
        <w:br/>
        <w:br/>
        <w:t>[258]       Cfr.  Caso  Baldeón  García,  supra  nota  5,  párr.  176;  Caso</w:t>
        <w:br/>
        <w:t>Comunidad  Indígena  Sawhoyamaxa,  supra  nota  9,   párr.   197;   y   Caso</w:t>
        <w:br/>
        <w:t>Acevedo Jaramillo y otros, supra nota 12, párr. 296.</w:t>
        <w:br/>
        <w:br/>
        <w:t>[259] Cfr. Caso Baldeón García, supra nota  5,  párr.  175;  Caso  Comunidad</w:t>
        <w:br/>
        <w:t>Indígena Sawhoyamaxa, supra nota 9, párr. 197; y  Caso  Acevedo Jaramillo  y</w:t>
        <w:br/>
        <w:t>otros, supra nota 12, párr. 296.</w:t>
        <w:br/>
        <w:br/>
        <w:t>[260]       Cfr.  Caso  Baldeón  García,  supra  nota  5,  párr.  177;  Caso</w:t>
        <w:br/>
        <w:t>Comunidad  Indígena  Sawhoyamaxa,  supra  nota  9,   párr.   198;   y   Caso</w:t>
        <w:br/>
        <w:t>Acevedo Jaramillo y otros, supra nota 12, párr. 297.</w:t>
        <w:br/>
        <w:br/>
        <w:t>[261]       Cfr. Caso de la “Masacre de  Mapiripán”,  supra  nota  8,  párr.</w:t>
        <w:br/>
        <w:t>252; Caso de la Comunidad Moiwana, supra nota 12, párr. 177; y Caso  Masacre</w:t>
        <w:br/>
        <w:t>Plan de Sánchez, supra nota 12, párr. 62.</w:t>
        <w:br/>
        <w:br/>
        <w:t>[262]       Cfr. Caso de la Masacre de Pueblo Bello,  supra  nota  9,  párr.</w:t>
        <w:br/>
        <w:t>237; Caso de la “Masacre de Mapiripán”, supra nota 8, párr. 257; y  Caso  de</w:t>
        <w:br/>
        <w:t>la Comunidad Moiwana, supra nota 12, párr. 178.</w:t>
        <w:br/>
        <w:t>[263]       Cfr. Caso de la Masacre de Pueblo Bello,  supra  nota  9,  párr.</w:t>
        <w:br/>
        <w:t>236.</w:t>
        <w:br/>
        <w:t>[264]       Cfr. Caso de la Masacre de Pueblo Bello,  supra  nota  9,  párr.</w:t>
        <w:br/>
        <w:t>237; Caso de la Comunidad Moiwana, supra nota 12, párr. 178; y Caso  Masacre</w:t>
        <w:br/>
        <w:t>Plan  de  Sánchez.  Reparaciones  (art.  63.1  Convención  Americana   sobre</w:t>
        <w:br/>
        <w:t>Derechos Humanos). Sentencia de 19 de noviembre de 2004. Serie  C  No.  116,</w:t>
        <w:br/>
        <w:t>párr. 67.</w:t>
        <w:br/>
        <w:t>[265]       Cfr. Caso Baldeón García, supra nota 5, párr. 182;  Caso  de  la</w:t>
        <w:br/>
        <w:t>Masacre de Pueblo Bello, supra nota 9, párr. 240; y  Caso  Blanco  Romero  y</w:t>
        <w:br/>
        <w:t>otros, supra nota 5, párr. 72.</w:t>
        <w:br/>
        <w:br/>
        <w:t>[266]       Cfr. Caso de la “Masacre de Mapiripán”, supra nota 8, párr. 211</w:t>
        <w:br/>
        <w:t>[267]  Cfr.  Caso  Baldeón  García,  supra   nota   5,   párr.   183;   Caso</w:t>
        <w:br/>
        <w:t>Acevedo Jaramillo y otros, supra nota 12, párr. 301; y Caso  López  Álvarez,</w:t>
        <w:br/>
        <w:t>supra nota 232, párr. 192.</w:t>
        <w:br/>
        <w:br/>
        <w:t>[268]       Cfr. Caso de la Masacre de Pueblo Bello,  supra  nota  9,  párr.</w:t>
        <w:br/>
        <w:t>247; Caso de la “Masacre de Mapiripán”, supra nota  8,  párr.  276;  y  Caso</w:t>
        <w:br/>
        <w:t>“Instituto de Reeducación del Menor”, supra nota 12, párr. 288.</w:t>
        <w:br/>
        <w:br/>
        <w:t>[269] Cfr. Caso de la Masacre de Pueblo Bello,  supra  nota  9,  párr.  248;</w:t>
        <w:br/>
        <w:t>Caso Blanco Romero y otros, supra nota 5, párr. 80; y  Caso  García  Asto  y</w:t>
        <w:br/>
        <w:t>Ramírez Rojas, supra nota 5, párr. 261.</w:t>
        <w:br/>
        <w:br/>
        <w:t>[270]       Cfr. Caso de la Masacre de Pueblo Bello,  supra  nota  9,  párr.</w:t>
        <w:br/>
        <w:t>251.</w:t>
        <w:br/>
        <w:t>[271] Cfr. Caso Baldeón García, supra nota  5,  párr.  188;  Caso  Comunidad</w:t>
        <w:br/>
        <w:t>Indígena Sawhoyamaxa, supra nota 9, párr. 219; y  Caso  Acevedo Jaramillo  y</w:t>
        <w:br/>
        <w:t>otros, supra nota 12, párr. 308.</w:t>
        <w:br/>
        <w:br/>
        <w:t>[272]       Cfr. Caso de la Masacre de Pueblo Bello,  supra  nota  9,  párr.</w:t>
        <w:br/>
        <w:t>255; Caso de la “Masacre de Mapiripán”, supra nota  8,  párr.  283;  y  Caso</w:t>
        <w:br/>
        <w:t>Tibi, supra nota 176, párr. 244.</w:t>
        <w:br/>
        <w:br/>
        <w:t>[273]       Cfr. Caso de la Masacre de Pueblo Bello,  supra  nota  9,  párr.</w:t>
        <w:br/>
        <w:t>257; Caso 19 Comerciantes,  supra  nota  222,  párr.  229;  y  Caso  Maritza</w:t>
        <w:br/>
        <w:t>Urrutia. Sentencia de 27 de noviembre de 2003. Serie C No. 103, párr. 169.</w:t>
        <w:br/>
        <w:t>[274] Cfr. Caso Baldeón García, supra nota  5,  párr.  189;  Caso  Comunidad</w:t>
        <w:br/>
        <w:t>Indígena Sawhoyamaxa, supra nota 9, párr. 220; y  Caso  Acevedo Jaramillo  y</w:t>
        <w:br/>
        <w:t>otros, supra nota 12, párr. 309.</w:t>
        <w:br/>
        <w:br/>
        <w:t>[275] Cfr. Caso Baldeón García, supra nota  5,  párr.  189;  Caso  Comunidad</w:t>
        <w:br/>
        <w:t>Indígena Sawhoyamaxa, supra nota 9, párr. 220; y Caso López  Álvarez,  supra</w:t>
        <w:br/>
        <w:t>nota 232, párr. 200.</w:t>
        <w:br/>
        <w:br/>
        <w:t>[276]       Cfr. Caso de la “Masacre de  Mapiripán”,  supra  nota  8,  párr.</w:t>
        <w:br/>
        <w:t>286.</w:t>
        <w:br/>
        <w:t>[277] Cfr. Caso Baldeón García, supra nota  5,  párr.  193;  Caso  Comunidad</w:t>
        <w:br/>
        <w:t>Indígena Sawhoyamaxa, supra nota 9, párr. 228;  y  Caso  de  la  Masacre  de</w:t>
        <w:br/>
        <w:t>Pueblo Bello, supra nota 9, párr. 264.</w:t>
        <w:br/>
        <w:br/>
        <w:t>[278]       Cfr. Caso de la Masacre de Pueblo Bello,  supra  nota  9,  párr.</w:t>
        <w:br/>
        <w:t>268; y Caso de la “Masacre de Mapiripán”, supra nota 8, párr. 299.</w:t>
        <w:br/>
        <w:t>[279]       Cfr. Caso Baldeón García, supra nota 5, párr. 201;  Caso  Blanco</w:t>
        <w:br/>
        <w:t>Romero y otros, supra nota 5, párr. 98; y Caso Gómez  Palomino,  supra  nota</w:t>
        <w:br/>
        <w:t>247, párr. 140.</w:t>
        <w:br/>
        <w:br/>
        <w:t>[280] Cfr. aplicación del Pacto Internacional de  los  Derechos  Económicos,</w:t>
        <w:br/>
        <w:t>Sociales Y Culturales, Observación General 4,  El  derecho  a  una  vivienda</w:t>
        <w:br/>
        <w:t>adecuada (párrafo 1 del artículo 11 del Pacto), (Sexto período de  sesiones,</w:t>
        <w:br/>
        <w:t>1991), U.N. Doc. E/1991/23.</w:t>
        <w:br/>
        <w:t>[281] Cfr. Caso Baldeón García, supra nota  5,  párr.  208;  Caso  Comunidad</w:t>
        <w:br/>
        <w:t>Indígena Sawhoyamaxa, supra nota 9, párr. 237; y  Caso  Acevedo Jaramillo  y</w:t>
        <w:br/>
        <w:t>otros, supra nota 12, párr. 315.</w:t>
        <w:br/>
        <w:br/>
        <w:t>[282]       Cfr. Caso Gómez Palomino, supra nota 247, párr. 151; Caso de  la</w:t>
        <w:br/>
        <w:t>“Masacre de Mapiripán”, supra nota 8,  párr.  323;  y  Caso  Raxcacó  Reyes.</w:t>
        <w:br/>
        <w:t>Sentencia de 15 de septiembre de 2005. Serie C No. 133, párr. 137.</w:t>
        <w:br/>
        <w:br/>
        <w:t>[283]       Cfr. Caso de la Masacre de Pueblo Bello,  supra  nota  9,  párr.</w:t>
        <w:br/>
        <w:t>285; Caso de la “Masacre de Mapiripán”, supra nota  8,  párr.  325;  y  Caso</w:t>
        <w:br/>
        <w:t>Yatama. Sentencia de 23 de junio de 2005. Serie C No. 127, párr. 265.</w:t>
        <w:br/>
        <w:br/>
        <w:t>[284].      Corte Interamericana de Derechos Humanos,  Transcripción  de  la</w:t>
        <w:br/>
        <w:t>Audiencia Pública del 23.09.2005 en el  caso  de  las  Masacres  de  Ituango</w:t>
        <w:br/>
        <w:t>relativo a Colombia, p.  155  (intervención  del  Sr.  C.  Rodríguez  Mejía,</w:t>
        <w:br/>
        <w:t>circulación interna).</w:t>
        <w:br/>
        <w:br/>
        <w:t>[285].      Ibid., p. 157 (circulación interna).</w:t>
        <w:br/>
        <w:br/>
        <w:t>[286].      Ibid., p. 158, y cf. p. 159 (declaración de la Sra. L.M.  Monzón</w:t>
        <w:br/>
        <w:t>Cifuentes, circulación interna).</w:t>
        <w:br/>
        <w:br/>
        <w:t>[287].      Ibid., pp. 3-5 (alegatos finales, circulación interna).</w:t>
        <w:br/>
        <w:br/>
        <w:t>[288].       El  simple  uso  del  término  "inteligencia"  en   comunicados</w:t>
        <w:br/>
        <w:t>oficiales estatales es un insulto a la inteligencia humana.</w:t>
        <w:br/>
        <w:br/>
        <w:t>[289].      Para relatos al respecto, cf. Asociación Pro-Búsqueda  de  Niñas</w:t>
        <w:br/>
        <w:t>y Niños Desaparecidos, Historias para  Tener  Presente,  San  Salvador,  UCA</w:t>
        <w:br/>
        <w:t>Edit.,  2002,  pp.  11-235;  Asociación  Pro-Búsqueda  de  Niñas   y   Niños</w:t>
        <w:br/>
        <w:t>Desaparecidos, El Día Más Esperado - Buscando a los Niños  Desaparecidos  de</w:t>
        <w:br/>
        <w:t>El Salvador, San Salvador, UCA Edit., 2005, pp. 11-309.</w:t>
        <w:br/>
        <w:br/>
        <w:t>[290].      Párrafos 1-93 (original en inglés).</w:t>
        <w:br/>
        <w:br/>
        <w:t>[291].       I.  Berlin,  The  Crooked  Timber   of   Humanity,   Princeton,</w:t>
        <w:br/>
        <w:t>University Press, 1997, pp. 17 y 175.</w:t>
        <w:br/>
        <w:br/>
        <w:t>[292].      Ibid., p. 185.</w:t>
        <w:br/>
        <w:br/>
        <w:t>[293].      A. Morton, On Evil, London, Routledge, 2004,  pp.  IX,  78-79  y</w:t>
        <w:br/>
        <w:t>82, y cf. p. 125.</w:t>
        <w:br/>
        <w:br/>
        <w:t>[294].       Cf.  las  advertencias  de  Bertrand  Russell,  "Knowledge  and</w:t>
        <w:br/>
        <w:t>Wisdom", Essays in Philosophy (ed. H. Peterson), N.Y., Pocket Library,  1960</w:t>
        <w:br/>
        <w:t>[reed.], pp. 498-499 y 502; y Karl  Popper,  The  Lesson  of  This  Century,</w:t>
        <w:br/>
        <w:t>London, Routledge, 1997, pp. 53-54; entre otros.  Otro  grande  pensador  de</w:t>
        <w:br/>
        <w:t>nuestros tiempos, Isaiah Berlin, al final de su vida  confesó  que,  con  82</w:t>
        <w:br/>
        <w:t>años de edad, había vivido a lo largo de la mayor parte del siglo XX,  y  no</w:t>
        <w:br/>
        <w:t>tenía  dudas  de  que  era  el  "peor  siglo"  en  términos  de  los  hechos</w:t>
        <w:br/>
        <w:t>"horribles" para "nuestra  civilización";  durante  su  tiempo  de  vida,  -</w:t>
        <w:br/>
        <w:t>concluyó, - "cosas más terribles ocurrieron que en cualquier otra  época  en</w:t>
        <w:br/>
        <w:t>la historia". I. Berlin, "Return of the Volksgeist:  Nationalism,  Good  and</w:t>
        <w:br/>
        <w:t>Bad", At Century's End (ed.  N.P.  Gardels),  San  Diego/Cal.,  Alti  Publ.,</w:t>
        <w:br/>
        <w:t>1995, p. 94.</w:t>
        <w:br/>
        <w:br/>
        <w:t>[295].      E. Hobsbawm, Era dos Extremos - O Breve  Século  XX,  2nd.  ed.,</w:t>
        <w:br/>
        <w:t>São Paulo, Cia. das Letras, 1996, p. 561.</w:t>
        <w:br/>
        <w:br/>
        <w:t>[296].      A.A. Cançado Trindade, A Humanização do  Direito  Internacional,</w:t>
        <w:br/>
        <w:t>Belo Horizonte/Brasil, Edit. Del Rey, 2006, pp. 3-96 y 385-409.</w:t>
        <w:br/>
        <w:br/>
        <w:t>[297].       E.R. Dodds,  The  Greeks  and  the  Irrational,  Berkeley/L.A.,</w:t>
        <w:br/>
        <w:t>University of California Press, 1997 [reed.], pp. 29-30, 187 y 191-192.</w:t>
        <w:br/>
        <w:br/>
        <w:t>[298].       E. Ionesco, El Hombre Cuestionado,  Buenos  Aires,  Emecé  Ed.,</w:t>
        <w:br/>
        <w:t>2002 [reed.], p. 117, y cf. p. 116.</w:t>
        <w:br/>
        <w:br/>
        <w:t>[299].      Ibid., p. 154.</w:t>
        <w:br/>
        <w:br/>
        <w:t>[300].      Ibid., pp. 36 y 189-190.</w:t>
        <w:br/>
        <w:br/>
        <w:t>[301].       Para una crítica penetrante y  devastadora  de  la  así-llamada</w:t>
        <w:br/>
        <w:t>raison d'État, cf. Ernst Cassirer, El Mito  del  Estado,  México,  Fondo  de</w:t>
        <w:br/>
        <w:t>Cultura Económica,  1996  (reed.),  pp.  7-352;  y  sobre  la  "criminalidad</w:t>
        <w:br/>
        <w:t>internacional" de la guerra, cf. N.  Politis,  Les  nouvelles  tendances  du</w:t>
        <w:br/>
        <w:t>Droit international, Paris, Libr. Hachette, 1927, pp. 126-127.</w:t>
        <w:br/>
        <w:br/>
        <w:t>[302].      C.S. Nino, Juicio al Mal  Absoluto,  Buenos  Aires,  Emecé  Ed.,</w:t>
        <w:br/>
        <w:t>1997, p. 231.</w:t>
        <w:br/>
        <w:br/>
        <w:t>[303].      G. Arangio-Ruiz, "Séptimo Informe sobre  la  Responsabilidad  de</w:t>
        <w:br/>
        <w:t>los Estados", ONU/CDI doc. A/CN.4/469, del 09.05.1995, p. 21, párr. 49.</w:t>
        <w:br/>
        <w:br/>
        <w:t>[304].      Ibid., p. 43.</w:t>
        <w:br/>
        <w:br/>
        <w:t>[305].      Ibid., p. 50.</w:t>
        <w:br/>
        <w:br/>
        <w:t>[306].      J.E. Álvarez, "Crimes of States/Crimes  of  Hate:  Lessons  from</w:t>
        <w:br/>
        <w:t>Rwanda", 24 Yale Journal of International Law (1999) pp. 367, 400 y 467;  la</w:t>
        <w:br/>
        <w:t>incitación al genocidio provino sobre todo a través de la  Radio  Televisión</w:t>
        <w:br/>
        <w:t>Libre des Mille Collines (RTLM); ibid., p. 423.</w:t>
        <w:br/>
        <w:br/>
        <w:t>[307].      Cf. L. Földényi, Dostoyevski Lee a Hegel en Siberia  y  Rompe  a</w:t>
        <w:br/>
        <w:t>Llorar, Barcelona, Galaxia Gutenberg, 2006, pp. 18-19, 25-26, 32-36, 38,  41</w:t>
        <w:br/>
        <w:t>y 49-51.</w:t>
        <w:br/>
        <w:br/>
        <w:t>[308].      Cf. P. Green y T. Ward, State Crime - Governments, Violence  and</w:t>
        <w:br/>
        <w:t>Corruption, London, Pluto Press, 2004, pp. 1, 30-31, 66, 68, 107, 111,  117,</w:t>
        <w:br/>
        <w:t>149, 153, 159, 201 y 209.</w:t>
        <w:br/>
        <w:br/>
        <w:t>[309].      A  las  circunstancias  agravantes  de  los  casos  de  masacres</w:t>
        <w:br/>
        <w:t>sometidos al conocimiento de esta  Corte,  también  me  referí  en  mi  Voto</w:t>
        <w:br/>
        <w:t>Razonado en el caso Baldeón García versus Perú (Sentencia del 06.04.2006).</w:t>
        <w:br/>
        <w:br/>
        <w:t>[310].      Cf. J. Verhaegen, Le Droit  international  pénal  de  Nuremberg:</w:t>
        <w:br/>
        <w:t>acquis et régressions, Bruxelles, Bruylant, 2003, pp. 10-11, 22 y 62.</w:t>
        <w:br/>
        <w:br/>
        <w:t>[311].      Cf. ibid., pp. 51-53 y 86.</w:t>
        <w:br/>
        <w:br/>
        <w:t>[312].      Cf., e.g., S.R. Ratner y J.S. Abrams, Accountability  for  Human</w:t>
        <w:br/>
        <w:t>Rights Atrocities in International Law, Oxford, Clarendon Press,  1997,  pp.</w:t>
        <w:br/>
        <w:t>11, 13-15 y 22-23.</w:t>
        <w:br/>
        <w:br/>
        <w:t>[313].      Cf., e.g., N.H.B. Jorgensen, The Responsibility  of  States  for</w:t>
        <w:br/>
        <w:t>International Crimes, Oxford, University Press, 2003, pp. 231,  264  y  278-</w:t>
        <w:br/>
        <w:t>283.</w:t>
        <w:br/>
        <w:br/>
        <w:t>[314].      Cf., v.g., R. Besné Mañero, El  Crimen  Internacional  -  Nuevos</w:t>
        <w:br/>
        <w:t>Aspectos  de  la  Responsabilidad  Internacional  de  los  Estados,  Bilbao,</w:t>
        <w:br/>
        <w:t>Universidad de Deusto, 1999, pp. 78-79, 186, 215,  218,  221  y  230-231.  -</w:t>
        <w:br/>
        <w:t>Lamentablemente  aún   prevalece   en   la   doctrina   jusinternacionalista</w:t>
        <w:br/>
        <w:t>contemporánea una falta de claridad en cuanto  a  las  implicaciones  de  la</w:t>
        <w:br/>
        <w:t>complementaridad entre la responsabilidad  internacional  del  Estado  y  la</w:t>
        <w:br/>
        <w:t>responsabilidad penal internacional del individuo; una ilustración  de  esto</w:t>
        <w:br/>
        <w:t>se encuentra en el inadecuado tratamiento, por parte de más de  un  tribunal</w:t>
        <w:br/>
        <w:t>internacional contemporáneo, del caso del bombardeo de Kosovo  por  la  OTAN</w:t>
        <w:br/>
        <w:t>(1999); para una crítica, cf., v.g., P. Benvenuti, "The ICTY Prosecutor  and</w:t>
        <w:br/>
        <w:t>the Review of the NATO Bombing Campaign  against  the  Federal  Republic  of</w:t>
        <w:br/>
        <w:t>Yugoslavia", 12 European Journal of International Law (2001) pp. 526-527,  y</w:t>
        <w:br/>
        <w:t>cf. pp. 503-529.</w:t>
        <w:br/>
        <w:br/>
        <w:t>[315].       Armenia,  Rusia  soviética,  el   Holocausto,   Cambodia,   Ex-</w:t>
        <w:br/>
        <w:t>Yugoslavia, Ruanda.</w:t>
        <w:br/>
        <w:br/>
        <w:t>[316].      B. Bruneteau, Le siècle des génocides - Violences, massacres  et</w:t>
        <w:br/>
        <w:t>processus génocidaires de l'Arménie au Rwanda, Paris, A.  Colin  Éd.,  2004,</w:t>
        <w:br/>
        <w:t>pp.  222  y  233.  Sobre  la  "deshumanización"  de  las   víctimas   y   la</w:t>
        <w:br/>
        <w:t>planificación y  ejecución  de  políticas  criminales  del  Estado,  cf.  Y.</w:t>
        <w:br/>
        <w:t>Jurovics, Réflexions sur la spécificité du crime contre  l'humanité,  Paris,</w:t>
        <w:br/>
        <w:t>LGDJ, 2002, pp. 52-53, 72-73, 92, 132-133, 93, 192, 198-199,  228-229,  279,</w:t>
        <w:br/>
        <w:t>283, 375-376, 405 y 407.</w:t>
        <w:br/>
        <w:br/>
        <w:t>[317].      B.A. Valentino, Final Solutions - Mass Killing and  Genocide  in</w:t>
        <w:br/>
        <w:t>the Twentieth Century, Ithaca/London, Cornell University  Press,  2004,  pp.</w:t>
        <w:br/>
        <w:t>17, 49, 55, 57, 71, 195, 203, 235 y 150.</w:t>
        <w:br/>
        <w:br/>
        <w:t>[318].      T.G. Phelps, Shattered Voices - Language, Violence and the  Work</w:t>
        <w:br/>
        <w:t>of Truth Commissions, Philadelphia, Univ. Pennsylvania Press, 2004, pp.  85-</w:t>
        <w:br/>
        <w:t>88 y 90.</w:t>
        <w:br/>
        <w:br/>
        <w:t>[319].       CNDP, Nunca Más - Informe de  la  Comisión  Nacional  sobre  la</w:t>
        <w:br/>
        <w:t>Desaparición de Personas, 20a. ed., Buenos  Aires,  Edit.  Univ.  de  Buenos</w:t>
        <w:br/>
        <w:t>Aires, 1995, pp. 7-8 y 10.</w:t>
        <w:br/>
        <w:br/>
        <w:t>[320].      Comisión para el Esclarecimiento Histórico  (CEH),  Guatemala  -</w:t>
        <w:br/>
        <w:t>Memoria del Silencio, tomo III, 1a. ed., Guatemala, CEH, 1999,  p.  27,  and</w:t>
        <w:br/>
        <w:t>cf. pp. 29 y 100-101.</w:t>
        <w:br/>
        <w:br/>
        <w:t>[321].      Ibid., p. 212.</w:t>
        <w:br/>
        <w:br/>
        <w:t>[322].      Ibid.,  p.  211.  El  Informe  agregó  que  "el  Ejército  atacó</w:t>
        <w:br/>
        <w:t>sistemáticamente  elementos  culturales,  espirituales   y   religiosos   de</w:t>
        <w:br/>
        <w:t>profundo significado para la población"; ibid., p. 272.</w:t>
        <w:br/>
        <w:br/>
        <w:t>[323].      Ibid., p. 272.</w:t>
        <w:br/>
        <w:br/>
        <w:t>[324].      CEH, Guatemala  -  Memoria  del  Silencio,  tomo  II,  1a.  ed.,</w:t>
        <w:br/>
        <w:t>Guatemala, CEH, 1999, pp. 19-21.</w:t>
        <w:br/>
        <w:br/>
        <w:t>[325].      Cf. ibid., pp. 21-39.</w:t>
        <w:br/>
        <w:br/>
        <w:t>[326].      Ibid., p. 38.</w:t>
        <w:br/>
        <w:br/>
        <w:t>[327].      Ibid., pp. 21 and 226.</w:t>
        <w:br/>
        <w:br/>
        <w:t>[328].      Ibid., p. 227. Para un  estudio,  cf.,  v.g.,  J.  Perlin,  "The</w:t>
        <w:br/>
        <w:t>Guatemalan Historical  Clarification  Commission  Finds  Genocide",  6  ILSA</w:t>
        <w:br/>
        <w:t>Journal of International and Comparative Law (2000) pp. 389-413.</w:t>
        <w:br/>
        <w:br/>
        <w:t>[329].       A.A.   Cançado   Trindade,   "Complementarity   between   State</w:t>
        <w:br/>
        <w:t>Responsibility and Individual Responsibility for Grave Violations  of  Human</w:t>
        <w:br/>
        <w:t>Rights: The Crime  of  State  Revisited",  in  International  Responsibility</w:t>
        <w:br/>
        <w:t>Today - Essays in Memory of Oscar Schachter (ed.  M.  Ragazzi),  Leiden,  M.</w:t>
        <w:br/>
        <w:t>Nijhoff, 2005, pp. 253-269; y cf. A.A. Cançado Trindade, "General Course  on</w:t>
        <w:br/>
        <w:t>Public International Law - International Law for Humankind:  Towards  a  New</w:t>
        <w:br/>
        <w:t>Jus Gentium", 316 Recueil des Cours de l'Académie de Droit International  de</w:t>
        <w:br/>
        <w:t>La Haye (2005), cap. XV (en prensa).</w:t>
        <w:br/>
        <w:br/>
        <w:t>[330].       Cf.,  e.g.,  G.  Citroni,  "La  Jurisprudencia  de   la   Corte</w:t>
        <w:br/>
        <w:t>Interamericana de Derechos Humanos en Casos  de  Masacres",  21  Anuario  de</w:t>
        <w:br/>
        <w:t>Derecho Internacional (2005) pp. 493-518.</w:t>
        <w:br/>
        <w:br/>
        <w:t>[331].      CtIADH, Sentencia del 29.04.2004, párrs. 2 y 35-37.</w:t>
        <w:br/>
        <w:br/>
        <w:t>[332].      CtIADH, Sentencia del 15.09.2005, párrs. 33-34 y 26.</w:t>
        <w:br/>
        <w:br/>
        <w:t>[333].      CtIADH, Sentencia del 15.06.2005, párr. 216.</w:t>
        <w:br/>
        <w:br/>
        <w:t>[334].      Sendero Luminoso y MRTA.</w:t>
        <w:br/>
        <w:br/>
        <w:t>[335].      Comisión de la Verdad y Reconciliación (CVR),  Informe  Final  -</w:t>
        <w:br/>
        <w:t>Conclusiones Generales, Lima, CVR, 2003, pp. 11-19, y cf. pp. 20, 24  y  26-</w:t>
        <w:br/>
        <w:t>29.</w:t>
        <w:br/>
        <w:br/>
        <w:t>[336].      Ibid., pp. 30 y 34-43. Y para  una  evaluación  reciente  de  la</w:t>
        <w:br/>
        <w:t>implementación de las recomendaciones del referido Informe Final de  la  CVR</w:t>
        <w:br/>
        <w:t>del Perú, cf. Defensoría del Pueblo, A Dos Años de la Comisión de la  Verdad</w:t>
        <w:br/>
        <w:t>y Reconciliación, Lima, DP/Informe Defensorial n. 97, 2005, pp. 17-333.</w:t>
        <w:br/>
        <w:br/>
        <w:t>[337].      Cf., muy recientemente, v.g.: United  Nations/Committee  against</w:t>
        <w:br/>
        <w:t>Torture, Consideration of Reports Submitted by States Parties under  Article</w:t>
        <w:br/>
        <w:t>19  of  the  Convention  -  United  States  of  America:   Conclusions   and</w:t>
        <w:br/>
        <w:t>Recommendations of the Committee against Torture, documento  CAT/C/USA/CO/2,</w:t>
        <w:br/>
        <w:t>del  18.05.2006,  pp.  1-11;  Council  of  Europe/Parliamentary  Assembly  -</w:t>
        <w:br/>
        <w:t>Committee on Legal Affairs and Human Rights, Alleged  Secret  Detentions  in</w:t>
        <w:br/>
        <w:t>Council  of  Europe  Member  States  -  Memorandum  (rapporteur  D.  Marty),</w:t>
        <w:br/>
        <w:t>documento  AS/JUR/2006/03.rev,  del  22.01.2006,  pp.   1-25;   Council   of</w:t>
        <w:br/>
        <w:t>Europe/Parliamentary  Assembly  -  Committee  on  Legal  Affairs  and  Human</w:t>
        <w:br/>
        <w:t>Rights,  Alleged  Secret  Detentions  and  Unlawful  Inter-State   Transfers</w:t>
        <w:br/>
        <w:t>Involving Council of Europe Member States - Report  (rapporteur  D.  Marty),</w:t>
        <w:br/>
        <w:t>documento AS/JUR/2006/16/Part II, del 07.06.2006, pp. 1-71.</w:t>
        <w:br/>
        <w:br/>
        <w:t>[338].       Un  término  inadecuadamente   utilizado,   con   consecuencias</w:t>
        <w:br/>
        <w:t>nefastas.</w:t>
        <w:br/>
        <w:br/>
        <w:t>[339].      Textos in: The Oxford Book of War Poetry (ed.  J.  Stallworthy),</w:t>
        <w:br/>
        <w:t>Oxford, University Press, 2003 [reed.], pp. 89, 115 y 132, respectivamente.</w:t>
        <w:br/>
        <w:br/>
        <w:t>[340].      Lo mejor que podría hacer, a mi modo de ver, e.g.,  la  Comisión</w:t>
        <w:br/>
        <w:t>de Derecho Internacional (CDI) de Naciones Unidas, sería reabrir,  en  2007-</w:t>
        <w:br/>
        <w:t>2008,  su  reconsideración  en  el  marco  de   sus   Artículos   sobre   la</w:t>
        <w:br/>
        <w:t>Responsabilidad Internacional  de  los  Estados,  abandonar  la  cosmovisión</w:t>
        <w:br/>
        <w:t>estrictamente estatista y anacrónica que  los  permea,  sacar  del  cajón  y</w:t>
        <w:br/>
        <w:t>rescatar el concepto de crimen de  Estado,  y  volver  a  incluirlo  en  sus</w:t>
        <w:br/>
        <w:t>citados Artículos, con sus consecuencias jurídicas  (daños  punitivos).  Con</w:t>
        <w:br/>
        <w:t>esto,  el  mencionado  trabajo  de  la  CDI,  a  mi   juicio,   ganaría   en</w:t>
        <w:br/>
        <w:t>credibilidad, y prestaría un servicio a la  comunidad  internacional  y,  en</w:t>
        <w:br/>
        <w:t>última instancia, a la humanidad como un todo.</w:t>
        <w:br/>
        <w:br/>
        <w:t>[341].      Cf. compilaciones Masacres - Trazos de la  Historia  Salvadoreña</w:t>
        <w:br/>
        <w:t>Narrados por las Víctimas,  1a.  ed.,  San  Salvador,  Ed.  Centro  para  la</w:t>
        <w:br/>
        <w:t>Promoción  de  Derechos  Humanos  "M.  Lagadec",  2006,  pp.   17-390;   Los</w:t>
        <w:br/>
        <w:t>Escuadrones de la Muerte en  El  Salvador,  2a.  ed.,  San  Salvador,  Edit.</w:t>
        <w:br/>
        <w:t>Jaraguá, 2004,  pp.  11-300;  y  cf.  también  A.  Guadalupe  Martínez,  Las</w:t>
        <w:br/>
        <w:t>Cárceles Clandestinas, 8a. ed., San Salvador, UCA Edit., 2004,  pp.  27-456;</w:t>
        <w:br/>
        <w:t>S. Carranza (ed.), Mártires de la UCA, 6a. ed.,  San  Salvador,  UCA  Edit.,</w:t>
        <w:br/>
        <w:t>2001, pp. 15-457; J.M. Tojeira, El Martirio Ayer y Hoy - Testimonio  Radical</w:t>
        <w:br/>
        <w:t>de Fe y Justicia, 2a. ed., San Salvador, UCA Edit.,  2005,  pp.  29-187;  L.</w:t>
        <w:br/>
        <w:t>Binford, El Mozote: Vidas y Memorias, San Salvador, UCA Edit., 2005, pp. 15-</w:t>
        <w:br/>
        <w:t>338.</w:t>
        <w:br/>
        <w:br/>
        <w:t>[342].       D.J.  Goldhagen,  Hitler's  Willing  Executioners  -   Ordinary</w:t>
        <w:br/>
        <w:t>Germans and the Holocaust, N.Y., Vintage, 1997 [reed.], pp. 5ss.</w:t>
        <w:br/>
        <w:br/>
        <w:t>[343].       Cf.  A.A.  Cançado  Trindade,   "General   Course   on   Public</w:t>
        <w:br/>
        <w:t>International Law - International Law  for  Humankind:  Towards  a  New  Jus</w:t>
        <w:br/>
        <w:t>Gentium", 316 Recueil des Cours de l'Académie de Droit International  de  La</w:t>
        <w:br/>
        <w:t>Haye (2005), cap. XV (en prensa).</w:t>
        <w:br/>
        <w:br/>
        <w:t>[344].      En el mismo Voto Razonado, también me referí a la superación  de</w:t>
        <w:br/>
        <w:t>las  vicisitudes  en  cuanto  al  derecho  a  un  recurso  efectivo  en   la</w:t>
        <w:br/>
        <w:t>construcción  jurisprudencial  de  la  Corte  Europea  de  Derechos  Humanos</w:t>
        <w:br/>
        <w:t>(párrs. 53-59).</w:t>
        <w:br/>
        <w:br/>
        <w:t>[345].      Cf. también A.A. Cançado Trindade, "El Derecho de  Acceso  a  la</w:t>
        <w:br/>
        <w:t>Justicia Internacional y las Condiciones para Su Realización en  el  Sistema</w:t>
        <w:br/>
        <w:t>Interamericano de Protección  de  los  Derechos  Humanos",  37  Revista  del</w:t>
        <w:br/>
        <w:t>Instituto Interamericano de Derechos Humanos (2003) pp. 53-83; A.A.  Cançado</w:t>
        <w:br/>
        <w:t>Trindade, "Hacia la Consolidación de la Capacidad Jurídica Internacional  de</w:t>
        <w:br/>
        <w:t>los  Peticionarios  en  el  Sistema  Interamericano  de  Protección  de  los</w:t>
        <w:br/>
        <w:t>Derechos Humanos", 37  Revista  del  Instituto  Interamericano  de  Derechos</w:t>
        <w:br/>
        <w:t>Humanos (2003) pp. 13-52.</w:t>
        <w:br/>
        <w:br/>
        <w:t>[346].       En ese sentido, cf. E.A. Alkema, "Access to Justice  under  the</w:t>
        <w:br/>
        <w:t>ECHR  and  Judicial  Policy  -  A  Netherlands  View",  in  Afmaelisrit  pór</w:t>
        <w:br/>
        <w:t>Vilhjálmsson, Reykjavík, Bókaútgafa Orators, 2000, pp. 21-37.</w:t>
        <w:br/>
        <w:br/>
        <w:t>[347].      A.A. Cançado Trindade,  Tratado  de  Direito  Internacional  dos</w:t>
        <w:br/>
        <w:t>Direitos Humanos, tomo III, Porto  Alegre/Brasil,  S.A.  Fabris  Ed.,  2002,</w:t>
        <w:br/>
        <w:t>cap. XX, p. 524, párr. 187.</w:t>
        <w:br/>
        <w:br/>
        <w:t>[348].      E.g., artículo 75 del Protocolo I (de 1977) a  las  Convenciones</w:t>
        <w:br/>
        <w:t>de Ginebra (de 1949) sobre Derecho Internacional Humanitario.</w:t>
        <w:br/>
        <w:br/>
        <w:t>[349].      Cf., también en ese sentido, e.g., M. El Kouhene, Les  garanties</w:t>
        <w:br/>
        <w:t>fondamentales de la personne en Droit  humanitaire  et  droits  de  l'homme,</w:t>
        <w:br/>
        <w:t>Dordrecht, Nijhoff, 1986, pp. 97, 145, 148, 161 y 241.</w:t>
        <w:br/>
        <w:br/>
        <w:t>[350].        Cf.,  v.g.,  A.A.  Cançado  Trindade,  "Co-Existence  and  Co-</w:t>
        <w:br/>
        <w:t>Ordination of Mechanisms of International Protection  of  Human  Rights  (At</w:t>
        <w:br/>
        <w:t>Global and Regional Levels)", 202 Recueil des Cours de l'Académie  de  Droit</w:t>
        <w:br/>
        <w:t>International de La Haye (1987), cap. XI: "The Evolution of  the  Notion  of</w:t>
        <w:br/>
        <w:t>Victim  or  of  the  Condition  of  the  Complainant  in  the  International</w:t>
        <w:br/>
        <w:t>Protention  of  Human  Rights",  pp.  243-299;  A.A.  Cançado  Trindade,  "O</w:t>
        <w:br/>
        <w:t>Esgotamento dos Recursos Internos e a  Evolução  da  Noção  de  `Vítima'  no</w:t>
        <w:br/>
        <w:t>Direito Internacional", 3 Revista del Instituto Interamericano  de  Derechos</w:t>
        <w:br/>
        <w:t>Humanos (1986) pp. 5-78.</w:t>
        <w:br/>
        <w:br/>
        <w:t>[351].      En la presente Sentencia, la Corte observó con acierto  que  "la</w:t>
        <w:br/>
        <w:t>situación de desplazamiento forzado interno que han enfrentado las  víctimas</w:t>
        <w:br/>
        <w:t>en el presente caso no puede  ser  desvinculada  de  las  otras  violaciones</w:t>
        <w:br/>
        <w:t>declaradas en la presente Sentencia" (párr. 234), -  por  lo  que  consideró</w:t>
        <w:br/>
        <w:t>también como víctimas las 702 (setecientas dos) personas desplazadas de  las</w:t>
        <w:br/>
        <w:t>localidades de El Aro y La Granja (párr. 238).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