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Caso Montero Aranguren y otros (Retén de Catia) Vs. Venezuela</w:t>
        <w:br/>
        <w:br/>
        <w:br/>
        <w:t xml:space="preserve">                       Sentencia de 5 de julio de 2006</w:t>
        <w:br/>
        <w:t xml:space="preserve">            (Excepción Preliminar, Fondo, Reparaciones y Costas)</w:t>
        <w:br/>
        <w:br/>
        <w:br/>
        <w:br/>
        <w:t>En el caso Montero Aranguren y otros (Retén de Catia),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Antônio A. Cançado Trindade, Juez;</w:t>
        <w:br/>
        <w:t xml:space="preserve">      Cecilia Medina Quiroga, Jueza, y</w:t>
        <w:br/>
        <w:t xml:space="preserve">      Manuel E. Ventura Robles, Juez.</w:t>
        <w:br/>
        <w:br/>
        <w:br/>
        <w:t>presentes, además,</w:t>
        <w:br/>
        <w:br/>
        <w:br/>
        <w:t>Pablo Saavedra Alessandri, Secretario, y</w:t>
        <w:br/>
        <w:t>Emilia Segares Rodríguez, Secretaria Adjunta,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El 24 de febrero de 2005,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Corte una demanda en contra de la República  Bolivariana  de</w:t>
        <w:br/>
        <w:t>Venezuela (en adelante “el Estado” o “Venezuela”), la cual se originó en  la</w:t>
        <w:br/>
        <w:t>denuncia número 11.699, recibida en la Secretaría de la Comisión  el  12  de</w:t>
        <w:br/>
        <w:t>noviembre de 1996.</w:t>
        <w:br/>
        <w:br/>
        <w:t>2.    La Comisión presentó la demanda en este caso con el objeto de  que  la</w:t>
        <w:br/>
        <w:t>Corte  decidiera  si  el  Estado  violó  los  derechos  consagrados  en  los</w:t>
        <w:br/>
        <w:t>artículos 4 (Derecho a la Vida) y 5 (Derecho a la  Integridad  Personal)  de</w:t>
        <w:br/>
        <w:t>la Convención Americana, en relación con la  obligación  establecida  en  el</w:t>
        <w:br/>
        <w:t>artículo  1.1  (Obligación  de  Respetar  los  Derechos)  de  la  misma,  en</w:t>
        <w:br/>
        <w:t>perjuicio de los reclusos que  supuestamente  fallecieron  en  un  operativo</w:t>
        <w:br/>
        <w:t>ejecutado el 27 de noviembre de 1992 en el Retén  e  Internado  Judicial  de</w:t>
        <w:br/>
        <w:t>“los Flores de Catia” (en adelante “el  Retén  de  Catia”).  A  su  vez,  la</w:t>
        <w:br/>
        <w:t>Comisión solicitó a la Corte que declarara que el Estado violó los  derechos</w:t>
        <w:br/>
        <w:t>consagrados en los artículos  8  (Garantías  Judiciales)  y  25  (Protección</w:t>
        <w:br/>
        <w:t>Judicial)  de  la  Convención  Americana,  en  relación  con  la  obligación</w:t>
        <w:br/>
        <w:t>establecida en el artículo 1.1 (Obligación de Respetar los Derechos)  de  la</w:t>
        <w:br/>
        <w:t>misma, en perjuicio de las presuntas víctimas y sus familiares.  Finalmente,</w:t>
        <w:br/>
        <w:t>la Comisión solicitó a la Corte Interamericana  que  declarara  a  Venezuela</w:t>
        <w:br/>
        <w:t>responsable por el incumplimiento de la obligación  general  establecida  en</w:t>
        <w:br/>
        <w:t>el artículo 2 de la Convención Americana, por no suprimir de su  legislación</w:t>
        <w:br/>
        <w:t>las disposiciones que atribuyen a los tribunales militares competencia  para</w:t>
        <w:br/>
        <w:t>investigar violaciones de derechos  humanos  y  por  no  haber  desarrollado</w:t>
        <w:br/>
        <w:t>políticas tendientes a reformar el sistema penitenciario.</w:t>
        <w:br/>
        <w:br/>
        <w:t>3.    La demanda se refiere a la  presunta  ejecución  extrajudicial  de  37</w:t>
        <w:br/>
        <w:t>reclusos del Retén de Catia, ubicado en la ciudad de Caracas, Venezuela,  la</w:t>
        <w:br/>
        <w:t>madrugada del 27  de  noviembre  de  1992.  Estos  hechos  habrían  ocurrido</w:t>
        <w:br/>
        <w:t>después de un segundo intento de golpe militar en Venezuela, el cual  habría</w:t>
        <w:br/>
        <w:t>originado una agitación al interior del  citado  retén.  Presuntamente,  los</w:t>
        <w:br/>
        <w:t>guardias del centro penitenciario y tropas del  Comando  Regional  5  de  la</w:t>
        <w:br/>
        <w:t>Guardia Nacional y de la Policía  Metropolitana  intervinieron  masivamente,</w:t>
        <w:br/>
        <w:t>con uso desproporcionado de la fuerza y disparando indiscriminadamente a  la</w:t>
        <w:br/>
        <w:t>población reclusa. Las versiones de los  hechos  de  algunos  sobrevivientes</w:t>
        <w:br/>
        <w:t>cuentan que los guardias del  Retén  abrieron  las  puertas  de  las  celdas</w:t>
        <w:br/>
        <w:t>anunciando a los reclusos que quedaban en libertad, esperaron la  salida  de</w:t>
        <w:br/>
        <w:t>los internos y dispararon contra ellos. También se alegó  que  los  reclusos</w:t>
        <w:br/>
        <w:t>vivían en condiciones de detención inhumanas.</w:t>
        <w:br/>
        <w:br/>
        <w:t>4.     La  Comisión  alegó  que  después  de  los  hechos  se   inició   una</w:t>
        <w:br/>
        <w:t>investigación por el Ministerio Público y  las  autoridades  judiciales,  la</w:t>
        <w:br/>
        <w:t>cual  se  habría  caracterizado  por  la  obstaculización  y  la  falta   de</w:t>
        <w:br/>
        <w:t>colaboración  por  parte  de  las  autoridades   policiales,   militares   y</w:t>
        <w:br/>
        <w:t>carcelarias.  A  partir  de  agosto  de  1994  no  se  practicaron  acciones</w:t>
        <w:br/>
        <w:t>tendientes a recopilar mayor información ni se desarrolló ninguna  actividad</w:t>
        <w:br/>
        <w:t>procesal en el caso. Durante casi 8 años a los familiares de  las  presuntas</w:t>
        <w:br/>
        <w:t>víctimas se les negó el acceso al expediente. Actualmente  la  investigación</w:t>
        <w:br/>
        <w:t>reposa en la Fiscalía Sexagésima Octava del Área  Metropolitana  de  Caracas</w:t>
        <w:br/>
        <w:t>en fase de investigación preliminar bajo el número de expediente 4582.</w:t>
        <w:br/>
        <w:br/>
        <w:t>5.    Además, la  Comisión  solicitó  a  la  Corte  Interamericana  que,  de</w:t>
        <w:br/>
        <w:t>conformidad con el artículo 63.1 de la  Convención,  ordene  al  Estado  que</w:t>
        <w:br/>
        <w:t>adopte determinadas medidas de  reparación  indicadas  en  la  demanda.  Por</w:t>
        <w:br/>
        <w:t>último, solicitó a la Corte que ordene al Estado el pago  de  las  costas  y</w:t>
        <w:br/>
        <w:t>gastos generados en la tramitación del caso en  la  jurisdicción  interna  y</w:t>
        <w:br/>
        <w:t>ante los órganos del Sistema Interamericano de Protección  de  los  Derechos</w:t>
        <w:br/>
        <w:t>Humanos.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6.    La Corte Interamericana es competente, en los  términos  del  artículo</w:t>
        <w:br/>
        <w:t>62.3 de la Convención, para conocer  el  presente  caso,  en  razón  de  que</w:t>
        <w:br/>
        <w:t>Venezuela es Estado Parte en la Convención Americana desde el  9  de  agosto</w:t>
        <w:br/>
        <w:t>de 1977 y reconoció la competencia contenciosa de la Corte el  24  de  junio</w:t>
        <w:br/>
        <w:t>de 1981.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7.    El 12 de marzo de 1996 el Comité de  Familiares  de  Víctimas  de  los</w:t>
        <w:br/>
        <w:t>Sucesos de Febrero-Marzo de 1989 (en adelante “COFAVIC”) y el Centro por  la</w:t>
        <w:br/>
        <w:t>Justicia y el Derecho Internacional (en adelante  “CEJIL”)  presentaron  una</w:t>
        <w:br/>
        <w:t>petición ante la Comisión Interamericana, a la cual se dio trámite  bajo  el</w:t>
        <w:br/>
        <w:t>número 11.699, en relación con “los [supuestos]  graves  hechos  acontecidos</w:t>
        <w:br/>
        <w:t>en el interior del Retén e Internado  Judicial  de  Catia  en  fecha  27  de</w:t>
        <w:br/>
        <w:t>noviembre de 1992”.</w:t>
        <w:br/>
        <w:br/>
        <w:t>8.    El 20 de octubre  de  2004,  durante  su  121º  Período  Ordinario  de</w:t>
        <w:br/>
        <w:t>Sesiones, la Comisión aprobó el informe de Admisibilidad y Fondo No.  79/04,</w:t>
        <w:br/>
        <w:t>mediante el cual concluyó, inter alia, que  el  Estado  violó  los  derechos</w:t>
        <w:br/>
        <w:t>consagrados en los artículos  4  (Derecho  a  la  Vida),  5  (Derecho  a  la</w:t>
        <w:br/>
        <w:t>Integridad Personal), 8 (Garantías Judiciales) y  25  (Protección  Judicial)</w:t>
        <w:br/>
        <w:t>de la Convención Americana, en conexión con los artículos  1.1  y  2  de  la</w:t>
        <w:br/>
        <w:t>misma, por la masacre ocurrida en el Retén de los Flores de Catia el  27  de</w:t>
        <w:br/>
        <w:t>noviembre de 1992, así como por la falta de investigación,  procesamiento  y</w:t>
        <w:br/>
        <w:t>sanción a los responsables, y por la falta  de  reparación  efectiva  a  las</w:t>
        <w:br/>
        <w:t>víctimas de esas violaciones y a sus familiares. La  Comisión  recomendó  al</w:t>
        <w:br/>
        <w:t>Estado la adopción de una serie de medidas  para  subsanar  las  mencionadas</w:t>
        <w:br/>
        <w:t>violaciones.</w:t>
        <w:br/>
        <w:br/>
        <w:t>9.    El 24 de noviembre  de  2004  la  Comisión  transmitió  al  Estado  el</w:t>
        <w:br/>
        <w:t>Informe No. 79/04 y le otorgó un plazo  de  dos  meses  para  que  informara</w:t>
        <w:br/>
        <w:t>sobre las medidas adoptadas, con  el  fin  de  cumplir  las  recomendaciones</w:t>
        <w:br/>
        <w:t>formuladas. Ese mismo día la Comisión, de conformidad con el  artículo  43.3</w:t>
        <w:br/>
        <w:t>de su Reglamento, notificó a los peticionarios la adopción del informe y  su</w:t>
        <w:br/>
        <w:t>transmisión al Estado y les  solicitó  su  posición  respecto  del  eventual</w:t>
        <w:br/>
        <w:t>sometimiento del caso a la Corte Interamericana, información que  remitieron</w:t>
        <w:br/>
        <w:t>el 3 de enero de 2005.</w:t>
        <w:br/>
        <w:br/>
        <w:t>10.   El 24 de enero de 2005  el  Estado  solicitó  una  prórroga  al  plazo</w:t>
        <w:br/>
        <w:t>otorgado  para  presentar  información  sobre   el   cumplimiento   de   las</w:t>
        <w:br/>
        <w:t>recomendaciones del Informe No. 79/04.  La  Comisión  concedió  la  prórroga</w:t>
        <w:br/>
        <w:t>solicitada, sin embargo el Estado no presentó la información requerida.</w:t>
        <w:br/>
        <w:br/>
        <w:t>11.   El 18 de febrero de 2005 la Comisión  Interamericana  decidió  someter</w:t>
        <w:br/>
        <w:t>el presente  caso  a  la  jurisdicción  de  la  Corte,  ante  “la  falta  de</w:t>
        <w:br/>
        <w:t>implementación satisfactoria de la recomendaciones contenidas en el  Informe</w:t>
        <w:br/>
        <w:t>No. 79/04”.</w:t>
        <w:br/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t>12.   El 24 de febrero de 2005 la Comisión  presentó  una  demanda  ante  la</w:t>
        <w:br/>
        <w:t>Corte en relación con el presente caso.  Los  anexos  a  la  demanda  fueron</w:t>
        <w:br/>
        <w:t>remitidos el 14 de marzo de 2005. La Comisión designó  como  Delegados  ante</w:t>
        <w:br/>
        <w:t>la Corte a los Comisionados Paulo Sergio Pinheiro y Florentín Meléndez y  al</w:t>
        <w:br/>
        <w:t>Secretario Ejecutivo, Santiago A. Canton, y  como  asesores  legales  a  los</w:t>
        <w:br/>
        <w:t>señores Juan Pablo Albán, Débora Benchoam y Víctor H. Madrigal.</w:t>
        <w:br/>
        <w:br/>
        <w:t>13.   El 1 de abril de 2005 la Secretaría  de  la  Corte  (en  adelante  “la</w:t>
        <w:br/>
        <w:t>Secretaría”), previo examen  preliminar  de  la  demanda  realizado  por  el</w:t>
        <w:br/>
        <w:t>Presidente de la Corte (en adelante “el  Presidente”),  la  notificó,  junto</w:t>
        <w:br/>
        <w:t>con sus anexos, al Estado y le informó sobre los plazos para  contestarla  y</w:t>
        <w:br/>
        <w:t>designar  representación  en  el  proceso.  El  5  de  abril  de  2005,   de</w:t>
        <w:br/>
        <w:t>conformidad con lo dispuesto en el artículo 35.1.d y e  del  Reglamento,  la</w:t>
        <w:br/>
        <w:t>Secretaría notificó la demanda  a  CEJIL  y  a  COFAVIC,  designados  en  la</w:t>
        <w:br/>
        <w:t>demanda como representantes de las presuntas víctimas y sus  familiares  (en</w:t>
        <w:br/>
        <w:t>adelante “los representantes”), y les informó que contaban con un  plazo  de</w:t>
        <w:br/>
        <w:t>dos meses para presentar su escrito de  solicitudes,  argumentos  y  pruebas</w:t>
        <w:br/>
        <w:t>(en adelante “escrito de solicitudes y argumentos”).</w:t>
        <w:br/>
        <w:br/>
        <w:t>14.   El 7 de junio de 2005 los representantes  presentaron  su  escrito  de</w:t>
        <w:br/>
        <w:t>solicitudes y argumentos. Además de  lo  señalado  por  la  Comisión  en  su</w:t>
        <w:br/>
        <w:t>demanda (supra párrs. 2, 3, 4 y 5), los representantes  solicitaron  que  la</w:t>
        <w:br/>
        <w:t>Corte decidiera si el Estado violó el “derecho a la  verdad  […]  reconocido</w:t>
        <w:br/>
        <w:t>en los artículos 8, 13, 25 y 1.1 de la Convención  Americana,  en  perjuicio</w:t>
        <w:br/>
        <w:t>de cada una de las  víctimas  individualizadas  en  [su]  escrito  y  de  la</w:t>
        <w:br/>
        <w:t>sociedad venezolana”. El 14 de junio de 2005 los representantes  presentaron</w:t>
        <w:br/>
        <w:t>los anexos al escrito de solicitudes y argumentos.</w:t>
        <w:br/>
        <w:br/>
        <w:t>15.   El 27  de  julio  de  2005  el  Estado  solicitó  “una  prórroga  para</w:t>
        <w:br/>
        <w:t>presentar  la  respuesta  a  la  demanda   interpuesta   por   la   Comisión</w:t>
        <w:br/>
        <w:t>Interamericana”.  El  28  de  julio  de  2005   la   Secretaría,   siguiendo</w:t>
        <w:br/>
        <w:t>instrucciones del Presidente, informó a Venezuela que la prórroga  no  podía</w:t>
        <w:br/>
        <w:t>ser otorgada con base al  artículo  38  del  Reglamento,  que  establece  la</w:t>
        <w:br/>
        <w:t>improrrogabilidad de dicho plazo.</w:t>
        <w:br/>
        <w:br/>
        <w:t>16.   El 1 de agosto de 2005 el Estado presentó un escrito mediante el  cual</w:t>
        <w:br/>
        <w:t>interpuso una excepción  preliminar,  contestó  la  demanda  y  remitió  sus</w:t>
        <w:br/>
        <w:t>observaciones  al  escrito  de  solicitudes  y   argumentos   (en   adelante</w:t>
        <w:br/>
        <w:t>“contestación de  la  demanda”).  La  excepción  preliminar  interpuesta  se</w:t>
        <w:br/>
        <w:t>refiere a la falta  de  agotamiento  de  los  recursos  de  la  jurisdicción</w:t>
        <w:br/>
        <w:t>interna.</w:t>
        <w:br/>
        <w:br/>
        <w:t>17.   El 1 de agosto de 2005 la Secretaría, de conformidad con  el  artículo</w:t>
        <w:br/>
        <w:t>37.4 del Reglamento, otorgó a la Comisión y a los  representantes  un  plazo</w:t>
        <w:br/>
        <w:t>de treinta días,  para  que  presentaran  los  alegatos  escritos  sobre  la</w:t>
        <w:br/>
        <w:t>excepción preliminar interpuesta.</w:t>
        <w:br/>
        <w:br/>
        <w:t>18.   El 19 de agosto de  2005  la  Comisión  presentó  sus  alegatos  a  la</w:t>
        <w:br/>
        <w:t>excepción preliminar interpuesta por el Estado y solicitó a la Corte que  la</w:t>
        <w:br/>
        <w:t>rechazara. Por su  parte,  el  26  de  agosto  de  2005  los  representantes</w:t>
        <w:br/>
        <w:t>presentaron sus alegatos a la referida excepción  preliminar  y  solicitaron</w:t>
        <w:br/>
        <w:t>que la misma sea desestimada.</w:t>
        <w:br/>
        <w:br/>
        <w:t>19.   El 9 de diciembre de 2005 la Comisión solicitó la “admisión de  copias</w:t>
        <w:br/>
        <w:t>autenticadas de 16 registros de defunción de  [presuntas]  víctimas  de  los</w:t>
        <w:br/>
        <w:t>hechos, como prueba adicional” en relación con el  presente  caso.  En  este</w:t>
        <w:br/>
        <w:t>sentido, la Comisión indicó que “dicha prueba  se  ofrece  en  este  momento</w:t>
        <w:br/>
        <w:t>procesal en razón de que recién estuvo a disposición de la  Comisión  el  15</w:t>
        <w:br/>
        <w:t>de septiembre de 2005, es decir, con posterioridad  al  sometimiento  de  la</w:t>
        <w:br/>
        <w:t>demanda al Tribunal”. Los días 16 y 19 de diciembre de 2005  la  Secretaría,</w:t>
        <w:br/>
        <w:t>siguiendo instrucciones del Presidente, solicitó a los representantes  y  al</w:t>
        <w:br/>
        <w:t>Estado que presentaran las observaciones  que  estimaran  pertinentes  a  la</w:t>
        <w:br/>
        <w:t>solicitud de admisión de  “prueba  adicional”  presentada  por  la  Comisión</w:t>
        <w:br/>
        <w:t>Interamericana.</w:t>
        <w:br/>
        <w:br/>
        <w:t>20.   El 22 de diciembre de 2005 los representantes señalaron que no  tienen</w:t>
        <w:br/>
        <w:t>“objeciones que formular en relación con  la  prueba  aportada  por  la  […]</w:t>
        <w:br/>
        <w:t>Comisión”. Por su parte, el 4 de enero de 2006 el Estado manifestó  que  “se</w:t>
        <w:br/>
        <w:t>opone formalmente a la admisión de dichas pruebas, toda vez que la misma  no</w:t>
        <w:br/>
        <w:t>fue promovida con la presentación de la demanda ni  responde  a  ninguna  de</w:t>
        <w:br/>
        <w:t>las causales que por vía excepcional permitiría su admisión”.</w:t>
        <w:br/>
        <w:br/>
        <w:t>21.   El 7 de febrero de 2006 el Presidente dictó una  Resolución,  mediante</w:t>
        <w:br/>
        <w:t>la cual requirió que el señor Pedro Ramón Castro y la señora Carmen  Yolanda</w:t>
        <w:br/>
        <w:t>Pérez  Santoya,  propuestos  como   testigos   por   la   Comisión   y   los</w:t>
        <w:br/>
        <w:t>representantes, y los señores Mireya Josefina Ayala Gualdrón,  Inocenta  del</w:t>
        <w:br/>
        <w:t>Valle  Marín,  Nazario  Ruiz,  María  Auxiliadora  Zerpa  de  Moreno,  Osmar</w:t>
        <w:br/>
        <w:t>Martínez, Douglas Lizano y Edgar López, propuestos  como  testigos  por  los</w:t>
        <w:br/>
        <w:t>representantes,  prestaran  sus  testimonios  a  través   de   declaraciones</w:t>
        <w:br/>
        <w:t>rendidas ante fedatario público (affidávits). También requirió que el  señor</w:t>
        <w:br/>
        <w:t>Pieter Van Reener, propuesto como perito por  la  Comisión,  y  los  señores</w:t>
        <w:br/>
        <w:t>Magdalena Ibañez, Christopher Birkbeck y  Magaly  Vásquez,  propuestos  como</w:t>
        <w:br/>
        <w:t>peritos por  los  representantes,  prestaran  sus  dictámenes  a  través  de</w:t>
        <w:br/>
        <w:t>declaración  rendida  ante  fedatario  público  (affidávit).  Asimismo,   el</w:t>
        <w:br/>
        <w:t>Presidente convocó a la Comisión, a los representantes y  al  Estado  a  una</w:t>
        <w:br/>
        <w:t>audiencia pública que se celebraría en la Sala de  Audiencias  de  la  Corte</w:t>
        <w:br/>
        <w:t>Suprema de Justicia de la Nación, en la ciudad de Buenos  Aires,  Argentina,</w:t>
        <w:br/>
        <w:t>a partir del 4 de abril de 2006, para escuchar sus alegatos  finales  orales</w:t>
        <w:br/>
        <w:t>sobre la excepción preliminar y eventuales, fondo, reparaciones y costas  en</w:t>
        <w:br/>
        <w:t>el presente caso, así como las  declaraciones  de  los  testigos  y  peritos</w:t>
        <w:br/>
        <w:t>propuestos por la Comisión y los  representantes.  Además,  en  la  referida</w:t>
        <w:br/>
        <w:t>Resolución el Presidente informó a las partes que contaban con  plazo  hasta</w:t>
        <w:br/>
        <w:t>el 19 de mayo de 2006  para  presentar  sus  alegatos  finales  escritos  en</w:t>
        <w:br/>
        <w:t>relación con las excepciones preliminares y eventuales  fondo,  reparaciones</w:t>
        <w:br/>
        <w:t>y costas. Finalmente, el Presidente solicitó al  Estado  prueba  para  mejor</w:t>
        <w:br/>
        <w:t>resolver.</w:t>
        <w:br/>
        <w:br/>
        <w:t>22.   El 22 de febrero  de  2006  la  Comisión  Interamericana  informó  que</w:t>
        <w:br/>
        <w:t>desistía del testimonio del señor Pedro Ramón Castro, quien “por motivos  de</w:t>
        <w:br/>
        <w:t>salud”  no  podía  cumplir  con  lo  solicitado  por  el  Presidente  en  su</w:t>
        <w:br/>
        <w:t>Resolución de 7 de febrero de 2006 (supra párr. 21).</w:t>
        <w:br/>
        <w:br/>
        <w:t>23.   Los días 23 y 24 de febrero de 2006 la Comisión y  los  representantes</w:t>
        <w:br/>
        <w:t>presentaron las declaraciones  y  los  dictámenes  rendidos  ante  fedatario</w:t>
        <w:br/>
        <w:t>público (affidávits) solicitadas por el Presidente (supra párr. 21).  El  10</w:t>
        <w:br/>
        <w:t>de marzo de 2006 la Comisión Interamericana remitió  la  declaración  jurada</w:t>
        <w:br/>
        <w:t>rendida por el perito Pieter Van Reenen.</w:t>
        <w:br/>
        <w:br/>
        <w:t>24.   El 23 de marzo de 2006 la Comisión informó que, por motivos de  fuerza</w:t>
        <w:br/>
        <w:t>mayor, la testigo Ana María González, convocada a comparecer ante  la  Corte</w:t>
        <w:br/>
        <w:t>Interamericana en audiencia pública (supra párr. 21), estaba  imposibilitada</w:t>
        <w:br/>
        <w:t>de trasladarse a la ciudad de Buenos Aires, por lo que no podría  rendir  su</w:t>
        <w:br/>
        <w:t>declaración testimonial. Por esta razón, la Comisión  solicitó  a  la  Corte</w:t>
        <w:br/>
        <w:t>que se le permita sustituir dicho  testimonio  por  el  del  señor  Giovanni</w:t>
        <w:br/>
        <w:t>Gaviria Velásquez. El 27 de marzo de 2006  los  representantes  manifestaron</w:t>
        <w:br/>
        <w:t>estar conformes con la solicitud de  la  Comisión.  El  Estado  no  presentó</w:t>
        <w:br/>
        <w:t>observaciones.</w:t>
        <w:br/>
        <w:br/>
        <w:t>25.   El 28 de marzo de 2006 la Corte Interamericana emitió una  Resolución,</w:t>
        <w:br/>
        <w:t>mediante la cual  admitió  la  sustitución  de  testigos  propuesta  por  la</w:t>
        <w:br/>
        <w:t>Comisión y decidió convocar al señor Giovanni  Gaviria  Velásquez  para  que</w:t>
        <w:br/>
        <w:t>rinda su testimonio en audiencia pública, en sustitución de  la  señora  Ana</w:t>
        <w:br/>
        <w:t>María González.</w:t>
        <w:br/>
        <w:br/>
        <w:t>26.   El 4 de abril de 2006 se celebró la audiencia pública en la ciudad  de</w:t>
        <w:br/>
        <w:t>Buenos Aires, Argentina, en  la  cual  comparecieron:  a)  por  la  Comisión</w:t>
        <w:br/>
        <w:t>Interamericana: Paulo Sergio Pinheiro y Santiago Canton,  Delegados;  Víctor</w:t>
        <w:br/>
        <w:t>H. Madrigal, Juan  Pablo  Albán,  Debora  Benchoam,  Lilly  Ching  y  Camilo</w:t>
        <w:br/>
        <w:t>Sánchez, Asesores; b) por los representantes: Liliana Ortega,  Carlos  Ayala</w:t>
        <w:br/>
        <w:t>Corao y Willy Chang, por COFAVIC, y Viviana  Krsticevic,  Tatiana  Rincón  y</w:t>
        <w:br/>
        <w:t>Pedro Díaz, por CEJIL, y  c)  por  el  Estado:  María  Auxiliadora  Monagas,</w:t>
        <w:br/>
        <w:t>Agente; Iskrey  Pérez,  Alis  Boscán  y  Boris  Bosio,  Asesores.  Asimismo,</w:t>
        <w:br/>
        <w:t>comparecieron el señor Giovanni Gavidia Velásquez, testigo ofrecido  por  la</w:t>
        <w:br/>
        <w:t>Comisión, y los señores  Nellys  María  Madriz  y  Arturo  Peraza,  testigos</w:t>
        <w:br/>
        <w:t>ofrecidos por los representantes. Durante la referida audiencia  pública  el</w:t>
        <w:br/>
        <w:t>Estado reconoció su responsabilidad  internacional  por  los  hechos,  y  se</w:t>
        <w:br/>
        <w:t>allanó a las pretensiones expuestas por la  Comisión  Interamericana  en  su</w:t>
        <w:br/>
        <w:t>demanda y por los representantes en su escrito de solicitudes y  argumentos.</w:t>
        <w:br/>
        <w:t>Durante la audiencia pública, el Estado presentó  un  escrito,  mediante  el</w:t>
        <w:br/>
        <w:t>cual  se  refirió  detalladamente  al  reconocimiento   de   responsabilidad</w:t>
        <w:br/>
        <w:t>internacional efectuado.</w:t>
        <w:br/>
        <w:br/>
        <w:t>27.   El 18  y  29  de  mayo  de  2006  la  Comisión  y  los  representantes</w:t>
        <w:br/>
        <w:t>presentaron sus alegatos finales escritos,  respectivamente.  El  Estado  no</w:t>
        <w:br/>
        <w:t>presentó alegatos finales.</w:t>
        <w:br/>
        <w:br/>
        <w:t>28.   El 25 de mayo de  2006  la  Secretaría,  siguiendo  instrucciones  del</w:t>
        <w:br/>
        <w:t>Presidente de la Corte, solicitó a  los  representantes  prueba  para  mejor</w:t>
        <w:br/>
        <w:t>resolver, parte de la cual fue remitida por éstos, después de  una  prórroga</w:t>
        <w:br/>
        <w:t>concedida, el 13 de junio de 2006. Ese mismo día, la Secretaría  solicitó  a</w:t>
        <w:br/>
        <w:t>los representantes que completaran la prueba para mejor  resolver  faltante,</w:t>
        <w:br/>
        <w:t>y solicitó al Estado nueva prueba para mejor resolver. Los días 13 y  21  de</w:t>
        <w:br/>
        <w:t>junio  de  2006  los  representantes,  luego  de  una  prorroga   concedida,</w:t>
        <w:br/>
        <w:t>presentaron parte de la prueba requerida.</w:t>
        <w:br/>
        <w:br/>
        <w:br/>
        <w:t xml:space="preserve">                                      V</w:t>
        <w:br/>
        <w:t xml:space="preserve">                           Consideraciones Previas</w:t>
        <w:br/>
        <w:br/>
        <w:t>29.   La Comisión Interamericana presentó en su demanda  un  listado  de  37</w:t>
        <w:br/>
        <w:t>presuntas víctimas de los hechos del presente caso, el cual coincide con  el</w:t>
        <w:br/>
        <w:t>listado contenido en su informe de admisibilidad y fondo  (supra  párr.  8).</w:t>
        <w:br/>
        <w:t>Los representantes, en su escrito de solicitudes  y  argumentos,  remitieron</w:t>
        <w:br/>
        <w:t>un listado con 31 presuntas víctimas, que coinciden con  las  señaladas  por</w:t>
        <w:br/>
        <w:t>la Comisión. Asimismo, los representantes identificaron a varios  familiares</w:t>
        <w:br/>
        <w:t>de 12 presuntas víctimas.  Posteriormente, en sus alegatos finales  escritos</w:t>
        <w:br/>
        <w:t>los  representantes  incluyeron  una  presunta  víctima  adicional,  que  no</w:t>
        <w:br/>
        <w:t>coincide  con  el  listado  inicial  presentado  por  la   Comisión,   y   a</w:t>
        <w:br/>
        <w:t>determinados familiares de seis presuntas víctimas.  Finalmente, en sus  dos</w:t>
        <w:br/>
        <w:t>escritos de prueba para mejor resolver (supra párr. 28), los  representantes</w:t>
        <w:br/>
        <w:t>identificaron a otros familiares de algunas presuntas víctimas.</w:t>
        <w:br/>
        <w:br/>
        <w:t>30.   Este Tribunal  utilizará  los  siguientes  criterios  para  definir  a</w:t>
        <w:br/>
        <w:t>quiénes considerará como presuntas víctimas y  familiares  de  éstas  en  el</w:t>
        <w:br/>
        <w:t>presente caso: a) la oportunidad procesal en que  fueron  identificados;  b)</w:t>
        <w:br/>
        <w:t>el allanamiento del Estado, y c) las características propias de este caso.</w:t>
        <w:br/>
        <w:br/>
        <w:t>31.   En tal sentido, la Corte considerará como presuntas víctimas a las  37</w:t>
        <w:br/>
        <w:t>personas que fueron identificadas por la Comisión en su demanda, así como  a</w:t>
        <w:br/>
        <w:t>los familiares de las  presuntas  víctimas  que  fueron  señalados  por  los</w:t>
        <w:br/>
        <w:t>representantes en su  escrito  de  solicitudes  y  argumentos  (infra  párr.</w:t>
        <w:br/>
        <w:t>60.26). Todo ello ocurrido con anterioridad a la contestación de la  demanda</w:t>
        <w:br/>
        <w:t>por parte del Estado y de su allanamiento.</w:t>
        <w:br/>
        <w:br/>
        <w:t>32.   Por otro lado, la Corte nota que ni la Comisión Interamericana ni  los</w:t>
        <w:br/>
        <w:t>representantes señalaron en sus  escrito  de  demanda  y  de  solicitudes  y</w:t>
        <w:br/>
        <w:t>argumentos, respectivamente, al señor Jesús  Rafael  Navarro  como  presunta</w:t>
        <w:br/>
        <w:t>víctima.  No  es  sino  hasta  el  escrito  de  alegatos  finales   de   los</w:t>
        <w:br/>
        <w:t>representantes, presentado con posterioridad  al  allanamiento  del  Estado,</w:t>
        <w:br/>
        <w:t>que se nombra a dicha persona y a  sus  familiares.  Los  representantes  no</w:t>
        <w:br/>
        <w:t>justificaron tal inclusión. Consecuentemente, el Tribunal no considerará  al</w:t>
        <w:br/>
        <w:t>señor Jesús Rafael Navarro y a sus familiares como presuntas víctimas en  el</w:t>
        <w:br/>
        <w:t>presente caso.</w:t>
        <w:br/>
        <w:br/>
        <w:t>33.   En cuanto a los  familiares  de  las  presuntas  víctimas  que  fueron</w:t>
        <w:br/>
        <w:t>individualizados por los representantes en su escrito de alegatos finales  y</w:t>
        <w:br/>
        <w:t>en sus escritos de prueba para mejor resolver, la  Corte  considera  que  si</w:t>
        <w:br/>
        <w:t>bien los representantes señalaron que tenían  “dificultades  para  ubicar  a</w:t>
        <w:br/>
        <w:t>todas las familias de las [presuntas] víctimas”[1], esta explicación  no  es</w:t>
        <w:br/>
        <w:t>suficiente.  La inclusión de nuevas  personas,  en  calidades  de  presuntas</w:t>
        <w:br/>
        <w:t>víctimas o familiares de éstas, luego de que el Estado  haya  contestado  la</w:t>
        <w:br/>
        <w:t>demanda,  debe  estar  plenamente  justificada,  en  aras  de  la  seguridad</w:t>
        <w:br/>
        <w:t>jurídica y el derecho de defensa del Estado, mas aún en el presente caso  en</w:t>
        <w:br/>
        <w:t>que  la  inclusión  de  nuevas  personas  se  dio  en  la  última  fase  del</w:t>
        <w:br/>
        <w:t>procedimiento ante  la  Corte  y  luego  del  allanamiento  del  Estado.  En</w:t>
        <w:br/>
        <w:t>consecuencia, no se analizarán en la presente Sentencia la situación de  los</w:t>
        <w:br/>
        <w:t>siguientes familiares:</w:t>
        <w:br/>
        <w:br/>
        <w:t xml:space="preserve">   a) Carlos Armando  Flores,  Mimina  Velásquez  de  Flores,  Josefa  María</w:t>
        <w:br/>
        <w:t xml:space="preserve">      Rodríguez de Velásquez, Iris Wuilmeri Flores Velásquez, Darwir Alberto</w:t>
        <w:br/>
        <w:t xml:space="preserve">      Coronado Velásquez, Karelia Nacari Coronado Velásquez y Deigli  Yanini</w:t>
        <w:br/>
        <w:t xml:space="preserve">      Flores Pellicer, familiares de Deyvis Armando Flores Velásquez;</w:t>
        <w:br/>
        <w:br/>
        <w:br/>
        <w:t xml:space="preserve">   b) Alpidia Ramos  de  Figueroa,  Juan  Cruz  Figueroa,  Rufino  Figueroa,</w:t>
        <w:br/>
        <w:t xml:space="preserve">      Sebastiana  Figueroa  Ramos,  Anicacio  Figueroa,  Rosalía   Margarita</w:t>
        <w:br/>
        <w:t xml:space="preserve">      Figueroa Ramos, José Figueroa, Nicolasa Figueroa Ramos, Calixta  María</w:t>
        <w:br/>
        <w:t xml:space="preserve">      Figueroa Ramos, María Gregoria Figueroa  Ramos,  Yanaiker  Figueroa  y</w:t>
        <w:br/>
        <w:t xml:space="preserve">      Junior Figueroa, familiares de Gabriel Antonio Figueroa Ramos;</w:t>
        <w:br/>
        <w:br/>
        <w:br/>
        <w:t xml:space="preserve">   c) Yudith Rizzo de  Henríquez,  Jaime  Henríquez,  Luz  Marina  Henríquez</w:t>
        <w:br/>
        <w:t xml:space="preserve">      Rizzo, Yutmar Azujai Ramos Rizzo, Kachira  Dayazu  Ramos  Henríquez  y</w:t>
        <w:br/>
        <w:t xml:space="preserve">      Armando José Ramos Henríquez, familiares  de  Jaime  Arturo  Henríquez</w:t>
        <w:br/>
        <w:t xml:space="preserve">      Rizzo;</w:t>
        <w:br/>
        <w:br/>
        <w:br/>
        <w:t xml:space="preserve">   d) Eladio Alexis Ayala Gualdron y Ayari  Ayala  Gualdron,  familiares  de</w:t>
        <w:br/>
        <w:t xml:space="preserve">      José León Ayala Gualdron;</w:t>
        <w:br/>
        <w:br/>
        <w:br/>
        <w:t xml:space="preserve">   e) Armanda Isabel Escobar  Rodríguez,  Ramón  José  Peña  Escobar,  Nancy</w:t>
        <w:br/>
        <w:t xml:space="preserve">      Isabel Peña y Enrique José Peña, familiares de Nancy Ramón Peña;</w:t>
        <w:br/>
        <w:br/>
        <w:br/>
        <w:t xml:space="preserve">   f) Pastora  Velásquez,  José  Gregorio  Gaviria,  José  Gregorio  Gavidia</w:t>
        <w:br/>
        <w:t xml:space="preserve">      Velásquez, Iraida Josefina Gavidia Velásquez, Nancy  Coromoto  Gavidia</w:t>
        <w:br/>
        <w:t xml:space="preserve">      Velásquez, Zoraida del Valle Gavidia Velásquez, Gisela Matilde Gavidia</w:t>
        <w:br/>
        <w:t xml:space="preserve">      Velásquez y Néstor Gavidia Zulbaran, familiares de Néstor Luis Gaviria</w:t>
        <w:br/>
        <w:t xml:space="preserve">      Velásquez, y</w:t>
        <w:br/>
        <w:br/>
        <w:t xml:space="preserve">   g) Luis Alberto Pérez Santoya, familiar de Wilcon Alberto Pérez Santoya.</w:t>
        <w:br/>
        <w:br/>
        <w:t>34.   En lo que  respecta  al  señor  Giovanni  Alfredo  Gavidia  Velásquez,</w:t>
        <w:br/>
        <w:t>hermano de Néstor Luis Gavidia Velásquez, la Corte constata que  aún  cuando</w:t>
        <w:br/>
        <w:t>los  representantes  no  lo  nombraron  en  su  escrito  de  solicitudes   y</w:t>
        <w:br/>
        <w:t>argumentos, fue  propuesto  por  ellos  como  testigo,  y  compareció  a  la</w:t>
        <w:br/>
        <w:t>audiencia pública celebrada en el presente caso (supra párr. 26), en la  que</w:t>
        <w:br/>
        <w:t>el Estado realizó su  allanamiento  y  pidió  disculpas  públicas  al  señor</w:t>
        <w:br/>
        <w:t>Gavidia por los hechos bajo análisis en esta  Sentencia  (infra  párr.  42).</w:t>
        <w:br/>
        <w:t>Por ello, el Tribunal lo considerará como familiar  de  la  citada  presunta</w:t>
        <w:br/>
        <w:t>víctima (infra párr. 60.26.29).</w:t>
        <w:br/>
        <w:br/>
        <w:t>35.   Por otro lado, el Tribunal nota que los representantes  no  remitieron</w:t>
        <w:br/>
        <w:t>la totalidad de la prueba para mejor  resolver  requerida  por  éste  (supra</w:t>
        <w:br/>
        <w:t>párr. 28). Por ello, no se cuenta con plena prueba de la  filiación  de  los</w:t>
        <w:br/>
        <w:t>siguientes familiares de presuntas víctimas:</w:t>
        <w:br/>
        <w:br/>
        <w:t xml:space="preserve">      a)    Wladimir  Martínez  y  Belkys  Martínez,  familiares  de  Alexis</w:t>
        <w:br/>
        <w:t xml:space="preserve">      Antonio Martínez Liébano.</w:t>
        <w:br/>
        <w:br/>
        <w:br/>
        <w:t xml:space="preserve">      b)    Envidia[2], familiar de Edgar José Peña Marín.</w:t>
        <w:br/>
        <w:br/>
        <w:br/>
        <w:t xml:space="preserve">      c)    Yolanda  Andrea  Gallardo,  familiar  de  Juan  Carlos  Saavedra</w:t>
        <w:br/>
        <w:t xml:space="preserve">      Rincón.</w:t>
        <w:br/>
        <w:br/>
        <w:br/>
        <w:t xml:space="preserve">      d)    Alexis Pérez, José  Gregorio  Pérez  y  Yomaris,  familiares  de</w:t>
        <w:br/>
        <w:t xml:space="preserve">      Wilcon Alberto Pérez Santoya.</w:t>
        <w:br/>
        <w:br/>
        <w:br/>
        <w:t xml:space="preserve">      e)    Maritza Rojas, Mireya del Carmen y Franlis  Marilis,  familiares</w:t>
        <w:br/>
        <w:t xml:space="preserve">      de Franklin Armas González.</w:t>
        <w:br/>
        <w:br/>
        <w:br/>
        <w:t xml:space="preserve">      f)    Silvia Elena, familiar de Henry Leonel Chirinos Hernández.</w:t>
        <w:br/>
        <w:br/>
        <w:br/>
        <w:t xml:space="preserve">      g)    Tiburcio Ayala Gualdron y Yelitza Figueroa, familiares  de  José</w:t>
        <w:br/>
        <w:t xml:space="preserve">      León Ayala Gualdron.</w:t>
        <w:br/>
        <w:br/>
        <w:t>36.   Al respecto, el Tribunal toma en  cuenta  que  tales  personas  fueron</w:t>
        <w:br/>
        <w:t>señaladas por los representantes en su escrito de solicitudes y  argumentos,</w:t>
        <w:br/>
        <w:t>con anterioridad a la contestación  a  la  demanda  y  al  allanamiento  del</w:t>
        <w:br/>
        <w:t>Estado,   es   decir   estuvieron   cubiertas    por    tal    allanamiento.</w:t>
        <w:br/>
        <w:t>Consecuentemente, esta Corte las considerará como  familiares  de  presuntas</w:t>
        <w:br/>
        <w:t>víctimas  (infra  párr.  60.26.1,  60.26.9,  60.26.25,  60.26.36,  60.26.11,</w:t>
        <w:br/>
        <w:t>60.26.13 y 60.26.22).</w:t>
        <w:br/>
        <w:br/>
        <w:br/>
        <w:t xml:space="preserve">                                     VI</w:t>
        <w:br/>
        <w:t xml:space="preserve">               Reconocimiento de Responsabilidad Internacional</w:t>
        <w:br/>
        <w:br/>
        <w:t>37.    A  continuación,  la  Corte   procede   a   pronunciarse   sobre   el</w:t>
        <w:br/>
        <w:t>reconocimiento de responsabilidad  internacional  efectuado  por  el  Estado</w:t>
        <w:br/>
        <w:t>(supra párr. 26).</w:t>
        <w:br/>
        <w:br/>
        <w:t>38.   El artículo 53.2 del Reglamento establece que:</w:t>
        <w:br/>
        <w:br/>
        <w:t xml:space="preserve">      [s]i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En 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t>39.   El Tribunal, en el ejercicio  de  sus  poderes  inherentes  de  tutela</w:t>
        <w:br/>
        <w:t>judicial internacional de los  derechos  humanos,  podrá  determinar  si  un</w:t>
        <w:br/>
        <w:t>reconocimiento de responsabilidad  internacional  efectuado  por  un  Estado</w:t>
        <w:br/>
        <w:t>demandado ofrece una base suficiente,  en  los  términos  de  la  Convención</w:t>
        <w:br/>
        <w:t>Americana,  para  continuar  o  no  con  el  conocimiento  del  fondo  y  la</w:t>
        <w:br/>
        <w:t>determinación de las eventuales reparaciones y costas. Para  estos  efectos,</w:t>
        <w:br/>
        <w:t>la Corte analizará la situación planteada en cada caso concreto[3].</w:t>
        <w:br/>
        <w:br/>
        <w:t>40.   El 4 de abril de 2006, al inicio de la  audiencia  pública  celebrada,</w:t>
        <w:br/>
        <w:t>el Estado manifestó, inter alia, lo siguiente:</w:t>
        <w:br/>
        <w:br/>
        <w:t xml:space="preserve">      El Estado venezolano el día de  hoy  ha  venido  a  esta  audiencia  a</w:t>
        <w:br/>
        <w:t xml:space="preserve">      expresar el reconocimiento de los hechos, a [...] honrar la memoria de</w:t>
        <w:br/>
        <w:t xml:space="preserve">      los fallecidos, a reconocer la verdad y a que  se  haga  justicia.  El</w:t>
        <w:br/>
        <w:t xml:space="preserve">      Estado asume como imperativo el reconocimiento de todos los hechos que</w:t>
        <w:br/>
        <w:t xml:space="preserve">      se le han imputado, es un allanamiento de carácter formal.</w:t>
        <w:br/>
        <w:br/>
        <w:t>41. Seguidamente a las manifestaciones  antes  reseñadas,  Venezuela  señaló</w:t>
        <w:br/>
        <w:t>expresamente,  ante  las  preguntas  que  le  fueran   formuladas   por   el</w:t>
        <w:br/>
        <w:t>Presidente, que: a) reconoce su responsabilidad por los hechos  que  figuran</w:t>
        <w:br/>
        <w:t>en la demanda y en el escrito de solicitudes y argumentos  en  cada  uno  de</w:t>
        <w:br/>
        <w:t>sus extremos, y b) se allana “totalmente”  y  sin  ninguna  salvedad  a  las</w:t>
        <w:br/>
        <w:t>pretensiones correspondientes,  en  todos  los  aspectos  contenidos  en  la</w:t>
        <w:br/>
        <w:t>demanda, incluidas las relativas a las reparaciones. El  Estado  indicó  que</w:t>
        <w:br/>
        <w:t>“no hay ningún  tipo  de  reserva  [en  el  allanamiento],  por  cuanto  los</w:t>
        <w:br/>
        <w:t>internos estaban bajo [su] responsabilidad”.</w:t>
        <w:br/>
        <w:br/>
        <w:t>42.   Posteriormente, el Estado ofreció disculpas públicas a los  familiares</w:t>
        <w:br/>
        <w:t>de las víctimas de este caso y solicitó a la Corte un minuto de silencio  en</w:t>
        <w:br/>
        <w:t>su memoria:</w:t>
        <w:br/>
        <w:br/>
        <w:br/>
        <w:t xml:space="preserve">      Señora Nelly Madrid y señor Gavidia, el Estado venezolano quiere hacer</w:t>
        <w:br/>
        <w:t xml:space="preserve">      un minuto de silencio en honor a la memoria  de  sus  familiares.  [El</w:t>
        <w:br/>
        <w:t xml:space="preserve">      Estado] lamenta[…] profundamente todas  las  vicisitudes  que  ustedes</w:t>
        <w:br/>
        <w:t xml:space="preserve">      pudieron haber pasado y todo el dolor que  han  sentido  a  través  de</w:t>
        <w:br/>
        <w:t xml:space="preserve">      estos años [...] porque  han  sido  trece  años  en  los  que  estaban</w:t>
        <w:br/>
        <w:t xml:space="preserve">      aspirando a que [se] realizara […] justicia. En este día […]el  Estado</w:t>
        <w:br/>
        <w:t xml:space="preserve">      venezolano tiene la voluntad plena de asumir  todas  las  imputaciones</w:t>
        <w:br/>
        <w:t xml:space="preserve">      que se le han hecho y reconocer y  resarcirles  de  alguna  manera  el</w:t>
        <w:br/>
        <w:t xml:space="preserve">      dolor que han padecido.</w:t>
        <w:br/>
        <w:br/>
        <w:t>43.   Durante la referida audiencia pública, en la etapa de presentación  de</w:t>
        <w:br/>
        <w:t>alegatos finales  orales,  la  Comisión  se  refirió  al  reconocimiento  de</w:t>
        <w:br/>
        <w:t>responsabilidad efectuado por el Estado y manifestó que</w:t>
        <w:br/>
        <w:br/>
        <w:t xml:space="preserve">      valora positivamente el reconocimiento  de  responsabilidad  efectuado</w:t>
        <w:br/>
        <w:t xml:space="preserve">      por el Estado de Venezuela en su declaración del día de la  fecha.  La</w:t>
        <w:br/>
        <w:t xml:space="preserve">      Comisión Interamericana constata que el Estado de Venezuela acepta  en</w:t>
        <w:br/>
        <w:t xml:space="preserve">      su totalidad los hechos del caso y las pretensiones de derecho, por lo</w:t>
        <w:br/>
        <w:t xml:space="preserve">      que solicita a la […] Corte que  los  tenga  por  establecidos  y  los</w:t>
        <w:br/>
        <w:t xml:space="preserve">      incluya en la sentencia de fondo en razón de  la  importancia  que  el</w:t>
        <w:br/>
        <w:t xml:space="preserve">      establecimiento de una verdad judicial de lo acontecido tiene para las</w:t>
        <w:br/>
        <w:t xml:space="preserve">      víctimas de violaciones a los derechos  humanos,  así  como  para  sus</w:t>
        <w:br/>
        <w:t xml:space="preserve">      familiares y en el presente caso para la sociedad venezolana.</w:t>
        <w:br/>
        <w:br/>
        <w:t>44.   Por  su  parte  los  representantes,  “al  igual  que  la  Comisión[,]</w:t>
        <w:br/>
        <w:t>reconoc[ieron] el  significado  que  tiene  el  allanamiento  hecho  por  el</w:t>
        <w:br/>
        <w:t>Estado” y solicitaron a la Corte que en su sentencia  se  pronunciara  sobre</w:t>
        <w:br/>
        <w:t>“el uso excesivo de la fuerza” por agentes de seguridad del Estado.</w:t>
        <w:br/>
        <w:br/>
        <w:t>45.   En el escrito presentado por el Estado durante  la  audiencia  pública</w:t>
        <w:br/>
        <w:t>(supra párr. 26), Venezuela señaló que:</w:t>
        <w:br/>
        <w:br/>
        <w:t xml:space="preserve">      [e]n lo que atañe al punto “a” del petitorio de la demanda  en  contra</w:t>
        <w:br/>
        <w:t xml:space="preserve">      del Estado venezolano presentada por  la  Comisión  Interamericana  de</w:t>
        <w:br/>
        <w:t xml:space="preserve">      Derechos Humanos ante [la] Corte, […] si bien luego de producirse  los</w:t>
        <w:br/>
        <w:t xml:space="preserve">      acontecimientos se iniciaron por  parte  de  las  autoridades  locales</w:t>
        <w:br/>
        <w:t xml:space="preserve">      competentes las averiguaciones del caso, hasta la fecha las mismas  no</w:t>
        <w:br/>
        <w:t xml:space="preserve">      han arrojado resultados  precisos  que  nos  lleven  a  establecer  la</w:t>
        <w:br/>
        <w:t xml:space="preserve">      identidad de los responsables de los delitos, ni la forma  en  que  se</w:t>
        <w:br/>
        <w:t xml:space="preserve">      produjeron, existiendo hasta ahora  un  retardo,  lo  cual  el  Estado</w:t>
        <w:br/>
        <w:t xml:space="preserve">      lamenta y reconoce[;]</w:t>
        <w:br/>
        <w:br/>
        <w:br/>
        <w:t xml:space="preserve">      [e]n lo que atañe al punto “b” del petitorio de la demanda,  […]  para</w:t>
        <w:br/>
        <w:t xml:space="preserve">      el momento en que se produjeron los hechos, la situación penitenciaria</w:t>
        <w:br/>
        <w:t xml:space="preserve">      en el Retén e Internado Judicial  “Los  Flores  de  Catia”  presentaba</w:t>
        <w:br/>
        <w:t xml:space="preserve">      graves fallas, las cuales fueron maximizadas por  los  hechos  que  se</w:t>
        <w:br/>
        <w:t xml:space="preserve">      suscitaron el día 27 de noviembre de 1992,  cuando  existió  una  gran</w:t>
        <w:br/>
        <w:t xml:space="preserve">      conmoción social a nivel nacional que influyó de  manera  determinante</w:t>
        <w:br/>
        <w:t xml:space="preserve">      en el desorden de la población penal. En este sentido, el  […]  Estado</w:t>
        <w:br/>
        <w:t xml:space="preserve">      venezolano  esgrime  que  en  la  actualidad  se  están  desarrollando</w:t>
        <w:br/>
        <w:t xml:space="preserve">      [p]olíticas [p]úblicas en pro de mejorar la  situación  penitenciaria,</w:t>
        <w:br/>
        <w:t xml:space="preserve">      destacando  el  Decreto  de  Emergencia   Carcelaria,   el   Plan   de</w:t>
        <w:br/>
        <w:t xml:space="preserve">      Humanización de las Cárceles y la promoción y divulgación a través  de</w:t>
        <w:br/>
        <w:t xml:space="preserve">      talleres de los [d]erechos  [h]umanos  de  las  personas  privadas  de</w:t>
        <w:br/>
        <w:t xml:space="preserve">      libertad. No obstante, el Estado tiene a bien reconocer  que  para  el</w:t>
        <w:br/>
        <w:t xml:space="preserve">      momento en  que  acontecieron  tan  lamentables  hechos  la  situación</w:t>
        <w:br/>
        <w:t xml:space="preserve">      carcelaria en el Retén e Internado Judicial “Los Flores de Catia”  era</w:t>
        <w:br/>
        <w:t xml:space="preserve">      precaria[;]</w:t>
        <w:br/>
        <w:br/>
        <w:br/>
        <w:t xml:space="preserve">      [e]n lo que atañe al punto “c” del petitorio de  la  demanda,  […]  si</w:t>
        <w:br/>
        <w:t xml:space="preserve">      bien es  cierto,  existe  un  retardo  en  la  investigación  procesal</w:t>
        <w:br/>
        <w:t xml:space="preserve">      producto del sistema Penal que se encontraba vigente para  el  momento</w:t>
        <w:br/>
        <w:t xml:space="preserve">      de los hechos, toda vez que al encontrarse las investigaciones  en  la</w:t>
        <w:br/>
        <w:t xml:space="preserve">      etapa sumarial, el acceso al expediente  por  parte  de  las  víctimas</w:t>
        <w:br/>
        <w:t xml:space="preserve">      estaba legalmente limitado. Para esa fecha el Código de Enjuiciamiento</w:t>
        <w:br/>
        <w:t xml:space="preserve">      Criminal establecía el secreto de las actas[,] lo que  impidió  a  las</w:t>
        <w:br/>
        <w:t xml:space="preserve">      partes conocer de las mismas para informarse de  su  situación.  Ahora</w:t>
        <w:br/>
        <w:t xml:space="preserve">      bien[,] con la entrada en vigencia del Código Orgánico Procesal  Penal</w:t>
        <w:br/>
        <w:t xml:space="preserve">      esta situación fue solventada, tal y como reza  su  artículo  280,  al</w:t>
        <w:br/>
        <w:t xml:space="preserve">      permitir a las partes el libre acceso a las actuaciones que rielan  en</w:t>
        <w:br/>
        <w:t xml:space="preserve">      el [e]xpediente [, y] (resaltados omitidos)</w:t>
        <w:br/>
        <w:br/>
        <w:br/>
        <w:t xml:space="preserve">      [e]n lo que atañe al  punto  “d”  del  petitorio  de  la  demanda,  se</w:t>
        <w:br/>
        <w:t xml:space="preserve">      reconoce que ciertamente para el momento en que ocurrieron los hechos,</w:t>
        <w:br/>
        <w:t xml:space="preserve">      la legislación permitía que  tribunales  con  competencias  especiales</w:t>
        <w:br/>
        <w:t xml:space="preserve">      como la militar,  conocieran  de  casos  de  violaciones  de  derechos</w:t>
        <w:br/>
        <w:t xml:space="preserve">      humanos. Pese a ello, en la actualidad con la entrada en  vigencia  de</w:t>
        <w:br/>
        <w:t xml:space="preserve">      la Constitución de la República Bolivariana de Venezuela de  1999,  se</w:t>
        <w:br/>
        <w:t xml:space="preserve">      limita el conocimiento de estos asuntos a los  tribunales  ordinarios,</w:t>
        <w:br/>
        <w:t xml:space="preserve">      tal y como lo establece el artículo 25 eiusdem, al estipular  que  con</w:t>
        <w:br/>
        <w:t xml:space="preserve">      relación a las violaciones de derechos humanos y los delitos  de  lesa</w:t>
        <w:br/>
        <w:t xml:space="preserve">      humanidad estos serán  investigados  y  juzgados  por  los  tribunales</w:t>
        <w:br/>
        <w:t xml:space="preserve">      ordinarios,  lo  que  elimina  toda   posibilidad   de   ventilar   en</w:t>
        <w:br/>
        <w:t xml:space="preserve">      jurisdicciones especiales delitos de tal naturaleza,  evidenciando  de</w:t>
        <w:br/>
        <w:t xml:space="preserve">      este modo el que el cambio  legislativo  solicitado  por  la  Comisión</w:t>
        <w:br/>
        <w:t xml:space="preserve">      Interamericana de Derechos Humanos fue tomado en cuenta.</w:t>
        <w:br/>
        <w:br/>
        <w:t>46.   Por otro lado, el  Tribunal  observa  que  el  Estado  realizó  varias</w:t>
        <w:br/>
        <w:t>manifestaciones   durante   el   trámite   del   caso   ante   la   Comisión</w:t>
        <w:br/>
        <w:t>Interamericana, consideradas por  ese  órgano  como  reconocimientos  de  su</w:t>
        <w:br/>
        <w:t>responsabilidad internacional  por  los  hechos  y  las  violaciones  a  los</w:t>
        <w:br/>
        <w:t>derechos alegadas por los peticionarios. En la demanda la Comisión  solicitó</w:t>
        <w:br/>
        <w:t>a la Corte “tomar nota del reconocimiento de los hechos y la  aceptación  de</w:t>
        <w:br/>
        <w:t>responsabilidad” efectuado por  el  Estado  y  que  los  alcances  de  dicho</w:t>
        <w:br/>
        <w:t>reconocimiento sean  recogidos  en  la  sentencia  correspondiente.  En  sus</w:t>
        <w:br/>
        <w:t>alegatos finales escritos la Comisión señaló que el  allanamiento  efectuado</w:t>
        <w:br/>
        <w:t>por el Estado ante la Corte constituye [una] ratificación  y  ampliación  de</w:t>
        <w:br/>
        <w:t>los reconocimientos  de  responsabilidad  internacional  efectuados  por  el</w:t>
        <w:br/>
        <w:t>Estado durante el trámite del caso ante la  Comisión  el  1  de  octubre  de</w:t>
        <w:br/>
        <w:t>1999, el 3 de marzo de 2000 y el 27 de marzo de 2003”.</w:t>
        <w:br/>
        <w:br/>
        <w:t>47.   En efecto, el 3 de marzo de 2000,  durante  el  trámite  del  presente</w:t>
        <w:br/>
        <w:t>caso ante la Comisión, Venezuela reconoció su responsabilidad  internacional</w:t>
        <w:br/>
        <w:t>en el marco de una reunión celebrada entre el Estado,  los  peticionarios  y</w:t>
        <w:br/>
        <w:t>representantes de la Comisión Interamericana. En  el  acuerdo  suscrito  por</w:t>
        <w:br/>
        <w:t>las partes ese día el Estado reconoció que “incumplió en  perjuicio  de  las</w:t>
        <w:br/>
        <w:t>víctimas del  presente  caso  los  siguientes  artículos  de  la  Convención</w:t>
        <w:br/>
        <w:t>Americana: 1[.1], 2, 4, 5, 8, y 25 y que  como  consecuencia  de  ello  hubo</w:t>
        <w:br/>
        <w:t>retardo  y  denegación  de   justicia   para   la   determinación   de   las</w:t>
        <w:br/>
        <w:t>circunstancias,  los  hechos,  las  personas  que  fallecieron  y   de   los</w:t>
        <w:br/>
        <w:t>responsables  de  este  caso”.  Sin  embargo,  luego  de  cuatro   años   de</w:t>
        <w:br/>
        <w:t>negociaciones, el 18 de mayo de 2004 el Estado presentó un escrito  ante  la</w:t>
        <w:br/>
        <w:t>Comisión Interamericana, mediante el cual  “desconoc[ió]  y  rechaz[ó]  como</w:t>
        <w:br/>
        <w:t>inoponible” al Estado el acuerdo amistoso celebrado el 3 de marzo de 2000.</w:t>
        <w:br/>
        <w:br/>
        <w:t>48.   Al momento de emitir el informe de Admisibilidad y Fondo (supra  párr.</w:t>
        <w:br/>
        <w:t>8), la Comisión Interamericana analizó  la  actitud  del  Estado  frente  al</w:t>
        <w:br/>
        <w:t>acuerdo amistoso celebrado el 3 de marzo de 2000 y consideró  que  la  misma</w:t>
        <w:br/>
        <w:t>“[…] estableci[ó] una incongruencia inexplicable con su  posición  previa  y</w:t>
        <w:br/>
        <w:t>desconoc[ió] los esfuerzos que, durante varios años,  desplegó  la  Comisión</w:t>
        <w:br/>
        <w:t>en cumplimiento de su misión conciliadora”.  Asimismo,  la  Comisión  estimó</w:t>
        <w:br/>
        <w:t>que el Estado había “reconocido la veracidad de los hechos ocurridos  en  el</w:t>
        <w:br/>
        <w:t>Retén  de  Catia  y  sus  correspondiente  responsabilidad   en   reiteradas</w:t>
        <w:br/>
        <w:t>oportunidades durante la tramitación del presente caso”.</w:t>
        <w:br/>
        <w:br/>
        <w:t>49.   Conforme con su jurisprudencia esta Corte considera que un Estado  que</w:t>
        <w:br/>
        <w:t>ha adoptado una determinada posición, la cual produce efectos jurídicos,  no</w:t>
        <w:br/>
        <w:t>puede luego, en virtud del principio del estoppel, asumir otra conducta  que</w:t>
        <w:br/>
        <w:t>sea contradictoria con la primera y que cambie el estado  de  las  cosas  en</w:t>
        <w:br/>
        <w:t>base al cual se guió la otra parte[4]. El desconocimiento realizado  por  el</w:t>
        <w:br/>
        <w:t>Estado del acuerdo suscrito entre éste y los peticionarios el 3 de marzo  de</w:t>
        <w:br/>
        <w:t>2000  y  del  reconocimiento  de  responsabilidad  internacional   por   las</w:t>
        <w:br/>
        <w:t>violaciones alegadas durante el trámite ante la Comisión contenido en  dicho</w:t>
        <w:br/>
        <w:t>acuerdo y en otras manifestaciones del Estado  no  procedía  en  virtud  del</w:t>
        <w:br/>
        <w:t>referido  principio  del  estoppel,  por  lo  que   el   reconocimiento   de</w:t>
        <w:br/>
        <w:t>responsabilidad mantenía plenos efectos jurídicos.</w:t>
        <w:br/>
        <w:br/>
        <w:t xml:space="preserve">   i) Respecto a la excepción preliminar presentada por el Estado</w:t>
        <w:br/>
        <w:br/>
        <w:t>50.    Al  haber  efectuado  un  reconocimiento  de  responsabilidad  en  el</w:t>
        <w:br/>
        <w:t>presente caso, el Estado ha aceptado la plena competencia de la  Corte  para</w:t>
        <w:br/>
        <w:t>conocer del mismo[5], y ha renunciado tácitamente a su excepción  preliminar</w:t>
        <w:br/>
        <w:t>(supra párr. 16).</w:t>
        <w:br/>
        <w:br/>
        <w:t xml:space="preserve">  ii) Reconocimiento del Estado en cuanto a los hechos</w:t>
        <w:br/>
        <w:br/>
        <w:t>51.   El Tribunal considera que ha cesado la controversia sobre  los  hechos</w:t>
        <w:br/>
        <w:t>alegados en la demanda, los cuales  se  tienen  por  establecidos  según  el</w:t>
        <w:br/>
        <w:t>párrafo 60 de esta Sentencia.</w:t>
        <w:br/>
        <w:br/>
        <w:t xml:space="preserve"> iii) Allanamiento del Estado en cuanto a las pretensiones de derecho.</w:t>
        <w:br/>
        <w:br/>
        <w:t>52.    La  Corte  considera  pertinente   admitir   el   reconocimiento   de</w:t>
        <w:br/>
        <w:t>responsabilidad internacional efectuado por el Estado por  la  violación  de</w:t>
        <w:br/>
        <w:t>los derechos consagrados en los artículos 4.1 (Derecho a la  Vida),  y  5.1,</w:t>
        <w:br/>
        <w:t>5.2 y 5.4 (Derecho a la Integridad Personal) de la Convención Americana,  en</w:t>
        <w:br/>
        <w:t>relación con el artículo 1.1 de la misma, en perjuicio de  las  37  personas</w:t>
        <w:br/>
        <w:t>señaladas en  el  párrafo  60.26  de  la  presente  Sentencia,  por  el  uso</w:t>
        <w:br/>
        <w:t>desproporcionado de la fuerza del que fueron víctimas, por  las  condiciones</w:t>
        <w:br/>
        <w:t>de detención a las que fueron sometidas durante el tiempo  de  reclusión  en</w:t>
        <w:br/>
        <w:t>el Retén de Catia, y por  la  falta  de  clasificación  entre  procesados  y</w:t>
        <w:br/>
        <w:t>condenados.</w:t>
        <w:br/>
        <w:br/>
        <w:t>53.   Asimismo, este Tribunal admite el  reconocimiento  de  responsabilidad</w:t>
        <w:br/>
        <w:t>realizado por el Estado por la violación de los derechos consagrados en  los</w:t>
        <w:br/>
        <w:t>artículos  5.1  (Derecho  a  la   Integridad   Personal),   8.1   (Garantías</w:t>
        <w:br/>
        <w:t>Judiciales) y 25  (Protección  Judicial)  de  la  Convención  Americana,  en</w:t>
        <w:br/>
        <w:t>relación con el artículo 1.1 de la misma, en perjuicio de los familiares  de</w:t>
        <w:br/>
        <w:t>las víctimas, quienes se encuentran individualizados en el párrafo 60.26  de</w:t>
        <w:br/>
        <w:t>la presente Sentencia, por los sufrimientos que padecieron, por la falta  de</w:t>
        <w:br/>
        <w:t>debida diligencia en el proceso de investigación de los  hechos  y  por  los</w:t>
        <w:br/>
        <w:t>obstáculos que tuvieron para acceder a los expedientes judiciales internos.</w:t>
        <w:br/>
        <w:br/>
        <w:t>54.   Finalmente, la  Corte  admite  el  reconocimiento  de  responsabilidad</w:t>
        <w:br/>
        <w:t>realizado por el Estado por el incumplimiento de la obligación impuesta  por</w:t>
        <w:br/>
        <w:t>el artículo 2 de la Convención Americana, por no suprimir de su  legislación</w:t>
        <w:br/>
        <w:t>las disposiciones que atribuyen a los tribunales militares competencia  para</w:t>
        <w:br/>
        <w:t>investigar  violaciones  a  derechos  humanos  cometidas  por   la   Guardia</w:t>
        <w:br/>
        <w:t>Nacional, y por no haber desarrollado políticas  tendientes  a  reformar  el</w:t>
        <w:br/>
        <w:t>sistema penitenciario para profesionalizarlo, con el fin  de  garantizar  la</w:t>
        <w:br/>
        <w:t>seguridad en dichos establecimientos.</w:t>
        <w:br/>
        <w:br/>
        <w:t>55.   En cuanto a la alegada violación del derecho a  la  verdad,  la  Corte</w:t>
        <w:br/>
        <w:t>estima que éste no es un derecho autónomo consagrado  en  los  artículos  8,</w:t>
        <w:br/>
        <w:t>13, 25 y 1.1 de la Convención, como fuera señalado por  los  representantes,</w:t>
        <w:br/>
        <w:t>y por lo tanto no homologa el reconocimiento de responsabilidad  del  Estado</w:t>
        <w:br/>
        <w:t>en este punto. El derecho a la verdad se encuentra subsumido en  el  derecho</w:t>
        <w:br/>
        <w:t>de la víctima o sus familiares a obtener  de  los  órganos  competentes  del</w:t>
        <w:br/>
        <w:t>Estado el esclarecimiento de los hechos violatorios y las  responsabilidades</w:t>
        <w:br/>
        <w:t>correspondientes, a través de la investigación y el juzgamiento efectivo  de</w:t>
        <w:br/>
        <w:t>los responsables[6].</w:t>
        <w:br/>
        <w:br/>
        <w:t xml:space="preserve">    iv)    Allanamiento del Estado  en  cuanto  a  las  pretensiones  sobre</w:t>
        <w:br/>
        <w:t xml:space="preserve">           reparaciones</w:t>
        <w:br/>
        <w:br/>
        <w:t>56.   La Corte considera que debe admitirse el allanamiento  del  Estado  en</w:t>
        <w:br/>
        <w:t>cuanto a las pretensiones sobre reparaciones  presentadas  por  la  Comisión</w:t>
        <w:br/>
        <w:t>Interamericana y los representantes, las cuales se encuentran detalladas  en</w:t>
        <w:br/>
        <w:t>el Capítulo XI de la presente Sentencia.</w:t>
        <w:br/>
        <w:br/>
        <w:t xml:space="preserve">                                      *</w:t>
        <w:br/>
        <w:br/>
        <w:t>57.    La  Corte  considera  que  el   reconocimiento   de   responsabilidad</w:t>
        <w:br/>
        <w:t>internacional efectuado por el Estado durante  el  procedimiento  ante  este</w:t>
        <w:br/>
        <w:t>Tribunal constituye un avance importante al desarrollo de este proceso  y  a</w:t>
        <w:br/>
        <w:t>la vigencia de los principios que inspiran la Convención Americana.</w:t>
        <w:br/>
        <w:br/>
        <w:t>58.   El reconocimiento de los hechos y allanamiento que  efectuó  Venezuela</w:t>
        <w:br/>
        <w:t>en relación con las pretensiones sobre el fondo y  las  reparaciones  de  la</w:t>
        <w:br/>
        <w:t>Comisión Interamericana y de los representantes constituye sin duda  uno  de</w:t>
        <w:br/>
        <w:t>los más amplios de los que se tenga noticia en el  Tribunal  Interamericano.</w:t>
        <w:br/>
        <w:t>Si bien no subsisten  contiendas  sobre  dichos  hechos  y  las  respectivas</w:t>
        <w:br/>
        <w:t>pretensiones y pruebas  aportadas  por  las  partes  demandantes,  la  Corte</w:t>
        <w:br/>
        <w:t>considera acertado, como lo ha hecho en otros casos[7],  en  atención  a  la</w:t>
        <w:br/>
        <w:t>memoria histórica y  como  una  forma  de  reparación,  abrir  la  siguiente</w:t>
        <w:br/>
        <w:t>sección, en la cual se resumen las declaraciones de los testigos  y  peritos</w:t>
        <w:br/>
        <w:t>rendidas en este caso (infra  párr. 59). Posteriormente, la Corte  procederá</w:t>
        <w:br/>
        <w:t>a establecer los hechos del presente caso (infra  párr.  60)  y  a  precisar</w:t>
        <w:br/>
        <w:t>ciertas violaciones a los artículos 4, 5, 8, 25, 1.1 y 2  de  la  Convención</w:t>
        <w:br/>
        <w:t>que han sido reconocidas por el Estado (infra Capítulos VIII, IX y X),  para</w:t>
        <w:br/>
        <w:t>lo cual no resumirá las alegaciones de las partes,  en  la  inteligencia  de</w:t>
        <w:br/>
        <w:t>que las mismas fueron aceptadas por el Estado.</w:t>
        <w:br/>
        <w:br/>
        <w:t>59.   A continuación el Tribunal resume los testimonios  presentados  en  el</w:t>
        <w:br/>
        <w:t>presente caso.  Estos  testimonios  y  declaraciones  fueron  rendidos  ante</w:t>
        <w:br/>
        <w:t>fedatario público (supra  párr.  23)  y  ante  la  Corte  Interamericana  en</w:t>
        <w:br/>
        <w:t>audiencia pública (supra párr. 26).</w:t>
        <w:br/>
        <w:br/>
        <w:t xml:space="preserve">             A)    Declaraciones rendidas ante fedatario público</w:t>
        <w:br/>
        <w:br/>
        <w:t xml:space="preserve">      a)    Declaración de Carmen Yolanda Pérez Santoya, hermana  de  Wilcon</w:t>
        <w:br/>
        <w:t xml:space="preserve">           Alberto Pérez Santoya</w:t>
        <w:br/>
        <w:br/>
        <w:t>La testigo  indicó  que  era  ella  “la  que  estaba  pendiente  de  [Wilcon</w:t>
        <w:br/>
        <w:t>Alberto]”, quien estaba recluido en un lugar “horrible,  veía  muchas  cosas</w:t>
        <w:br/>
        <w:t>malas”. Lo visitaba dos veces por semana, los miércoles y  domingos,  visita</w:t>
        <w:br/>
        <w:t>que duraba desde las ocho de la mañana hasta las tres de la tarde.</w:t>
        <w:br/>
        <w:br/>
        <w:t>Se encontraba en su casa cuando sucedieron los ataques contra  los  internos</w:t>
        <w:br/>
        <w:t>del Retén de Catia. Se enteró  por  una  comadre  que  a  Wilcon  lo  habían</w:t>
        <w:br/>
        <w:t>asesinado, ya que unos muchachos que estaban con su hermano en el  Retén  de</w:t>
        <w:br/>
        <w:t>Catia le avisaron. Cuando sucedió este ataque muchos  familiares  estaban  a</w:t>
        <w:br/>
        <w:t>las afueras de dicho retén “gritando  y  llamando  a  sus  familiares”.  Los</w:t>
        <w:br/>
        <w:t>policías les ordenaron retirarse de las afueras del  Retén.  Los  familiares</w:t>
        <w:br/>
        <w:t>presentes no podían acercarse porque les disparaban.</w:t>
        <w:br/>
        <w:br/>
        <w:t>Confirmó la noticia de muerte de su hermano cuando  el  muchacho  que  había</w:t>
        <w:br/>
        <w:t>avisado a su comadre les  grito  desde  adentro  del  retén  “mira  Yolanda,</w:t>
        <w:br/>
        <w:t>mataron a Wilcon”. Luego, este muchacho le contó que su hermano se  asomó  a</w:t>
        <w:br/>
        <w:t>la  ventana  de  su  celda  y  le  dieron  un  tiro,  por   lo   que   murió</w:t>
        <w:br/>
        <w:t>instantáneamente. Fueron sus compañeros quienes llevaron  su  cuerpo  a  los</w:t>
        <w:br/>
        <w:t>vehículos que salían hacia la morgue para evitar  que  lo  lanzaran  al  río</w:t>
        <w:br/>
        <w:t>Guaire, como lanzaron a muchos.</w:t>
        <w:br/>
        <w:br/>
        <w:t>La testigo comenzó a buscarlo en todas las morgues de la  ciudad  porque  no</w:t>
        <w:br/>
        <w:t>sabía exactamente a dónde lo habían llevado. Un  familiar  de  otro  interno</w:t>
        <w:br/>
        <w:t>que había muerto les dijo que fueran a la morgue de Los Teques,  y  ahí  fue</w:t>
        <w:br/>
        <w:t>donde  lo  encontraron  después  de  cinco  días  de  búsqueda.  Quienes  lo</w:t>
        <w:br/>
        <w:t>reconocieron dijeron que estaba hinchado y tenía un impacto de  bala  en  la</w:t>
        <w:br/>
        <w:t>cabeza. No recibieron colaboración del Estado en la búsqueda.</w:t>
        <w:br/>
        <w:br/>
        <w:t>La muerte de su hermano la afectó mucho pues  siempre  estaba  pendiente  de</w:t>
        <w:br/>
        <w:t>él. Su madre también se vio afectada, ella se quería “tirar a los  carros  y</w:t>
        <w:br/>
        <w:t>matar”. Su madre ya no trabaja, y dos hermanos la sostienen  económicamente.</w:t>
        <w:br/>
        <w:t>Wilcon tenía una niña de meses pero no tuvo su apellido.</w:t>
        <w:br/>
        <w:br/>
        <w:t xml:space="preserve">      b)    Declaración de Nazario Ruiz,  hermano  de  Inocencio  José  Ruiz</w:t>
        <w:br/>
        <w:t>Durán</w:t>
        <w:br/>
        <w:br/>
        <w:t>En  la  época  en  que  fue  detenido  Inocencio  trabajaba  como  mensajero</w:t>
        <w:br/>
        <w:t>motorizado y vivía con su madre, su compañera Xiomara del Carmen Uvan y  sus</w:t>
        <w:br/>
        <w:t>cuatro  hijos.  Su  hermano  Inocencio  estaba  acusado  del  robo  de   una</w:t>
        <w:br/>
        <w:t>motocicleta. Cuando murió llevaba recluido casi dos años y ya poseía  boleta</w:t>
        <w:br/>
        <w:t>de excarcelación. Inocencio estaba recluido en una celda pequeña, junto  con</w:t>
        <w:br/>
        <w:t>otros 20 reclusos. Esta celda tenía una ventana  que  daba  al  patio  y  no</w:t>
        <w:br/>
        <w:t>tenía baño, por lo que la mayor parte del tiempo  los  reclusos  hacían  sus</w:t>
        <w:br/>
        <w:t>necesidades fisiológicas en bolsas que lanzaban al patio por la ventana.  Su</w:t>
        <w:br/>
        <w:t>hermano sufría desde los ocho años de  fuertes  dolores  de  cabeza.  En  el</w:t>
        <w:br/>
        <w:t>retén no le daban ningún  medicamento  para  esto,  ni  siquiera  había  una</w:t>
        <w:br/>
        <w:t>enfermería. Se solicitó que lo trasladaran a un lugar distinto, pero  no  lo</w:t>
        <w:br/>
        <w:t>concedieron.</w:t>
        <w:br/>
        <w:br/>
        <w:t>El 27 de noviembre de 1992 se enteraron de lo ocurrido en el retén a  través</w:t>
        <w:br/>
        <w:t>de  la  televisión.  Se  trasladaron  inmediatamente  a  la  cárcel,   cuyos</w:t>
        <w:br/>
        <w:t>alrededores estaban llenos de mujeres  y  hombres  desesperados  preguntando</w:t>
        <w:br/>
        <w:t>por sus familiares. Se veían muertos por las adyacencias  del  retén,  sobre</w:t>
        <w:br/>
        <w:t>todo hacia la quebrada que estaba  detrás  del  lugar,  donde  había  muchos</w:t>
        <w:br/>
        <w:t>cuerpos tirados. Los internos eran quienes gritaban lo que adentro pasaba  y</w:t>
        <w:br/>
        <w:t>a quienes habían matado.</w:t>
        <w:br/>
        <w:br/>
        <w:t>Transcurrieron tres días sin que lograran encontrar el cuerpo de su  hermano</w:t>
        <w:br/>
        <w:t>fallecido. Finalmente, lo hallaron en la morgue de  Bello  Monte.  Él  y  su</w:t>
        <w:br/>
        <w:t>padre entraron a reconocer el cadáver. Los cuerpos  estaban  tirados  en  el</w:t>
        <w:br/>
        <w:t>piso, unos sobre otros, su padre tuvo que  mover  a  varios  cadáveres  para</w:t>
        <w:br/>
        <w:t>poder identificar a su hermano Inocencio.</w:t>
        <w:br/>
        <w:br/>
        <w:t>Nunca abrieron un proceso penal, una averiguación ni  nada  por  el  estilo,</w:t>
        <w:br/>
        <w:t>“eso lo dejaron así en el olvido como si nunca hubiera pasado”. A  su  madre</w:t>
        <w:br/>
        <w:t>le afectó mucho lo sucedido y empezó a enfermarse. Su  madre  aun  lo  llora</w:t>
        <w:br/>
        <w:t>pues era su hijo menor y quien la acompañaba, él  estaba  siempre  pendiente</w:t>
        <w:br/>
        <w:t>de ella. Han pasado  trece  años  y  no  hay  responsables,  es  “vivir  con</w:t>
        <w:br/>
        <w:t>especulaciones de lo que allí sucedió y eso es una zozobra, es una  pregunta</w:t>
        <w:br/>
        <w:t>constante y es el dolor de su madre”. El testigo espera  que  los  escuchen,</w:t>
        <w:br/>
        <w:t>que haya verdadera justicia y que “pague quien  tenga  que  pagar  por  esas</w:t>
        <w:br/>
        <w:t>muertes”.</w:t>
        <w:br/>
        <w:br/>
        <w:t xml:space="preserve">      c)    Declaración de Mireya Ayala Gualdrón, hermana de José León Ayala</w:t>
        <w:br/>
        <w:t xml:space="preserve">           Gualdrón</w:t>
        <w:br/>
        <w:br/>
        <w:t>Su hermano José León estaba recluido en  el  Retén  de  Catia  con  su  otro</w:t>
        <w:br/>
        <w:t>hermano José Ángel Gualdrón, ambos estaban acusados  de  robo.  Ella  iba  a</w:t>
        <w:br/>
        <w:t>visitarlos cada semana con su mamá y  Calixta,  otra  de  sus  hermanas.  La</w:t>
        <w:br/>
        <w:t>testigo señaló que la visita a la cárcel “era horrible”. En la cárcel  había</w:t>
        <w:br/>
        <w:t>gusanos hasta en la entrada, afuera había basura y  los  baños  estaban  muy</w:t>
        <w:br/>
        <w:t>sucios. A las mujeres las requisaban, les  tocaban  los  senos,  les  hacían</w:t>
        <w:br/>
        <w:t>quitar la ropa y agacharse desnudas. Los internos recibían  las  visitas  en</w:t>
        <w:br/>
        <w:t>el pabellón, donde había un baño, “pero era de terror”. Ellos comían  en  el</w:t>
        <w:br/>
        <w:t>mismo pabellón. Su familia les  llevaba  comida  cruda  y  a  veces  cocida,</w:t>
        <w:br/>
        <w:t>también les llevaban dinero para  que  pudieran  comprar  cosas  dentro  del</w:t>
        <w:br/>
        <w:t>retén.</w:t>
        <w:br/>
        <w:br/>
        <w:t>Se enteraron de lo  que  había  sucedido  en  el  retén,  el  sábado  28  de</w:t>
        <w:br/>
        <w:t>noviembre de 1992, porque apareció una foto de su hermano en  el  periódico.</w:t>
        <w:br/>
        <w:t>Inmediatamente después,  su  hermano  Tiburcio,  Calixta  y  la  testigo  se</w:t>
        <w:br/>
        <w:t>trasladaron al Retén a ver a sus hermanos, pero ya habían sacado  de  ahí  a</w:t>
        <w:br/>
        <w:t>José Ángel. Seguidamente visitaron hospitales; primero al de los  Magallanes</w:t>
        <w:br/>
        <w:t>de Catia, luego a la morgue de Bello Monte y después Los Teques. Su  hermano</w:t>
        <w:br/>
        <w:t>Tiburcio entró al lugar donde tenían los cadáveres  intentando  reconocer  a</w:t>
        <w:br/>
        <w:t>José León, pero no lo encontró. Tiburcio “salió descompuesto”,  ya  que  los</w:t>
        <w:br/>
        <w:t>cadáveres estaban “tirados  en  el  piso”.  Finalmente,  fueron  a  Victorio</w:t>
        <w:br/>
        <w:t>Santaella y allá les dijeron que lo habían enterrado, lo  mismo  le  dijeron</w:t>
        <w:br/>
        <w:t>en la morgue de Los Teques.</w:t>
        <w:br/>
        <w:br/>
        <w:t>En el año 2005, con la asistencia de COFAVIC, regresaron a la morgue de  Los</w:t>
        <w:br/>
        <w:t>Teques y esta vez sí pudieron identificar a su  hermano.  Su  hermano  había</w:t>
        <w:br/>
        <w:t>recibido un disparo en la pierna y lo sacaron vivo del penal, lo tiraron  en</w:t>
        <w:br/>
        <w:t>un camión donde supuestamente se lo iban a llevar para auxiliarlo. Hasta  la</w:t>
        <w:br/>
        <w:t>fecha las autoridades no les han entregado el cadáver. Su  madre  quedó  muy</w:t>
        <w:br/>
        <w:t>afectada por lo ocurrido. El testigo aún sufre por  lo  sucedido  y  lamenta</w:t>
        <w:br/>
        <w:t>que no haya un lugar donde llevarle una vela o un ramo de flores.</w:t>
        <w:br/>
        <w:br/>
        <w:t xml:space="preserve">      d)    Declaración de Maria Auxiliadora Zerpa  de  Moreno,  hermana  de</w:t>
        <w:br/>
        <w:t xml:space="preserve">           Benjamín Eduardo Rodríguez</w:t>
        <w:br/>
        <w:br/>
        <w:t>Su hermano Benjamín tenía 20 años de edad cuando murió  durante  los  hechos</w:t>
        <w:br/>
        <w:t>ocurridos el 27 de noviembre de 1992 en el Retén de Catia.  Benjamín  estuvo</w:t>
        <w:br/>
        <w:t>recluido dos años en  dicho  centro  penitenciario,  aunque  nunca  tuvieron</w:t>
        <w:br/>
        <w:t>certeza sobre cuál fue el motivo de su detención. Para visitarlo tenían  que</w:t>
        <w:br/>
        <w:t>hacer una cola desde la madrugada y luego pasar  la  requisa,  la  cual  era</w:t>
        <w:br/>
        <w:t>verdaderamente terrible, se entraba  en  una  habitación  muy  pequeña,  ahí</w:t>
        <w:br/>
        <w:t>estaba una mujer que ordenaba quitarse la ropa, agacharse y pujar.</w:t>
        <w:br/>
        <w:br/>
        <w:t>Benjamín  estaba  en  el   pabellón   2.   Allí   había   muchos   internos,</w:t>
        <w:br/>
        <w:t>aproximadamente quince personas en un cuarto  muy  pequeño.  El  único  baño</w:t>
        <w:br/>
        <w:t>estaba en la misma celda. Su hermano fue golpeado varias  veces  durante  la</w:t>
        <w:br/>
        <w:t>detención, también recibió “perdigonzazos”, y la herida se  le  infectó,  ya</w:t>
        <w:br/>
        <w:t>que no dejaban que sus familiares le llevaran medicamentos. En el  retén  no</w:t>
        <w:br/>
        <w:t>había médicos ni  nada.  Benjamín  también  tuvo  una  infección  intestinal</w:t>
        <w:br/>
        <w:t>durante la detención y no recibió atención médica.</w:t>
        <w:br/>
        <w:br/>
        <w:t>Se enteró por unos vecinos que su hermano estaba muerto.  Los  internos  que</w:t>
        <w:br/>
        <w:t>se salvaron, como ya los conocían, empezaron a gritarles  “búsquenlo  en  la</w:t>
        <w:br/>
        <w:t>morgue”.</w:t>
        <w:br/>
        <w:br/>
        <w:t xml:space="preserve">      e)    Declaración de Inocenta del Valle Marín,  madre  de  Edgar  José</w:t>
        <w:br/>
        <w:t xml:space="preserve">           Peña Marín</w:t>
        <w:br/>
        <w:br/>
        <w:t>Su hijo Edgar tenía 22  años  cuando  lo  asesinaron,  su  causa  estaba  en</w:t>
        <w:br/>
        <w:t>investigación. Cuando la testigo iba a visitarlo recibía un trato muy  malo.</w:t>
        <w:br/>
        <w:t>Era completamente revisada, le ordenaban quitarse la ropa interior, pujar  y</w:t>
        <w:br/>
        <w:t>brincar.</w:t>
        <w:br/>
        <w:br/>
        <w:t>Las  condiciones  en  que  vivía  su  hijo  en  el  Retén  de  Catia   “eran</w:t>
        <w:br/>
        <w:t>espantosas”. El lugar olía a defecaciones y  orines,  a  aguas  negras.  Los</w:t>
        <w:br/>
        <w:t>muchachos detenidos no tenían  luz,  por  lo  que  ellos  mismos  hacían  la</w:t>
        <w:br/>
        <w:t>instalación de electricidad. Su hijo estaba  en  una  sala  de  observación.</w:t>
        <w:br/>
        <w:t>Allí tenían “como ciento y pico de hombres” durmiendo juntos  “como  sardina</w:t>
        <w:br/>
        <w:t>en lata” y no tenían baños. A veces la testigo  llevaba  comida  a  su  hijo</w:t>
        <w:br/>
        <w:t>cada ocho días, porque  la  comida  del  retén  era  muy  mala.  Durante  su</w:t>
        <w:br/>
        <w:t>detención, su hijo sufrió de amibiasis pero no recibió atención médica.  Los</w:t>
        <w:br/>
        <w:t>familiares tenían que llevar cosas para que los internos pudiesen curarse.</w:t>
        <w:br/>
        <w:br/>
        <w:t>Luego de enterarse de lo  sucedido  en  el  retén,  la  testigo  se  dirigió</w:t>
        <w:br/>
        <w:t>inmediatamente al  lugar.  Ahí  se  le  informó  que  aquellos  que  querían</w:t>
        <w:br/>
        <w:t>averiguar el paradero de sus familiares se debían dirigir a un hospital o  a</w:t>
        <w:br/>
        <w:t>la morgue. La testigo no consiguió a su hijo ni en  el  hospital  ni  en  la</w:t>
        <w:br/>
        <w:t>morgue. El miércoles 1 de diciembre de 1992 fue de visita al retén,  intentó</w:t>
        <w:br/>
        <w:t>llevarle comida a su hijo y todo lo que necesitaba. Uno  de  los  compañeros</w:t>
        <w:br/>
        <w:t>de su hijo la recibió y le dijo que le habían dado un tiro en  la  cabeza  y</w:t>
        <w:br/>
        <w:t>que supuestamente se lo había dado un funcionario que trabajaba allí.</w:t>
        <w:br/>
        <w:br/>
        <w:t>Con la asistencia de COFAVIC, acudió a la Fiscalía. Allí  tenían  una  lista</w:t>
        <w:br/>
        <w:t>de desaparecidos, pero su hijo no aparecía en ella. Luego la  llamaron  para</w:t>
        <w:br/>
        <w:t>decirle que lo habían enterrado en el cementerio de Los Teques, donde lo  ha</w:t>
        <w:br/>
        <w:t>visitado  para  llevarle  flores.  Sin  embargo  y  a  pesar  de  todas  las</w:t>
        <w:br/>
        <w:t>diligencias que han realizado, no sabe si realmente está allí  o  si  se  lo</w:t>
        <w:br/>
        <w:t>llevó el río Guaire. Su vida cambio desde que mataron a su hijo, ha sido  un</w:t>
        <w:br/>
        <w:t>dolor muy grande. No lo llegó a  ver,  ni  siquiera  para  darle  un  último</w:t>
        <w:br/>
        <w:t>adiós.</w:t>
        <w:br/>
        <w:br/>
        <w:t xml:space="preserve">      f)    Declaración de Douglas Rafael Liscano Urbina, ex interno</w:t>
        <w:br/>
        <w:br/>
        <w:t>Estuvo preso en el Retén de Catia desde  el  mes  de  abril  de  1988  hasta</w:t>
        <w:br/>
        <w:t>noviembre 1992. Esa prisión era  una  estructura  fría,  ningún  ser  humano</w:t>
        <w:br/>
        <w:t>debía pagar allí su condena. Contaba con cinco pabellones en un ala y  cinco</w:t>
        <w:br/>
        <w:t>en otra ala, norte y sur,  en  el  medio,  los  comedores,  y  un  internado</w:t>
        <w:br/>
        <w:t>pequeño donde metían a mayores y menores de edad. En cada  piso  había  diez</w:t>
        <w:br/>
        <w:t>celdas, en las cuales había catorce literas, por lo  que  cada  celda  tenía</w:t>
        <w:br/>
        <w:t>capacidad para 28 internos, pero en realidad hospedaba por lo menos de 60  a</w:t>
        <w:br/>
        <w:t>70 presos. Los internos estaban en el piso y hasta en el  baño  dormían.  En</w:t>
        <w:br/>
        <w:t>el patio había una cancha de deportes que no servía  porque  se  usaba  como</w:t>
        <w:br/>
        <w:t>basurero; los internos echaban sus desperdicios en el patio. Los que  hacían</w:t>
        <w:br/>
        <w:t>deporte se enfermaban.</w:t>
        <w:br/>
        <w:br/>
        <w:t>El pabellón donde estaba el testigo tenía como mínimo cuatrocientos  presos.</w:t>
        <w:br/>
        <w:t>Las celdas de aislamiento y castigo estaban  en  esa  sección.  Esas  celdas</w:t>
        <w:br/>
        <w:t>eran pequeñas y se mantenían en  un  horroroso  estado  de  suciedad.  Había</w:t>
        <w:br/>
        <w:t>muchas aguas negras filtradas. El comedor era grande, tenía sus banquitos  y</w:t>
        <w:br/>
        <w:t>estaba bien. La cocina era lo más malo que había en  ese  lugar,  todos  los</w:t>
        <w:br/>
        <w:t>alimentos que traían eran horribles. En la mañana les daban  “un  bollo  con</w:t>
        <w:br/>
        <w:t>mortadela y fororo sin leche”, nadie se  lo  comía.  Los  familiares  vieron</w:t>
        <w:br/>
        <w:t>como se hacia la comida y empezaron a traerla.</w:t>
        <w:br/>
        <w:br/>
        <w:t>En el pabellón 2 había una sala para abogados. Lo único  que  se  veía  bien</w:t>
        <w:br/>
        <w:t>era eso. Había visita conyugal los días miércoles. La  visita  conyugal  era</w:t>
        <w:br/>
        <w:t>en la celda. Era una celda de catorce literas,  catorce  mujeres  y  catorce</w:t>
        <w:br/>
        <w:t>hombres. Sus familiares le contaron que las  requisas  eran  malas,  que  se</w:t>
        <w:br/>
        <w:t>sobrepasaban con las mujeres y les hacían cosas inmorales.</w:t>
        <w:br/>
        <w:br/>
        <w:t>El personal encargado de la vigilancia estaba conformado  por  internos  del</w:t>
        <w:br/>
        <w:t>Ministerio de Justicia. Había alrededor de  doce  vigilantes  para  todo  el</w:t>
        <w:br/>
        <w:t>penal y dos para cada pabellón. El régimen disciplinario era malo. Cada  vez</w:t>
        <w:br/>
        <w:t>que había  lesionados  pagaba  todo  el  mundo.  Ellos  mismos  agarraban  y</w:t>
        <w:br/>
        <w:t>maltrataban a los internos, los llevaban al  castigo,  les  daban  golpes  y</w:t>
        <w:br/>
        <w:t>después que les pegaban les echaban agua  con  sal.  Los  vigilantes  usaban</w:t>
        <w:br/>
        <w:t>vigas, palos, cabillas, los parales de las camas, y con eso golpeaban a  los</w:t>
        <w:br/>
        <w:t>internos. Cuando la visita se retiraba,  los  funcionarios  trancaban  todas</w:t>
        <w:br/>
        <w:t>las puertas y pasaban número a los internos, después se metían a las  celdas</w:t>
        <w:br/>
        <w:t>y rompían todo lo  que  los  familiares  habían  traído:  las  sabanas,  las</w:t>
        <w:br/>
        <w:t>cortinas y la comida. Durante el  tiempo  que  el  testigo  estuvo  detenido</w:t>
        <w:br/>
        <w:t>nunca le hicieron un examen médico.</w:t>
        <w:br/>
        <w:br/>
        <w:t>Alrededor de las 5:00 de la mañana del día 27  de  noviembre  de  1992,  los</w:t>
        <w:br/>
        <w:t>internos estaban viendo por televisión al  Presidente  Carlos  Andrés  Pérez</w:t>
        <w:br/>
        <w:t>hablando del alzamiento militar y ahí fue cuando los del pabellón  empezaron</w:t>
        <w:br/>
        <w:t>a decir que cayó el gobierno. Los policías de la garita abrieron las  celdas</w:t>
        <w:br/>
        <w:t>y pedían dinero para dejar salir a los presos. Si los internos pagaban,  los</w:t>
        <w:br/>
        <w:t>dejaban salir y a los que no pagaron, los mataron. Ellos cobraban  la  fuga.</w:t>
        <w:br/>
        <w:t>Allí hubo una masacre, a los que asomaban la cabeza les daban un tiro en  la</w:t>
        <w:br/>
        <w:t>frente. Había francotiradores.</w:t>
        <w:br/>
        <w:br/>
        <w:t>Como a las 10 u 11 de la mañana  los  policías  vieron  los  huecos  que  se</w:t>
        <w:br/>
        <w:t>habían cavado y para justificar que  la  gente  se  fugó  mataron  a  muchos</w:t>
        <w:br/>
        <w:t>presos. Todo esto duró casi dos días. Disparaban hacía dentro desde la  zona</w:t>
        <w:br/>
        <w:t>2 para matar a los internos. Todos estaban aterrados, por  lo  que  pusieron</w:t>
        <w:br/>
        <w:t>candado a la puerta. Los  policías  de  la  zona  2,  los  vigilantes  y  el</w:t>
        <w:br/>
        <w:t>director del retén estaban matando a  los  presos  con  ametralladoras.  Los</w:t>
        <w:br/>
        <w:t>internos le gritaban a los familiares “llamen a  los  derechos  humanos  que</w:t>
        <w:br/>
        <w:t>nos están matando”. La Guardia  Nacional  tomó  el  penal  cuando  se  había</w:t>
        <w:br/>
        <w:t>acabado todo. Ellos no dispararon, ellos fueron los que  trasladaron  a  los</w:t>
        <w:br/>
        <w:t>internos. A los heridos los mataban en la escalera, les decían que  salieran</w:t>
        <w:br/>
        <w:t>para llevarlos al hospital, pero  los  llevaban  y  los  mataban.  Ellos  no</w:t>
        <w:br/>
        <w:t>querían tener testigos. Los internos que habían sido heridos nunca  tuvieron</w:t>
        <w:br/>
        <w:t>asistencia, la asistencia que tuvieron se la dieron los propios internos.</w:t>
        <w:br/>
        <w:br/>
        <w:t>Pudo hablar  con  su  familia  a  las  tres  semanas  de  lo  sucedido.  Sus</w:t>
        <w:br/>
        <w:t>familiares estaban confundidos porque no sabían quien estaba  vivo  y  quien</w:t>
        <w:br/>
        <w:t>estaba muerto.  El  testigo  no  conoce  investigación  alguna  sobre  estos</w:t>
        <w:br/>
        <w:t>hechos.</w:t>
        <w:br/>
        <w:br/>
        <w:t xml:space="preserve">      g)    Declaración de Osmar Guillermo Martínez Rivas, ex interno</w:t>
        <w:br/>
        <w:br/>
        <w:t>Cuando ocurrieron los hechos el testigo tenía  22  meses  allí,  desde  1991</w:t>
        <w:br/>
        <w:t>hasta mayo de 1993. El testigo se encontraba recluido  en  un  pabellón  que</w:t>
        <w:br/>
        <w:t>llamaban de “observación”, el cual estaba hacinado; por ejemplo,  él  estaba</w:t>
        <w:br/>
        <w:t>en una celda donde vivían  80  internos,  todos  dormían  en  el  suelo,  en</w:t>
        <w:br/>
        <w:t>colchones o pequeñas colchonetas. Este pabellón tenía  como  unos  40  x  40</w:t>
        <w:br/>
        <w:t>metros. El pabellón no tenía celdas, era un  sala  espaciosa  y  cada  quien</w:t>
        <w:br/>
        <w:t>tenía su espacio o comunidad. El testigo dormía en el  baño.  Dentro  de  la</w:t>
        <w:br/>
        <w:t>celda había un baño grande, que tenía tres huecos como pozos sépticos.</w:t>
        <w:br/>
        <w:br/>
        <w:t>Todos los pabellones en el Retén de  Catia  eran  peligrosos,  porque  había</w:t>
        <w:br/>
        <w:t>demasiado hacinamiento y demasiados presos. Había  internos  que  robaban  a</w:t>
        <w:br/>
        <w:t>los otros presos. En el pabellón que estaba había cuatro salas,  tenía  como</w:t>
        <w:br/>
        <w:t>cuatro celdas, cada una tenía como 80 presos.</w:t>
        <w:br/>
        <w:br/>
        <w:t>La comida la hacía él mismo, porque la del comedor era pésima. En  el  retén</w:t>
        <w:br/>
        <w:t>no había lugar donde practicar deportes porque el patio estaba  inundado  de</w:t>
        <w:br/>
        <w:t>porquería, eso daba asco. Había una  enfermería  aunque  el  médico  era  un</w:t>
        <w:br/>
        <w:t>preso. No había controles periódicos de salud,  ni  actividades  productivas</w:t>
        <w:br/>
        <w:t>que realizar,  no  había  talleres,  nada.  Había  una  biblioteca  pero  no</w:t>
        <w:br/>
        <w:t>funcionaba.</w:t>
        <w:br/>
        <w:br/>
        <w:t>Siempre hubo corrupción dentro  del  retén,  los  policías  quitaban  a  los</w:t>
        <w:br/>
        <w:t>internos su dinero por cualquier cosa. Para un traslado o para  ser  llevado</w:t>
        <w:br/>
        <w:t>a enfermería había que pagarles.</w:t>
        <w:br/>
        <w:br/>
        <w:t>El 27 de noviembre de 1992 “hubo plomo  y  bombas  de  gases  lacrimógenos”.</w:t>
        <w:br/>
        <w:t>Abrieron las puertas para que los internos salieran, pero  no  abrieron  las</w:t>
        <w:br/>
        <w:t>puertas de enfrente  y  en  eso,  muchos  salieron  brincando  las  paredes,</w:t>
        <w:br/>
        <w:t>entonces empezó “la matazón”. Fue cuando dijeron  que  los  internos  tenían</w:t>
        <w:br/>
        <w:t>libertad, pero eso era un engaño, lo  que  hicieron  fue  una  masacre.  Los</w:t>
        <w:br/>
        <w:t>internos eran custodiados por la Policía  Metropolitana,  ellos  fueron  los</w:t>
        <w:br/>
        <w:t>que intervinieron disparando desde las garitas. La  Guardia  Nacional  llegó</w:t>
        <w:br/>
        <w:t>“cuando se acabó la plomazón el 27 a la madrugada”, ya estaba  todo  calmado</w:t>
        <w:br/>
        <w:t>nosotros estábamos recogiendo los cadáveres y poniéndolos en  el  patio.  La</w:t>
        <w:br/>
        <w:t>Guardia Nacional llegó dando golpes  y  haciendo  traslados  de  gente  para</w:t>
        <w:br/>
        <w:t>todos lados. Todos los internos estaban desnudos en el patio, con la  cabeza</w:t>
        <w:br/>
        <w:t>agachada, en medio de aguas negras y gusanos. Pasaron toda la mañana  en  el</w:t>
        <w:br/>
        <w:t>patio, desde las 4 de la mañana hasta las 12 del medio día agachados  en  el</w:t>
        <w:br/>
        <w:t>patio.</w:t>
        <w:br/>
        <w:br/>
        <w:t xml:space="preserve">      h)    Declaración de Edgar José López Albujas, periodista</w:t>
        <w:br/>
        <w:br/>
        <w:t>Según el testigo, en las oportunidades en que la prensa ha  podido  ingresar</w:t>
        <w:br/>
        <w:t>a los penales y reportar lo que  allí  ocurre,  la  opinión  pública  se  ha</w:t>
        <w:br/>
        <w:t>enterado con horror de las deficiencias en cuanto a  infraestructura  física</w:t>
        <w:br/>
        <w:t>y dotación. Sobre lo primero es evidente el deterioro de  las  edificaciones</w:t>
        <w:br/>
        <w:t>que, en su mayoría, albergan el doble y hasta el triple de la capacidad.  El</w:t>
        <w:br/>
        <w:t>hacinamiento  ha  generado  la   utilización   de   espacios,   inicialmente</w:t>
        <w:br/>
        <w:t>concebidos para actividades de trabajo, estudio o recreación,  como  celdas,</w:t>
        <w:br/>
        <w:t>lo cual ha contribuido a  incrementar  el  ocio.  Las  aguas  negras  y  los</w:t>
        <w:br/>
        <w:t>hedores son características  comunes  y  las  señales  más  visibles  de  la</w:t>
        <w:br/>
        <w:t>insalubridad extrema en todas las cárceles  venezolanas.  Los  servicios  de</w:t>
        <w:br/>
        <w:t>alimentación y  atención  médica  son  muy  precarios  y  en  algunos  casos</w:t>
        <w:br/>
        <w:t>inexistentes.</w:t>
        <w:br/>
        <w:br/>
        <w:t>En 1993 el testigo acompañó a un juez penal a realizar una inspección en  el</w:t>
        <w:br/>
        <w:t>Retén de Catia. Pudo apreciar y mostrar a la opinión publica a través de  un</w:t>
        <w:br/>
        <w:t>reportaje  la  proliferación  de  drogas,  la  inmundicia   de   todas   las</w:t>
        <w:br/>
        <w:t>instalaciones, las dimensiones insólitas, un metro cuadrado, de  las  celdas</w:t>
        <w:br/>
        <w:t>de castigo donde, en esa oportunidad, permanecían dos reclusos, la  carencia</w:t>
        <w:br/>
        <w:t>de enfermería  y  medicamentos  esenciales,  así  como  la  insuficiencia  e</w:t>
        <w:br/>
        <w:t>incapacidad del personal de custodia, entre otras cosas.</w:t>
        <w:br/>
        <w:br/>
        <w:t>Respecto a los hechos ocurridos en la  madrugada  del  27  de  noviembre  de</w:t>
        <w:br/>
        <w:t>1992, escuchó detonaciones  provenientes  del  interior  de  la  Cárcel.  El</w:t>
        <w:br/>
        <w:t>testigo narra que en el ala norte de la  cárcel  yacían  amontonados  varias</w:t>
        <w:br/>
        <w:t>decenas de cadáveres semidesnudos. Muchos de los  cuerpos  sin  vida  tenían</w:t>
        <w:br/>
        <w:t>impactos de bala en la cabeza y el tórax. En los márgenes de la quebrada  La</w:t>
        <w:br/>
        <w:t>Línea, ubicada en la parte posterior de la cárcel y la cual desemboca en  el</w:t>
        <w:br/>
        <w:t>río Guaire, también pudo observar varios cadáveres con heridas causadas  con</w:t>
        <w:br/>
        <w:t>armas de fuego. El levantamiento  de  los  cadáveres  no  se  llevó  a  cabo</w:t>
        <w:br/>
        <w:t>inmediatamente, ya que hasta las seis de la  tarde  aun  permanecían  en  el</w:t>
        <w:br/>
        <w:t>mismo lugar. Los familiares de  los  fallecidos  no  recibieron  información</w:t>
        <w:br/>
        <w:t>suficiente y oportuna.</w:t>
        <w:br/>
        <w:br/>
        <w:t xml:space="preserve">      i)    Dictamen de Christopher Birkbeck, perito</w:t>
        <w:br/>
        <w:br/>
        <w:t>El perito describió la diversa normatividad existente en Venezuela  referida</w:t>
        <w:br/>
        <w:t>al uso de la fuerza vigente  en  1992,   en  la  cual  se  “hace  referencia</w:t>
        <w:br/>
        <w:t>general al uso de la fuerza, sin especificar  los  medios  que  podrían  ser</w:t>
        <w:br/>
        <w:t>utilizados”. Sobre el  particular,  resaltó  que  “muchos  funcionarios  del</w:t>
        <w:br/>
        <w:t>personal de custodia, eran incorporados sin un  entrenamiento  previo  sobre</w:t>
        <w:br/>
        <w:t>sus  responsabilidades  y  los  procedimientos  a  ser  adoptados  en  casos</w:t>
        <w:br/>
        <w:t>particulares” .</w:t>
        <w:br/>
        <w:br/>
        <w:t>Al hacer una evaluación de  la  actuación  de  los  agentes  gubernamentales</w:t>
        <w:br/>
        <w:t>durante los sucesos del 27 y 28 de noviembre de 1992, el perito destacó  que</w:t>
        <w:br/>
        <w:t>había cuatro categorías de comportamiento de los internos a considerarse  en</w:t>
        <w:br/>
        <w:t>el  establecimiento  del  orden:  i)  mantenerse  en  los  pabellones;   ii)</w:t>
        <w:br/>
        <w:t>deambular por el interior del Retén; iii)  intentar  fugarse  (o  lograr  la</w:t>
        <w:br/>
        <w:t>fuga), y iv) atacar a los agentes gubernamentales.</w:t>
        <w:br/>
        <w:br/>
        <w:t>Cada uno de estos comportamientos requería de una  intervención  específica.</w:t>
        <w:br/>
        <w:t>“Los que se mantuvieron en el interior de los pabellones no  formaban  parte</w:t>
        <w:br/>
        <w:t>del desorden y no requerían actuación alguna por parte de los agentes.”  Los</w:t>
        <w:br/>
        <w:t>internos  que  se  encontraban  deambulando  por  el  Retén  presentaban  el</w:t>
        <w:br/>
        <w:t>problema de estar en espacios y/o agrupaciones  no  permitidos,  requiriendo</w:t>
        <w:br/>
        <w:t>para ello que se devolvieran a sus pabellones respectivos. Si la  orden  era</w:t>
        <w:br/>
        <w:t>desacatada, habría que proceder por otros medios, “empleando  para  ello  lo</w:t>
        <w:br/>
        <w:t>que típicamente se utiliza para reestablecer el orden público en  la  calle,</w:t>
        <w:br/>
        <w:t>esto es, el  recurso  del  gas  lacrimógeno  o,  en  última  instancia,  los</w:t>
        <w:br/>
        <w:t>perdigones plásticos”. “Los internos que intentaban  fugarse,  representaban</w:t>
        <w:br/>
        <w:t>un problema algo más grave por la posibilidad de que  evadieran  el  proceso</w:t>
        <w:br/>
        <w:t>de juicio que se seguía en su contra.” Respecto a los  que  estaban  todavía</w:t>
        <w:br/>
        <w:t>dentro del Retén, lo procedente era “darles orden  verbal  de  devolverse  a</w:t>
        <w:br/>
        <w:t>sus pabellones, seguida del uso de gas lacrimógeno  o  perdigones  plásticos</w:t>
        <w:br/>
        <w:t>en caso de insistencia en el intento de fuga”. En cuanto a los internos  que</w:t>
        <w:br/>
        <w:t>ya habían salido del  perímetro  del  Retén,  correspondía  darles  “órdenes</w:t>
        <w:br/>
        <w:t>verbales de detenerse, en primer lugar, y aprehensión física si se  insistía</w:t>
        <w:br/>
        <w:t>en la fuga”. El  último  recurso  disponible,  el  arma  de  fuego,  no  era</w:t>
        <w:br/>
        <w:t>procedente en este caso porque hay posibilidad de que el interno  pierda  la</w:t>
        <w:br/>
        <w:t>vida y “el mero hecho de fugarse no constituye una  amenaza  a  la  vida  de</w:t>
        <w:br/>
        <w:t>otra persona y por ende no justifica el uso de la fuerza letal.”  En  cuanto</w:t>
        <w:br/>
        <w:t>a los internos “que agredían a los agentes gubernamentales[,] ameritaban  el</w:t>
        <w:br/>
        <w:t>uso de la fuerza en su contra atendiendo al nivel  de  peligro  en  que  sen</w:t>
        <w:br/>
        <w:t>encontraban dichos agentes, bajo el principio de proporcionalidad”.</w:t>
        <w:br/>
        <w:br/>
        <w:t>El perito concluyó que, al emplearse armas de  fuego  como  respuesta  a  la</w:t>
        <w:br/>
        <w:t>situación producida en  -y  alrededor  de-  el  Retén  de  Catia  el  27  de</w:t>
        <w:br/>
        <w:t>noviembre de 1992, los agentes  gubernamentales  incurrieron  en  un  exceso</w:t>
        <w:br/>
        <w:t>grave.</w:t>
        <w:br/>
        <w:br/>
        <w:t xml:space="preserve">      j)    Dictamen de Magdalena López Ibáñez, perito</w:t>
        <w:br/>
        <w:br/>
        <w:t>La perito tuvo la oportunidad de evaluar y entrevistar a dos  sobrevivientes</w:t>
        <w:br/>
        <w:t>de los hechos: los señores Douglas Lizcano y  Osmar  Martínez,  así  como  a</w:t>
        <w:br/>
        <w:t>familiares de algunas víctimas.</w:t>
        <w:br/>
        <w:br/>
        <w:t>Según la  perito  la  privación  de  la  libertad,  per  se,  es  un  evento</w:t>
        <w:br/>
        <w:t>traumático para cualquier  ser  humano.  Particularmente,  la  detención  en</w:t>
        <w:br/>
        <w:t>condiciones como las del Retén de  Catia  constituye  un  proceso  altamente</w:t>
        <w:br/>
        <w:t>perturbador que deja huellas muy profundas tanto en  los  reclusos  como  es</w:t>
        <w:br/>
        <w:t>sus familiares y relacionados. Son frecuentes las alteraciones de  la  salud</w:t>
        <w:br/>
        <w:t>física, efecto de las condiciones de hacinamiento, de la falta  de  higiene,</w:t>
        <w:br/>
        <w:t>y  la  precaria,  y  a  menudo  contaminada,  alimentación.   Los   factores</w:t>
        <w:br/>
        <w:t>emocionales contribuyen a debilitar el sistema inmunológico,  que  disminuye</w:t>
        <w:br/>
        <w:t>su  capacidad  de  defender  el  cuerpo,   potenciando   la   aparición   de</w:t>
        <w:br/>
        <w:t>enfermedades psicosomáticas, siendo las  más  frecuentes  las  de  la  piel,</w:t>
        <w:br/>
        <w:t>gastrointestinales y  del  aparato  respiratorio,  insomnio  y  alteraciones</w:t>
        <w:br/>
        <w:t>músculo-esqueléticas.</w:t>
        <w:br/>
        <w:br/>
        <w:t>Observó que en ciertos familiares  de  los  reclusos  fallecidos  el  estado</w:t>
        <w:br/>
        <w:t>depresivo,  las  enfermedades  físicas  y  los  síntomas  de  estrés   post-</w:t>
        <w:br/>
        <w:t>traumático aparecían cronificados.</w:t>
        <w:br/>
        <w:br/>
        <w:t xml:space="preserve">      k)    Dictamen de Magaly Mercedes Vásquez González, perito</w:t>
        <w:br/>
        <w:br/>
        <w:t>La perito se refirió de manera  general  a  la  normatividad  que  regía  el</w:t>
        <w:br/>
        <w:t>procedimiento penal en Venezuela para el momento de  la  ocurrencia  de  los</w:t>
        <w:br/>
        <w:t>hechos, y el que rige hoy en día con referencia al  papel  del  Estado  como</w:t>
        <w:br/>
        <w:t>garante del derecho a la vida,  a  la  integridad  personal  y  la  libertad</w:t>
        <w:br/>
        <w:t>personal.</w:t>
        <w:br/>
        <w:br/>
        <w:t>Manifestó que  para  el  año  1992  en  Venezuela  regía  un  sistema  penal</w:t>
        <w:br/>
        <w:t>inquisitivo.  Este  modelo  desarrollado  en  el  Código  de  Enjuiciamiento</w:t>
        <w:br/>
        <w:t>Criminal (CEC) y otras leyes colaterales se  caracterizaba  por  una  severa</w:t>
        <w:br/>
        <w:t>concentración de funciones en la persona del  juez.  El  Ministerio  Público</w:t>
        <w:br/>
        <w:t>tenía menor participación en el proceso y en muchas de sus  funciones  podía</w:t>
        <w:br/>
        <w:t>ser relegado por el Juez. Las autoridades de policía tenían el  carácter  de</w:t>
        <w:br/>
        <w:t>órganos de instrucción que actuaban por delegación de los jueces.</w:t>
        <w:br/>
        <w:br/>
        <w:t>En el año de 1995 se generó un amplio debate en el Congreso de la  República</w:t>
        <w:br/>
        <w:t>para  abordar  la  “reforma  penal”.  Como  resultado  de  esto  se  trabajó</w:t>
        <w:br/>
        <w:t>intensamente por más de  dos  años,  concluyendo  con  la  promulgación  del</w:t>
        <w:br/>
        <w:t>Código Orgánico Procesal Penal (COPP) el 23 de enero de 1998. Este  privó  a</w:t>
        <w:br/>
        <w:t>la policía de sus facultades instructoras.</w:t>
        <w:br/>
        <w:br/>
        <w:t>El nuevo proceso desarrollado por el COPP se inspiró en  los  principios  de</w:t>
        <w:br/>
        <w:t>audiencia, igualdad, oficialidad,  oralidad,  inmediación,  concentración  y</w:t>
        <w:br/>
        <w:t>publicidad. Se  confió  el  ejercicio  de  la  acción  penal  al  Ministerio</w:t>
        <w:br/>
        <w:t>Público. La misma Comisión que elaboró el  COPP  modificó  parcialmente  las</w:t>
        <w:br/>
        <w:t>leyes del Ministerio Público del Poder Judicial,  de  Carrera  judicial,  el</w:t>
        <w:br/>
        <w:t>Código de Justicia Militar y la  Ley  que  regía  las  atribuciones  de  los</w:t>
        <w:br/>
        <w:t>órganos de policía; tales reformas entraron en vigor en la misma  fecha  que</w:t>
        <w:br/>
        <w:t>el COPP.</w:t>
        <w:br/>
        <w:br/>
        <w:t>El 30 de diciembre de 1999 entró en vigencia la nueva Constitución, la  cual</w:t>
        <w:br/>
        <w:t>recogió varios principios contemplados en el COPP. Declaró, entre otras,  el</w:t>
        <w:br/>
        <w:t>debido  proceso  como  una  garantía  aplicable  a  todas  las   actuaciones</w:t>
        <w:br/>
        <w:t>judiciales y administrativas y contempló como una obligación para el  Estado</w:t>
        <w:br/>
        <w:t>el garantizar un sistema penitenciario que asegure la rehabilitación de  los</w:t>
        <w:br/>
        <w:t>internos y el respeto a sus derechos humanos.</w:t>
        <w:br/>
        <w:br/>
        <w:t>A partir de esa fecha se dieron varias reformas a la legislación penal  que,</w:t>
        <w:br/>
        <w:t>según la perito, se han traducido en un incremento de la  población  reclusa</w:t>
        <w:br/>
        <w:t>con el consiguiente hacinamiento carcelario.</w:t>
        <w:br/>
        <w:br/>
        <w:t xml:space="preserve">      l)    Dictamen de Peter van Reenen, perito</w:t>
        <w:br/>
        <w:br/>
        <w:t>El perito señaló que la principal conclusión que surge de la experiencia  de</w:t>
        <w:br/>
        <w:t>evaluaciones, en todas las situaciones de emergencia, incluidos los  motines</w:t>
        <w:br/>
        <w:t>carcelarios,  es  que  la  calidad  de  las  operaciones  depende   de   los</w:t>
        <w:br/>
        <w:t>preparativos para tales emergencias.</w:t>
        <w:br/>
        <w:br/>
        <w:t>El perito expuso que la “falta  de  preparación  conduce  inevitablemente  a</w:t>
        <w:br/>
        <w:t>acciones no planificadas ni coordinadas de oficiales a  título  individual”.</w:t>
        <w:br/>
        <w:t>Asimismo,  consideró  que  “un  manejo  caótico  del  motín   y   falta   de</w:t>
        <w:br/>
        <w:t>restricciones son los efectos más probables de la falta de preparativos”.</w:t>
        <w:br/>
        <w:br/>
        <w:t>Según el perito,  la  planificación  comprende  el  establecimiento  de  una</w:t>
        <w:br/>
        <w:t>política  y  una  estrategia  de  control  de  perturbaciones,   motines   y</w:t>
        <w:br/>
        <w:t>situaciones de toma de rehenes; esta debe incluir:  i)  la  organización  de</w:t>
        <w:br/>
        <w:t>las operaciones; ii) el establecimiento de responsabilidades para la  acción</w:t>
        <w:br/>
        <w:t>y líneas de mando; ii) las  directrices  y  principios  generales  para  las</w:t>
        <w:br/>
        <w:t>operaciones, y iv) las directrices y normas para el uso  de  la  fuerza.  En</w:t>
        <w:br/>
        <w:t>opinión del perito, cada uno de estos  elementos  debe  formalizarse  en  un</w:t>
        <w:br/>
        <w:t>manual que pueda consultarse. Por tanto, la capacitación en  situaciones  de</w:t>
        <w:br/>
        <w:t>emergencia incrementa la posibilidad de controlar eficazmente la  situación.</w:t>
        <w:br/>
        <w:br/>
        <w:br/>
        <w:t>El perito concluye que los documentos puestos a su disposición no  contienen</w:t>
        <w:br/>
        <w:t>información alguna que indique que el servicio penitenciario y  las  fuerzas</w:t>
        <w:br/>
        <w:t>armadas hubieran realizado preparativos para  emergencias;  aún  mas  grave,</w:t>
        <w:br/>
        <w:t>los preparativos y planificación para medidas  de  intervención  en  motines</w:t>
        <w:br/>
        <w:t>carcelarios  son  inexistentes.  “Si  en  efecto  no   se   realizó   ningún</w:t>
        <w:br/>
        <w:t>preparativo, ese sería uno de  los  principales  factores  que  explican  la</w:t>
        <w:br/>
        <w:t>manera como se desarrolló la situación y el nivel de violencia y fuerza  que</w:t>
        <w:br/>
        <w:t>se aplicó” en los hechos del 27 de noviembre de 1992.</w:t>
        <w:br/>
        <w:br/>
        <w:t>Además de lo anterior, el número  de  “80  funcionarios  [..]  encarados  de</w:t>
        <w:br/>
        <w:t>custodiar  a  3600”  reclusos  demuestra  que  la  cantidad   de   ofíciales</w:t>
        <w:br/>
        <w:t>disponible era insuficiente, y que “la  fuerza  es  probablemente  la  única</w:t>
        <w:br/>
        <w:t>manera en  que  un  pequeño  número  de  celadores  puede  controlar  a  los</w:t>
        <w:br/>
        <w:t>reclusos”.</w:t>
        <w:br/>
        <w:br/>
        <w:t>Asimismo, el perito manifestó que, según su experiencia, el hecho de que  se</w:t>
        <w:br/>
        <w:t>haya impedido el acceso a las instalaciones del Retén a fiscales públicos  y</w:t>
        <w:br/>
        <w:t>la manera en que se manejaron las investigaciones conducen  a  concluir  que</w:t>
        <w:br/>
        <w:t>“todos los involucrados trataron de ocultar lo ocurrido”.</w:t>
        <w:br/>
        <w:br/>
        <w:t xml:space="preserve">              B)    Declaraciones rendidas en audiencia pública</w:t>
        <w:br/>
        <w:br/>
        <w:t xml:space="preserve">      m)    Declaración de Giovanni Gavidia  Velásquez,  hermano  de  Néstor</w:t>
        <w:br/>
        <w:t xml:space="preserve">           Luis Gavidia Velásquez.</w:t>
        <w:br/>
        <w:br/>
        <w:t>El 2 de diciembre de 1992 se enteró de la muerte de  su  hermano.  Antes  de</w:t>
        <w:br/>
        <w:t>ese día se dedicó a su búsqueda junto con sus familiares.  Se  dirigieron  a</w:t>
        <w:br/>
        <w:t>diferentes hospitales dentro y fuera de la capital, y en ningún momento  les</w:t>
        <w:br/>
        <w:t>dieron información de  si  estaba  herido,  de  si  había  muerto  o  si  se</w:t>
        <w:br/>
        <w:t>encontraba recluido todavía.</w:t>
        <w:br/>
        <w:br/>
        <w:t>Los  familiares  de  los  internos  muertos  tuvieron  que  realizar  muchas</w:t>
        <w:br/>
        <w:t>diligencias para encontrar los  cadáveres  y  darles  entierro.  El  testigo</w:t>
        <w:br/>
        <w:t>buscó información con las autoridades, quienes le dijeron  que  no  perdiera</w:t>
        <w:br/>
        <w:t>el tiempo que su hermano era un delincuente  y  ya  estaba  muerto.  En  ese</w:t>
        <w:br/>
        <w:t>momento era imposible obtener información  porque  ya  iban  a  enterrarlos,</w:t>
        <w:br/>
        <w:t>sólo estaban esperando unas bolsas  para  enterrarlos  en  una  fosa  común.</w:t>
        <w:br/>
        <w:t>Ingresó con otros familiares al hospital sin autorización, con una  linterna</w:t>
        <w:br/>
        <w:t>encontró un área de aproximadamente dos metros por tres y  una  cava  grande</w:t>
        <w:br/>
        <w:t>de dos metros por un metro y medio. Allí vio numerosos cuerpos  pero  no  el</w:t>
        <w:br/>
        <w:t>de su hermano. Todo fue  muy  desagradable,  un  olor  putrefacto  demasiado</w:t>
        <w:br/>
        <w:t>fuerte. Luego abrieron la puerta de una  cava,  donde  habían  alrededor  de</w:t>
        <w:br/>
        <w:t>quince cadáveres, entre los cuales reconoció a  su  hermano.  Posteriormente</w:t>
        <w:br/>
        <w:t>el testigo llamó a su hermana y a su esposa para informarles que  lo  habían</w:t>
        <w:br/>
        <w:t>hallado. Su muerte produjo mucho dolor a sus familiares.</w:t>
        <w:br/>
        <w:br/>
        <w:t xml:space="preserve">      n)    Declaración de Nellys  María  Madriz,  esposa  de  Víctor  Jesús</w:t>
        <w:br/>
        <w:t xml:space="preserve">           Montero Aranguren</w:t>
        <w:br/>
        <w:br/>
        <w:t>El Retén de Catia “no era digno de un ser humano”. Después  de  conocer  los</w:t>
        <w:br/>
        <w:t>hechos fue a la fiscalía, a la policía, y hasta llevó testigos, pero  “nunca</w:t>
        <w:br/>
        <w:t>[l]e hicieron caso”.</w:t>
        <w:br/>
        <w:br/>
        <w:t>Desea “que por lo menos averigüen quién fue el  que  le  dio  […]  muerte  a</w:t>
        <w:br/>
        <w:t>tantos presos y que los detengan, no importa el  tiempo  que  sea[…].  Ellos</w:t>
        <w:br/>
        <w:t>los mandaron a que se escaparan, la ley de fuga[…]. Ya el Estado  los  había</w:t>
        <w:br/>
        <w:t>procesado […] y los obligaron hasta que  empezaron  todos  a  escaparse.  Se</w:t>
        <w:br/>
        <w:t>escapaban unos y los que quedaban ahí los mataron adentro. Corrían  para  el</w:t>
        <w:br/>
        <w:t>baño, corrían para el cuarto, para donde se metieran  se  metía  la  policía</w:t>
        <w:br/>
        <w:t>metropolitana o los vigilantes y los mataban a tiros como fuera”.</w:t>
        <w:br/>
        <w:br/>
        <w:t>Todavía se siente afectada por la muerte  de  su  esposo.  Han  transcurrido</w:t>
        <w:br/>
        <w:t>casi catorce años de los hechos y aún esta enferma de los  nervios.  En  ese</w:t>
        <w:br/>
        <w:t>tiempo tenía dos hijos que estaban pequeños y vivían enfermos.</w:t>
        <w:br/>
        <w:br/>
        <w:br/>
        <w:t xml:space="preserve">      o)    Declaración de Arturo Peraza, sacerdote jesuita</w:t>
        <w:br/>
        <w:br/>
        <w:t>Para el momento en que comenzó  su  trabajo  en  el  Retén  de  Catia  había</w:t>
        <w:br/>
        <w:t>aproximadamente unos tres mil quinientos a cuatro  mil  internos.  Empezó  a</w:t>
        <w:br/>
        <w:t>trabajar en la zona conocida como el “pabellón 2 norte” que  correspondía  a</w:t>
        <w:br/>
        <w:t>los artesanos,  uno  de  los  lugares  que  supuestamente  era  de  los  más</w:t>
        <w:br/>
        <w:t>tranquilos. Sin embargo, allí la población estaba  armada,  había  muchísima</w:t>
        <w:br/>
        <w:t>droga,  tenían  problemas  de  aguas  fétidas,  mala  electrificación,  mala</w:t>
        <w:br/>
        <w:t>alimentación y  desnutrición,  habían  internos  que  vivían  constantemente</w:t>
        <w:br/>
        <w:t>encerrados dentro de sus celdas y que  no  tenían  posibilidades  de  salir,</w:t>
        <w:br/>
        <w:t>tomar sol, poder circular por algún sector o simplemente  caminar.  En  esta</w:t>
        <w:br/>
        <w:t>área los internos tenían gran temor de salir a buscar comida  porque  podían</w:t>
        <w:br/>
        <w:t>ser asesinados. Era normal que hubiera un  interno  encargado  de  buscar  y</w:t>
        <w:br/>
        <w:t>traer la comida, o la ración  de  comida  del  día,  la  cual  era  bastante</w:t>
        <w:br/>
        <w:t>lamentable.</w:t>
        <w:br/>
        <w:br/>
        <w:t>En la zona del sótano los internos no tenían acceso  a  luz,  era  un  lugar</w:t>
        <w:br/>
        <w:t>oscuro y  frío.  El  testigo  recuerda  que  el  piso  y  las  paredes  eran</w:t>
        <w:br/>
        <w:t>resbalosos, cubiertos de excrementos  humanos,  a  tal  punto  que  formaban</w:t>
        <w:br/>
        <w:t>parte del cemento mismo. Había una cantidad de enfermedades  dentro  de  los</w:t>
        <w:br/>
        <w:t>internos, en su mayoría de tipo parasitarias y  de  la  piel.  Los  internos</w:t>
        <w:br/>
        <w:t>vivían casi constantemente en estado de semidesnudez.</w:t>
        <w:br/>
        <w:br/>
        <w:t>El testigo recuerda que el piso del sótano era baboso, lleno de  excremento,</w:t>
        <w:br/>
        <w:t>igualmente las paredes, al punto  tal  que  estaban  endurecidas,  es  decir</w:t>
        <w:br/>
        <w:t>formaban parte del cemento  de  la  misma  cárcel.  Había  una  cantidad  de</w:t>
        <w:br/>
        <w:t>enfermedades dentro de los internos. El testigo relata que los  internos  le</w:t>
        <w:br/>
        <w:t>insistieron una vez que tenía que ver algo que ellos llamaban  “la  fuente”.</w:t>
        <w:br/>
        <w:t>La cuestión era que a las cinco y media de la tarde daban  agua  a  todo  el</w:t>
        <w:br/>
        <w:t>Retén de Catia porque éste no tenía agua durante todo el  día,  pero  a  las</w:t>
        <w:br/>
        <w:t>cinco y media empezaba a correr y lo que sucedía era que todo el sistema  de</w:t>
        <w:br/>
        <w:t>cloacas caía a esas celdas.  Los  cuatro  pisos  no  tenían  un  sistema  de</w:t>
        <w:br/>
        <w:t>cloacas que cayera a una quebrada que estaba justo al lado. El agua caía  al</w:t>
        <w:br/>
        <w:t>lugar donde estaba este sótano, donde estaban estos internos,  cuatrocientos</w:t>
        <w:br/>
        <w:t>cincuenta hombres aproximadamente en un lugar donde no  cabrían  normalmente</w:t>
        <w:br/>
        <w:t>más de ochenta personas y como mucho.  Entonces  eso  regaba  todo  y  ellos</w:t>
        <w:br/>
        <w:t>tenían que sacar los excrementos a la parte externa del pabellón,  es  decir</w:t>
        <w:br/>
        <w:t>a la puerta, y se formaba una gran masa  que  llegaba  hasta  la  rodilla  y</w:t>
        <w:br/>
        <w:t>normalmente duraba días y semanas allí. Se puede  imaginar  los  olores  que</w:t>
        <w:br/>
        <w:t>eso producía, y las  moscas  y  todo  tipo  de  animales  que  rodeaban  ese</w:t>
        <w:br/>
        <w:t>territorio.</w:t>
        <w:br/>
        <w:br/>
        <w:t>Al interior del  Retén  de  Catia  “los  mas  fuertes  sometían  a  los  mas</w:t>
        <w:br/>
        <w:t>débiles”. Esto era tolerado por los funcionarios de prisiones. Este tipo  de</w:t>
        <w:br/>
        <w:t>sometimiento, además, tenía un modo gráfico de hacerse y es que  se  marcaba</w:t>
        <w:br/>
        <w:t>a los internos que servían de esclavos. Habían dos  tipos  de  esclavitudes:</w:t>
        <w:br/>
        <w:t>el esclavo de servicio y el esclavo  sexual.  El  esclavo  de  servicio  era</w:t>
        <w:br/>
        <w:t>marcado con una hornilla, como marcas de ganado, que identificaba quién  era</w:t>
        <w:br/>
        <w:t>el dueño del esclavo, es decir el interno jefe de pabellón. Si  lo  marcaban</w:t>
        <w:br/>
        <w:t>en las nalgas entonces era esclavo sexual.</w:t>
        <w:br/>
        <w:br/>
        <w:br/>
        <w:t xml:space="preserve">                                     VII</w:t>
        <w:br/>
        <w:t xml:space="preserve">                             Hechos Establecidos</w:t>
        <w:br/>
        <w:br/>
        <w:t>60.   De conformidad con el reconocimiento de responsabilidad  internacional</w:t>
        <w:br/>
        <w:t>realizado por el Estado (supra párr. 51), la Corte da por  establecidos  los</w:t>
        <w:br/>
        <w:t>siguientes hechos:</w:t>
        <w:br/>
        <w:br/>
        <w:br/>
        <w:t xml:space="preserve">      a)    Del contexto de los hechos</w:t>
        <w:br/>
        <w:br/>
        <w:br/>
        <w:br/>
        <w:br/>
        <w:br/>
        <w:t>60.1. Los hechos del presente caso se  desarrollaron  en  el  marco  de  una</w:t>
        <w:br/>
        <w:t>situación de extrema inestabilidad política. El 27 de noviembre de  1992  se</w:t>
        <w:br/>
        <w:t>produjo el segundo intento  de  golpe  de  Estado  contra  el  gobierno  del</w:t>
        <w:br/>
        <w:t>entonces Presidente Carlos Andrés Pérez. El alzamiento fue  llevado  a  cabo</w:t>
        <w:br/>
        <w:t>por parte de un grupo cívico-militar conformado por altos oficiales  de  las</w:t>
        <w:br/>
        <w:t>cuatro  ramas  de  las  Fuerzas  Armadas  y  varios  civiles  opositores  al</w:t>
        <w:br/>
        <w:t>Gobierno.</w:t>
        <w:br/>
        <w:br/>
        <w:br/>
        <w:t>60.2. La ciudad de Caracas  fue  particularmente  afectada  por  el  intenso</w:t>
        <w:br/>
        <w:t>bombardeo al que fue sometida, cuyos blancos específicos fueron  el  Palacio</w:t>
        <w:br/>
        <w:t>de Miraflores, el Helicoide y la Comandancia de Policía. Los  disturbios  se</w:t>
        <w:br/>
        <w:t>extendieron  por  amplios  sectores  de  la  ciudad.  La  insurrección   fue</w:t>
        <w:br/>
        <w:t>controlada por el Gobierno el mismo día 27 de noviembre de 1992,  provocando</w:t>
        <w:br/>
        <w:t>la rendición de los involucrados, su huída y el posterior asilo en  Perú  de</w:t>
        <w:br/>
        <w:t>cerca de un centenar de los alzados.</w:t>
        <w:br/>
        <w:br/>
        <w:t xml:space="preserve">      b)    Del “Retén e Internado Judicial de Los Flores de Catia"</w:t>
        <w:br/>
        <w:br/>
        <w:t>60.3. El “Retén e Internado Judicial de Los Flores de Catia", ubicado en  la</w:t>
        <w:br/>
        <w:t>zona oeste de Caracas, estaba constituido por un  pequeño  edificio  de  dos</w:t>
        <w:br/>
        <w:t>plantas,  destinado  a  oficinas  administrativas;  un  área  de   talleres,</w:t>
        <w:br/>
        <w:t>depósitos, comedor y servicio médico  para  los  reclusos;  un  edificio  de</w:t>
        <w:br/>
        <w:t>celdas compuesto por dos torres de cinco pisos cada una,  denominadas  torre</w:t>
        <w:br/>
        <w:t>norte y torre sur, las  cuales  estaban  separadas  por  un  patio  interior</w:t>
        <w:br/>
        <w:t>conocido como “barrio sucio”. Las torres se comunicaban entre  sí  a  través</w:t>
        <w:br/>
        <w:t>de cinco pasillos distribuidos entre el segundo y tercer piso. Cada  uno  de</w:t>
        <w:br/>
        <w:t>los pisos recibía la denominación de pabellón.</w:t>
        <w:br/>
        <w:br/>
        <w:t>60.4  El establecimiento  tenía  originalmente  una  capacidad  máxima  para</w:t>
        <w:br/>
        <w:t>albergar 600 internos, la cual se amplió a 900, pero en realidad  alojaba  a</w:t>
        <w:br/>
        <w:t>más del cuádruple. El tráfico de drogas, armas y  licores,  la  violencia  y</w:t>
        <w:br/>
        <w:t>los maltratos eran usuales.</w:t>
        <w:br/>
        <w:br/>
        <w:t>60.5. Inicialmente, fue concebido como un centro  de  detención  provisional</w:t>
        <w:br/>
        <w:t>en el cual serían internadas las personas incursas en la comisión de  hechos</w:t>
        <w:br/>
        <w:t>delictivos comunes, cuya causa estaría siendo conocida  por  los  tribunales</w:t>
        <w:br/>
        <w:t>penales  ordinarios.  Sin  embargo,  en  virtud  del  incremento  del   auge</w:t>
        <w:br/>
        <w:t>delictivo y la insuficiencia de centros carcelarios, el retén empezó  a  ser</w:t>
        <w:br/>
        <w:t>utilizado como cárcel, alojando una población penal  superior  a  las  2.000</w:t>
        <w:br/>
        <w:t>personas no clasificadas por categorías.</w:t>
        <w:br/>
        <w:br/>
        <w:t>60.6. En enero de 1997 el retén fue desalojado por completo y los casi  3000</w:t>
        <w:br/>
        <w:t>reclusos hacinados en su interior fueron distribuidos en tres  penales,  dos</w:t>
        <w:br/>
        <w:t>de ellos construidos poco tiempo antes. El 16 de marzo de  1997  se  demolió</w:t>
        <w:br/>
        <w:t>la sede del retén.</w:t>
        <w:br/>
        <w:br/>
        <w:br/>
        <w:t xml:space="preserve">      c)    De las condiciones de detención en el Retén de Catia</w:t>
        <w:br/>
        <w:br/>
        <w:br/>
        <w:br/>
        <w:br/>
        <w:t>60.7. Las condiciones carcelarias del Retén de Catia  se  enmarcaban  dentro</w:t>
        <w:br/>
        <w:t>de la problemática penitenciaria en Venezuela. Al lado del uso extendido  de</w:t>
        <w:br/>
        <w:t>la privación de libertad, la crisis  del  sistema  penitenciario  venezolano</w:t>
        <w:br/>
        <w:t>obedecía, adicionalmente, a otras razones, tales como la falta de  celeridad</w:t>
        <w:br/>
        <w:t>procesal, el hacinamiento, la infraestructura penitenciaria  inadecuada,  la</w:t>
        <w:br/>
        <w:t>escasez  y  falta  de  preparación   del   personal   penitenciario   y   la</w:t>
        <w:br/>
        <w:t>imposibilidad  práctica  de  proporcionar   un   tratamiento   adecuado   de</w:t>
        <w:br/>
        <w:t>rehabilitación  del   delincuente   al   carecerse   de   personal   técnico</w:t>
        <w:br/>
        <w:t>especializado.</w:t>
        <w:br/>
        <w:br/>
        <w:t>60.8. En  el  año  1992  en  el  Retén  de  Catia  se  vivió  una  situación</w:t>
        <w:br/>
        <w:t>caracterizada  por  huelgas  de  hambre  por  las  condiciones  carcelarias,</w:t>
        <w:br/>
        <w:t>muertes y  desapariciones  de  reclusos,  hechos  de  fuga  y  motines,  que</w:t>
        <w:br/>
        <w:t>tuvieron  como  resultados  personas  heridas.  Esta   situación,   conocida</w:t>
        <w:br/>
        <w:t>públicamente, produjo el inicio de investigaciones por parte de la  Fiscalía</w:t>
        <w:br/>
        <w:t>y los Tribunales Penales, así como la destitución del director del Retén  de</w:t>
        <w:br/>
        <w:t>Catia, del Director de Prisiones y del Director General  del  Ministerio  de</w:t>
        <w:br/>
        <w:t>Justicia.</w:t>
        <w:br/>
        <w:br/>
        <w:t>60.9. El hacinamiento era un factor importante propiciador de  la  violencia</w:t>
        <w:br/>
        <w:t>en el Retén de Catia, ya que los presos luchaban entre  ellos  para  obtener</w:t>
        <w:br/>
        <w:t>un espacio vital mínimo propio. En el Retén de Catia  muchos  presos  vivían</w:t>
        <w:br/>
        <w:t>en celdas comunes que albergaban dos o cuatro veces la cantidad de  internos</w:t>
        <w:br/>
        <w:t>para la que fueron diseñadas. La mayoría de los  internos  no  contaban  con</w:t>
        <w:br/>
        <w:t>una celda individual. El espacio aproximado para  cada  interno  era  de  30</w:t>
        <w:br/>
        <w:t>centímetros cuadrados. El  hacinamiento  de  las  celdas  provocaba  además,</w:t>
        <w:br/>
        <w:t>inmundicia, malos olores e insectos. Al no  designarse  celdas,  los  presos</w:t>
        <w:br/>
        <w:t>dominantes  administraban  el  espacio.  Las  autoridades  no  tenían  datos</w:t>
        <w:br/>
        <w:t>consolidados o confiables sobre  el  número  o  situación  judicial  de  las</w:t>
        <w:br/>
        <w:t>personas recluidas en este centro de internamiento. El  Retén  de  Catia  no</w:t>
        <w:br/>
        <w:t>contaba con un adecuado registro de los internos, en el que  se  consignara,</w:t>
        <w:br/>
        <w:t>cuando menos, en forma adecuada, su identidad, los motivos de su  detención,</w:t>
        <w:br/>
        <w:t>la autoridad competente que había dictado la medida, el día  y  hora  de  su</w:t>
        <w:br/>
        <w:t>ingreso y salida.</w:t>
        <w:br/>
        <w:br/>
        <w:t>60.10.      Para el 26 de noviembre de 1992, un informe suministrado por  el</w:t>
        <w:br/>
        <w:t>jefe de los servicios  del  Retén  computaba  3618  internos.  Otro  informe</w:t>
        <w:br/>
        <w:t>suministrado por el jefe de los servicios del Retén se indicó  que  para  el</w:t>
        <w:br/>
        <w:t>30 de noviembre de 1992 el número de internos  alcanzaba  2286.  De  acuerdo</w:t>
        <w:br/>
        <w:t>con el conteo de los reclusos, realizado por la Guardia Nacional después  de</w:t>
        <w:br/>
        <w:t>una requisa efectuada el 30 de noviembre de 1992 y del traslado de  reclusos</w:t>
        <w:br/>
        <w:t>a otros establecimientos, el número total de internos era de 2540.  Más  del</w:t>
        <w:br/>
        <w:t>95% de la población se  encontraba  en  espera  de  sentencia  y  no  estaba</w:t>
        <w:br/>
        <w:t>separada de aquellos internos ya condenados.</w:t>
        <w:br/>
        <w:br/>
        <w:t>60.11.       Las  condiciones  de  extremo  hacinamiento  y   sobrepoblación</w:t>
        <w:br/>
        <w:t>carcelaria eran causantes de múltiples violaciones a  los  derechos  de  los</w:t>
        <w:br/>
        <w:t>reclusos. El retén era considerado por las propias autoridades como  uno  de</w:t>
        <w:br/>
        <w:t>los peores penales del país, en el  cual  se  desarrollaban  actividades  de</w:t>
        <w:br/>
        <w:t>tráfico de drogas, armas y licores,  y  eran  comunes  la  violencia  y  los</w:t>
        <w:br/>
        <w:t>maltratos continuos, ya sea por disputas entre las mafias internas como  por</w:t>
        <w:br/>
        <w:t>acciones infligidas por los propios guardias.</w:t>
        <w:br/>
        <w:br/>
        <w:t>60.12.      Las  personas  privadas  de  libertad  en  el  Retén  de  Catia,</w:t>
        <w:br/>
        <w:t>incluidas  en  ellas  las  víctimas  del  presente   caso,   recibían   mala</w:t>
        <w:br/>
        <w:t>alimentación,  no  tenían  acceso  a  condiciones   sanitarias   mínimas   y</w:t>
        <w:br/>
        <w:t>adecuadas, y no recibían una debida  atención  en  salud.  Los  reclusos  se</w:t>
        <w:br/>
        <w:t>veían obligados, por ejemplo, a defecar en las celdas en  recipientes  o  en</w:t>
        <w:br/>
        <w:t>papel y arrojar los residuos al patio interior. La  atención  de  salud  era</w:t>
        <w:br/>
        <w:t>extremamente deficiente y la posibilidad de realizar actividades  tendientes</w:t>
        <w:br/>
        <w:t>a mantener una calidad de vida acorde con su dignidad, como  actividades  de</w:t>
        <w:br/>
        <w:t>trabajo, de estudio y recreativas eran mínimas.</w:t>
        <w:br/>
        <w:br/>
        <w:t>60.13.      Los vejámenes sufridos por los internos no  sólo  eran  comunes,</w:t>
        <w:br/>
        <w:t>sino ampliamente conocidos por las autoridades carcelarias  y  de  justicia.</w:t>
        <w:br/>
        <w:t>No obstante, el Retén de Catia  fue  mantenido  en  las  mismas  condiciones</w:t>
        <w:br/>
        <w:t>precarias hasta el momento de su demolición.</w:t>
        <w:br/>
        <w:br/>
        <w:t>60.14.       La  falta  de  atención   médica   adecuada   dentro   de   los</w:t>
        <w:br/>
        <w:t>establecimientos penitenciarios en Venezuela y la falta de  conservación  de</w:t>
        <w:br/>
        <w:t>los  mismos,  devino  en  la  generalización  de  enfermedades  tales   como</w:t>
        <w:br/>
        <w:t>diarreas,  micosis  y  virosis  gripal.  Asimismo,   las   enfermedades   de</w:t>
        <w:br/>
        <w:t>transmisión sexual se propagaban de manera preocupante.</w:t>
        <w:br/>
        <w:br/>
        <w:t>60.15.      En relación con el personal penitenciario, el mismo era,  además</w:t>
        <w:br/>
        <w:t>de  insuficiente,  ineficiente  por  falta  de  preparación  técnica.   Esto</w:t>
        <w:br/>
        <w:t>repercutía negativamente en una ausencia de seguridad en las prisiones.  Los</w:t>
        <w:br/>
        <w:t>vigilantes penitenciarios eran mal pagados, no estaban capacitados y por  lo</w:t>
        <w:br/>
        <w:t>tanto eran susceptibles de incurrir en actos de corrupción. Como ocurrió  en</w:t>
        <w:br/>
        <w:t>el Retén de Catia,  ante  la  ausencia  de  suficiente  personal  civil,  se</w:t>
        <w:br/>
        <w:t>necesitó solicitar el apoyo de funcionarios  militares,  específicamente  de</w:t>
        <w:br/>
        <w:t>la Guardia Nacional, para  controlar  a  la  población  penitenciaria.  Esta</w:t>
        <w:br/>
        <w:t>situación  colaboró  para  que  se  mantuviera  un  clima  de   inseguridad,</w:t>
        <w:br/>
        <w:t>proveniente de una situación objetiva de violencia, riesgo  y  amenaza,  las</w:t>
        <w:br/>
        <w:t>cual  generaba  condiciones  de  zozobra,   incertidumbre   y   temor.   Las</w:t>
        <w:br/>
        <w:t>autoridades del Retén de Catia no garantizaban a  los  internos  condiciones</w:t>
        <w:br/>
        <w:t>de protección y convivencia que dejaran a salvo sus derechos.</w:t>
        <w:br/>
        <w:br/>
        <w:br/>
        <w:t xml:space="preserve">      d)    De los sucesos acaecidos al interior y en  los  alrededores  del</w:t>
        <w:br/>
        <w:t xml:space="preserve">           “Retén e Internado Judicial de Los Flores de Catia” entre el  27</w:t>
        <w:br/>
        <w:t xml:space="preserve">           y 29 de noviembre de 1992</w:t>
        <w:br/>
        <w:br/>
        <w:br/>
        <w:t>60.16.      Existen dos versiones sobre los sucesos acaecidos  en  el  Retén</w:t>
        <w:br/>
        <w:t>entre el 27 y 29 de noviembre de 1992. La primera de ellas señala que en  el</w:t>
        <w:br/>
        <w:t>proceso  judicial  que  se  adelantó  ante  la  justicia  ordinaria   varios</w:t>
        <w:br/>
        <w:t>declarantes coincidieron en que, al  conocer  a  través  de  los  medios  de</w:t>
        <w:br/>
        <w:t>comunicación la noticia del intento de golpe de  Estado,  los  guardias  del</w:t>
        <w:br/>
        <w:t>Retén abrieron las puertas de las  celdas  anunciando  a  los  reclusos  que</w:t>
        <w:br/>
        <w:t>quedaban en libertad, esperaron la salida de  los  internos  y  empezaron  a</w:t>
        <w:br/>
        <w:t>disparar contra ellos. Varios de dichos testimonios indican  que  ante  este</w:t>
        <w:br/>
        <w:t>accionar, algunos reclusos buscaron refugio en las celdas para  salvaguardar</w:t>
        <w:br/>
        <w:t>sus vidas mientras que otros intentaban la fuga.</w:t>
        <w:br/>
        <w:br/>
        <w:t>60.17.      Otra versión consiste en un informe emitido por la  jefatura  de</w:t>
        <w:br/>
        <w:t>Servicios del Retén de Catia, en el que se señala que a las  6:10  a.m.  del</w:t>
        <w:br/>
        <w:t>27 de noviembre de 1992 “se inform[ó] a la  Jefatura  del  Régimen  que  los</w:t>
        <w:br/>
        <w:t>internos de los  Pabellones  del  Ala  Sur  4  y  5  estaban  rompiendo  los</w:t>
        <w:br/>
        <w:t>candados, produciendo un motín  para  alcanzar  la  fuga  masiva  y  que  de</w:t>
        <w:br/>
        <w:t>inmediato los funcionarios de la guardia dispararon a los internos”.</w:t>
        <w:br/>
        <w:br/>
        <w:t>60.18.      Mas allá de las dos  versiones  sobre  los  acontecimientos  que</w:t>
        <w:br/>
        <w:t>originaron la violencia, en el transcurso de las 48 horas en que  ocurrieron</w:t>
        <w:br/>
        <w:t>los  sucesos  dentro  del  Retén  de  Catia  se   produjo   la   muerte   de</w:t>
        <w:br/>
        <w:t>aproximadamente 63 reclusos, entre ellos las 37 víctimas del  presente  caso</w:t>
        <w:br/>
        <w:t>(infra párr. 60.26), 52 heridos  y  28  desaparecidos.  Las  investigaciones</w:t>
        <w:br/>
        <w:t>adelantadas por las autoridades no han podido establecer la cifra  total  de</w:t>
        <w:br/>
        <w:t>las víctimas, y los informes  al  respecto  son  fragmentarios,  confusos  y</w:t>
        <w:br/>
        <w:t>contradictorios.</w:t>
        <w:br/>
        <w:br/>
        <w:t>60.19.      Es innegable que la situación  se  manejó  con  la  intervención</w:t>
        <w:br/>
        <w:t>masiva  de  la  Guardia  Nacional  y  la  Policía   Metropolitana,   quienes</w:t>
        <w:br/>
        <w:t>dispararon indiscriminadamente  contra  los  internos  utilizando  armas  de</w:t>
        <w:br/>
        <w:t>fuego y gases lacrimógenos. Varios de los testimonios de los reclusos  y  de</w:t>
        <w:br/>
        <w:t>funcionarios penitenciarios confirman estos hechos.  Según  un  informe  del</w:t>
        <w:br/>
        <w:t>Sub  Comisario  Jefe  de  la  División  de  Orden  Público  de  la   Policía</w:t>
        <w:br/>
        <w:t>Metropolitana, en el cual consta “la Relación de  Armamento  Largo  que  fue</w:t>
        <w:br/>
        <w:t>entregado en el Parque de Armas de la Brigada Especial el  27  de  noviembre</w:t>
        <w:br/>
        <w:t>de 1992 y una relación del Personal [con jerarquías y número de placas]  que</w:t>
        <w:br/>
        <w:t>laboró ese día en el Retén de Catia y  sus  alrededores”,  en  el  operativo</w:t>
        <w:br/>
        <w:t>participaron 485 agentes de la Policía Metropolitana, quienes  portaban  126</w:t>
        <w:br/>
        <w:t>armas de fuego identificadas con su serial y tipo de arma.  Las  pruebas  de</w:t>
        <w:br/>
        <w:t>balística realizadas por  el  Cuerpo  Técnico  de  Policía  Judicial  a  los</w:t>
        <w:br/>
        <w:t>proyectiles encontrados  en  los  cuerpos  de  los  internos  así  como  los</w:t>
        <w:br/>
        <w:t>orificios de entrada y salida en los cadáveres, comprobaron que las  muertes</w:t>
        <w:br/>
        <w:t>se produjeron a consecuencia de impactos de bala  realizados  con  armas  de</w:t>
        <w:br/>
        <w:t>similares o  idénticas  características  a  las  utilizadas  por  la  fuerza</w:t>
        <w:br/>
        <w:t>pública.</w:t>
        <w:br/>
        <w:br/>
        <w:t>60.20.      En  varios  de  los  protocolos  de  autopsia  referidos  a  los</w:t>
        <w:br/>
        <w:t>cadáveres encontrados en el Retén de Catia, la trayectoria  de  las  heridas</w:t>
        <w:br/>
        <w:t>evidenciaban que algunos de los reclusos fueron ejecutados por la espalda  o</w:t>
        <w:br/>
        <w:t>el costado.</w:t>
        <w:br/>
        <w:br/>
        <w:t>60.21.      El Estado no adoptó las medidas necesarias  para  garantizar  de</w:t>
        <w:br/>
        <w:t>manera oportuna y eficaz los procedimientos y medicinas necesarios  para  la</w:t>
        <w:br/>
        <w:t>atención de las personas heridas a consecuencia de los hechos.</w:t>
        <w:br/>
        <w:br/>
        <w:t>60.22.      La actuación de la Guardia Nacional,  así  como  de  la  Policía</w:t>
        <w:br/>
        <w:t>Metropolitana y la Guardia carcelaria  durante  las  primeras  24  horas  de</w:t>
        <w:br/>
        <w:t>ocurrencia de los hechos no fue verificada por ninguna  autoridad  civil.  A</w:t>
        <w:br/>
        <w:t>las autoridades del Ministerio Público que  acudieron  a  las  instalaciones</w:t>
        <w:br/>
        <w:t>del Retén les fue impedido el ingreso por  la  Guardia  Nacional,  aduciendo</w:t>
        <w:br/>
        <w:t>falta de seguridad.</w:t>
        <w:br/>
        <w:br/>
        <w:t>60.23.      Entre el 28 y 29  de  noviembre  de  1992  cientos  de  reclusos</w:t>
        <w:br/>
        <w:t>fueron trasladados  del  Retén  de  Catia  a  la  Penitenciaría  General  de</w:t>
        <w:br/>
        <w:t>Venezuela (Guárico), al Internado Judicial Capital El Rodeo (Guatire)  y  al</w:t>
        <w:br/>
        <w:t>Centro Penitenciario de Carabobo (Valencia).  Los  traslados  se  efectuaron</w:t>
        <w:br/>
        <w:t>sin informar a los familiares de los internos sobre su paradero.</w:t>
        <w:br/>
        <w:br/>
        <w:t>60.24.      Los familiares de los internos trasladados desconocían  no  solo</w:t>
        <w:br/>
        <w:t>su paradero, sino su estado. Previamente, las autoridades mantuvieron a  los</w:t>
        <w:br/>
        <w:t>internos  por  varias  horas  en  los  patios  del  Retén,  obligándolos   a</w:t>
        <w:br/>
        <w:t>permanecer desnudos y en posiciones incómodas.</w:t>
        <w:br/>
        <w:br/>
        <w:t>60.25.      Los diversos reportes oficiales no  determinaron  con  exactitud</w:t>
        <w:br/>
        <w:t>el número de reclusos trasladados. Por ende, tampoco fue posible  determinar</w:t>
        <w:br/>
        <w:t>cuántos internos fueron desaparecidos.</w:t>
        <w:br/>
        <w:br/>
        <w:br/>
        <w:t xml:space="preserve">      e)    Las víctimas y sus familiares</w:t>
        <w:br/>
        <w:br/>
        <w:br/>
        <w:t>60.26.      Las personas que serán  consideradas  víctimas  en  el  presente</w:t>
        <w:br/>
        <w:t>caso, así como sus familiares  son  las  que  se  detallan  a  continuación.</w:t>
        <w:br/>
        <w:t>Asimismo, el Tribunal, de la prueba aportada ante sí  y  de  la  información</w:t>
        <w:br/>
        <w:t>suministrada por los representantes, a la cual se  allanó  el  Estado,  toma</w:t>
        <w:br/>
        <w:t>como la edad de las víctimas al momento de su muerte las siguientes:</w:t>
        <w:br/>
        <w:br/>
        <w:t xml:space="preserve">      1)    Alexis Antonio Martínez Liébano (víctima).-  Tenía  25  años  al</w:t>
        <w:br/>
        <w:t xml:space="preserve">      momento de su muerte[8]. Su madre es Berta  Laureana  Liébano[9],  sus</w:t>
        <w:br/>
        <w:t xml:space="preserve">      hermanos  son  Héctor  Aníbal  Romero  Liébano[10],   Carlos   Enrique</w:t>
        <w:br/>
        <w:t xml:space="preserve">      Liébano[11], Wladimir Martínez, Blanca  Yanmelis  Blanco  Liébano[12],</w:t>
        <w:br/>
        <w:t xml:space="preserve">      Belkys Martínez y Viki Yasmil Blanco Liébano[13]. Su hijo  es  Leonard</w:t>
        <w:br/>
        <w:t xml:space="preserve">      Alexander Martínez Castillo[14], y Leida Castillo[15] es su esposa.</w:t>
        <w:br/>
        <w:br/>
        <w:br/>
        <w:t xml:space="preserve">      2)    Ángel Francisco Aguilera (víctima).- Tenía 23 años al momento de</w:t>
        <w:br/>
        <w:t xml:space="preserve">      su muerte[16].</w:t>
        <w:br/>
        <w:br/>
        <w:br/>
        <w:t xml:space="preserve">      3)    Armando José Espejo Álvares (víctima).- Tenía 23 años al momento</w:t>
        <w:br/>
        <w:t xml:space="preserve">      de su muerte[17].</w:t>
        <w:br/>
        <w:br/>
        <w:br/>
        <w:t xml:space="preserve">      4)    Benjamín Eduardo Zerpa Rodríguez (víctima).- Tenía  20  años  al</w:t>
        <w:br/>
        <w:t xml:space="preserve">      momento  de  su  muerte[18].  Su  madre  es  María  Rosenda  Rodríguez</w:t>
        <w:br/>
        <w:t xml:space="preserve">      Pérez[19]. Su hermano es Luis Alfredo Zerpa[20]  y  sus  hermanas  son</w:t>
        <w:br/>
        <w:t xml:space="preserve">      Noris Margarita Zerpa Rodríguez[21], Garciela  Zerpa  Rodríguez[22]  y</w:t>
        <w:br/>
        <w:t xml:space="preserve">      Maria  Auxiliadora  Zerpa  Rodríguez[23].  Su  compañera   es   Yonary</w:t>
        <w:br/>
        <w:t xml:space="preserve">      Trujillo[24], y Benjahirin Nazareth Trujillo[25] es su hija.</w:t>
        <w:br/>
        <w:br/>
        <w:br/>
        <w:t xml:space="preserve">      5)    Carlos Enrique Serrano (víctima). La Corte no dispone  de  datos</w:t>
        <w:br/>
        <w:t xml:space="preserve">      relativos a su edad al momento de su muerte.</w:t>
        <w:br/>
        <w:br/>
        <w:br/>
        <w:t xml:space="preserve">      6)    César Gregorio Guzmán (víctima).- Tenía 20 años al momento de su</w:t>
        <w:br/>
        <w:t xml:space="preserve">      muerte[26].</w:t>
        <w:br/>
        <w:br/>
        <w:br/>
        <w:t xml:space="preserve">      7)    Charly Gustavo Paiva Reyes[27]  (víctima).-  Tenía  21  años  al</w:t>
        <w:br/>
        <w:t xml:space="preserve">      momento de su muerte[28].</w:t>
        <w:br/>
        <w:br/>
        <w:br/>
        <w:t xml:space="preserve">      8)    Deyvis Armando Flores Velásquez (víctima).-  Tenía  25  años  al</w:t>
        <w:br/>
        <w:t xml:space="preserve">      momento de su muerte[29].</w:t>
        <w:br/>
        <w:br/>
        <w:br/>
        <w:t xml:space="preserve">      9)    Edgar José Peña Marín (víctima).- tenía 24 años al momento de su</w:t>
        <w:br/>
        <w:t xml:space="preserve">      muerte[30]. Su madre es Inocenta del Valle Marín[31]. Sus hermanas son</w:t>
        <w:br/>
        <w:t xml:space="preserve">      Doris Isabel Peña  Marín[32]  y  Marjorie  Josefina  Marín[33].  Edgly</w:t>
        <w:br/>
        <w:t xml:space="preserve">      Nakary Peña Alkala[34] y Envidia[35] son sus hijas.</w:t>
        <w:br/>
        <w:br/>
        <w:br/>
        <w:t xml:space="preserve">      10)   Fabio Manuel  Castillo  Suárez  (víctima).-  Tenía  21  años  al</w:t>
        <w:br/>
        <w:t xml:space="preserve">      momento de su muerte[36].</w:t>
        <w:br/>
        <w:br/>
        <w:br/>
        <w:t xml:space="preserve">      11)   Franklin Antonio Armas González (víctima).-  Tenía  28  años  al</w:t>
        <w:br/>
        <w:t xml:space="preserve">      momento de su muerte[37]. Su madre  es  Ana  María  González[38].  Sus</w:t>
        <w:br/>
        <w:t xml:space="preserve">      hermanas son Mariela Rojas Gonzalez[39], Maritza Rojas  y  Mireya  del</w:t>
        <w:br/>
        <w:t xml:space="preserve">      Carmen. Franlis Marilis es su hija.</w:t>
        <w:br/>
        <w:br/>
        <w:br/>
        <w:t xml:space="preserve">      12)   Gabriel Antonio Figueroa Ramos  (víctima).-  Tenía  22  años  al</w:t>
        <w:br/>
        <w:t xml:space="preserve">      momento de su muerte[40].</w:t>
        <w:br/>
        <w:br/>
        <w:br/>
        <w:t xml:space="preserve">      13)   Henry Leonel Chirinos Hernández (víctima).-  Tenía  25  años  al</w:t>
        <w:br/>
        <w:t xml:space="preserve">      momento de su muerte[41]. Su madre es Ramona Hernández[42]. Sus  hijos</w:t>
        <w:br/>
        <w:t xml:space="preserve">      son Jean Chirinos[43] y Henry Yoel Chirinos[44]. Sus  hijas  son  Angy</w:t>
        <w:br/>
        <w:t xml:space="preserve">      Chirinos[45],  Mileydi  Chirinos[46],  Maury  Alejandra  Chirinos[47],</w:t>
        <w:br/>
        <w:t xml:space="preserve">      Maiby Yhoana Chirinos[48] y Silvia Elena.</w:t>
        <w:br/>
        <w:br/>
        <w:br/>
        <w:t xml:space="preserve">      14)   Inocencio José Ruiz Durán (víctima).- Tenía 25 años  al  momento</w:t>
        <w:br/>
        <w:t xml:space="preserve">      de su muerte[49]. Su madre es Maria Cristina Durán[50].  Sus  hermanos</w:t>
        <w:br/>
        <w:t xml:space="preserve">      son José Ramón Ruiz Durán[51], Nazario Ruiz Durán[52],  José  Gregorio</w:t>
        <w:br/>
        <w:t xml:space="preserve">      Ruiz Durán[53] y Aura Ruiz Durán[54]. Sus hijos son Antony  José  Ruiz</w:t>
        <w:br/>
        <w:t xml:space="preserve">      Uván[55], Danny José Ruiz  Uván[56],  Isneyvi  José  Ruiz  Uván[57]  y</w:t>
        <w:br/>
        <w:t xml:space="preserve">      Wiusleidy Xiorin Ruiz Uván[58].</w:t>
        <w:br/>
        <w:br/>
        <w:br/>
        <w:t xml:space="preserve">      15)   Iván José Pérez Castillo (víctima).- Tenía 31 años al momento de</w:t>
        <w:br/>
        <w:t xml:space="preserve">      su muerte[59].</w:t>
        <w:br/>
        <w:br/>
        <w:br/>
        <w:t xml:space="preserve">      16)   Jaime Arturo Henríquez Rizzo[60] (víctima).- Tenía  28  años  al</w:t>
        <w:br/>
        <w:t xml:space="preserve">      momento de su muerte[61].</w:t>
        <w:br/>
        <w:br/>
        <w:br/>
        <w:t xml:space="preserve">      17)   Jaime Ricardo Martínez (víctima).- Tenía 25 años al  momento  de</w:t>
        <w:br/>
        <w:t xml:space="preserve">      su muerte[62].</w:t>
        <w:br/>
        <w:br/>
        <w:br/>
        <w:t xml:space="preserve">      18)   Jesús Eduardo Romero (víctima).- Tenía 32 años al momento de  su</w:t>
        <w:br/>
        <w:t xml:space="preserve">      muerte[63].</w:t>
        <w:br/>
        <w:br/>
        <w:br/>
        <w:t xml:space="preserve">      19)   Jimmy Antonio González Sandoval[64] (víctima).- Tenía 23 años al</w:t>
        <w:br/>
        <w:t xml:space="preserve">      momento de su muerte[65].</w:t>
        <w:br/>
        <w:br/>
        <w:br/>
        <w:t xml:space="preserve">      20)   José Durán Hernández Daza (víctima).  La  Corte  no  dispone  de</w:t>
        <w:br/>
        <w:t xml:space="preserve">      datos relativos a su edad al momento de su muerte.</w:t>
        <w:br/>
        <w:br/>
        <w:br/>
        <w:t xml:space="preserve">      21)   José Gregorio  Gómez  Chaparro  (víctima).-  Tenía  34  años  al</w:t>
        <w:br/>
        <w:t xml:space="preserve">      momento de su muerte [66].</w:t>
        <w:br/>
        <w:br/>
        <w:br/>
        <w:t xml:space="preserve">      22)   José León Ayala Gualdron (víctima).- tenía 22 años al momento de</w:t>
        <w:br/>
        <w:t xml:space="preserve">      su muerte[67]. Su madre es Romualda  Gualdron[68].  Sus  hermanos  son</w:t>
        <w:br/>
        <w:t xml:space="preserve">      Calixta Ayala Gualdron[69], Juan Serapio Ayala Gualdron[70],  Tiburcio</w:t>
        <w:br/>
        <w:t xml:space="preserve">      Ayala Gualdron, José Angel Ayala Gualdron[71], Mireya  Josefina  Ayala</w:t>
        <w:br/>
        <w:t xml:space="preserve">      Gualdron[72], Victor José Santaella Gualdron[73],  Maribel  del  Valle</w:t>
        <w:br/>
        <w:t xml:space="preserve">      Santaella Gualdron[74]  y  Luis  Elpidio  Santaella  Gualdron[75].  Su</w:t>
        <w:br/>
        <w:t xml:space="preserve">      sobrina es Yelitza Figueroa.</w:t>
        <w:br/>
        <w:br/>
        <w:br/>
        <w:t xml:space="preserve">      23)   José Norberto Ríos (víctima). Tenía 39 años  al  momento  de  su</w:t>
        <w:br/>
        <w:t xml:space="preserve">      muerte[76].</w:t>
        <w:br/>
        <w:br/>
        <w:br/>
        <w:t xml:space="preserve">      24)   José Rafael Pérez Mendoza (víctima).- Tenía 20 años  al  momento</w:t>
        <w:br/>
        <w:t xml:space="preserve">      de su muerte[77].</w:t>
        <w:br/>
        <w:br/>
        <w:br/>
        <w:t xml:space="preserve">      25)   Juan Carlos Saavedra Rincón (víctima).- Tenía 26 años al momento</w:t>
        <w:br/>
        <w:t xml:space="preserve">      de su muerte[78]. Sus padres  son  María  Teresa  Rincón[79]  y  Jesús</w:t>
        <w:br/>
        <w:t xml:space="preserve">      Saavedra[80]. Sus hermanos son Javier Saavedra Rincón[81], Jesús  Omar</w:t>
        <w:br/>
        <w:t xml:space="preserve">      Saavedra Rincón[82], Ivan Sergio Saavedra Forero[83]  y  José  Ricardo</w:t>
        <w:br/>
        <w:t xml:space="preserve">      Saavedra Forero[84]. Su compañera es Yolanda Andrea Gallardo y su hija</w:t>
        <w:br/>
        <w:t xml:space="preserve">      es Yolicar Alejandra Rincón Gallardo[85].</w:t>
        <w:br/>
        <w:br/>
        <w:br/>
        <w:t xml:space="preserve">      26)   Juan José Rico Bolívar (víctima).- Tenía 38 años al  momento  de</w:t>
        <w:br/>
        <w:t xml:space="preserve">      su muerte[86].</w:t>
        <w:br/>
        <w:br/>
        <w:br/>
        <w:t xml:space="preserve">      27)   Marcos Neiro Ascanio Plaza (víctima).- Tenía 38 años al  momento</w:t>
        <w:br/>
        <w:t xml:space="preserve">      de su muerte[87]. Su madre es Josefina Plaza[88]. Su hermana es  Elena</w:t>
        <w:br/>
        <w:t xml:space="preserve">      Ascanio[89]. Su esposa es María Milagros León Castillo[90] y  su  hija</w:t>
        <w:br/>
        <w:t xml:space="preserve">      es Jessie Berenice Ascanio[91].</w:t>
        <w:br/>
        <w:br/>
        <w:br/>
        <w:t xml:space="preserve">      28)   Nancy Ramón Peña (víctima).- Tenía 40  años  al  momento  de  su</w:t>
        <w:br/>
        <w:t xml:space="preserve">      muerte[92].</w:t>
        <w:br/>
        <w:br/>
        <w:br/>
        <w:t xml:space="preserve">      29)   Néstor Luis Gavidia Velásquez[93] (víctima).- Tenía 25  años  al</w:t>
        <w:br/>
        <w:t xml:space="preserve">      momento de su muerte[94].  Su  hermano  es  Giovanni  Alfredo  Gavidia</w:t>
        <w:br/>
        <w:t xml:space="preserve">      Velásquez[95].</w:t>
        <w:br/>
        <w:br/>
        <w:br/>
        <w:t xml:space="preserve">      30)   Osman Simón Duarte (víctima).- Tenía 34 años al  momento  de  su</w:t>
        <w:br/>
        <w:t xml:space="preserve">      muerte[96].</w:t>
        <w:br/>
        <w:br/>
        <w:br/>
        <w:t xml:space="preserve">      31)   Pablo José Badillo Garcia (víctima).- Tenía 24 años  al  momento</w:t>
        <w:br/>
        <w:t xml:space="preserve">      de su muerte[97].</w:t>
        <w:br/>
        <w:br/>
        <w:br/>
        <w:t xml:space="preserve">      32)   Pedro Luis Zuloaga[98] (víctima).- Tenía 31 años al  momento  de</w:t>
        <w:br/>
        <w:t xml:space="preserve">      su muerte[99].</w:t>
        <w:br/>
        <w:br/>
        <w:br/>
        <w:t xml:space="preserve">      33)   Pedro Ricardo Castro Cruces (víctima).- Tenía 29 años al momento</w:t>
        <w:br/>
        <w:t xml:space="preserve">      de su muerte[100]. Sus padres son Pedro Ramón Castro  Castro  y  María</w:t>
        <w:br/>
        <w:t xml:space="preserve">      Aura Cruces de Castro[101]. Sus hermanos son María del Rosario  Castro</w:t>
        <w:br/>
        <w:t xml:space="preserve">      Cruces[102], Aracelis Teresa Castro Cruces[103],  Aura  Marina  Castro</w:t>
        <w:br/>
        <w:t xml:space="preserve">      Cruces[104], Flor Ángel  Castro  Cruces[105],  Gustavo  Adolfo  Castro</w:t>
        <w:br/>
        <w:t xml:space="preserve">      Cruces[106] y Juan Carlos Castro Cruces[107].</w:t>
        <w:br/>
        <w:br/>
        <w:br/>
        <w:t xml:space="preserve">      34)   Sergio José Celis (víctima).- Tenía 20 años  al  momento  de  su</w:t>
        <w:br/>
        <w:t xml:space="preserve">      muerte[108].</w:t>
        <w:br/>
        <w:br/>
        <w:br/>
        <w:t xml:space="preserve">      35)   Víctor Jesús Montero Aranguren  (víctima).-  Tenía  42  años  al</w:t>
        <w:br/>
        <w:t xml:space="preserve">      momento de su muerte[109]. Su esposa es Nelly María  Madriz[110].  Sus</w:t>
        <w:br/>
        <w:t xml:space="preserve">      hijos  son  Yamilet  María[111],  Jacqueline   María[112]   y   Víctor</w:t>
        <w:br/>
        <w:t xml:space="preserve">      José[113].</w:t>
        <w:br/>
        <w:br/>
        <w:br/>
        <w:t xml:space="preserve">      36)   Wilcon Alberto  Pérez  Santoya  (víctima).-  Tenía  19  años  al</w:t>
        <w:br/>
        <w:t xml:space="preserve">      momento de su muerte[114]. Sus padres son Luis  Alberto  Pérez  y  Ana</w:t>
        <w:br/>
        <w:t xml:space="preserve">      Dolores  Santoya[115].  Sus  hermanos   son   Carmen   Yolanda   Pérez</w:t>
        <w:br/>
        <w:t xml:space="preserve">      Santoya[116],  Yasely  Mercedes  Santoya[117],  Alexis   Pérez,   José</w:t>
        <w:br/>
        <w:t xml:space="preserve">      Gregorio Pérez y José Javier Santoya[118]. Su hija es Yomaris.</w:t>
        <w:br/>
        <w:br/>
        <w:br/>
        <w:t xml:space="preserve">      37)   Wilmer Benjamín Gómez  Vásquez  (víctima).-  Tenía  22  años  al</w:t>
        <w:br/>
        <w:t xml:space="preserve">      momento de su muerte[119].</w:t>
        <w:br/>
        <w:br/>
        <w:t>60.27.      Una vez enterados de lo sucedido en el Retén de Catia,  un  gran</w:t>
        <w:br/>
        <w:t>número  de  familiares  de  reclusos  se  trasladaron  de  inmediato  a  las</w:t>
        <w:br/>
        <w:t>instalaciones de éste, a efectos de obtener información sobre el  estado  de</w:t>
        <w:br/>
        <w:t>sus seres queridos. Desde tempranas horas de la mañana del 27  de  noviembre</w:t>
        <w:br/>
        <w:t>de 1992,  los  familiares  de  los  internos,  en  su  mayoría  mujeres,  se</w:t>
        <w:br/>
        <w:t>agolparon a la entrada del penal e intentaron indagar sobre  lo  sucedido  y</w:t>
        <w:br/>
        <w:t>recibieron bombas lacrimógenas  de  parte  de  los  agentes  de  la  Policía</w:t>
        <w:br/>
        <w:t>Metropolitana que impidieron cualquier acercamiento.  Ante  la  negativa  de</w:t>
        <w:br/>
        <w:t>las autoridades de brindar información, los familiares  decidieron  ubicarse</w:t>
        <w:br/>
        <w:t>en los alrededores del establecimiento  penitenciario.  De  este  modo,  los</w:t>
        <w:br/>
        <w:t>reclusos que se encontraban en el interior se comunicaron con ellos de  viva</w:t>
        <w:br/>
        <w:t>voz, pidiendo auxilio y señalando que las autoridades los estaban matando.</w:t>
        <w:br/>
        <w:br/>
        <w:t>60.28.      Las personas fallecidas  en  los  hechos  fueron  trasladadas  a</w:t>
        <w:br/>
        <w:t>distintas medicaturas forenses de  la  entonces  Policía  Técnica  Judicial,</w:t>
        <w:br/>
        <w:t>ubicadas en las ciudades de Caracas, Los Teques y La Guaria.  A  las  mismas</w:t>
        <w:br/>
        <w:t>acudieron los familiares de los reclusos  desaparecidos,  encontrándose  con</w:t>
        <w:br/>
        <w:t>una gran dificultad para ubicar e identificar a sus familiares.  Después  de</w:t>
        <w:br/>
        <w:t>varios días de búsqueda algunos encontraron los restos  de  sus  familiares,</w:t>
        <w:br/>
        <w:t>sin  embargo  otros  han  continuado  realizando  gestiones   tendientes   a</w:t>
        <w:br/>
        <w:t>encontrar los cuerpos de  sus  seres  queridos,  como  es  el  caso  de  las</w:t>
        <w:br/>
        <w:t>familias de José León Ayala Gualdrón y Edgar José Peña Marín.</w:t>
        <w:br/>
        <w:br/>
        <w:t>60.29.      Las acciones cumplidas por las  autoridades  venezolanas  en  el</w:t>
        <w:br/>
        <w:t>curso de la investigación de los hechos no  han  sido  suficientes  para  el</w:t>
        <w:br/>
        <w:t>debido  esclarecimiento  de  la  verdad  histórica,  la   determinación   de</w:t>
        <w:br/>
        <w:t>responsabilidades y condena de los responsables de la masacre del  Retén  de</w:t>
        <w:br/>
        <w:t>Catia. En una primera etapa, la investigación tuvo múltiples  inconvenientes</w:t>
        <w:br/>
        <w:t>ocasionados por la  falta  de  colaboración  de  la  fuerza  pública  y  las</w:t>
        <w:br/>
        <w:t>autoridades  carcelarias  en  la  recopilación   y   custodia   de   pruebas</w:t>
        <w:br/>
        <w:t>esenciales. En una segunda etapa, las autoridades judiciales  encargadas  de</w:t>
        <w:br/>
        <w:t>dirigir la investigación demostraron negligencia para cumplir con  su  deber</w:t>
        <w:br/>
        <w:t>y obtener resultados serios.</w:t>
        <w:br/>
        <w:br/>
        <w:br/>
        <w:t xml:space="preserve">      f)    Trámite ante la Justicia Ordinaria</w:t>
        <w:br/>
        <w:br/>
        <w:br/>
        <w:t>60.30.      El 30 de  noviembre  de  1992  el  Juzgado  Vigésimo  Noveno  de</w:t>
        <w:br/>
        <w:t>Primera Instancia en lo Penal y de Salvaguarda del Patrimonio Público de  la</w:t>
        <w:br/>
        <w:t>Circunscripción Judicial del Distrito Federal y Estado Miranda (en  adelante</w:t>
        <w:br/>
        <w:t>“Juzgado Vigésimo Noveno”) inició una averiguación sumarial, de  conformidad</w:t>
        <w:br/>
        <w:t>con el Código  de  Enjuiciamiento  Criminal,  vigente  para  la  época,  (en</w:t>
        <w:br/>
        <w:t>adelante “CEC”) por la comisión de delitos en contra  de  las  personas,  en</w:t>
        <w:br/>
        <w:t>agravio de los internos del Retén.</w:t>
        <w:br/>
        <w:br/>
        <w:t>60.31.      Los Fiscales Centésimo Primero, Nonagésima Tercera  y  Centésimo</w:t>
        <w:br/>
        <w:t>Primero del Ministerio Público solicitaron  la  práctica  de  una  serie  de</w:t>
        <w:br/>
        <w:t>diligencias. De este modo, se inició una  investigación  que  el  Ministerio</w:t>
        <w:br/>
        <w:t>Público intentó impulsar,  pero  que  fue  obstaculizada  por  la  falta  de</w:t>
        <w:br/>
        <w:t>colaboración de las autoridades policiales  y  carcelarias.  En  efecto,  la</w:t>
        <w:br/>
        <w:t>información solicitada no fue suministrada de  manera  oportuna  y  completa</w:t>
        <w:br/>
        <w:t>por  las  fuerzas  de  seguridad  involucradas.  Asimismo,   la   falta   de</w:t>
        <w:br/>
        <w:t>colaboración de la fuerza  pública  y  de  las  autoridades  carcelarias  se</w:t>
        <w:br/>
        <w:t>demostró con la reiterada negligencia para cumplir  las  órdenes  judiciales</w:t>
        <w:br/>
        <w:t>de comparecencia y práctica de pruebas. La Guardia  Nacional  tampoco  envió</w:t>
        <w:br/>
        <w:t>ninguna  comunicación  al  Juzgado  Vigésimo  Noveno   y   ninguna   persona</w:t>
        <w:br/>
        <w:t>perteneciente a este cuerpo armado declaró ante dicha autoridad.</w:t>
        <w:br/>
        <w:br/>
        <w:t>60.32.      Esta actitud del Estado, que además incluyó la renuencia de  las</w:t>
        <w:br/>
        <w:t>autoridades penitenciarias en permitir los traslados de internos al  juzgado</w:t>
        <w:br/>
        <w:t>y  las  comisiones  de  funcionarios  judiciales  a  los  distintos  centros</w:t>
        <w:br/>
        <w:t>penitenciarios, provocó no sólo que se dilatara la investigación,  sino  que</w:t>
        <w:br/>
        <w:t>se  perdiera  el  material  probatorio  esencial  que   permitiera   a   los</w:t>
        <w:br/>
        <w:t>funcionarios judiciales tener mayor claridad sobre los hechos  ocurridos  en</w:t>
        <w:br/>
        <w:t>el Retén.</w:t>
        <w:br/>
        <w:br/>
        <w:t>60.33.      De esta manera, el  Juzgado  Vigésimo  Noveno  decidió  que  "no</w:t>
        <w:br/>
        <w:t>exis[tía]  ni  un  solo  elemento  que  comprome[tiera]  la  culpabilidad  y</w:t>
        <w:br/>
        <w:t>responsabilidad penal de alguno de los  funcionarios"  y  por  tanto  ordenó</w:t>
        <w:br/>
        <w:t>"mantener abierta la […] averiguación".</w:t>
        <w:br/>
        <w:br/>
        <w:t>60.34.      El 19 de agosto de 1994 el Juzgado Vigésimo  Noveno  de  Primera</w:t>
        <w:br/>
        <w:t>Instancia remitió el expediente a la División contra Homicidios  del  Cuerpo</w:t>
        <w:br/>
        <w:t>Técnico de Policía Judicial para  que  prosiguiera  la  investigación.  Esta</w:t>
        <w:br/>
        <w:t>decisión no pudo ser recurrida por los familiares de las víctimas,  pues  se</w:t>
        <w:br/>
        <w:t>les impidió el acceso y en consecuencia la participación en  el  proceso.  A</w:t>
        <w:br/>
        <w:t>partir de esta decisión, las actividades investigativas  se  suspendieron  y</w:t>
        <w:br/>
        <w:t>ninguna autoridad judicial valoró el material probatorio existente u  ordenó</w:t>
        <w:br/>
        <w:t>la práctica de pruebas adicionales. Actualmente la investigación  reposa  en</w:t>
        <w:br/>
        <w:t>la  Fiscalía  Sexagésima  Octava  del  Área   Metropolitana   en   fase   de</w:t>
        <w:br/>
        <w:t>investigación preliminar bajo el número de expediente No. 4582.</w:t>
        <w:br/>
        <w:br/>
        <w:br/>
        <w:t xml:space="preserve">      g)    Trámite ante la Justicia Militar</w:t>
        <w:br/>
        <w:br/>
        <w:br/>
        <w:t>60.35.      La actuación de funcionarios militares de  la  Guardia  Nacional</w:t>
        <w:br/>
        <w:t>en el retén dio lugar a la apertura de  una  investigación  en  la  justicia</w:t>
        <w:br/>
        <w:t>penal militar. Los familiares de las víctimas nunca han tenido acceso a  los</w:t>
        <w:br/>
        <w:t>resultados de dicha investigación ni a  las  pruebas  que  durante  ella  se</w:t>
        <w:br/>
        <w:t>hayan recopilado. La Comisión Interamericana tampoco  tuvo  acceso  a  estos</w:t>
        <w:br/>
        <w:t>expedientes pese a que el Estado se  comprometió  a  dar  publicidad  a  las</w:t>
        <w:br/>
        <w:t>actuaciones judiciales  del  caso,  en  el  marco  del  fallido  proceso  de</w:t>
        <w:br/>
        <w:t>solución amistosa (supra párr. 47).</w:t>
        <w:br/>
        <w:br/>
        <w:t xml:space="preserve">      h)    Daños inmateriales sufridos por las víctimas y sus familiares</w:t>
        <w:br/>
        <w:br/>
        <w:t>60.36 Las 37 víctimas individualizadas en el párrafo 60.26  de  la  presente</w:t>
        <w:br/>
        <w:t>sentencia sufrieron severos padecimientos  a  consecuencia  de  las  penosas</w:t>
        <w:br/>
        <w:t>condiciones carcelarias que soportaron durante su tiempo de reclusión en  el</w:t>
        <w:br/>
        <w:t>Retén de Catia y por los hechos de violencia ocurridos en este  Retén  entre</w:t>
        <w:br/>
        <w:t>el 27 y 29 de noviembre de 1992 (supra párrs. 60.16 a  60.25),  en  los  que</w:t>
        <w:br/>
        <w:t>finalmente perdieron la vida.  Por su parte, los familiares de las  víctimas</w:t>
        <w:br/>
        <w:t>individualizados  en  el  párrafo  60.26   de   esta   Sentencia   sufrieron</w:t>
        <w:br/>
        <w:t>padecimientos morales por la denegación de justicia que  todavía  permanece,</w:t>
        <w:br/>
        <w:t>por la falta de información inicial respecto a la ubicación  de  los  restos</w:t>
        <w:br/>
        <w:t>mortales de sus familiares, y por el mismo impacto de la pérdida.</w:t>
        <w:br/>
        <w:br/>
        <w:t xml:space="preserve">      i)     Representación  ante  la  jurisdicción  interna  y  el  sistema</w:t>
        <w:br/>
        <w:t xml:space="preserve">           interamericano de protección de derechos humanos</w:t>
        <w:br/>
        <w:br/>
        <w:t>60.37.      Los familiares de las víctimas, apoyados  por  COFAVIC,  durante</w:t>
        <w:br/>
        <w:t>trece  años  consecutivos  han  dado  seguimiento  a   las   investigaciones</w:t>
        <w:br/>
        <w:t>iniciadas  en  la  jurisdicción  interna,  a  pesar  de   las   dificultades</w:t>
        <w:br/>
        <w:t>presentadas,  lo  que  ha  generado  gastos  para  dicha   organización   no</w:t>
        <w:br/>
        <w:t>gubernamental. Asimismo, COFAVIC y CEJIL asumieron la representación de  los</w:t>
        <w:br/>
        <w:t>familiares de las víctimas ante el sistema interamericano de  protección  de</w:t>
        <w:br/>
        <w:t>los derechos humanos, lo que también ha generado gastos.</w:t>
        <w:br/>
        <w:br/>
        <w:br/>
        <w:t xml:space="preserve">                                    VIII</w:t>
        <w:br/>
        <w:t xml:space="preserve">     Violación de los artículos 4 (Derecho a la Vida) y 5 (Derecho a la</w:t>
        <w:br/>
        <w:t xml:space="preserve">     Integridad Personal) de la Convención Americana, en relación con el</w:t>
        <w:br/>
        <w:t xml:space="preserve">                          artículo 1.1 de la misma</w:t>
        <w:br/>
        <w:br/>
        <w:t>61.   Como  fuera  mencionado  anteriormente  (supra  párr.  57),  la  Corte</w:t>
        <w:br/>
        <w:t>considera que el allanamiento del Estado por la violación de  los  artículos</w:t>
        <w:br/>
        <w:t>4 y 5 de la Convención, en perjuicio de las víctimas individualizadas en  el</w:t>
        <w:br/>
        <w:t>párrafo 60.26 de esta Sentencia, constituye  una  contribución  positiva  al</w:t>
        <w:br/>
        <w:t>desarrollo de este proceso y a los  principios  que  inspira  la  Convención</w:t>
        <w:br/>
        <w:t>Americana.</w:t>
        <w:br/>
        <w:br/>
        <w:t>62.   Sin perjuicio de lo anterior, y debido a las graves circunstancias  en</w:t>
        <w:br/>
        <w:t>que acontecieron los  hechos,  el  Tribunal  considera  pertinente  analizar</w:t>
        <w:br/>
        <w:t>ciertos aspectos relativos a la violación de  los  artículo  4  y  5  de  la</w:t>
        <w:br/>
        <w:t>Convención. En tal sentido, la Corte analizará: a) el uso de la  fuerza  por</w:t>
        <w:br/>
        <w:t>parte de miembros de cuerpos de seguridad, y b) las condiciones  carcelarias</w:t>
        <w:br/>
        <w:t>del Retén de Catia. Para ello, el Tribunal  no  considera  oportuno  resumir</w:t>
        <w:br/>
        <w:t>los alegatos de la Comisión y los representantes, puesto que  el  Estado  se</w:t>
        <w:br/>
        <w:t>allanó totalmente a las violaciones que tales alegatos sustentaban.</w:t>
        <w:br/>
        <w:br/>
        <w:t xml:space="preserve">                 A) Del uso de fuerza por parte de miembros</w:t>
        <w:br/>
        <w:t xml:space="preserve">                           de cuerpos de seguridad</w:t>
        <w:br/>
        <w:br/>
        <w:t xml:space="preserve">   i) Principios generales sobre el derecho a la vida</w:t>
        <w:br/>
        <w:br/>
        <w:t>63.   El derecho a la vida es  un  derecho  humano  fundamental,  cuyo  goce</w:t>
        <w:br/>
        <w:t>pleno es un prerrequisito para el  disfrute  de  todos  los  demás  derechos</w:t>
        <w:br/>
        <w:t>humanos[120]. De no ser respetado, todos los derechos  carecen  de  sentido.</w:t>
        <w:br/>
        <w:t>En razón de dicho carácter, no  son  admisibles  enfoques  restrictivos  del</w:t>
        <w:br/>
        <w:t>mismo[121]. De conformidad con  el  artículo  27.2  de  la  Convención  este</w:t>
        <w:br/>
        <w:t>derecho forma parte del núcleo inderogable,  pues  se  encuentra  consagrado</w:t>
        <w:br/>
        <w:t>como uno de los derechos que no puede ser suspendido  en  casos  de  guerra,</w:t>
        <w:br/>
        <w:t>peligro público u otras amenazas a  la  independencia  o  seguridad  de  los</w:t>
        <w:br/>
        <w:t>Estados Partes[122].</w:t>
        <w:br/>
        <w:br/>
        <w:t>64.    En  virtud  de  este  papel  fundamental  que  se  le  asigna  en  la</w:t>
        <w:br/>
        <w:t>Convención, los Estados tienen la obligación de garantizar  la  creación  de</w:t>
        <w:br/>
        <w:t>las condiciones necesarias para que  no  se  produzcan  violaciones  de  ese</w:t>
        <w:br/>
        <w:t>derecho inalienable, así como  el  deber  de  impedir  que  sus  agentes,  o</w:t>
        <w:br/>
        <w:t>particulares, atenten contra el mismo[123]. El  objeto  y  propósito  de  la</w:t>
        <w:br/>
        <w:t>Convención, como instrumento para la protección  del  ser  humano,  requiere</w:t>
        <w:br/>
        <w:t>que el derecho a la vida sea interpretado  y  aplicado  de  manera  que  sus</w:t>
        <w:br/>
        <w:t>salvaguardas sean prácticas y efectivas (effet utile)[124].</w:t>
        <w:br/>
        <w:br/>
        <w:t>65.   La Corte ha señalado en su jurisprudencia que el cumplimiento  de  las</w:t>
        <w:br/>
        <w:t>obligaciones impuestas  por  el  artículo  4  de  la  Convención  Americana,</w:t>
        <w:br/>
        <w:t>relacionado con el artículo 1.1 de la misma, no sólo presupone  que  ninguna</w:t>
        <w:br/>
        <w:t>persona sea privada de su vida arbitrariamente (obligación  negativa),  sino</w:t>
        <w:br/>
        <w:t>que además requiere, a la luz de su obligación  de  garantizar  el  pleno  y</w:t>
        <w:br/>
        <w:t>libre ejercicio de los derechos humanos, que los Estados adopten  todas  las</w:t>
        <w:br/>
        <w:t>medidas  apropiadas  para  proteger  y  preservar  el  derecho  a  la   vida</w:t>
        <w:br/>
        <w:t>(obligación positiva) de quienes se encuentren bajo su jurisdicción[125].</w:t>
        <w:br/>
        <w:br/>
        <w:t>66.   En razón de  lo  anterior,  los  Estados  deben  adoptar  las  medidas</w:t>
        <w:br/>
        <w:t>necesarias para crear un marco  normativo  adecuado  que  disuada  cualquier</w:t>
        <w:br/>
        <w:t>amenaza al derecho a la vida; establecer un  sistema  de  justicia  efectivo</w:t>
        <w:br/>
        <w:t>capaz de investigar, castigar y dar reparación por la privación de  la  vida</w:t>
        <w:br/>
        <w:t>por parte de  agentes  estatales  o  particulares[126];  y  salvaguardar  el</w:t>
        <w:br/>
        <w:t>derecho a que no se impida el acceso a las condiciones  que  garanticen  una</w:t>
        <w:br/>
        <w:t>existencia digna[127]. De manera especial los Estados deben vigilar que  sus</w:t>
        <w:br/>
        <w:t>cuerpos de seguridad, a quienes les está  atribuido  el  uso  de  la  fuerza</w:t>
        <w:br/>
        <w:t>legítima, respeten el derecho a la vida de quienes  se  encuentren  bajo  su</w:t>
        <w:br/>
        <w:t>jurisdicción.</w:t>
        <w:br/>
        <w:br/>
        <w:t xml:space="preserve">      ii)    El  derecho  del  individuo  a   no   ser   víctima   del   uso</w:t>
        <w:br/>
        <w:t xml:space="preserve">           desproporcionado de la fuerza y el deber del Estado de usar ésta</w:t>
        <w:br/>
        <w:t xml:space="preserve">           excepcional y racionalmente</w:t>
        <w:br/>
        <w:br/>
        <w:t>67.   El uso de la fuerza por parte de los cuerpos  de  seguridad  estatales</w:t>
        <w:br/>
        <w:t>debe estar definido por la excepcionalidad, y debe ser planeado  y  limitado</w:t>
        <w:br/>
        <w:t>proporcionalmente por las autoridades.  En  este  sentido,  el  Tribunal  ha</w:t>
        <w:br/>
        <w:t>estimado que sólo podrá hacerse uso  de  la  fuerza  o  de  instrumentos  de</w:t>
        <w:br/>
        <w:t>coerción cuando se hayan agotado y hayan fracasado todos  los  demás  medios</w:t>
        <w:br/>
        <w:t>de control[128].</w:t>
        <w:br/>
        <w:br/>
        <w:t>68.   En un mayor grado de excepcionalidad se ubica  el  uso  de  la  fuerza</w:t>
        <w:br/>
        <w:t>letal y las armas de fuego por  parte  de  agentes  de  seguridad  estatales</w:t>
        <w:br/>
        <w:t>contra las personas, el cual debe estar prohibido  como  regla  general.  Su</w:t>
        <w:br/>
        <w:t>uso  excepcional  deberá  estar  formulado  por  ley,  y  ser   interpretado</w:t>
        <w:br/>
        <w:t>restrictivamente de manera que sea  minimizado  en  toda  circunstancia,  no</w:t>
        <w:br/>
        <w:t>siendo más que el “absolutamente necesario” en  relación  con  la  fuerza  o</w:t>
        <w:br/>
        <w:t>amenaza que se pretende repeler[129]. Cuando se  usa  fuerza  excesiva  toda</w:t>
        <w:br/>
        <w:t>privación de la vida resultante es arbitraria.</w:t>
        <w:br/>
        <w:br/>
        <w:t>69.   Según los Principios Básicos sobre el Empleo de la Fuerza y  de  Armas</w:t>
        <w:br/>
        <w:t>de Fuego por parte de Oficiales Encargados de  Hacer  Cumplir  la  Ley[130],</w:t>
        <w:br/>
        <w:t>las armas de fuego  podrán  usarse  excepcionalmente  en  caso  de  “defensa</w:t>
        <w:br/>
        <w:t>propia o de otras personas,  en  caso  de  peligro  inminente  de  muerte  o</w:t>
        <w:br/>
        <w:t>lesiones graves, o con el propósito de  evitar  la  comisión  de  un  delito</w:t>
        <w:br/>
        <w:t>particularmente grave que entrañe una seria amenaza para la vida, o  con  el</w:t>
        <w:br/>
        <w:t>objeto de detener  a  una  persona  que  represente  ese  peligro  y  oponga</w:t>
        <w:br/>
        <w:t>resistencia a su autoridad, o para impedir su fuga, y sólo en  caso  de  que</w:t>
        <w:br/>
        <w:t>resulten insuficientes medidas menos extremas para lograr dichos  objetivos.</w:t>
        <w:br/>
        <w:t>En cualquier caso, sólo se podrá hacer  uso  intencional  de  armas  letales</w:t>
        <w:br/>
        <w:t>cuando sea estrictamente inevitable para proteger una vida.”</w:t>
        <w:br/>
        <w:br/>
        <w:t>70.   Como lo ha señalado en ocasiones anteriores, esta  Corte  reconoce  la</w:t>
        <w:br/>
        <w:t>existencia  de  la  facultad,  e  incluso,  la  obligación  del  Estado   de</w:t>
        <w:br/>
        <w:t>garantizar la seguridad y mantener el orden público, en especial  dentro  de</w:t>
        <w:br/>
        <w:t>las cárceles[131]. Centros penitenciarios como el Retén de Catia,  donde  el</w:t>
        <w:br/>
        <w:t>tráfico de armas y drogas,  la  formación  de  bandas  y  la  subcultura  de</w:t>
        <w:br/>
        <w:t>violencia se intensifican bajo la mirada pasiva  del  Estado  requieren  del</w:t>
        <w:br/>
        <w:t>constante resguardo de la seguridad y vida de los  internos  y  funcionarios</w:t>
        <w:br/>
        <w:t>que allí trabajan. Sin embargo, el Estado no puede desbordar el  uso  de  la</w:t>
        <w:br/>
        <w:t>fuerza  con   consecuencias   letales   para   los   internos   en   centros</w:t>
        <w:br/>
        <w:t>penitenciarios justificándose en la sola existencia de  la  situación  antes</w:t>
        <w:br/>
        <w:t>descrita. Lo contrario sería absolver al  Estado  de  su  deber  de  adoptar</w:t>
        <w:br/>
        <w:t>acciones de prevención y de  su  responsabilidad  en  la  creación  de  esas</w:t>
        <w:br/>
        <w:t>condiciones.</w:t>
        <w:br/>
        <w:br/>
        <w:t>71.   Es claro que las medidas a adoptarse por el Estado deben priorizar  un</w:t>
        <w:br/>
        <w:t>sistema de acciones  de  prevención,  dirigido,  inter  alia,  a  evitar  el</w:t>
        <w:br/>
        <w:t>tráfico de armas y el aumento de la violencia, a un sistema de  acciones  de</w:t>
        <w:br/>
        <w:t>represión.</w:t>
        <w:br/>
        <w:br/>
        <w:t>72.   En el presente caso, según las versiones de algunos  ex  internos,  la</w:t>
        <w:br/>
        <w:t>madrugada del 27 de noviembre de  1992  “los  guardias  [...]  abrieron  las</w:t>
        <w:br/>
        <w:t>puertas de las celdas anunciando a los reclusos que  quedaban  en  libertad,</w:t>
        <w:br/>
        <w:t>esperaron la salida de los internos y empezaron a  disparar  contra  ellos”.</w:t>
        <w:br/>
        <w:t>Otras versiones de lo ocurrido indican que se generó un  intento  masivo  de</w:t>
        <w:br/>
        <w:t>fuga que fue reprimido por las autoridades  con  exceso  en  el  uso  de  la</w:t>
        <w:br/>
        <w:t>fuerza. En estos hechos habrían intervenido  la  guardia  penitenciaria,  la</w:t>
        <w:br/>
        <w:t>Policía Metropolitana y posteriormente la Guardia Nacional. A pesar  de  las</w:t>
        <w:br/>
        <w:t>distintas versiones de lo ocurrido, lo que  queda  claro  de  las  actas  de</w:t>
        <w:br/>
        <w:t>autopsia allegadas al Tribunal y del allanamiento del  Estado,  es  que  las</w:t>
        <w:br/>
        <w:t>muertes de las víctimas del presente caso fueron producidas por heridas  con</w:t>
        <w:br/>
        <w:t>armas de fuego, y en muchas de ellas,  la  trayectoria  de  los  proyectiles</w:t>
        <w:br/>
        <w:t>indican que fueron ejecutadas extrajudicialmente.</w:t>
        <w:br/>
        <w:br/>
        <w:t>73.   Si lo que ocurrió los días 27 y 28 de noviembre  de  1992  dentro  del</w:t>
        <w:br/>
        <w:t>Retén de Catia fue un acto concebido y planeado  por  autoridades  estatales</w:t>
        <w:br/>
        <w:t>para quitarle arbitrariamente la vida a decenas de internos, o fue  producto</w:t>
        <w:br/>
        <w:t>de la  reacción  estatal  desproporcionada  al  intento  de  fuga  masiva  y</w:t>
        <w:br/>
        <w:t>quebrantamiento del  orden  dentro  del  penal,  es  una  cuestión  que  las</w:t>
        <w:br/>
        <w:t>autoridades de Venezuela tienen aún el deber de resolver.  Para  esta  Corte</w:t>
        <w:br/>
        <w:t>los hechos establecidos evidencian un uso de extrema violencia por parte  de</w:t>
        <w:br/>
        <w:t>los cuerpos de seguridad con consecuencias letales para la vida  de  los  37</w:t>
        <w:br/>
        <w:t>internos en el Retén de Catia individualizados en esta  sentencia,  a  todas</w:t>
        <w:br/>
        <w:t>luces violatorio del artículo 4 de la Convención Americana.</w:t>
        <w:br/>
        <w:br/>
        <w:t>74.   En este sentido, el Estado reconoció que la actuación de  las  cuerpos</w:t>
        <w:br/>
        <w:t>de seguridad que intervinieron en estos hechos  no  fue  proporcional  a  la</w:t>
        <w:br/>
        <w:t>amenaza o peligro presentada, ni estrictamente necesaria para  preservar  el</w:t>
        <w:br/>
        <w:t>orden en el Retén de Catia.</w:t>
        <w:br/>
        <w:br/>
        <w:br/>
        <w:br/>
        <w:br/>
        <w:t xml:space="preserve">      iii)  Creación de un marco normativo que regule el uso de la fuerza</w:t>
        <w:br/>
        <w:br/>
        <w:t>75.   Tal como se señaló en el párrafo 66  de  la  presente  Sentencia,  los</w:t>
        <w:br/>
        <w:t>Estados deben crear  un  marco  normativo  adecuado  que  disuada  cualquier</w:t>
        <w:br/>
        <w:t>amenaza del derecho a la vida. De  allí  que  la  legislación  interna  debe</w:t>
        <w:br/>
        <w:t>establecer pautas lo suficientemente claras para la  utilización  de  fuerza</w:t>
        <w:br/>
        <w:t>letal y armas de fuego por parte de los  agentes  estatales.  Siguiendo  los</w:t>
        <w:br/>
        <w:t>“Principios sobre el empleo de la fuerza y de las armas  de  fuego  por  los</w:t>
        <w:br/>
        <w:t>funcionarios  encargados  de  hacer  cumplir   la   Ley”,   las   normas   y</w:t>
        <w:br/>
        <w:t>reglamentaciones sobre el empleo de armas  de  fuego  por  los  funcionarios</w:t>
        <w:br/>
        <w:t>encargados de hacer cumplir  la  ley  deben  contener  directrices  que:  a)</w:t>
        <w:br/>
        <w:t>especifiquen  las  circunstancias  en  que   tales   funcionarios   estarían</w:t>
        <w:br/>
        <w:t>autorizados a portar armas de fuego y  prescriban  los  tipos  de  armas  de</w:t>
        <w:br/>
        <w:t>fuego o municiones autorizados; b)  aseguren  que  las  armas  de  fuego  se</w:t>
        <w:br/>
        <w:t>utilicen  solamente  en  circunstancias  apropiadas  y  de  manera  tal  que</w:t>
        <w:br/>
        <w:t>disminuya el riesgo de daños innecesarios; c) prohíban el  empleo  de  armas</w:t>
        <w:br/>
        <w:t>de  fuego  y  municiones  que  puedan  provocar  lesiones  no   deseadas   o</w:t>
        <w:br/>
        <w:t>signifiquen  un   riesgo   injustificado;   d)   reglamenten   el   control,</w:t>
        <w:br/>
        <w:t>almacenamiento  y  distribución  de   armas   de   fuego,   así   como   los</w:t>
        <w:br/>
        <w:t>procedimientos para  asegurar  que  los  funcionarios  encargados  de  hacer</w:t>
        <w:br/>
        <w:t>cumplir la ley respondan de las armas de  fuego  o  municiones  que  se  les</w:t>
        <w:br/>
        <w:t>hayan entregado; e) señalen los avisos de  advertencia  que  deberán  darse,</w:t>
        <w:br/>
        <w:t>siempre que proceda, cuando se vaya a hacer uso de un arma de  fuego,  y  f)</w:t>
        <w:br/>
        <w:t>establezcan  un  sistema  de  presentación  de  informes  siempre  que   los</w:t>
        <w:br/>
        <w:t>funcionarios encargados de hacer cumplir la ley recurran al empleo de  armas</w:t>
        <w:br/>
        <w:t>de fuego en el desempeño de sus funciones.</w:t>
        <w:br/>
        <w:br/>
        <w:t>76.   La legislación venezolana sobre el uso de la  fuerza  por  autoridades</w:t>
        <w:br/>
        <w:t>estatales vigente al momento de los hechos carecía de  las  especificaciones</w:t>
        <w:br/>
        <w:t>mínimas que debía contener[132]. Las características de los hechos  de  este</w:t>
        <w:br/>
        <w:t>caso revelan que los cuerpos armados  y  los  organismos  de  seguridad  del</w:t>
        <w:br/>
        <w:t>Estado no estaban preparados para encarar situaciones  de  perturbación  del</w:t>
        <w:br/>
        <w:t>orden público mediante la aplicación de medios y métodos respetuosos de  los</w:t>
        <w:br/>
        <w:t>derechos humanos.</w:t>
        <w:br/>
        <w:br/>
        <w:t xml:space="preserve">      iv)   Capacitación y entrenamiento a los agentes estatales en  el  uso</w:t>
        <w:br/>
        <w:t xml:space="preserve">           de la fuerza</w:t>
        <w:br/>
        <w:br/>
        <w:t>77.   Una adecuada legislación no cumpliría  su  cometido  si,  entre  otras</w:t>
        <w:br/>
        <w:t>cosas, los Estados no forman y capacitan  a  los  miembros  de  sus  cuerpos</w:t>
        <w:br/>
        <w:t>armados  y  organismos  de  seguridad  sobre  los  principios  y  normas  de</w:t>
        <w:br/>
        <w:t>protección de los derechos humanos y sobre los límites a los que debe  estar</w:t>
        <w:br/>
        <w:t>sometido, aun bajo los estados de excepción, el uso de las armas  por  parte</w:t>
        <w:br/>
        <w:t>de los funcionarios encargados de hacer cumplir la ley[133]. En  efecto,  la</w:t>
        <w:br/>
        <w:t>Corte Europea de Derechos Humanos ha señalado que la cuestión de si  debería</w:t>
        <w:br/>
        <w:t>recurrirse al uso de armas de fuego y en qué circunstancias, debe  decidirse</w:t>
        <w:br/>
        <w:t>sobre  la   base   de   disposiciones   legales   claras   y   entrenamiento</w:t>
        <w:br/>
        <w:t>adecuado[134].</w:t>
        <w:br/>
        <w:br/>
        <w:t>78.   En el mismo sentido, esta Corte estima que es imprescindible  que  los</w:t>
        <w:br/>
        <w:t>agentes del Estado conozcan las disposiciones legales que  permiten  el  uso</w:t>
        <w:br/>
        <w:t>de las armas de fuego y que tengan el entrenamiento adecuado para que en  el</w:t>
        <w:br/>
        <w:t>evento en que deban decidir acerca de su uso posean los elementos de  juicio</w:t>
        <w:br/>
        <w:t>para hacerlo. Además, los Estados deben limitar al  máximo  el  uso  de  las</w:t>
        <w:br/>
        <w:t>fuerzas armadas para el  control  de  disturbios  internos,  puesto  que  el</w:t>
        <w:br/>
        <w:t>entrenamiento que reciben está dirigido a derrotar al enemigo,  y  no  a  la</w:t>
        <w:br/>
        <w:t>protección y control de civiles, entrenamiento que es propio  de  los  entes</w:t>
        <w:br/>
        <w:t>policiales.</w:t>
        <w:br/>
        <w:br/>
        <w:t xml:space="preserve">      v)    Control adecuado y verificación de la legalidad del  uso  de  la</w:t>
        <w:br/>
        <w:t xml:space="preserve">      fuerza</w:t>
        <w:br/>
        <w:br/>
        <w:t>79.   Del mismo modo, la prohibición general a los  agentes  del  Estado  de</w:t>
        <w:br/>
        <w:t>privar de la vida arbitrariamente sería inefectiva, en la  práctica,  si  no</w:t>
        <w:br/>
        <w:t>existieran procedimientos para verificar la legalidad del uso de  la  fuerza</w:t>
        <w:br/>
        <w:t>letal ejercida por agentes estatales. Una vez que se tenga  conocimiento  de</w:t>
        <w:br/>
        <w:t>que  sus  agentes  de  seguridad  han  hecho  uso  de  armas  de  fuego  con</w:t>
        <w:br/>
        <w:t>consecuencias letales, el Estado debe iniciar ex  officio  y  sin  dilación,</w:t>
        <w:br/>
        <w:t>una investigación seria, imparcial y efectiva[135].</w:t>
        <w:br/>
        <w:br/>
        <w:t>80.   En todo caso de uso de fuerza que haya producido la muerte o  lesiones</w:t>
        <w:br/>
        <w:t>a una o más personas corresponde al Estado  la  obligación  de  proveer  una</w:t>
        <w:br/>
        <w:t>explicación satisfactoria y convincente de  lo  sucedido  y  desvirtuar  las</w:t>
        <w:br/>
        <w:t>alegaciones  sobre  su  responsabilidad,  mediante   elementos   probatorios</w:t>
        <w:br/>
        <w:t>adecuados.</w:t>
        <w:br/>
        <w:br/>
        <w:t>81.   Asimismo, en este tipo de casos tiene una  particular  relevancia  que</w:t>
        <w:br/>
        <w:t>las autoridades competentes adopten las medidas razonables para asegurar  el</w:t>
        <w:br/>
        <w:t>material probatorio necesario para llevar a  cabo  la  investigación[136]  y</w:t>
        <w:br/>
        <w:t>que gocen de  independencia,  de  jure  y  de  facto,  de  los  funcionarios</w:t>
        <w:br/>
        <w:t>involucrados en los hechos[137]. Lo anterior requiere no sólo  independencia</w:t>
        <w:br/>
        <w:t>jerárquica o institucional, sino también independencia real.</w:t>
        <w:br/>
        <w:br/>
        <w:t>82.   Por otro lado, la Corte Europea de Derechos Humanos  ha  señalado  que</w:t>
        <w:br/>
        <w:t>las investigaciones sobre uso excesivo de la fuerza deben estar abiertas  al</w:t>
        <w:br/>
        <w:t>escrutinio público con el objeto  de  asegurar  la  responsabilidad  de  los</w:t>
        <w:br/>
        <w:t>agentes estatales tanto en teoría como en la práctica[138]. Asimismo,  dicho</w:t>
        <w:br/>
        <w:t>Tribunal ha establecido que la evaluación sobre el  uso  de  la  fuerza  que</w:t>
        <w:br/>
        <w:t>haya implicado  la  utilización  de  armas  debe  hacerse  sobre  todas  las</w:t>
        <w:br/>
        <w:t>circunstancias y el contexto de  los  hechos,  incluyendo  las  acciones  de</w:t>
        <w:br/>
        <w:t>planeación y control de los hechos bajo examen[139].</w:t>
        <w:br/>
        <w:br/>
        <w:t>83.   En definitiva, cualquier carencia o defecto en  la  investigación  que</w:t>
        <w:br/>
        <w:t>perjudique la eficacia para establecer la causa de la muerte  o  identificar</w:t>
        <w:br/>
        <w:t>a los responsables materiales o intelectuales, implicará que  no  se  cumpla</w:t>
        <w:br/>
        <w:t>con la obligación de proteger el derecho a la vida[140].</w:t>
        <w:br/>
        <w:br/>
        <w:t>84.   El  Tribunal  observa  que  en  el  caso  sub  judice  se  registraron</w:t>
        <w:br/>
        <w:t>omisiones  importantes  dentro  de  la  investigación   iniciada   por   las</w:t>
        <w:br/>
        <w:t>autoridades estatales, ocasionadas por la falta colaboración  de  la  fuerza</w:t>
        <w:br/>
        <w:t>pública y las autoridades carcelarias  en  la  recopilación  y  custodia  de</w:t>
        <w:br/>
        <w:t>pruebas esenciales (supra párrs. 60.30 a 60.36). Estas omisiones son de  tal</w:t>
        <w:br/>
        <w:t>envergadura que Venezuela ha  señalado,  de  manera  preocupante  ante  este</w:t>
        <w:br/>
        <w:t>Tribunal,  que  es  “materialmente   imposible”   la   prosecución   de   la</w:t>
        <w:br/>
        <w:t>investigación iniciada en el presente caso,  lo  cual  es  contrario  a  las</w:t>
        <w:br/>
        <w:t>obligaciones consagradas en la Convención.</w:t>
        <w:br/>
        <w:br/>
        <w:t xml:space="preserve">           B) De las condiciones de detención en el Retén de Catia</w:t>
        <w:br/>
        <w:br/>
        <w:t>85.   El artículo 5 de  la  Convención  consagra  uno  de  los  valores  más</w:t>
        <w:br/>
        <w:t>fundamentales en una  sociedad  democrática:  el  derecho  a  la  integridad</w:t>
        <w:br/>
        <w:t>personal, según el cual “[t]oda persona tiene derecho a que  se  respete  su</w:t>
        <w:br/>
        <w:t>integridad física, psíquica y moral”, y quedan  expresamente  prohibidos  la</w:t>
        <w:br/>
        <w:t>tortura y las penas o tratos crueles, inhumanos o degradantes. En lo que  se</w:t>
        <w:br/>
        <w:t>refiere a personas privadas de la libertad el  propio  artículo  5.2  de  la</w:t>
        <w:br/>
        <w:t>Convención establece que serán tratadas con el respeto debido a la  dignidad</w:t>
        <w:br/>
        <w:t>inherente al  ser  humano.  De  conformidad  con  el  artículo  27.2  de  la</w:t>
        <w:br/>
        <w:t>Convención  este  derecho  forma  parte  del  núcleo  inderogable,  pues  se</w:t>
        <w:br/>
        <w:t>encuentra consagrado como uno de los que no puede ser  suspendido  en  casos</w:t>
        <w:br/>
        <w:t>de guerra, peligro público u otras amenazas a la independencia  o  seguridad</w:t>
        <w:br/>
        <w:t>de los Estados Partes[141]. En tal sentido, los  Estados  no  pueden  alegar</w:t>
        <w:br/>
        <w:t>dificultades económicas para justificar condiciones de  detención  que  sean</w:t>
        <w:br/>
        <w:t>tan pobres que no respeten la dignidad inherente del ser humano[142].</w:t>
        <w:br/>
        <w:br/>
        <w:t>86.   La privación de libertad trae a menudo, como consecuencia  ineludible,</w:t>
        <w:br/>
        <w:t>la afectación del goce de otros derechos humanos además  del  derecho  a  la</w:t>
        <w:br/>
        <w:t>libertad  personal.  Esta  restricción  de  derechos,  consecuencia  de   la</w:t>
        <w:br/>
        <w:t>privación de libertad o efecto colateral de  la  misma,  sin  embargo,  debe</w:t>
        <w:br/>
        <w:t>limitarse de manera rigurosa[143]. Asimismo, el Estado debe asegurar que  la</w:t>
        <w:br/>
        <w:t>manera y el método de ejecución  de  la  medida  no  someta  al  detenido  a</w:t>
        <w:br/>
        <w:t>angustias o dificultades que excedan  el  nivel  inevitable  de  sufrimiento</w:t>
        <w:br/>
        <w:t>intrínseco a la  detención,  y  que,  dadas  las  exigencias  prácticas  del</w:t>
        <w:br/>
        <w:t>encarcelamiento, su salud y bienestar estén adecuadamente asegurados.</w:t>
        <w:br/>
        <w:br/>
        <w:t>87.   Por otro lado, el Estado se encuentra  en  una  posición  especial  de</w:t>
        <w:br/>
        <w:t>garante frente a las  personas  privadas  de  libertad,  toda  vez  que  las</w:t>
        <w:br/>
        <w:t>autoridades penitenciarias ejercen un fuerte control  o  dominio  sobre  las</w:t>
        <w:br/>
        <w:t>personas que se encuentran sujetas a su custodia. De este modo,  se  produce</w:t>
        <w:br/>
        <w:t>una relación e interacción especial de sujeción entre la persona privada  de</w:t>
        <w:br/>
        <w:t>libertad y el Estado, caracterizada por la particular intensidad con que  el</w:t>
        <w:br/>
        <w:t>Estado puede regular sus derechos y obligaciones y  por  las  circunstancias</w:t>
        <w:br/>
        <w:t>propias del encierro, en donde  al  recluso  se  le  impide  satisfacer  por</w:t>
        <w:br/>
        <w:t>cuenta propia una serie de necesidades básicas que son  esenciales  para  el</w:t>
        <w:br/>
        <w:t>desarrollo de una vida digna[144].</w:t>
        <w:br/>
        <w:br/>
        <w:t>88.   La  Corte  considera  oportuno  referirse  a  algunos  de  los  hechos</w:t>
        <w:br/>
        <w:t>reconocidos por el Estado  como  violatorios  al  derecho  a  la  integridad</w:t>
        <w:br/>
        <w:t>personal de las víctimas del presente caso durante su detención en el  Retén</w:t>
        <w:br/>
        <w:t>de  Catia.  Estos  hechos  se  refieren  al  hacinamiento,   los   servicios</w:t>
        <w:br/>
        <w:t>sanitarios y la higiene, y la atención médica de los internos.</w:t>
        <w:br/>
        <w:br/>
        <w:t xml:space="preserve">      i)    Hacinamiento</w:t>
        <w:br/>
        <w:br/>
        <w:t>89.   De acuerdo a los hechos establecidos (supra párr. 60.7 a  60.15),  las</w:t>
        <w:br/>
        <w:t>personas recluidas en el Retén de Catia vivían  en  condiciones  de  extremo</w:t>
        <w:br/>
        <w:t>hacinamiento y sobrepoblación. El número exacto de internos  al  momento  de</w:t>
        <w:br/>
        <w:t>la ocurrencia de los hechos del presente caso no se  conoce  con  exactitud,</w:t>
        <w:br/>
        <w:t>debido, inter alia, a la carencia de un  registro  adecuado  en  el  que  se</w:t>
        <w:br/>
        <w:t>consignen los datos básicos de éstos. Sin embargo, las estimaciones  señalan</w:t>
        <w:br/>
        <w:t>que el Retén de Catia contaba con una  población  carcelaria  entre  2286  y</w:t>
        <w:br/>
        <w:t>3618 internos, cuando su capacidad máxima era 900 reclusos. Es decir,  tenía</w:t>
        <w:br/>
        <w:t>una sobrepoblación carcelaria entre 254 y 402 por ciento.  El  espacio  para</w:t>
        <w:br/>
        <w:t>cada interno  era  aproximadamente  de  30  centímetros  cuadrados.  Ciertas</w:t>
        <w:br/>
        <w:t>celdas destinadas a albergar a los reclusos en la noche, a  pesar  de  estar</w:t>
        <w:br/>
        <w:t>diseñadas para albergar dos personas, albergaban al menos seis.</w:t>
        <w:br/>
        <w:br/>
        <w:t>90.   La Corte toma nota de que según el Comité Europeo para  la  Prevención</w:t>
        <w:br/>
        <w:t>de la Tortura y de las Penas o Tratos Inhumanos o Degradantes  (en  adelante</w:t>
        <w:br/>
        <w:t>“el CPT”), una  prisión  sobrepoblada  se  caracteriza  por  un  alojamiento</w:t>
        <w:br/>
        <w:t>antihigiénico y restringido, con  falta  de  privacidad  aun  para  realizar</w:t>
        <w:br/>
        <w:t>actividades básicas  tales  como  el  uso  de  las  facilidades  sanitarias;</w:t>
        <w:br/>
        <w:t>reducidas actividades fuera de la celda debido al  número  de  internos  que</w:t>
        <w:br/>
        <w:t>sobrepasan los servicios  disponibles;  servicios  de  salud  sobrecargados;</w:t>
        <w:br/>
        <w:t>aumento de la tensión en el ambiente y por consiguiente más violencia  entre</w:t>
        <w:br/>
        <w:t>los prisioneros y el personal  penitenciario.   Este  listado  es  meramente</w:t>
        <w:br/>
        <w:t>enunciativo. Asimismo, el CPT estableció que 7 m2 por cada prisionero es  un</w:t>
        <w:br/>
        <w:t>guía aproximada y deseable para  una  celda  de  detención[145].   Por  otro</w:t>
        <w:br/>
        <w:t>lado, la Corte Europea de Derechos  Humanos  consideró  que  un  espacio  de</w:t>
        <w:br/>
        <w:t>cerca de 2m2 para un interno es un nivel de hacinamiento  que  en  sí  mismo</w:t>
        <w:br/>
        <w:t>era cuestionable a la luz del artículo 3 del Convenio  Europeo  de  Derechos</w:t>
        <w:br/>
        <w:t>Humanos[146] y no podía considerarse como un estándar aceptable[147], y  que</w:t>
        <w:br/>
        <w:t>una celda  de  7  m2  para  dos  internos  era  un  aspecto  relevante  para</w:t>
        <w:br/>
        <w:t>determinar una violación de mismo artículo[148].  En el  mismo  sentido,  la</w:t>
        <w:br/>
        <w:t>Corte Europea consideró que en una celda de 16.65 m2 en donde  habitaban  10</w:t>
        <w:br/>
        <w:t>reclusos constituía una extrema falta de espacio[149].</w:t>
        <w:br/>
        <w:br/>
        <w:t>91.   En el presente caso, el  espacio  de  aproximadamente  30  centímetros</w:t>
        <w:br/>
        <w:t>cuadrados por cada recluso es a todas luces inaceptable y constituye  en  sí</w:t>
        <w:br/>
        <w:t>mismo un trato  cruel,  inhumano  y  degradante,  contrario  a  la  dignidad</w:t>
        <w:br/>
        <w:t>inherente del ser humano y, por ende, violatorio  del  artículo  5.2  de  la</w:t>
        <w:br/>
        <w:t>Convención Americana.</w:t>
        <w:br/>
        <w:br/>
        <w:t>92.   De igual forma, dormitorios de gran capacidad como  los  que  existían</w:t>
        <w:br/>
        <w:t>en el Retén de Catia inevitablemente  implicaban  una  falta  de  privacidad</w:t>
        <w:br/>
        <w:t>para los presos en su vida diaria.  Además,  el  riesgo  de  intimidación  y</w:t>
        <w:br/>
        <w:t>violencia era  alto.  Tales  condiciones  de  alojamiento  son  propensas  a</w:t>
        <w:br/>
        <w:t>fomentar  el  desarrollo  de  subculturas  delictivas  y  a   facilitar   el</w:t>
        <w:br/>
        <w:t>mantenimiento de la cohesión de organizaciones  criminales.  También  pueden</w:t>
        <w:br/>
        <w:t>volver extremadamente difícil, si no imposible,  el  apropiado  control  por</w:t>
        <w:br/>
        <w:t>parte  del  personal  penitenciario;  más  específicamente,   en   caso   de</w:t>
        <w:br/>
        <w:t>disturbio, las intervenciones externas que impliquen un uso considerable  de</w:t>
        <w:br/>
        <w:t>fuerza son  difíciles  de  evitar.  Con  tales  alojamientos,  la  apropiada</w:t>
        <w:br/>
        <w:t>distribución individual de presos, basada en una evaluación  caso  por  caso</w:t>
        <w:br/>
        <w:t>de  riesgos  y  necesidades,  también  llega  a  ser   una   práctica   casi</w:t>
        <w:br/>
        <w:t>imposible[150].</w:t>
        <w:br/>
        <w:br/>
        <w:t>93.   La Corte estima que las celdas de castigo o de aislamiento a las  que</w:t>
        <w:br/>
        <w:t>eran enviados algunos internos en el Retén  de  Catia  eran  deplorables  y</w:t>
        <w:br/>
        <w:t>reducidas.</w:t>
        <w:br/>
        <w:br/>
        <w:t>94.   La Corte considera que las celdas de aislamiento o castigo sólo  deben</w:t>
        <w:br/>
        <w:t>usarse  como  medidas  disciplinarias  o   para   la   protección   de   las</w:t>
        <w:br/>
        <w:t>personas[151]  por  el  tiempo  estrictamente  necesario   y   en   estricta</w:t>
        <w:br/>
        <w:t>aplicación de los criterios de racionalidad, necesidad  y  legalidad.  Estos</w:t>
        <w:br/>
        <w:t>lugares deben cumplir con  las  características  mínimas  de  habitabilidad,</w:t>
        <w:br/>
        <w:t>espacio y  ventilación,  y  solo  pueden  ser  aplicadas  cuando  un  médico</w:t>
        <w:br/>
        <w:t>certifique que el interno puede soportarlas[152]. La Corte  recalca  que  es</w:t>
        <w:br/>
        <w:t>prohibido el encierro en celda oscura[153] y la incomunicación.[154]  A  tal</w:t>
        <w:br/>
        <w:t>efecto, el Comité contra la Tortura de Naciones Unidas señaló que celdas  de</w:t>
        <w:br/>
        <w:t>aislamiento de 60 x 80 centímetros, en las que no hay luz ni  ventilación  y</w:t>
        <w:br/>
        <w:t>sólo se puede estar en ellas de pié o agachado  “constituyen  en  sí  mismas</w:t>
        <w:br/>
        <w:t>una forma de instrumento de tortura”[155].</w:t>
        <w:br/>
        <w:br/>
        <w:t xml:space="preserve">      ii)   Servicios sanitarios e higiene</w:t>
        <w:br/>
        <w:br/>
        <w:t>95.   Es un hecho aceptado por el Estado que el Retén de  Catia  no  cumplía</w:t>
        <w:br/>
        <w:t>con los requisitos mínimos necesarios para mantener  la  salubridad  de  sus</w:t>
        <w:br/>
        <w:t>internos. Al respecto, es muy reveladora la declaración de la Asesora de  la</w:t>
        <w:br/>
        <w:t>Comisión de Política Interior de Diputados[156]:</w:t>
        <w:br/>
        <w:br/>
        <w:t xml:space="preserve">      [Encontramos] unas barracas horrendas  que  estaban  en  la  parte  de</w:t>
        <w:br/>
        <w:t xml:space="preserve">      abajo. Había hombres que vivían allí entre agua putrefacta que caía de</w:t>
        <w:br/>
        <w:t xml:space="preserve">      los otros pisos. Los desperdicios entre el  agua  podrida  cubrían  la</w:t>
        <w:br/>
        <w:t xml:space="preserve">      mitad de la pierna. Había un cuarto que estaba soldado y tenía  en  la</w:t>
        <w:br/>
        <w:t xml:space="preserve">      esquina inferior derecha un boquete. Por ahí les  echaban  comida,  si</w:t>
        <w:br/>
        <w:t xml:space="preserve">      eso se podía llamar así. La  agarraban  mezclada  con  la  inmundicia.</w:t>
        <w:br/>
        <w:t xml:space="preserve">      Tocamos la puerta y escuchamos  una  voces.  Ellos  mismos  no  sabían</w:t>
        <w:br/>
        <w:t xml:space="preserve">      cuántos eran. Comenzamos a desmontar la puerta cuando le  quitaron  la</w:t>
        <w:br/>
        <w:t xml:space="preserve">      soldadura todavía la puerta no  se  podía  abrir  porque  la  capa  de</w:t>
        <w:br/>
        <w:t xml:space="preserve">      excrementos era más fuerte que  la  propia  soldadura.  Salieron  unos</w:t>
        <w:br/>
        <w:t xml:space="preserve">      monstruos de allí. Presos de máxima seguridad, olvidados.</w:t>
        <w:br/>
        <w:br/>
        <w:t>96.   Esta narración es  consistente  con  la  declaración  testimonial  del</w:t>
        <w:br/>
        <w:t>señor Arturo Peraza, rendida en  la  audiencia  pública  del  presente  caso</w:t>
        <w:br/>
        <w:t>(supra párr. 59.o).</w:t>
        <w:br/>
        <w:br/>
        <w:t>97.    Este  Tribunal  considera  que  las  malas  condiciones   físicas   y</w:t>
        <w:br/>
        <w:t>sanitarias de los  lugares  de  detención,  así  como  la  falta  de  luz  y</w:t>
        <w:br/>
        <w:t>ventilación adecuadas, pueden ser en sí mismas violatorias  del  artículo  5</w:t>
        <w:br/>
        <w:t>de la Convención Americana, dependiendo de la intensidad de las  mismas,  su</w:t>
        <w:br/>
        <w:t>duración y las características personales de quien las  sufre,  pues  pueden</w:t>
        <w:br/>
        <w:t>causar sufrimientos de una intensidad que exceda  el  límite  inevitable  de</w:t>
        <w:br/>
        <w:t>sufrimiento que acarrea la detención, y  porque  conllevan  sentimientos  de</w:t>
        <w:br/>
        <w:t>humillación e inferioridad.</w:t>
        <w:br/>
        <w:br/>
        <w:t>98.   En este sentido, la Corte Europea estimó  que  el  hecho  de  que  una</w:t>
        <w:br/>
        <w:t>persona hubiera sido obligado a vivir, dormir  y  hacer  uso  del  sanitario</w:t>
        <w:br/>
        <w:t>conjuntamente con un gran número de internos  era  en  sí  mismo  suficiente</w:t>
        <w:br/>
        <w:t>para considerarlo como un trato degradante[157].</w:t>
        <w:br/>
        <w:br/>
        <w:t>99.   En el presente caso, ciertos internos del  Retén  del  Catia  no  solo</w:t>
        <w:br/>
        <w:t>tenían que excretar en presencia de sus  compañeros,  sino  que  tenían  que</w:t>
        <w:br/>
        <w:t>vivir entre excrementos, y hasta  alimentarse  en  esas  circunstancias.  La</w:t>
        <w:br/>
        <w:t>Corte considera que ese tipo de condiciones  carcelarias  son  completamente</w:t>
        <w:br/>
        <w:t>inaceptables, constituyen un  desprecio  a  la  dignidad  humana,  un  trato</w:t>
        <w:br/>
        <w:t>cruel, inhumano y degradante, un severo riesgo para la salud y  la  vida,  y</w:t>
        <w:br/>
        <w:t>una rotunda violación del artículo 5.1 y 5.2 de la Convención Americana.</w:t>
        <w:br/>
        <w:br/>
        <w:t>100.  Ni la Comisión Interamericana ni los  representes  indicaron  que  las</w:t>
        <w:br/>
        <w:t>víctimas individualizadas en el presente caso estuvieron  detenidas  en  las</w:t>
        <w:br/>
        <w:t>celdas a las  que  se  ha  hecho  referencia  en  el  párrafo  anterior.  No</w:t>
        <w:br/>
        <w:t>obstante, la Corte entiende de los testimonios presentados  ante  sí  (supra</w:t>
        <w:br/>
        <w:t>párr. 59) que las condiciones sanitarias de los pisos superiores  del  Retén</w:t>
        <w:br/>
        <w:t>de Catia si bien no llegaban a tal extremo,  tampoco  eran  compatibles  con</w:t>
        <w:br/>
        <w:t>los estándares mínimos de un trato digno. Tanto así  que  el  propio  Estado</w:t>
        <w:br/>
        <w:t>señaló que el Retén de Catia “representó para Venezuela por  muchas  décadas</w:t>
        <w:br/>
        <w:t>esa idea del mal, donde todo era  posible,  aquel  lugar  lúgubre  donde  la</w:t>
        <w:br/>
        <w:t>sociedad purga su miseria”, y todos “los  que  allí  padecieron  y  lograron</w:t>
        <w:br/>
        <w:t>salir airosos […] son unos supervivientes”[158].</w:t>
        <w:br/>
        <w:br/>
        <w:t xml:space="preserve">      iii)  Atención médica</w:t>
        <w:br/>
        <w:br/>
        <w:t>101.  Entre los hechos aceptados por el Estado se cuenta que  los  servicios</w:t>
        <w:br/>
        <w:t>de asistencia médica a los cuales tenían acceso los internos  del  Retén  de</w:t>
        <w:br/>
        <w:t>Catia no cumplían los estándares mínimos. Varios de los internos  heridos  a</w:t>
        <w:br/>
        <w:t>consecuencia de los sucesos ocurridos entre el 27 y el 29  de  noviembre  de</w:t>
        <w:br/>
        <w:t>1992 permanecieron sin atención médica y medicación adecuadas  (supra  párr.</w:t>
        <w:br/>
        <w:t>60.21). Asimismo, los internos enfermos no eran debidamente tratados.</w:t>
        <w:br/>
        <w:br/>
        <w:t>102.  Este Tribunal ha señalado que la falta de atención médica adecuada  no</w:t>
        <w:br/>
        <w:t>satisface  los  requisitos  materiales  mínimos  de  un  tratamiento   digno</w:t>
        <w:br/>
        <w:t>conforme a la condición de ser humano en el sentido del  artículo  5  de  la</w:t>
        <w:br/>
        <w:t>Convención Americana[159]. El Estado tiene el deber de  proporcionar  a  los</w:t>
        <w:br/>
        <w:t>detenidos revisión médica regular y atención y tratamiento adecuados  cuando</w:t>
        <w:br/>
        <w:t>así se requiera. A su vez, el Estado  debe  permitir  y  facilitar  que  los</w:t>
        <w:br/>
        <w:t>detenidos sean atendidos por un facultativo elegido por ellos mismos  o  por</w:t>
        <w:br/>
        <w:t>quienes ejercen su  representación  o  custodia  legal[160],  sin  que  esto</w:t>
        <w:br/>
        <w:t>signifique que existe una obligación de  cumplir  con  todos  los  deseos  y</w:t>
        <w:br/>
        <w:t>preferencias de la persona privada de libertad en cuanto a atención  médica,</w:t>
        <w:br/>
        <w:t>sino con aquellas verdaderamente necesarias conforme a  su  situación  real.</w:t>
        <w:br/>
        <w:t>La  atención  por  parte  de  un  médico  que  no  tenga  vínculos  con  las</w:t>
        <w:br/>
        <w:t>autoridades penitenciarias o de detención es una importante salvaguardia  en</w:t>
        <w:br/>
        <w:t>contra  de  la  tortura  y  malos  tratos,  físicos  o  mentales,   de   los</w:t>
        <w:br/>
        <w:t>prisioneros[161].</w:t>
        <w:br/>
        <w:br/>
        <w:t>103.  La falta de atención médica adecuada podría considerarse en  sí  misma</w:t>
        <w:br/>
        <w:t>violatoria del artículo 5.1 y  5.2  de  la  Convención  dependiendo  de  las</w:t>
        <w:br/>
        <w:t>circunstancias concretas de la persona en particular, el  tipo  de  dolencia</w:t>
        <w:br/>
        <w:t>que padece, el lapso transcurrido sin atención y sus efectos acumulativos.</w:t>
        <w:br/>
        <w:br/>
        <w:t xml:space="preserve">                                      *</w:t>
        <w:br/>
        <w:br/>
        <w:t>104.  En vista de todo lo anterior, y teniendo  en  cuenta  el  allanamiento</w:t>
        <w:br/>
        <w:t>efectuado por el Estado (supra párr. 26), la Corte considera que éste  violó</w:t>
        <w:br/>
        <w:t>los derechos consagrados en los artículos 4.1 (Derecho a la  Vida),  y  5.1,</w:t>
        <w:br/>
        <w:t>5.2 y 5.4 (Derecho a la Integridad Personal) de la Convención Americana,  en</w:t>
        <w:br/>
        <w:t>relación con el artículo 1.1 de la misma, en perjuicio de  las  37  víctimas</w:t>
        <w:br/>
        <w:t>señaladas en  el  párrafo  60.26  de  la  presente  Sentencia,  por  el  uso</w:t>
        <w:br/>
        <w:t>desproporcionado  de  la  fuerza  que  sufrieron,  por  las  condiciones  de</w:t>
        <w:br/>
        <w:t>detención a las que fueron sometidas durante el tiempo de  reclusión  en  el</w:t>
        <w:br/>
        <w:t>Retén de  Catia,  y  por  la  falta  de  clasificación  entre  procesados  y</w:t>
        <w:br/>
        <w:t>condenados. Asimismo,  este  Tribunal  considera  que  el  Estado  violó  el</w:t>
        <w:br/>
        <w:t>artículo 5.1 de la Convención, en relación con el artículo 1.1 de la  misma,</w:t>
        <w:br/>
        <w:t>en perjuicio de los  familiares  de  las  víctimas,  quienes  se  encuentran</w:t>
        <w:br/>
        <w:t>individualizados en el párrafo 60.26  de  la  presente  Sentencia,  por  los</w:t>
        <w:br/>
        <w:t>sufrimientos que padecieron por el fallecimiento de sus seres queridos,  que</w:t>
        <w:br/>
        <w:t>se  vieron  agravados  por  la  falta  de  información  de  las  autoridades</w:t>
        <w:br/>
        <w:t>estatales acerca de lo sucedido, y la denegación de  justicia  (supra  párr.</w:t>
        <w:br/>
        <w:t>60.36).</w:t>
        <w:br/>
        <w:br/>
        <w:br/>
        <w:t xml:space="preserve">                                     IX</w:t>
        <w:br/>
        <w:t xml:space="preserve">    Violación de los artículos 8 (Garantías Judiciales) y 25 (Protección</w:t>
        <w:br/>
        <w:t xml:space="preserve"> Judicial) de la Convención Americana, en relación con el artículo 1.1 de la</w:t>
        <w:br/>
        <w:t xml:space="preserve">                                    misma</w:t>
        <w:br/>
        <w:br/>
        <w:t>105.  El artículo 8.1 de la Convención Americana establece que: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106.  El artículo 25.1 de la Convención señala que:</w:t>
        <w:br/>
        <w:br/>
        <w:t xml:space="preserve">      Toda persona tiene  derecho 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 por  la  Constitución,  la  ley  o  la  […]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br/>
        <w:t>107.  El artículo 1.1 de la Convención establece que</w:t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108.  En el presente caso, el Estado reconoció que los hechos  acaecidos  en</w:t>
        <w:br/>
        <w:t>el Retén de Catia que se analizan en esta Sentencia  no  fueron  debidamente</w:t>
        <w:br/>
        <w:t>investigados, que los cuerpos de seguridad involucrados en tales hechos  han</w:t>
        <w:br/>
        <w:t>mostrado una falta de colaboración en las investigaciones, y que el  proceso</w:t>
        <w:br/>
        <w:t>a sufrido una excesiva demora de más de 13  años.  Asimismo,  reconoció  que</w:t>
        <w:br/>
        <w:t>“para el momento en que ocurrieron los hechos, la legislación  permitía  que</w:t>
        <w:br/>
        <w:t>tribunales con competencias especiales como la militar conocieran  de  casos</w:t>
        <w:br/>
        <w:t>de  violaciones  de  derechos  humanos”,   y   que   “al   encontrarse   las</w:t>
        <w:br/>
        <w:t>investigaciones en la etapa sumarial, el acceso al expediente por  parte  de</w:t>
        <w:br/>
        <w:t>[los familiares de] las víctimas estaba legalmente limitado”.</w:t>
        <w:br/>
        <w:br/>
        <w:t>109.  En  virtud  de  lo  anterior  y  tomando  en  cuenta  el  allanamiento</w:t>
        <w:br/>
        <w:t>efectuado por el Estado, el Tribunal  considera  que  el  Estado  violó  los</w:t>
        <w:br/>
        <w:t>artículos 8 y 25 de la Convención Americana, en  relación  con  el  artículo</w:t>
        <w:br/>
        <w:t>1.1 de la misma, en perjuicio de los  familiares  de  las  víctimas  que  se</w:t>
        <w:br/>
        <w:t>individualizan en el párrafo 60.26 de esta Sentencia.</w:t>
        <w:br/>
        <w:br/>
        <w:br/>
        <w:t xml:space="preserve">                                      X</w:t>
        <w:br/>
        <w:t xml:space="preserve">               Incumplimiento del artículo 2 (Deber de Adoptar</w:t>
        <w:br/>
        <w:t xml:space="preserve">        Disposiciones de Derecho Interno) de la Convención Americana</w:t>
        <w:br/>
        <w:br/>
        <w:t>110.  El artículo 2 de la Convención determina que</w:t>
        <w:br/>
        <w:br/>
        <w:t xml:space="preserve">      [s]i el ejercicio de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111.  Según fuera  denunciado  por  la  Comisión  y  los  representantes,  y</w:t>
        <w:br/>
        <w:t>aceptado por el Estado, Venezuela no compatibilizó su  legislación  nacional</w:t>
        <w:br/>
        <w:t>con la Convención Americana, al no suprimir las disposiciones que  atribuían</w:t>
        <w:br/>
        <w:t>a  los  tribunales  militares  competencia  para  investigar  violaciones  a</w:t>
        <w:br/>
        <w:t>derechos humanos,  y  por  no  haber  desarrollado  políticas  tendientes  a</w:t>
        <w:br/>
        <w:t>reformar el sistema penitenciario para  profesionalizarlo,  con  el  fin  de</w:t>
        <w:br/>
        <w:t>garantizar la seguridad en dichos establecimientos.</w:t>
        <w:br/>
        <w:br/>
        <w:t>112.  Al respecto, el Tribunal nota y valora que el  Estado  haya  realizado</w:t>
        <w:br/>
        <w:t>esfuerzos orientados a subsanar esta omisión. En especial, el Estado  señaló</w:t>
        <w:br/>
        <w:t>que</w:t>
        <w:br/>
        <w:br/>
        <w:br/>
        <w:t xml:space="preserve">      en la actualidad se están desarrollando [p]olíticas [p]úblicas en  pro</w:t>
        <w:br/>
        <w:t xml:space="preserve">      de mejorar  la  situación  penitenciaria,  destacando  el  Decreto  de</w:t>
        <w:br/>
        <w:t xml:space="preserve">      Emergencia Carcelaria, el Plan de Humanización de las  Cárceles  y  la</w:t>
        <w:br/>
        <w:t xml:space="preserve">      promoción y  divulgación  a  través  de  talleres  de  los  [d]erechos</w:t>
        <w:br/>
        <w:t xml:space="preserve">      [h]umanos de las personas privadas de libertad.</w:t>
        <w:br/>
        <w:br/>
        <w:br/>
        <w:t xml:space="preserve">      […|</w:t>
        <w:br/>
        <w:br/>
        <w:t xml:space="preserve">      [E]n la actualidad con la entrada en vigencia de la Constitución de la</w:t>
        <w:br/>
        <w:t xml:space="preserve">      República Bolivariana de Venezuela de 1999,  […]  las  violaciones  de</w:t>
        <w:br/>
        <w:t xml:space="preserve">      derechos  humanos  y  los  delitos  de  lesa   humanidad   […]   serán</w:t>
        <w:br/>
        <w:t xml:space="preserve">      investigados y juzgados por los tribunales ordinarios, lo que  elimina</w:t>
        <w:br/>
        <w:t xml:space="preserve">      toda posibilidad de ventilar en jurisdicciones especiales  delitos  de</w:t>
        <w:br/>
        <w:t xml:space="preserve">      tal naturaleza, evidenciando de este modo el que el cambio legislativo</w:t>
        <w:br/>
        <w:t xml:space="preserve">      solicitado por la Comisión  Interamericana  de  Derechos  Humanos  fue</w:t>
        <w:br/>
        <w:t xml:space="preserve">      tomado en cuenta.</w:t>
        <w:br/>
        <w:br/>
        <w:t>113.  Sin embargo,  esta  Corte  nota  que  los  hechos  del  presente  caso</w:t>
        <w:br/>
        <w:t>ocurrieron antes de los esfuerzos realizados por  el  Estado,  por  lo  cual</w:t>
        <w:br/>
        <w:t>considera que éste incumplió con la obligación impuesta por  el  artículo  2</w:t>
        <w:br/>
        <w:t>de la Convención Americana.</w:t>
        <w:br/>
        <w:br/>
        <w:br/>
        <w:t xml:space="preserve">                                     XI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114.  En  el  presente  caso,  el  Estado  se  allanó  completamente  a  las</w:t>
        <w:br/>
        <w:t>pretensiones sobre reparaciones  presentadas  por  la  Comisión  y  por  los</w:t>
        <w:br/>
        <w:t>representantes. En vista de ello, el Tribunal no considera oportuno  resumir</w:t>
        <w:br/>
        <w:t>las pretensiones de las partes sino que pasa directamente a aplicarlas  y  a</w:t>
        <w:br/>
        <w:t>disponer las medidas tendientes a reparar los daños ocasionados.</w:t>
        <w:br/>
        <w:br/>
        <w:t xml:space="preserve">      Obligación de reparar</w:t>
        <w:br/>
        <w:br/>
        <w:t>115.   De  conformidad  con  el  análisis   realizado   en   los   capítulos</w:t>
        <w:br/>
        <w:t>precedentes, y a la luz del  allanamiento  pleno  efectuado  por  el  Estado</w:t>
        <w:br/>
        <w:t>(supra párr. 26), la Corte declaró  que  Venezuela  es  responsable  por  la</w:t>
        <w:br/>
        <w:t>violación de los derechos consagrados en los artículos 4 y  5.1,  5.2,  5.4,</w:t>
        <w:br/>
        <w:t>8.1 y 25 de  la  Convención  Americana,  y  por  el  incumplimiento  de  las</w:t>
        <w:br/>
        <w:t>obligaciones que se derivan de los artículos 1.1 y 2 del  mismo  instrumento</w:t>
        <w:br/>
        <w:t>internacional. La Corte  ha  establecido,  en  varias  ocasiones,  que  toda</w:t>
        <w:br/>
        <w:t>violación de  una  obligación  internacional  que  haya  producido  un  daño</w:t>
        <w:br/>
        <w:t>comporta el deber de  repararlo  adecuadamente[162].  A  tales  efectos,  el</w:t>
        <w:br/>
        <w:t>artículo 63.1 de la Convención Americana establece que: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116.  Tal como lo ha señalado la Corte, el artículo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de los Estados. De  esta  manera,  al  producirse  un  hecho</w:t>
        <w:br/>
        <w:t>ilícito imputable  a  un  Estado,  surge  de  inmediato  la  responsabilidad</w:t>
        <w:br/>
        <w:t>internacional de éste por la violación de la norma internacional de  que  se</w:t>
        <w:br/>
        <w:t>trata, con  el  consecuente  deber  de  reparación  y  de  hacer  cesar  las</w:t>
        <w:br/>
        <w:t>consecuencias de la violación[163].</w:t>
        <w:br/>
        <w:br/>
        <w:t>117.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 De no ser esto posible, cabe al  tribunal</w:t>
        <w:br/>
        <w:t>internacional  determinar  una  serie  de  medidas  para  que,   además   de</w:t>
        <w:br/>
        <w:t>garantizar  el  respeto  de  los  derechos  conculcados,  se   reparen   las</w:t>
        <w:br/>
        <w:t>consecuencias que produjeron las infracciones y se  establezca  el  pago  de</w:t>
        <w:br/>
        <w:t>una indemnización como  compensación  por  los  daños  ocasionados[164].  Es</w:t>
        <w:br/>
        <w:t>necesario añadir las  medidas  de  carácter  positivo  que  el  Estado  debe</w:t>
        <w:br/>
        <w:t>adoptar para asegurar que no se repitan hechos lesivos  como  los  ocurridos</w:t>
        <w:br/>
        <w:t>en el presente caso[165]. La obligación de reparar, que se regula  en  todos</w:t>
        <w:br/>
        <w:t>los aspectos  (alcance,  naturaleza,  modalidades  y  determinación  de  los</w:t>
        <w:br/>
        <w:t>beneficiarios) por el Derecho  Internacional,  no  puede  ser  modificada  o</w:t>
        <w:br/>
        <w:t>incumplida por el Estado obligado, invocando  disposiciones  de  su  derecho</w:t>
        <w:br/>
        <w:t>interno[166].</w:t>
        <w:br/>
        <w:br/>
        <w:t>118.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Las  reparaciones   no   pueden   implicar   ni</w:t>
        <w:br/>
        <w:t>enriquecimiento ni empobrecimiento para la víctima o sus sucesores[167].</w:t>
        <w:br/>
        <w:br/>
        <w:t xml:space="preserve">                             A)    Beneficiarios</w:t>
        <w:br/>
        <w:br/>
        <w:t>119.  En primer lugar, la Corte considera como “parte lesionada”  a  las  37</w:t>
        <w:br/>
        <w:t>víctimas del presente caso (supra párr.  60.26)  por  la  violación  de  sus</w:t>
        <w:br/>
        <w:t>derechos consagrados en los artículos 4 (Derecho a la Vida) y 5  (Derecho  a</w:t>
        <w:br/>
        <w:t>la Integridad Personal) de la  Convención  Americana,  en  relación  con  el</w:t>
        <w:br/>
        <w:t>artículo 1.1 (Obligación de Respetar los Derechos) de  la  misma.  Asimismo,</w:t>
        <w:br/>
        <w:t>este Tribunal considera como “parte lesionada” a los  familiares  inmediatos</w:t>
        <w:br/>
        <w:t>de estas personas, individualizados en la presente  Sentencia  (supra  párr.</w:t>
        <w:br/>
        <w:t>60.26), en su propio carácter de víctimas de la  violación  a  los  derechos</w:t>
        <w:br/>
        <w:t>consagrados en los artículos 5.1 (Derecho a  la  Integridad  Personal),  8.1</w:t>
        <w:br/>
        <w:t>(Garantías  Judiciales)  y  25  (Protección  Judicial)  de   la   Convención</w:t>
        <w:br/>
        <w:t>Americana, en relación con el  artículo  1.1  (Obligación  de  Respetar  los</w:t>
        <w:br/>
        <w:t>Derechos) de la misma.</w:t>
        <w:br/>
        <w:br/>
        <w:t>120.  Los familiares de las víctimas serán acreedores  de  las  reparaciones</w:t>
        <w:br/>
        <w:t>que el Tribunal fije por concepto de daño inmaterial  y/o  material,  en  su</w:t>
        <w:br/>
        <w:t>propio carácter de víctimas de las violaciones a la  Convención  declaradas,</w:t>
        <w:br/>
        <w:t>así como de aquellas reparaciones que  fije  la  Corte  en  su  carácter  de</w:t>
        <w:br/>
        <w:t>derechohabientes de las 37 víctimas fallecidas.</w:t>
        <w:br/>
        <w:br/>
        <w:t>121.  En lo que se refiere a los familiares señalados en el  párrafo  35  de</w:t>
        <w:br/>
        <w:t>la presente  Sentencia,  que  no  han  aportado  documentación  oficial  que</w:t>
        <w:br/>
        <w:t>acredite el parentesco, este Tribunal dispone que la  compensación  que  les</w:t>
        <w:br/>
        <w:t>corresponde  en  su  propio  carácter  de  víctimas  y  en  su  carácter  de</w:t>
        <w:br/>
        <w:t>derechohabientes se les entregará directamente luego  de  que  se  presenten</w:t>
        <w:br/>
        <w:t>ante las autoridades  competentes  del  Estado,  y  aporten  la  información</w:t>
        <w:br/>
        <w:t>oficial necesaria para su identificación y comprobación de parentesco.</w:t>
        <w:br/>
        <w:br/>
        <w:t>122.  La distribución de las indemnizaciones entre  los  familiares  de  las</w:t>
        <w:br/>
        <w:t>personas privadas de la vida, por concepto del daño  material  e  inmaterial</w:t>
        <w:br/>
        <w:t>correspondiente a dichas personas, se hará de la siguiente manera:</w:t>
        <w:br/>
        <w:br/>
        <w:t xml:space="preserve">      a)    el cincuenta por ciento (50%) de la indemnización  se  repartirá</w:t>
        <w:br/>
        <w:t xml:space="preserve">      por partes iguales entre  los  hijos  de  la  víctima  y  el  restante</w:t>
        <w:br/>
        <w:t xml:space="preserve">      cincuenta por ciento (50%) de la indemnización deberá ser entregado  a</w:t>
        <w:br/>
        <w:t xml:space="preserve">      quien fuera cónyuge o compañera permanente de la víctima,  al  momento</w:t>
        <w:br/>
        <w:t xml:space="preserve">      de la privación de la vida de ésta. En caso de las víctimas  que  sólo</w:t>
        <w:br/>
        <w:t xml:space="preserve">      tuvieren cónyuge o compañera permanente, o  sólo  tuvieren  hijos,  se</w:t>
        <w:br/>
        <w:t xml:space="preserve">      entregará la totalidad de las indemnizaciones a éstos, y</w:t>
        <w:br/>
        <w:br/>
        <w:br/>
        <w:t xml:space="preserve">      b)    en el caso de víctimas  que  no  tuvieren  hijos  ni  cónyuge  o</w:t>
        <w:br/>
        <w:t xml:space="preserve">      compañera permanente, la indemnización se entregará en su totalidad  a</w:t>
        <w:br/>
        <w:t xml:space="preserve">      los padres de la víctima. Si uno de ellos ha muerto, la parte  que  le</w:t>
        <w:br/>
        <w:t xml:space="preserve">      corresponde acrecerá a la del otro. Si ambos  padres  han  muerto,  la</w:t>
        <w:br/>
        <w:t xml:space="preserve">      indemnización se repartirá en partes iguales entre los hermanos de  la</w:t>
        <w:br/>
        <w:t xml:space="preserve">      víctima.</w:t>
        <w:br/>
        <w:br/>
        <w:br/>
        <w:t>123.  En el caso del señor José  León  Ayala  Gualdrón,  los  representantes</w:t>
        <w:br/>
        <w:t>solicitaron indemnizaciones a favor  de  su  sobrina  Yelitza  Figueroa.  El</w:t>
        <w:br/>
        <w:t>Estado se allanó a estas  pretensiones  (supra  párr.  26),  por  lo  que  a</w:t>
        <w:br/>
        <w:t>efectos de la presente Sentencia se la considerará  en  la  misma  categoría</w:t>
        <w:br/>
        <w:t>que los hermanos de las víctima (infra párr. 134)</w:t>
        <w:br/>
        <w:br/>
        <w:t>124.  En el caso de los familiares acreedores de las indemnizaciones que  se</w:t>
        <w:br/>
        <w:t>establecen en la presente Sentencia que  fallezcan  antes  de  que  les  sea</w:t>
        <w:br/>
        <w:t>entregada la indemnización respectiva, el monto que  les  correspondiera  se</w:t>
        <w:br/>
        <w:t>repartirá conforme a derecho interno[168].</w:t>
        <w:br/>
        <w:br/>
        <w:t>125.  Finalmente, en  cuanto  a  los  familiares  no  identificados  de  las</w:t>
        <w:br/>
        <w:t>personas declaradas víctimas (supra párr. 33), así como en el caso de  otras</w:t>
        <w:br/>
        <w:t>personas que se vieron afectadas por los hechos analizados  en  la  presente</w:t>
        <w:br/>
        <w:t>Sentencia  (supra  párr.  60.18),  el  Tribunal  no  procederá   a   otorgar</w:t>
        <w:br/>
        <w:t>reparaciones materiales a su  favor,  por  cuanto  no  han  sido  declaradas</w:t>
        <w:br/>
        <w:t>víctimas  en  este  caso.  Sin  embargo,  el   Tribunal   recalca   que   la</w:t>
        <w:br/>
        <w:t>determinación  de  violaciones  en   su   perjuicio   y   las   reparaciones</w:t>
        <w:br/>
        <w:t>correspondientes en esta instancia internacional no obstaculiza ni  precluye</w:t>
        <w:br/>
        <w:t>la posibilidad de esas personas de plantear los  reclamos  pertinentes  ante</w:t>
        <w:br/>
        <w:t>las autoridades nacionales[169].</w:t>
        <w:br/>
        <w:br/>
        <w:t xml:space="preserve">                             B)    Daño Material</w:t>
        <w:br/>
        <w:br/>
        <w:t>126.  La Corte se referirá en este acápite al daño material, el cual  supone</w:t>
        <w:br/>
        <w:t>la pérdida o  detrimento  de  los  ingresos  de  las  víctimas,  los  gastos</w:t>
        <w:br/>
        <w:t>efectuados con  motivo  de  los  hechos  y  las  consecuencias  de  carácter</w:t>
        <w:br/>
        <w:t>pecuniario que tengan un nexo causal con los hechos  del  caso  sub  judice,</w:t>
        <w:br/>
        <w:t>para lo cual, cuando corresponde, el Tribunal fija un  monto  indemnizatorio</w:t>
        <w:br/>
        <w:t>que busque compensar las consecuencias patrimoniales de las violaciones  que</w:t>
        <w:br/>
        <w:t>han sido declaradas en la presente  Sentencia[170],  tomando  en  cuenta  el</w:t>
        <w:br/>
        <w:t>allanamiento realizado por  el  Estado,  las  circunstancias  del  caso,  la</w:t>
        <w:br/>
        <w:t>prueba ofrecida, la jurisprudencia  del  Tribunal  y  los  alegatos  de  las</w:t>
        <w:br/>
        <w:t>partes.</w:t>
        <w:br/>
        <w:br/>
        <w:t xml:space="preserve">      a)    Pérdida de ingresos</w:t>
        <w:br/>
        <w:br/>
        <w:t>127.  Los montos que los representantes reclaman  como  indemnizatorios  por</w:t>
        <w:br/>
        <w:t>concepto de pérdida de ingresos, a los  que  el  Estado  se  allanó,  fueron</w:t>
        <w:br/>
        <w:t>calculados en base al salario mínimo anual venezolano, correspondiente a  US</w:t>
        <w:br/>
        <w:t>$2.260,46 (dos mil doscientos sesenta  dólares  de  los  Estados  Unidos  de</w:t>
        <w:br/>
        <w:t>América y cuarenta y seis centavos)[171], la edad de la víctima y  los  años</w:t>
        <w:br/>
        <w:t>que le faltaban  para  llegar  al  promedio  de  la  esperanza  de  vida  en</w:t>
        <w:br/>
        <w:t>Venezuela, que es de 73.6 años[172]. De esa suma se descontó  un  porcentaje</w:t>
        <w:br/>
        <w:t>(25%) por los gastos que hubieren  tenido  el  carácter  de  personales.  El</w:t>
        <w:br/>
        <w:t>Tribunal estima oportuno utilizar la misma fórmula para  calcular  el  monto</w:t>
        <w:br/>
        <w:t>correspondiente por pérdida de ingresos para cada una de  las  víctimas  que</w:t>
        <w:br/>
        <w:t>no estuvieron representadas,  y  sobre  las  cuales  los  representantes  no</w:t>
        <w:br/>
        <w:t>presentaron ningún cálculo. En lo que respecta a los señores Carlos  Enrique</w:t>
        <w:br/>
        <w:t>Serrano y José Durán Hernández Daza  la  Corte  no  cuenta  con  prueba  que</w:t>
        <w:br/>
        <w:t>señale la edad que tenían al momento de su muerte  (supra  párr.  60.26.5  y</w:t>
        <w:br/>
        <w:t>60.26.20), por lo que fija en equidad la cantidad de US$ 60.000,00  (sesenta</w:t>
        <w:br/>
        <w:t>mil dólares de los Estados Unidos de América).  Consecuentemente,  la  Corte</w:t>
        <w:br/>
        <w:t>fija como indemnización por concepto de pérdida de ingresos  las  cantidades</w:t>
        <w:br/>
        <w:t>que se detallan a continuación:</w:t>
        <w:br/>
        <w:br/>
        <w:br/>
        <w:t>|Víctima                              |Cantidad (US     |</w:t>
        <w:br/>
        <w:t>|                                     |dólares)         |</w:t>
        <w:br/>
        <w:t>|1.   Alexis Antonio Martínez Liébano |82.393,76        |</w:t>
        <w:br/>
        <w:t>|2.   Ángel Francisco Aguilera        |85.784,45        |</w:t>
        <w:br/>
        <w:t>|3.   Armando José Espejo Álvares     |85.784,45        |</w:t>
        <w:br/>
        <w:t>|4.   Benjamín Eduardo Zerpa Rodríguez|90.870,49        |</w:t>
        <w:br/>
        <w:t>|5.   Carlos Enrique Serrano          |60,000,00        |</w:t>
        <w:br/>
        <w:t>|6.   César Gregorio Guzmán           |90.870,49        |</w:t>
        <w:br/>
        <w:t>|7.   Charly Gustavo Paiva Reyes      |89.175,14        |</w:t>
        <w:br/>
        <w:t>|8.   Deyvis Armando Flores Velásquez |82.393,79        |</w:t>
        <w:br/>
        <w:t>|9.   Edgar José Peña Marín           |84.089,11        |</w:t>
        <w:br/>
        <w:t>|10. Fabio Manuel Castillo Suárez     |89.175,14        |</w:t>
        <w:br/>
        <w:t>|11. Franklin Antonio Armas González  |77.303,73        |</w:t>
        <w:br/>
        <w:t>|12. Gabriel Antonio Figueroa Ramos   |87.479,80        |</w:t>
        <w:br/>
        <w:t>|13. Henry Leonel Chirinos Hernández  |82.393,76        |</w:t>
        <w:br/>
        <w:t>|14. Inocencio José Ruiz Durán        |82.393,76        |</w:t>
        <w:br/>
        <w:t>|15. Iván José Pérez Castillo         |72.221,69        |</w:t>
        <w:br/>
        <w:t>|16. Jaime Arturo Henríquez Rizzo     |77.307,73        |</w:t>
        <w:br/>
        <w:t>|17. Jaime Ricardo Martínez           |82.393,76        |</w:t>
        <w:br/>
        <w:t>|18. Jesús Eduardo Romero             |70.526,35        |</w:t>
        <w:br/>
        <w:t>|19. Jimmy Antonio González Sandoval  |85.784,45        |</w:t>
        <w:br/>
        <w:t>|20. José Durán Hernández Daza        |60.000,00        |</w:t>
        <w:br/>
        <w:t>|21. José Gregorio Gómez Chaparro     |67.135,66        |</w:t>
        <w:br/>
        <w:t>|22. José Leon Ayala Gualdron         |87.479,80        |</w:t>
        <w:br/>
        <w:t>|23. José Norberto Ríos               |58.658,93        |</w:t>
        <w:br/>
        <w:t>|24. José Rafael Pérez Mendoza        |90.870,49        |</w:t>
        <w:br/>
        <w:t>|25. Juan Carlos Saavedra Rincón      |80.698,42        |</w:t>
        <w:br/>
        <w:t>|26. Juan José Rico Bolívar           |60.354,28        |</w:t>
        <w:br/>
        <w:t>|27. Marcos Nerio Ascanio Plaza       |60.354,28        |</w:t>
        <w:br/>
        <w:t>|28. Nancy Ramón Peña                 |56.963,59        |</w:t>
        <w:br/>
        <w:t>|29. Néstor Luis Gaviria Velásquez    |82.393,79        |</w:t>
        <w:br/>
        <w:t>|30. Osman Simón Duarte               |67.135,66        |</w:t>
        <w:br/>
        <w:t>|31. Pablo José Badillo García        |84.089,11        |</w:t>
        <w:br/>
        <w:t>|32. Pedro Luis Zuloaga               |72.221,69        |</w:t>
        <w:br/>
        <w:t>|33. Pedro Ricardo Castro Cruces      |75.612,38        |</w:t>
        <w:br/>
        <w:t>|34. Sergio José Celis                |90.870,49        |</w:t>
        <w:br/>
        <w:t>|35. Victor Jesús Montero Aranguren   |53.572,90        |</w:t>
        <w:br/>
        <w:t>|36. Wilcon Alberto Pérez Santoya     |92.565,83        |</w:t>
        <w:br/>
        <w:t>|37. Wilmer Benjamín Gómez Vásquez    |87.479,80        |</w:t>
        <w:br/>
        <w:br/>
        <w:t>128.  Dichas  cantidades  serán  repartidas  entre  los  familiares  de  las</w:t>
        <w:br/>
        <w:t>víctimas conforme al párrafo 122 de la presente Sentencia.</w:t>
        <w:br/>
        <w:br/>
        <w:t xml:space="preserve">      b)    Daño emergente</w:t>
        <w:br/>
        <w:br/>
        <w:t>129.  Asimismo, conforme fuera  argumentado  por  los  representantes  y  la</w:t>
        <w:br/>
        <w:t>Comisión,  y  aceptado  por  el  Estado,  los  familiares  de  las  víctimas</w:t>
        <w:br/>
        <w:t>realizaron una serie  de  gastos  para  ubicar  a  las  víctimas,  conseguir</w:t>
        <w:br/>
        <w:t>información acerca de la forma en fueron asesinadas, y obtener  justicia  en</w:t>
        <w:br/>
        <w:t>el presente caso. Ni la Comisión ni los representantes  señalaron  un  monto</w:t>
        <w:br/>
        <w:t>por tales gastos, por lo que la Corte fija en  equidad  la  cantidad  de  US</w:t>
        <w:br/>
        <w:t>$1.000,00 (mil dólares de los Estados Unidos de América)  por  cada  familia</w:t>
        <w:br/>
        <w:t>de las 37  víctimas  ejecutadas.  Dicha  cantidad  se  repartirá  entre  los</w:t>
        <w:br/>
        <w:t>familiares  de  las  víctimas  conforme  al  párrafo  122  de  la   presente</w:t>
        <w:br/>
        <w:t>Sentencia.</w:t>
        <w:br/>
        <w:br/>
        <w:t xml:space="preserve">                            C)    Daño Inmaterial</w:t>
        <w:br/>
        <w:br/>
        <w:t>130.  El daño inmaterial puede  comprender  tanto  los 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 familia.  Dado  que  no  es  posible  asignar  al  daño  inmaterial   un</w:t>
        <w:br/>
        <w:t>equivalente monetario preciso, sólo puede ser objeto de  compensación,  para</w:t>
        <w:br/>
        <w:t>los fines de la reparación integral a la víctima, mediante el  pago  de  una</w:t>
        <w:br/>
        <w:t>cantidad de dinero o  la  entrega  de  bienes  o  servicios  apreciables  en</w:t>
        <w:br/>
        <w:t>dinero, que el Tribunal  determine  en  aplicación  razonable  del  arbitrio</w:t>
        <w:br/>
        <w:t>judicial y en términos de equidad,  así  como  mediante  la  realización  de</w:t>
        <w:br/>
        <w:t>actos u obras de alcance o repercusión públicos, que tengan como  efecto  el</w:t>
        <w:br/>
        <w:t>reconocimiento de la dignidad de la víctima y evitar que vuelvan  a  ocurrir</w:t>
        <w:br/>
        <w:t>violaciones a los derechos humanos[173]. El primer aspecto de la  reparación</w:t>
        <w:br/>
        <w:t>del daño inmaterial se analizará en esta sección y el segundo en la  sección</w:t>
        <w:br/>
        <w:t>D) de este capítulo.</w:t>
        <w:br/>
        <w:br/>
        <w:t>131.  La jurisprudencia internacional ha establecido reiteradamente  que  la</w:t>
        <w:br/>
        <w:t>sentencia constituye per se una forma de reparación[174]. No  obstante,  por</w:t>
        <w:br/>
        <w:t>las circunstancias del caso sub judice, los sufrimientos que los hechos  han</w:t>
        <w:br/>
        <w:t>causado a las víctimas y a sus familiares, el cambio en sus  condiciones  de</w:t>
        <w:br/>
        <w:t>existencia y las demás consecuencias de orden no pecuniario  que  sufrieron,</w:t>
        <w:br/>
        <w:t>la Corte estima pertinente determinar el pago de  una  compensación,  fijada</w:t>
        <w:br/>
        <w:t>equitativamente, por concepto de daños inmateriales.</w:t>
        <w:br/>
        <w:br/>
        <w:t>132.  Teniendo en cuenta los distintos aspectos del  daño  aducidos  por  la</w:t>
        <w:br/>
        <w:t>Comisión y los representantes, la Corte fija en  equidad  el  valor  de  las</w:t>
        <w:br/>
        <w:t>compensaciones  por  daño  inmaterial  de  conformidad  con  los  siguientes</w:t>
        <w:br/>
        <w:t>parámetros:</w:t>
        <w:br/>
        <w:br/>
        <w:t xml:space="preserve">      a)    en cuanto a los internos del “Retén de Catia”, la Corte toma  en</w:t>
        <w:br/>
        <w:t xml:space="preserve">      cuenta las condiciones a las que  las  víctimas  estuvieron  sometidas</w:t>
        <w:br/>
        <w:t xml:space="preserve">      durante el tiempo de reclusión en dicho establecimiento; y los  hechos</w:t>
        <w:br/>
        <w:t xml:space="preserve">      de uso de la fuerza desproporcionada del que fueron víctimas mortales;</w:t>
        <w:br/>
        <w:br/>
        <w:br/>
        <w:t xml:space="preserve">      b)    en lo que se refiere a los familiares de los internos,  teniendo</w:t>
        <w:br/>
        <w:t xml:space="preserve">      en cuenta el allanamiento  efectuado  por  el  Estado,  este  Tribunal</w:t>
        <w:br/>
        <w:t xml:space="preserve">      considerará la denegación de justicia que han padecido durante más  de</w:t>
        <w:br/>
        <w:t xml:space="preserve">      trece años, la falta de información inicial respecto a la ubicación de</w:t>
        <w:br/>
        <w:t xml:space="preserve">      los restos mortales de sus  familiares,  y  el  mismo  impacto  de  la</w:t>
        <w:br/>
        <w:t xml:space="preserve">      pérdida. Asimismo, la Corte reitera que el sufrimiento ocasionado a la</w:t>
        <w:br/>
        <w:t xml:space="preserve">      víctima “se extiende a los miembros más  íntimos  de  la  familia,  en</w:t>
        <w:br/>
        <w:t xml:space="preserve">      especial aquellos que estuvieron en contacto  afectivo  estrecho”  con</w:t>
        <w:br/>
        <w:t xml:space="preserve">      ella[175].</w:t>
        <w:br/>
        <w:br/>
        <w:t>133.  Considerando los distintos aspectos del  daño  inmaterial  ocasionado,</w:t>
        <w:br/>
        <w:t>la Corte fija en equidad el valor de las compensaciones por  dicho  concepto</w:t>
        <w:br/>
        <w:t>en los siguientes términos:</w:t>
        <w:br/>
        <w:br/>
        <w:t xml:space="preserve">      a)    por cada una de las 37 víctimas ejecutadas,  la  Corte  fija  la</w:t>
        <w:br/>
        <w:t xml:space="preserve">      cantidad de US$ 75.000,00 (setenta y cinco mil dólares de los  Estados</w:t>
        <w:br/>
        <w:t xml:space="preserve">      Unidos de América).</w:t>
        <w:br/>
        <w:br/>
        <w:t xml:space="preserve">      b)    para  los  familiares  inmediatos  de  las  víctimas,  la  Corte</w:t>
        <w:br/>
        <w:t xml:space="preserve">      considera que el daño correspondiente debe ser indemnizado mediante el</w:t>
        <w:br/>
        <w:t xml:space="preserve">      pago de las sumas que se indican a continuación:</w:t>
        <w:br/>
        <w:br/>
        <w:br/>
        <w:t xml:space="preserve">           i)    US $25.000,00 (veinte y cinco mil dólares de  los  Estados</w:t>
        <w:br/>
        <w:t xml:space="preserve">           Unidos de América) en  el  caso  del  padre,  madre,  cónyuge  o</w:t>
        <w:br/>
        <w:t xml:space="preserve">           compañera permanente, y de cada hijo e hija de las víctimas;</w:t>
        <w:br/>
        <w:br/>
        <w:t xml:space="preserve">           ii)   US  $1.000,00  (mil  dólares  de  los  Estados  Unidos  de</w:t>
        <w:br/>
        <w:t xml:space="preserve">           América) en el caso de cada hermana o hermano de las víctimas.</w:t>
        <w:br/>
        <w:br/>
        <w:t>134.  Consecuentemente, la Corte fija como  indemnización  por  concepto  de</w:t>
        <w:br/>
        <w:t>daño inmaterial las cantidades que se detallan a continuación:</w:t>
        <w:br/>
        <w:br/>
        <w:t>|Víctimas y sus familiares      |Parentesco |Cantidad en US   |</w:t>
        <w:br/>
        <w:t>|                               |           |Dólares          |</w:t>
        <w:br/>
        <w:t>|Alexis Antonio Martínez Liébano|Víctima    |US$ 75.000,00    |</w:t>
        <w:br/>
        <w:t>|Berta Laureana Liébana         |Madre      |US$ 25.000,00    |</w:t>
        <w:br/>
        <w:t>|Héctor Aníbal Romero Liébano   |Hermano    |US$ 1.000,00     |</w:t>
        <w:br/>
        <w:t>|Carlos Enrique Liébana         |Hermano    |US$ 1.000,00     |</w:t>
        <w:br/>
        <w:t>|Wladimir Martínez              |Hermano    |US$ 1.000,00     |</w:t>
        <w:br/>
        <w:t>|Blanca Yanmelis Blanco Liébano |Hermana    |US$ 1.000,00     |</w:t>
        <w:br/>
        <w:t>|Belkys Martínez                |Hermana    |US$ 1.000,00     |</w:t>
        <w:br/>
        <w:t>|Viki Yasmil Blanco Liébana     |Hermana    |US$ 1.000,00     |</w:t>
        <w:br/>
        <w:t>|Leonard Alexander Martínez     |Hijo       |US$ 25.000,00    |</w:t>
        <w:br/>
        <w:t>|Castillo                       |           |                 |</w:t>
        <w:br/>
        <w:t>|  Leida Castillo               |Esposa     |US$ 25.000,00    |</w:t>
        <w:br/>
        <w:t>|Ángel Francisco Aguilera       |Víctima    |US$ 75.000,00    |</w:t>
        <w:br/>
        <w:t>|Armando José Espejo Álvares    |Víctima    |US$ 75.000,00    |</w:t>
        <w:br/>
        <w:t>|Benjamín Eduardo Zerpa         |Víctima    |US$ 75.000,00    |</w:t>
        <w:br/>
        <w:t>|Rodríguez                      |           |                 |</w:t>
        <w:br/>
        <w:t>|María Rosenda Rodríguez Pérez  |Madre      |US$ 25.000,00    |</w:t>
        <w:br/>
        <w:t>|Luis Alfredo Zerpa             |Hermano    |US$ 1.000,00     |</w:t>
        <w:br/>
        <w:t>|Noris Margarita Zerpa Rodríguez|Hermana    |US$ 1.000,00     |</w:t>
        <w:br/>
        <w:t>|Graciela Zerpa Rodríguez       |Hermana    |US$ 1.000,00     |</w:t>
        <w:br/>
        <w:t>|Maria Auxiliadora Zerpa        |Hermana    |US$ 1.000,00     |</w:t>
        <w:br/>
        <w:t>|Rodríguez                      |           |                 |</w:t>
        <w:br/>
        <w:t>|Benjahirin Nazareth Trujillo   |Hija       |US$ 25.000,00    |</w:t>
        <w:br/>
        <w:t>|Yonary Trujillo                |Compañera  |US$ 25.000,00    |</w:t>
        <w:br/>
        <w:t>|Carlos Enrique Serrano         |Víctima    |US$ 75.000,00    |</w:t>
        <w:br/>
        <w:t>|César Gregorio Guzmán          |Víctima    |US$ 75.000,00    |</w:t>
        <w:br/>
        <w:t>|Charly Gustavo Paiva Reyes     |Víctima    |US$ 75.000,00    |</w:t>
        <w:br/>
        <w:t>|Deyvis Armando Flores Velásquez|Víctima    |US$ 75.000,00    |</w:t>
        <w:br/>
        <w:t>|Edgar José Peña Marín          |Víctima    |US$ 75.000,00    |</w:t>
        <w:br/>
        <w:t>|Inocenta del Valle Marín       |Madre      |US$ 25.000,00    |</w:t>
        <w:br/>
        <w:t>|Doris Isabel Peña Marín        |Hermana    |US$ 1.000,00     |</w:t>
        <w:br/>
        <w:t>|Marjorie Josefina Marín        |Hermana    |US$ 1.000,00     |</w:t>
        <w:br/>
        <w:t>|Edgly Nakary Peña Alkala       |Hija       |US$ 25.000,00    |</w:t>
        <w:br/>
        <w:t>|Envidia                        |Hija       |US$ 25.000,00    |</w:t>
        <w:br/>
        <w:t>|Favio Manuel Castillo Suárez   |Víctima    |US$ 75.000,00    |</w:t>
        <w:br/>
        <w:t>|Franklin Antonio Armas González|Víctima    |US$ 75.000,00    |</w:t>
        <w:br/>
        <w:t>|Ana María González             |Madre      |US$ 25.000,00    |</w:t>
        <w:br/>
        <w:t>|Mariela Rojas González         |Hermana    |US$ 1.000,00     |</w:t>
        <w:br/>
        <w:t>|Maritza Rojas                  |Hermana    |US$ 1.000,00     |</w:t>
        <w:br/>
        <w:t>|Mireya del Carmen              |Hermana    |US$ 1.000,00     |</w:t>
        <w:br/>
        <w:t>|Franlis Marilis                |Hija       |US$ 25.000,00    |</w:t>
        <w:br/>
        <w:t>|Gabriel Antonio Figueroa Ramos |Víctima    |US$ 75.000,00    |</w:t>
        <w:br/>
        <w:t>|Henry Leonel Chirinos Hernández|Víctima    |US$ 75.000,00    |</w:t>
        <w:br/>
        <w:t>|Ramona Hernández               |Madre      |US$ 25.000,00    |</w:t>
        <w:br/>
        <w:t>|Jean Chirinos                  |Hijo       |US$ 25.000,00    |</w:t>
        <w:br/>
        <w:t>|Henry Yoel Chirinos            |Hijo       |US$ 25.000,00    |</w:t>
        <w:br/>
        <w:t>|Angy Chirinos                  |Hija       |US$ 25.000,00    |</w:t>
        <w:br/>
        <w:t>|Mileydi Chirinos               |Hija       |US$ 25.000,00    |</w:t>
        <w:br/>
        <w:t>|Maury Alejandra Chirinos       |Hija       |US$ 25.000,00    |</w:t>
        <w:br/>
        <w:t>|Maiby Yhoana Chirinos          |Hija       |US$ 25.000,00    |</w:t>
        <w:br/>
        <w:t>|Silvia Elena                   |Hija       |US$ 25.000,00    |</w:t>
        <w:br/>
        <w:t>|Inocencio José Ruiz Durán      |Víctima    |US$ 75.000,00    |</w:t>
        <w:br/>
        <w:t>|María Cristina Durán           |Madre      |US$ 25.000,00    |</w:t>
        <w:br/>
        <w:t>|José Ramón Ruiz Durán          |Hermano    |US$ 1.000,00     |</w:t>
        <w:br/>
        <w:t>|Nazario Ruiz Durán             |Hermano    |US$ 1.000,00     |</w:t>
        <w:br/>
        <w:t>|José Gregorio Ruiz Durán       |Hermano    |US$ 1.000,00     |</w:t>
        <w:br/>
        <w:t>|Aura Ruiz Durán                |Hermana    |US$ 1.000,00     |</w:t>
        <w:br/>
        <w:t>|Antony José Ruiz Uván          |Hijo       |US$ 25.000,00    |</w:t>
        <w:br/>
        <w:t>|Danny José Ruiz Uván           |Hijo       |US$ 25.000,00    |</w:t>
        <w:br/>
        <w:t>|Isneyvi José Ruiz Uván         |Hijo       |US$ 25.000,00    |</w:t>
        <w:br/>
        <w:t>|Wiusleidy Xiorin Ruiz Uván     |Hija       |US$ 25.000,00    |</w:t>
        <w:br/>
        <w:t>|Iván José Pérez Castillo       |Víctima    |US$ 75.000,00    |</w:t>
        <w:br/>
        <w:t>|Jaime Arturo Henríquez Rizzo   |Víctima    |US$ 75.000,00    |</w:t>
        <w:br/>
        <w:t>|Jaime Ricardo Martínez         |Víctima    |US$ 75.000,00    |</w:t>
        <w:br/>
        <w:t>|Jesús Eduardo Romero           |Víctima    |US$ 75.000,00    |</w:t>
        <w:br/>
        <w:t>|Jimmy Antonio González Sandoval|Víctima    |US$ 75.000,00    |</w:t>
        <w:br/>
        <w:t>|José Durán Hernández Daza      |Víctima    |US$ 75.000,00    |</w:t>
        <w:br/>
        <w:t>|José Gregorio Gómez Chaparro   |Víctima    |US$ 75.000,00    |</w:t>
        <w:br/>
        <w:t>|José León Ayala Gualdron       |Víctima    |US$ 75.000,00    |</w:t>
        <w:br/>
        <w:t>|Romualda Gualdron              |Madre      |US$ 25.000,00    |</w:t>
        <w:br/>
        <w:t>|Calixta Ayala Gualdron         |Hermana    |US$ 1.000,00     |</w:t>
        <w:br/>
        <w:t>|Juan Serapio Ayala Gualdron    |Hermano    |US$ 1.000,00     |</w:t>
        <w:br/>
        <w:t>|Tiburcio Ayala Gualdron        |Hermano    |US$ 1.000,00     |</w:t>
        <w:br/>
        <w:t>|José Ángel Ayala Gualdron      |Hermano    |US$ 1.000,00     |</w:t>
        <w:br/>
        <w:t>|Mireya Josefina Ayala Gualdron |Hermana    |US$ 1.000,00     |</w:t>
        <w:br/>
        <w:t>|Yelitza Figueroa               |Sobrina    |US$ 1.000,00     |</w:t>
        <w:br/>
        <w:t>|Víctor José Santaella Gualdron |Hermano    |US$ 1.000,00     |</w:t>
        <w:br/>
        <w:t>|Maribel del Valle Santaella    |Hermana    |US$ 1.000,00     |</w:t>
        <w:br/>
        <w:t>|Gualdron                       |           |                 |</w:t>
        <w:br/>
        <w:t>|Luis Elpidio Santaella Gualdron|Hermano    |US$ 1.000,00     |</w:t>
        <w:br/>
        <w:t>|José Norberto Ríos             |Víctima    |US$ 75.000,00    |</w:t>
        <w:br/>
        <w:t>|José Rafael Pérez Mendoza      |Víctima    |US$ 75.000,00    |</w:t>
        <w:br/>
        <w:t>|Juan Carlos Saavedra Rincón    |Víctima    |US$ 75.000,00    |</w:t>
        <w:br/>
        <w:t>|María Teresa Rincón            |Madre      |US$ 25.000,00    |</w:t>
        <w:br/>
        <w:t>|Jesús Saavedra                 |Padre      |US$ 25.000,00    |</w:t>
        <w:br/>
        <w:t>|Javier Saavedra Rincón         |Hermano    |US$ 1.000,00     |</w:t>
        <w:br/>
        <w:t>|Jesús Omar Saavedra Rincón     |Hermano    |US$ 1.000,00     |</w:t>
        <w:br/>
        <w:t>|Ivan Sergio Saavedra Forero    |Hermano    |US$ 1.000,00     |</w:t>
        <w:br/>
        <w:t>|José Ricardo Saavedra Forero   |Hermano    |US$ 1.000,00     |</w:t>
        <w:br/>
        <w:t>|Yolanda Andrea Gallardo        |Compañera  |US$ 25.000,00    |</w:t>
        <w:br/>
        <w:t>|Yolicar Alejandra Rincón       |Hija       |US$ 25.000,00    |</w:t>
        <w:br/>
        <w:t>|Gallardo                       |           |                 |</w:t>
        <w:br/>
        <w:t>|Juan José Rico Bolívar         |Víctima    |US$ 75.000,00    |</w:t>
        <w:br/>
        <w:t>|Marcos Neiro Ascanio Plaza     |Víctima    |US$ 75.000,00    |</w:t>
        <w:br/>
        <w:t>|Josefina Plaza                 |Madre      |US$ 25.000,00    |</w:t>
        <w:br/>
        <w:t>|Jessi Berenice Ascanio         |Hija       |US$ 25.000,00    |</w:t>
        <w:br/>
        <w:t>|Elena Ascanio                  |Hermana    |US$ 1.000,00     |</w:t>
        <w:br/>
        <w:t>|María Milagros León Castillo   |Esposa     |US$ 25.000,00    |</w:t>
        <w:br/>
        <w:t>|Nancy Ramón Peña               |Víctima    |US$ 75.000,00    |</w:t>
        <w:br/>
        <w:t>|Néstor Luis Gavidia Velásquez  |Víctima    |US$ 75.000,00    |</w:t>
        <w:br/>
        <w:t>| Giovanni Alfredo Gaviria      |Hermano    |US$ 1.000,00     |</w:t>
        <w:br/>
        <w:t>|Velásquez                      |           |                 |</w:t>
        <w:br/>
        <w:t>|Osman Simón Duarte             |Víctima    |US$ 75.000,00    |</w:t>
        <w:br/>
        <w:t>|Pablo José Badillo García      |Víctima    |US$ 75.000,00    |</w:t>
        <w:br/>
        <w:t>|Pedro Luis Zuloaga             |Víctima    |US$ 75.000,00    |</w:t>
        <w:br/>
        <w:t>|Pedro Ricardo Castro Cruces    |Víctima    |US$ 75.000,00    |</w:t>
        <w:br/>
        <w:t>|Pedro Ramón Castro Castro      |Padre      |US$ 25.000,00    |</w:t>
        <w:br/>
        <w:t>|María Aura Cruces de Castro    |Madre      |US$ 25.000,00    |</w:t>
        <w:br/>
        <w:t>|María del Rosario Castro Cruces|Hermana    |US$ 1.000,00     |</w:t>
        <w:br/>
        <w:t>|Aracelis Teresa Castro Cruces  |Hermana    |US$ 1.000,00     |</w:t>
        <w:br/>
        <w:t>|Aura Marina Castro Cruces      |Hermana    |US$ 1.000,00     |</w:t>
        <w:br/>
        <w:t>|Flor Ángel Castro Cruces       |Hermana    |US$ 1.000,00     |</w:t>
        <w:br/>
        <w:t>|Gustavo Adolfo Castro Cruces   |Hermano    |US$ 1.000,00     |</w:t>
        <w:br/>
        <w:t>|Juan Carlos Castro Cruces      |Hermano    |US$ 1.000,00     |</w:t>
        <w:br/>
        <w:t>|Sergio José Celis              |Víctima    |US$ 75.000,00    |</w:t>
        <w:br/>
        <w:t>|Víctor Jesús Montero Aranguren |Víctima    |US$ 75.000,00    |</w:t>
        <w:br/>
        <w:t>|Nelly María Madriz             |Esposa     |US$ 25.000,00    |</w:t>
        <w:br/>
        <w:t>|Yamilet María                  |Hija       |US$ 25.000,00    |</w:t>
        <w:br/>
        <w:t>|Jacqueline María               |Hija       |US$ 25.000,00    |</w:t>
        <w:br/>
        <w:t>|Víctor José                    |Hijo       |US$ 25.000,00    |</w:t>
        <w:br/>
        <w:t>|Wilcon Alberto Pérez Santoya   |Víctima    |US$ 75.000,00    |</w:t>
        <w:br/>
        <w:t>|Luis Alberto Pérez             |Padre      |US$ 25.000,00    |</w:t>
        <w:br/>
        <w:t>|Ana Dolores Santoya            |Madre      |US$ 25.000,00    |</w:t>
        <w:br/>
        <w:t>|Carmen Yolanda Pérez Santoya   |Hermana    |US$ 1.000,00     |</w:t>
        <w:br/>
        <w:t>|Yaseli Mercedes Santoya        |Hermana    |US$ 1.000,00     |</w:t>
        <w:br/>
        <w:t>|Alexis Pérez                   |Hermano    |US$ 1.000,00     |</w:t>
        <w:br/>
        <w:t>|José Gregorio Pérez            |Hermano    |US$ 1.000,00     |</w:t>
        <w:br/>
        <w:t>|José Javier Santoya            |Hermano    |US$ 1.000,00     |</w:t>
        <w:br/>
        <w:t>|Yomaris                        |Hija       |US$ 25.000,00    |</w:t>
        <w:br/>
        <w:t>|Wilmer Benjamín Gómez Vásquez  |Víctima    |US$ 75.000,00    |</w:t>
        <w:br/>
        <w:br/>
        <w:t>135.  La compensación determinada en el párrafo  anterior  a  favor  de  las</w:t>
        <w:br/>
        <w:t>víctimas será entregada de conformidad con el párrafo  122  de  la  presente</w:t>
        <w:br/>
        <w:t>Sentencia, y la compensación determinada a  favor  de  los  familiares  será</w:t>
        <w:br/>
        <w:t>entregada directamente a cada beneficiario.</w:t>
        <w:br/>
        <w:br/>
        <w:t xml:space="preserve">                      D)    Otras Formas de Reparación</w:t>
        <w:br/>
        <w:t xml:space="preserve">           (Medidas de satisfacción y garantías de no repetición)</w:t>
        <w:br/>
        <w:br/>
        <w:t>136.   En  este  apartado  el  Tribunal  determinará  aquellas  medidas   de</w:t>
        <w:br/>
        <w:t>satisfacción que buscan reparar el daño inmaterial, que  no  tienen  alcance</w:t>
        <w:br/>
        <w:t>pecuniario, así como también dispondrá  medidas  de  alcance  o  repercusión</w:t>
        <w:br/>
        <w:t>pública[176].</w:t>
        <w:br/>
        <w:br/>
        <w:t>a)    Obligación de investigar los hechos que generaron las violaciones  del</w:t>
        <w:br/>
        <w:t xml:space="preserve">      presente caso e identificar, juzgar y sancionar a los responsables</w:t>
        <w:br/>
        <w:br/>
        <w:t>137.  El Tribunal ha establecido que prevalece  después  de  trece  años  la</w:t>
        <w:br/>
        <w:t>impunidad respecto de los hechos del presente caso. La Corte ha definido  la</w:t>
        <w:br/>
        <w:t>impunidad como la  falta  en  su  conjunto  de  investigación,  persecución,</w:t>
        <w:br/>
        <w:t>captura, enjuiciamiento y condena de los responsables de las violaciones  de</w:t>
        <w:br/>
        <w:t>los derechos protegidos por la Convención  Americana[177].  El  Estado  está</w:t>
        <w:br/>
        <w:t>obligado a combatir esta situación por todos los medios disponibles, ya  que</w:t>
        <w:br/>
        <w:t>ésta propicia la repetición crónica de las violaciones de  derechos  humanos</w:t>
        <w:br/>
        <w:t>y la total indefensión de las víctimas y de sus familiares[178].</w:t>
        <w:br/>
        <w:br/>
        <w:t>138.  En tal sentido, el Estado debe remover, en un plazo  razonable,  todos</w:t>
        <w:br/>
        <w:t>los obstáculos y mecanismos de hecho y derecho que  mantienen  la  impunidad</w:t>
        <w:br/>
        <w:t>en el presente caso;  otorgar  garantías  de  seguridad  suficientes  a  las</w:t>
        <w:br/>
        <w:t>autoridades judiciales, fiscales, testigos, operadores de justicia y  a  las</w:t>
        <w:br/>
        <w:t>víctimas, y utilizar todas las medidas a  su  alcance  para  diligenciar  el</w:t>
        <w:br/>
        <w:t>proceso[179],  con  el  fin  de  identificar,  juzgar  y  sancionar  a   los</w:t>
        <w:br/>
        <w:t>responsables de los hechos de violencia y atender situaciones de  emergencia</w:t>
        <w:br/>
        <w:t>en el Retén; del uso excesivo de la fuerza, y de la ejecución  extrajudicial</w:t>
        <w:br/>
        <w:t>de varios internos.</w:t>
        <w:br/>
        <w:br/>
        <w:t>139.  El Estado debe asegurar que los familiares de las víctimas  tengan  el</w:t>
        <w:br/>
        <w:t>pleno acceso y capacidad de actuar en  todas  las  etapas  e  instancias  de</w:t>
        <w:br/>
        <w:t>dichas investigaciones, de acuerdo con la ley interna y  las  normas  de  la</w:t>
        <w:br/>
        <w:t>Convención Americana[180]. Los resultados  de  las  investigaciones  deberán</w:t>
        <w:br/>
        <w:t>ser públicamente divulgados por el Estado, de manera  tal  que  la  sociedad</w:t>
        <w:br/>
        <w:t>venezolana pueda conocer  la  verdad  acerca  de  los  hechos  del  presente</w:t>
        <w:br/>
        <w:t>caso[181].</w:t>
        <w:br/>
        <w:br/>
        <w:t>140.  Los referidos procedimientos, además, deberán  tomar  expresamente  en</w:t>
        <w:br/>
        <w:t>cuenta, entre otras normas técnicas, las normas establecidas  en  el  Manual</w:t>
        <w:br/>
        <w:t>de  Naciones  Unidas  sobre  la  Prevención  e  Investigación  Eficaces   de</w:t>
        <w:br/>
        <w:t>Ejecuciones Extralegales, Arbitrarias y Sumarias[182].</w:t>
        <w:br/>
        <w:br/>
        <w:t>141.   Además,  como  la  Corte  lo  ha  señalado   en   su   jurisprudencia</w:t>
        <w:br/>
        <w:t>constante[183], ninguna ley ni disposición de derecho interno  –  incluyendo</w:t>
        <w:br/>
        <w:t>leyes de amnistía y plazos de prescripción  –  puede  impedir  a  un  Estado</w:t>
        <w:br/>
        <w:t>cumplir la orden de la Corte de investigar y sancionar  a  los  responsables</w:t>
        <w:br/>
        <w:t>de graves violaciones de derechos humanos. En particular, las  disposiciones</w:t>
        <w:br/>
        <w:t>de amnistía, las reglas de prescripción y el establecimiento de  excluyentes</w:t>
        <w:br/>
        <w:t>de responsabilidad que pretendan impedir la investigación y sanción  de  los</w:t>
        <w:br/>
        <w:t>responsables  de  las  violaciones  graves  de  los  derechos  humanos   son</w:t>
        <w:br/>
        <w:t>inadmisibles, ya que dichas violaciones contravienen  derechos  inderogables</w:t>
        <w:br/>
        <w:t>reconocidos por el Derecho Internacional de los Derechos Humanos.</w:t>
        <w:br/>
        <w:br/>
        <w:t xml:space="preserve">      b)    Ubicación y entrega de los cuerpos de José León Ayala Gualdrón y</w:t>
        <w:br/>
        <w:t xml:space="preserve">           Edgar José Peña Marín a sus familiares</w:t>
        <w:br/>
        <w:br/>
        <w:t>142.  Los familiares de José León Ayala Gualdrón y Edgar José Peña Marín  no</w:t>
        <w:br/>
        <w:t>han recibido los cuerpos de éstos, por lo que este Tribunal dispone  que  el</w:t>
        <w:br/>
        <w:t>Estado debe realizar  inmediatamente  todas  las  actuaciones  necesarias  y</w:t>
        <w:br/>
        <w:t>adecuadas para garantizar  de  manera  efectiva  la  entrega,  en  un  plazo</w:t>
        <w:br/>
        <w:t>razonable,  de  los  cuerpos  de  las  dos  víctimas   a   sus   familiares,</w:t>
        <w:br/>
        <w:t>permitiéndoles así darles la sepultura que ellos desean de acuerdo  con  sus</w:t>
        <w:br/>
        <w:t>creencias. El Estado deberá cubrir  todos  los  gastos  de  entrega  de  los</w:t>
        <w:br/>
        <w:t>cuerpos de las dos  víctimas  a  sus  familiares  así  como  los  gastos  de</w:t>
        <w:br/>
        <w:t>entierro en los que ellos puedan incurrir.</w:t>
        <w:br/>
        <w:br/>
        <w:t xml:space="preserve">      c)      Adoptar   medidas   de   carácter    legislativo,    político,</w:t>
        <w:br/>
        <w:t xml:space="preserve">           administrativo y económico</w:t>
        <w:br/>
        <w:br/>
        <w:t>143.  El Estado debe prevenir la recurrencia de violaciones a  los  derechos</w:t>
        <w:br/>
        <w:t>humanos como las ocurridas y, por eso, adoptar todas  las  medidas  legales,</w:t>
        <w:br/>
        <w:t>administrativas y de otra índole  que  fueran  necesarias  para  evitar  que</w:t>
        <w:br/>
        <w:t>hechos similares vuelvan a ocurrir en el  futuro,  en  cumplimiento  de  sus</w:t>
        <w:br/>
        <w:t>deberes de prevención y garantía de los derechos  fundamentales  reconocidos</w:t>
        <w:br/>
        <w:t>por la Convención Americana.</w:t>
        <w:br/>
        <w:br/>
        <w:t>144.  En especial  el  Estado  debe  adecuar,  en  un  plazo  razonable,  su</w:t>
        <w:br/>
        <w:t>legislación interna  a  la  Convención  Americana,  de  tal  suerte  que  a)</w:t>
        <w:br/>
        <w:t>incorpore adecuadamente los  estándares  internacionales  sobre  uso  de  la</w:t>
        <w:br/>
        <w:t>fuerza por los funcionarios encargados de aplicar la ley, dichos  estándares</w:t>
        <w:br/>
        <w:t>deberán contener las especificaciones señaladas  en  el  párrafo  75  de  la</w:t>
        <w:br/>
        <w:t>presente Sentencia; b) ponga  en  funcionamiento  un  cuerpo  de  vigilancia</w:t>
        <w:br/>
        <w:t>penitenciaria   eminentemente   de   carácter   civil;   c)   garantice   un</w:t>
        <w:br/>
        <w:t>procedimiento o mecanismo eficaz, ante un organismo competente, imparcial  e</w:t>
        <w:br/>
        <w:t>independiente, para la verificación e investigación de las quejas que  sobre</w:t>
        <w:br/>
        <w:t>violaciones de los derechos  humanos  presenten  las  personas  privadas  de</w:t>
        <w:br/>
        <w:t>libertad, en particular sobre la  legalidad  del  uso  de  la  fuerza  letal</w:t>
        <w:br/>
        <w:t>ejercida por agentes estatales; d) garantice  que  las  investigaciones  por</w:t>
        <w:br/>
        <w:t>hechos constitutivos de violaciones de  derechos  humanos  sean  adelantadas</w:t>
        <w:br/>
        <w:t>por fiscales y jueces ordinarios y no por fiscales y jueces militares.</w:t>
        <w:br/>
        <w:br/>
        <w:t xml:space="preserve">      d)    Adecuación de  las  condiciones  carcelarias  a  los  estándares</w:t>
        <w:br/>
        <w:t xml:space="preserve">           internacionales</w:t>
        <w:br/>
        <w:br/>
        <w:t>145.  Como lo ha dispuesto la Corte  en  otros  casos[184]  y  a  título  de</w:t>
        <w:br/>
        <w:t>garantía de no repetición, el  Estado  debe  adoptar,  dentro  de  un  plazo</w:t>
        <w:br/>
        <w:t>razonable, las medidas necesarias para que las condiciones de  las  cárceles</w:t>
        <w:br/>
        <w:t>se adecuen a los estándares internacionales relativos a esta materia.</w:t>
        <w:br/>
        <w:br/>
        <w:t>146.  En particular, el Estado debe asegurar que toda persona privada de  su</w:t>
        <w:br/>
        <w:t>libertad viva en condiciones compatibles con su dignidad humana,  entre  las</w:t>
        <w:br/>
        <w:t>que se encuentren, inter alia: a) un espacio lo suficientemente amplio  para</w:t>
        <w:br/>
        <w:t>pasar la noche; b) celdas ventiladas y con acceso a luz natural;  c)  acceso</w:t>
        <w:br/>
        <w:t>a sanitarios y duchas limpias y con suficiente privacidad;  d)  alimentación</w:t>
        <w:br/>
        <w:t>y atención en salud adecuadas,  oportunas  y  suficientes,  y  e)  acceso  a</w:t>
        <w:br/>
        <w:t>medidas educativas, laborales y de cualquier otra índole esenciales para  la</w:t>
        <w:br/>
        <w:t>reforma y readaptación social de los internos.</w:t>
        <w:br/>
        <w:br/>
        <w:t xml:space="preserve">      e)    Medidas educativas</w:t>
        <w:br/>
        <w:br/>
        <w:t>147.  Como quedó establecido en los párrafos 60.16, 60.19, 60.20 y 72  a  74</w:t>
        <w:br/>
        <w:t>de esta Sentencia, los agentes estatales hicieron  un  uso  desproporcionado</w:t>
        <w:br/>
        <w:t>de la fuerza que trajo varias víctimas mortales. Asimismo, la  Corte  indicó</w:t>
        <w:br/>
        <w:t>que para garantizar adecuadamente el derecho a la vida, los miembros de  los</w:t>
        <w:br/>
        <w:t>cuerpos de seguridad deben recibir entrenamiento y capacitación adecuados.</w:t>
        <w:br/>
        <w:br/>
        <w:t>148.  En consecuencia, esta Corte reitera a  Venezuela  lo  ordenado  en  un</w:t>
        <w:br/>
        <w:t>caso anterior[185], en el sentido que:</w:t>
        <w:br/>
        <w:br/>
        <w:t xml:space="preserve">      El Estado debe adoptar todas las providencias […] tendientes a  formar</w:t>
        <w:br/>
        <w:t xml:space="preserve">      y capacitar a todos los miembros de  sus  cuerpos  armados  y  de  sus</w:t>
        <w:br/>
        <w:t xml:space="preserve">      organismos de seguridad sobre los principios y normas de protección de</w:t>
        <w:br/>
        <w:t xml:space="preserve">      los derechos humanos  y  sobre  los  límites  a  los  que  debe  estar</w:t>
        <w:br/>
        <w:t xml:space="preserve">      sometido, aun bajo los estados de excepción, el uso de las  armas  por</w:t>
        <w:br/>
        <w:t xml:space="preserve">      parte de los funcionarios encargados de hacer cumplir la  ley.  No  se</w:t>
        <w:br/>
        <w:t xml:space="preserve">      pueden invocar pretextos de mantenimiento de  seguridad  pública  para</w:t>
        <w:br/>
        <w:t xml:space="preserve">      violar el derecho a la vida. Debe, asimismo, el  Estado,  ajustar  los</w:t>
        <w:br/>
        <w:t xml:space="preserve">      planes operativos tendientes a encarar las  perturbaciones  del  orden</w:t>
        <w:br/>
        <w:t xml:space="preserve">      público a las exigencias del respeto y protección de  tales  derechos,</w:t>
        <w:br/>
        <w:t xml:space="preserve">      adoptando, al efecto, entre otras medidas, las orientadas a  controlar</w:t>
        <w:br/>
        <w:t xml:space="preserve">      la actuación de todos los miembros de los cuerpos de seguridad  en  el</w:t>
        <w:br/>
        <w:t xml:space="preserve">      terreno mismo de los hechos para evitar que se  produzcan  excesos.  Y</w:t>
        <w:br/>
        <w:t xml:space="preserve">      debe finalmente, el Estado garantizar que, de  ser  necesario  emplear</w:t>
        <w:br/>
        <w:t xml:space="preserve">      medios físicos para enfrentar  las  situaciones  de  perturbación  del</w:t>
        <w:br/>
        <w:t xml:space="preserve">      orden público, los miembros de sus cuerpos armados y de sus organismos</w:t>
        <w:br/>
        <w:t xml:space="preserve">      de seguridad utilizarán únicamente los que  sean  indispensables  para</w:t>
        <w:br/>
        <w:t xml:space="preserve">      controlar esas situaciones de manera racional y proporcionada,  y  con</w:t>
        <w:br/>
        <w:t xml:space="preserve">      respeto a los derechos a la vida y a la integridad personal.</w:t>
        <w:br/>
        <w:br/>
        <w:t>149.  De igual forma, la Corte considera oportuno que  el  Estado  diseñe  e</w:t>
        <w:br/>
        <w:t>implemente un programa de capacitación sobre derechos humanos  y  estándares</w:t>
        <w:br/>
        <w:t>internacionales en materia de personas privadas de la libertad,  dirigido  a</w:t>
        <w:br/>
        <w:t>agentes policiales y penitenciarios.</w:t>
        <w:br/>
        <w:br/>
        <w:t xml:space="preserve">      f)    Acto público de reconocimiento de responsabilidad</w:t>
        <w:br/>
        <w:br/>
        <w:t>150.  La Corte  valora  el  acto  público  efectuado  por  Venezuela  en  la</w:t>
        <w:br/>
        <w:t>audiencia celebrada en el presente caso (supra  párr.  42  ).  No  obstante,</w:t>
        <w:br/>
        <w:t>dado que no todos los familiares de las  víctimas  estuvieron  presentes  en</w:t>
        <w:br/>
        <w:t>dicha audiencia, considerando que el acto público de reconocimiento  es  una</w:t>
        <w:br/>
        <w:t>garantía de no repetición y debe ser conocido por la sociedad venezolana,  y</w:t>
        <w:br/>
        <w:t>teniendo en cuenta la naturaleza de los hechos,  la  Corte  dispone  que  el</w:t>
        <w:br/>
        <w:t>Estado  debe  realizar   un   acto   público   de   reconocimiento   de   su</w:t>
        <w:br/>
        <w:t>responsabilidad internacional y pedir una disculpa pública a los  familiares</w:t>
        <w:br/>
        <w:t>de  las  víctimas  por  los  hechos  violatorios  a  los  derechos   humanos</w:t>
        <w:br/>
        <w:t>establecidos en la  presente  Sentencia.  Este  acto  deberá  realizarse  en</w:t>
        <w:br/>
        <w:t>presencia de los familiares de  las  víctimas  y  con  la  participación  de</w:t>
        <w:br/>
        <w:t>miembros de las más altas autoridades del Estado. Deberá  celebrarse  dentro</w:t>
        <w:br/>
        <w:t>de un plazo de seis meses  contados  a  partir  de  la  notificación  de  la</w:t>
        <w:br/>
        <w:t>presente Sentencia.</w:t>
        <w:br/>
        <w:br/>
        <w:t xml:space="preserve">      g)    Publicación de la sentencia</w:t>
        <w:br/>
        <w:br/>
        <w:t>151.   Como   lo   ha   dispuesto   en   otros   casos,   como   medida   de</w:t>
        <w:br/>
        <w:t>satisfacción[186], el Estado deberá publicar en el Diario Oficial y en  otro</w:t>
        <w:br/>
        <w:t>diario de amplia  circulación  nacional,  por  una  sola  vez,  el  capítulo</w:t>
        <w:br/>
        <w:t>relativo a los hechos establecidos de esta Sentencia, sin las notas  al  pie</w:t>
        <w:br/>
        <w:t>de página, y la parte resolutiva de la misma. Para  estas  publicaciones  se</w:t>
        <w:br/>
        <w:t>fija el plazo de seis meses, a partir de  la  notificación  de  la  presente</w:t>
        <w:br/>
        <w:t>Sentencia.</w:t>
        <w:br/>
        <w:br/>
        <w:t xml:space="preserve">                            e)    Costas y Gastos</w:t>
        <w:br/>
        <w:br/>
        <w:t>152.  Las  costas  y  gastos  están  comprendidos  dentro  del  concepto  de</w:t>
        <w:br/>
        <w:t>reparación consagrado en  el  artículo  63.1  de  la  Convención  Americana,</w:t>
        <w:br/>
        <w:t>puesto que la actividad desplegada por las víctimas con el  fin  de  obtener</w:t>
        <w:br/>
        <w:t>justicia, tanto a nivel nacional  como  internacional,  implica  erogaciones</w:t>
        <w:br/>
        <w:t>que deben  ser  compensadas  cuando  la  responsabilidad  internacional  del</w:t>
        <w:br/>
        <w:t>Estado es declarada mediante una sentencia  condenatoria.  En  cuanto  a  su</w:t>
        <w:br/>
        <w:t>reembolso, corresponde al Tribunal apreciar  prudentemente  su  alcance,  el</w:t>
        <w:br/>
        <w:t>cual comprende los gastos generados ante las autoridades de la  jurisdicción</w:t>
        <w:br/>
        <w:t>interna, así como los generados en el curso  del  proceso  ante  el  sistema</w:t>
        <w:br/>
        <w:t>interamericano, teniendo en cuenta las circunstancias del  caso  concreto  y</w:t>
        <w:br/>
        <w:t>la naturaleza de la jurisdicción  internacional  de  la  protección  de  los</w:t>
        <w:br/>
        <w:t>derechos humanos. Esta apreciación  puede  ser  realizada  con  base  en  el</w:t>
        <w:br/>
        <w:t>principio de equidad y tomando  en  cuenta  los  gastos  señalados  por  las</w:t>
        <w:br/>
        <w:t>partes, siempre que su quantum sea razonable[187].</w:t>
        <w:br/>
        <w:br/>
        <w:t>153.  En el presente caso, el Tribunal nota que  varios  familiares  de  las</w:t>
        <w:br/>
        <w:t>víctimas no han sido identificados. En razón de lo anterior, no  es  posible</w:t>
        <w:br/>
        <w:t>asignar una compensación por concepto de costas y gastos directamente a  los</w:t>
        <w:br/>
        <w:t>familiares de las víctimas, para que éstas la  distribuyeran  entre  quienes</w:t>
        <w:br/>
        <w:t>les hayan brindado asistencia legal,  como  ha  sido  la  práctica  de  este</w:t>
        <w:br/>
        <w:t>Tribunal en algunos casos  recientes[188],  por  lo  que  estima  equitativo</w:t>
        <w:br/>
        <w:t>ordenar al Estado que reintegre la cantidad de  US  $20.000,00  (veinte  mil</w:t>
        <w:br/>
        <w:t>dólares de los Estados  Unidos  de  América)  o  su  equivalente  en  moneda</w:t>
        <w:br/>
        <w:t>venezolana, a COFAVIC por concepto de costas y gastos en que incurrieron  en</w:t>
        <w:br/>
        <w:t>el  ámbito  interno  y  en  el  proceso  internacional   ante   el   sistema</w:t>
        <w:br/>
        <w:t>interamericano de protección de los derechos humanos; y la  cantidad  de  US</w:t>
        <w:br/>
        <w:t>$10.000,00 (diez mil  dólares  de  los  Estados  Unidos  de  América)  o  su</w:t>
        <w:br/>
        <w:t>equivalente en moneda venezolana a CEJIL por concepto de costas y gastos  en</w:t>
        <w:br/>
        <w:t>que incurrieron en el proceso internacional. Dichas cantidades  deberán  ser</w:t>
        <w:br/>
        <w:t>entregadas directamente a las citadas organizaciones.</w:t>
        <w:br/>
        <w:br/>
        <w:br/>
        <w:t xml:space="preserve">                                     XII</w:t>
        <w:br/>
        <w:t xml:space="preserve">                          Modalidad de Cumplimiento</w:t>
        <w:br/>
        <w:br/>
        <w:t>154.  El Estado deberá efectuar el pago de las indemnizaciones por  concepto</w:t>
        <w:br/>
        <w:t>de daño material e inmaterial, así como el  reintegro  de  costas  y  gastos</w:t>
        <w:br/>
        <w:t>dentro del plazo de un año  contado  a  partir  de  la  notificación  de  la</w:t>
        <w:br/>
        <w:t>presente  Sentencia.  En  cuanto  al  acto  público  de  reconocimiento   de</w:t>
        <w:br/>
        <w:t>responsabilidad (supra  párr.  150)  y  a  la  publicación  de  la  presente</w:t>
        <w:br/>
        <w:t>Sentencia (supra párr. 151), el Estado cuenta con un plazo  de  seis  meses,</w:t>
        <w:br/>
        <w:t>contado a partir de la notificación de la Sentencia,  para  cumplir  con  lo</w:t>
        <w:br/>
        <w:t>ordenado. En el caso de las otras reparaciones ordenadas, deberá  cumplirlas</w:t>
        <w:br/>
        <w:t>en un plazo razonable (supra párrs. 137 a 149).</w:t>
        <w:br/>
        <w:br/>
        <w:t>155.  Si por causas atribuibles a los beneficiarios de  las  indemnizaciones</w:t>
        <w:br/>
        <w:t>no fuese posible que éstos las reciban  dentro  del  plazo  indicado  en  el</w:t>
        <w:br/>
        <w:t>párrafo anterior,  el  Estado  consignará  dichos  montos  a  favor  de  los</w:t>
        <w:br/>
        <w:t>beneficiarios en una cuenta o certificado de  depósito  en  una  institución</w:t>
        <w:br/>
        <w:t>financiera  venezolana  solvente,  en  dólares  estadounidenses  y  en   las</w:t>
        <w:br/>
        <w:t>condiciones financieras más favorables que  permitan  la  legislación  y  la</w:t>
        <w:br/>
        <w:t>práctica bancaria. Si al cabo de diez  años  la  indemnización  no  ha  sido</w:t>
        <w:br/>
        <w:t>reclamada, las cantidades  serán  devueltas  al  Estado  con  los  intereses</w:t>
        <w:br/>
        <w:t>devengados.</w:t>
        <w:br/>
        <w:br/>
        <w:t>156.  El Estado puede cumplir sus obligaciones mediante el pago  en  dólares</w:t>
        <w:br/>
        <w:t>de los Estados Unidos de América o en una  cantidad  equivalente  en  moneda</w:t>
        <w:br/>
        <w:t>venezolana, utilizando para el cálculo respectivo el tipo  de  cambio  entre</w:t>
        <w:br/>
        <w:t>ambas monedas que esté vigente en la plaza de Nueva York, Estados Unidos  de</w:t>
        <w:br/>
        <w:t>América, el día anterior al pago.</w:t>
        <w:br/>
        <w:br/>
        <w:br/>
        <w:t>157.  Las cantidades asignadas en la presente Sentencia bajo  los  conceptos</w:t>
        <w:br/>
        <w:t>de indemnizaciones por daño material e inmaterial y por reintegro de  costas</w:t>
        <w:br/>
        <w:t>y gastos, no podrán ser  afectados  o  condicionados  por  motivos  fiscales</w:t>
        <w:br/>
        <w:t>actuales o futuros. Por ende, deberán ser entregados a los beneficiarios  en</w:t>
        <w:br/>
        <w:t>forma íntegra conforme a lo establecido en esta Sentencia.</w:t>
        <w:br/>
        <w:br/>
        <w:br/>
        <w:t>158.  En caso de que el Estado incurriera en mora, deberá pagar  un  interés</w:t>
        <w:br/>
        <w:t>sobre la cantidad adeudada, correspondiente al  interés  bancario  moratorio</w:t>
        <w:br/>
        <w:t>en Venezuela.</w:t>
        <w:br/>
        <w:br/>
        <w:br/>
        <w:t>159.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notificación  de  esta  Sentencia,  Venezuela</w:t>
        <w:br/>
        <w:t>deberá rendir a la Corte un informe sobre las  medidas  adoptadas  para  dar</w:t>
        <w:br/>
        <w:t>cumplimiento a la misma.</w:t>
        <w:br/>
        <w:br/>
        <w:br/>
        <w:t xml:space="preserve">                                      X</w:t>
        <w:br/>
        <w:t xml:space="preserve">                             Puntos Resolutivos</w:t>
        <w:br/>
        <w:br/>
        <w:br/>
        <w:t>160.  Por tanto,</w:t>
        <w:br/>
        <w:br/>
        <w:br/>
        <w:t>LA CORTE,</w:t>
        <w:br/>
        <w:br/>
        <w:br/>
        <w:t>DECIDE,</w:t>
        <w:br/>
        <w:br/>
        <w:br/>
        <w:t>Por unanimidad,</w:t>
        <w:br/>
        <w:br/>
        <w:br/>
        <w:t>1.    Admitir el reconocimiento de responsabilidad  internacional  efectuado</w:t>
        <w:br/>
        <w:t>por el Estado por la violación de los derechos consagrados en los  artículos</w:t>
        <w:br/>
        <w:t>4.1 (Derecho a la  Vida),  y  5.1,  5.2  y  5.4  (Derecho  a  la  Integridad</w:t>
        <w:br/>
        <w:t>Personal) de la Convención Americana, en relación con el artículo 1.1 de  la</w:t>
        <w:br/>
        <w:t>misma, en perjuicio de las 37 personas señaladas en el párrafo 60.26  de  la</w:t>
        <w:br/>
        <w:t>presente Sentencia, en los términos del párrafo 52 de la misma.</w:t>
        <w:br/>
        <w:br/>
        <w:br/>
        <w:t>2.    Admitir el reconocimiento de responsabilidad realizado por  el  Estado</w:t>
        <w:br/>
        <w:t>por la violación de los derechos consagrados en los artículos  5.1  (Derecho</w:t>
        <w:br/>
        <w:t>a la Integridad Personal),  8.1  (Garantías  Judiciales)  y  25  (Protección</w:t>
        <w:br/>
        <w:t>Judicial) de la Convención Americana, en relación con el artículo 1.1 de  la</w:t>
        <w:br/>
        <w:t>misma,  en  perjuicio  de  los  familiares  de  las  víctimas,  quienes   se</w:t>
        <w:br/>
        <w:t>encuentran individualizados en el párrafo 60.26 de esta  Sentencia,  en  los</w:t>
        <w:br/>
        <w:t>términos del párrafo 53 de la misma.</w:t>
        <w:br/>
        <w:br/>
        <w:br/>
        <w:t>3.    Admitir el reconocimiento de responsabilidad realizado por  el  Estado</w:t>
        <w:br/>
        <w:t>por el incumplimiento de la obligación impuesta por  el  artículo  2  de  la</w:t>
        <w:br/>
        <w:t>Convención Americana,  en  los  términos  del  párrafo  54  de  la  presente</w:t>
        <w:br/>
        <w:t>Sentencia.</w:t>
        <w:br/>
        <w:br/>
        <w:br/>
        <w:t>4.    Declarar que  el  Estado  ha  renunciado  a  la  excepción  preliminar</w:t>
        <w:br/>
        <w:t>interpuesta, de conformidad con el párrafo 50 de la presente Sentencia.</w:t>
        <w:br/>
        <w:br/>
        <w:br/>
        <w:t>DECLARA,</w:t>
        <w:br/>
        <w:br/>
        <w:br/>
        <w:t>Por unanimidad, que</w:t>
        <w:br/>
        <w:br/>
        <w:br/>
        <w:t>5.    El Estado violó los derechos consagrados en los artículos  4  (Derecho</w:t>
        <w:br/>
        <w:t>a la Vida), 5.1, 5.2 y 5.4 (Derecho a la Integridad Personal), 8  (Garantías</w:t>
        <w:br/>
        <w:t>Judiciales) y  25  (Protección  Judicial)  de  la  Convención  Americana,  e</w:t>
        <w:br/>
        <w:t>incumplió las obligaciones generales contenidas en los artículos 1.1 y 2  de</w:t>
        <w:br/>
        <w:t>la misma, en perjuicio  de  las  personas  individualizadas  en  el  párrafo</w:t>
        <w:br/>
        <w:t>60.26, en los términos de los párrafos 104, 109 y 113 de esta Sentencia.</w:t>
        <w:br/>
        <w:br/>
        <w:br/>
        <w:t>6.    Esta Sentencia constituye per se  una  forma  de  reparación,  en  los</w:t>
        <w:br/>
        <w:t>términos del párrafo 131 de la misma.</w:t>
        <w:br/>
        <w:br/>
        <w:br/>
        <w:t>Y DISPONE,</w:t>
        <w:br/>
        <w:br/>
        <w:br/>
        <w:t>Por unanimidad, que:</w:t>
        <w:br/>
        <w:br/>
        <w:br/>
        <w:t>7.    El Estado debe emprender,  con  plena  observancia  de  las  garantías</w:t>
        <w:br/>
        <w:t>judiciales y en un plazo  razonable,  todas  las  acciones  necesarias  para</w:t>
        <w:br/>
        <w:t>identificar, juzgar y sancionar a todos los responsables de las  violaciones</w:t>
        <w:br/>
        <w:t>cometidas en perjuicio de las víctimas del presente caso,  en  los  términos</w:t>
        <w:br/>
        <w:t>de los párrafos 137 a 141 de esta Sentencia.</w:t>
        <w:br/>
        <w:br/>
        <w:br/>
        <w:t>8.     El  Estado  debe  realizar  inmediatamente  todas   las   actuaciones</w:t>
        <w:br/>
        <w:t>necesarias y adecuadas para garantizar de manera  efectiva  la  ubicación  y</w:t>
        <w:br/>
        <w:t>entrega, en un plazo razonable, de los cuerpos de José León  Ayala  Gualdrón</w:t>
        <w:br/>
        <w:t>y Edgar José Peña Marín, en los términos del párrafo 142 de esta Sentencia.</w:t>
        <w:br/>
        <w:br/>
        <w:br/>
        <w:t>9.    El Estado debe adecuar, en un plazo razonable, su legislación  interna</w:t>
        <w:br/>
        <w:t>a los términos de la Convención Americana, en los términos de  los  párrafos</w:t>
        <w:br/>
        <w:t>143 y 144 de esta Sentencia.</w:t>
        <w:br/>
        <w:br/>
        <w:br/>
        <w:t>10.   El Estado debe adoptar, dentro de  un  plazo  razonable,  las  medidas</w:t>
        <w:br/>
        <w:t>necesarias para que las  condiciones  de  las  cárceles  se  adecuen  a  los</w:t>
        <w:br/>
        <w:t>estándares internacionales relativos a esta materia, en los términos de  los</w:t>
        <w:br/>
        <w:t>párrafos 145 y 146 de esta Sentencia.</w:t>
        <w:br/>
        <w:br/>
        <w:br/>
        <w:t>11.   El Estado debe entrenar y capacitar adecuadamente a  los  miembros  de</w:t>
        <w:br/>
        <w:t>los cuerpos de seguridad para  garantizar  efectivamente  el  derecho  a  la</w:t>
        <w:br/>
        <w:t>vida, y evitar el uso desproporcionado de la  fuerza.  Asimismo,  el  Estado</w:t>
        <w:br/>
        <w:t>debe diseñar e  implementar  un  programa  de  capacitación  sobre  derechos</w:t>
        <w:br/>
        <w:t>humanos y estándares internacionales en materia de personas privadas  de  la</w:t>
        <w:br/>
        <w:t>libertad, dirigido a agentes policiales y penitenciarios,  en  los  términos</w:t>
        <w:br/>
        <w:t>de los párrafos 147 a 149 de la presente Sentencia.</w:t>
        <w:br/>
        <w:br/>
        <w:br/>
        <w:t>12.   El Estado debe realizar, en el plazo de seis meses, contado  a  partir</w:t>
        <w:br/>
        <w:t>de la notificación de la presente Sentencia, un acto  de  reconocimiento  de</w:t>
        <w:br/>
        <w:t>responsabilidad internacional  y  disculpa  pública,  en  relación  con  las</w:t>
        <w:br/>
        <w:t>violaciones declaradas en la misma, en los términos del párrafo  150  de  la</w:t>
        <w:br/>
        <w:t>presente Sentencia.</w:t>
        <w:br/>
        <w:br/>
        <w:br/>
        <w:t>13.   El Estado debe publicar, en el plazo de seis meses, contado  a  partir</w:t>
        <w:br/>
        <w:t>de la notificación de la presente Sentencia, en el Diario Oficial y en  otro</w:t>
        <w:br/>
        <w:t>diario de amplia  circulación  nacional,  por  una  sola  vez,  el  capítulo</w:t>
        <w:br/>
        <w:t>relativo a los hechos establecidos de esta Sentencia, sin las notas  al  pie</w:t>
        <w:br/>
        <w:t>de página correspondientes, y la parte resolutiva de la misma.</w:t>
        <w:br/>
        <w:br/>
        <w:br/>
        <w:t>14.   El Estado debe realizar los pagos de las indemnizaciones por  concepto</w:t>
        <w:br/>
        <w:t>de daño material e inmaterial, así como el reintegro de costas y  gastos  en</w:t>
        <w:br/>
        <w:t>el plazo de un año, contado a partir  de  la  notificación  de  la  presente</w:t>
        <w:br/>
        <w:t>Sentencia.</w:t>
        <w:br/>
        <w:br/>
        <w:br/>
        <w:t>15.   Supervisará el cumplimiento íntegro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cumplimiento.</w:t>
        <w:br/>
        <w:br/>
        <w:br/>
        <w:t>Redactada en español y en inglés, haciendo fe el texto en  español,  en  San</w:t>
        <w:br/>
        <w:t>José, Costa Rica, el día 5 de julio de 2006.</w:t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t>Alirio Abreu Burelli   Antônio A. Cançado Trindade</w:t>
        <w:br/>
        <w:br/>
        <w:br/>
        <w:br/>
        <w:br/>
        <w:br/>
        <w:t>Cecilia Medina Quiroga Manuel E. Ventura Robles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Sergio García Ramírez</w:t>
        <w:br/>
        <w:t xml:space="preserve">                                                           Presidente</w:t>
        <w:br/>
        <w:br/>
        <w:br/>
        <w:br/>
        <w:br/>
        <w:t>Pablo Saavedra Alessandri</w:t>
        <w:br/>
        <w:t xml:space="preserve">        Secretario</w:t>
        <w:br/>
        <w:br/>
        <w:t>-----------------------</w:t>
        <w:br/>
        <w:t>*     Los Jueces Oliver Jackman y Diego García Sayán informaron al  Tribunal</w:t>
        <w:br/>
        <w:t>que,  por  motivos  de  fuerza  mayor,  no  podían  estar  presentes  en  la</w:t>
        <w:br/>
        <w:t>deliberación y adopción de la presente Sentencia.</w:t>
        <w:br/>
        <w:br/>
        <w:t>[1]   Escrito de solicitudes, argumentos y pruebas  de  los  representantes,</w:t>
        <w:br/>
        <w:t>página 4, nota al pié 5 (expediente de fondo  y  eventuales  reparaciones  y</w:t>
        <w:br/>
        <w:t>costas, Tomo I, folio 224).</w:t>
        <w:br/>
        <w:br/>
        <w:t>[2]   Según el escrito de solicitudes, argumentos  y  pruebas  esta  persona</w:t>
        <w:br/>
        <w:t>aparece nombrada como Envidia y en un escrito de  remisión  de  prueba  para</w:t>
        <w:br/>
        <w:t>mejor resolver como Eneida (expediente de fondo y eventuales reparaciones  y</w:t>
        <w:br/>
        <w:t>costas, Tomo III, folio 982).</w:t>
        <w:br/>
        <w:br/>
        <w:t>[3]   Cfr. Caso Baldeón García. Sentencia de 6 de abril  de  2006.  Serie  C</w:t>
        <w:br/>
        <w:t>No. 147, párr. 38; Caso  Acevedo  Jaramillo  y  otros.  Sentencia  de  7  de</w:t>
        <w:br/>
        <w:t>febrero de 2006. Serie C No. 144, párr. 173, y Caso Blanco Romero  y  otros.</w:t>
        <w:br/>
        <w:t>Sentencia de 28 de noviembre de 2005. Serie C No. 138, párr. 55.</w:t>
        <w:br/>
        <w:br/>
        <w:t>[4]   Cfr. Caso Acevedo Jaramillo y otros, supra nota 3, párr. 176; Caso  de</w:t>
        <w:br/>
        <w:t>la Comunidad Moiwana. Sentencia de 15 de junio de  2005.  Serie  C  No. 124,</w:t>
        <w:br/>
        <w:t>párr. 58; Caso Huilca Tecse. Sentencia de 3 de marzo de 2005.  Serie  C  No.</w:t>
        <w:br/>
        <w:t>121, párr. 56.</w:t>
        <w:br/>
        <w:br/>
        <w:t>[5]   Cfr. Caso Acevedo Jaramillo y otros, supra nota 3, párr. 126,  y  Caso</w:t>
        <w:br/>
        <w:t>¨Masacre  de  Mapiripán¨. Excepciones  preliminares  y   reconocimiento   de</w:t>
        <w:br/>
        <w:t>responsabilidad. Sentencia de 7 de marzo 2005. Serie C No. 122, párr. 3.</w:t>
        <w:br/>
        <w:br/>
        <w:t>[6]   Cfr. Caso Masacre de Pueblo Bello. Sentencia de 31 de enero  de  2006.</w:t>
        <w:br/>
        <w:t>Serie C No. 140, párr. 219; Caso  Blanco  Romero  y  otros,  supra  nota  3,</w:t>
        <w:br/>
        <w:t>párr. 62, y Caso de las Hermanas Serrano Cruz, Sentencia de 1  de  marzo  de</w:t>
        <w:br/>
        <w:t>2005. Serie C No. 120, párr. 62.</w:t>
        <w:br/>
        <w:br/>
        <w:t>[7]   Cfr. Caso de la “Masacre de Mapiripán”. Sentencia de 15 de  septiembre</w:t>
        <w:br/>
        <w:t>de 2005. Serie C  No.  134,  párr. 69,  y  Caso  Masacre  Plan  de  Sánchez.</w:t>
        <w:br/>
        <w:t>Reparaciones  (art.  63.1  Convención  Americana  sobre  Derechos  Humanos).</w:t>
        <w:br/>
        <w:t>Sentencia de 19 de noviembre de 2004. Serie C No. 116.</w:t>
        <w:br/>
        <w:br/>
        <w:t>[8]    Cfr.  escrito  de  solicitudes,   argumentos   y   pruebas   de   los</w:t>
        <w:br/>
        <w:t>representantes (expediente de fondo y eventuales reparaciones y cotas,  Tomo</w:t>
        <w:br/>
        <w:t>I, Folio 309)</w:t>
        <w:br/>
        <w:br/>
        <w:t>[9]   Cfr. copia del registro civil de nacimiento (expediente de  anexos  al</w:t>
        <w:br/>
        <w:t>escrito de solicitudes, argumentos y pruebas de los  representantes  de  las</w:t>
        <w:br/>
        <w:t>víctimas, folio 2732).</w:t>
        <w:br/>
        <w:br/>
        <w:t>[10]  Cfr. copia del registro civil de nacimiento  (expediente  de  fondo  y</w:t>
        <w:br/>
        <w:t>eventuales reparaciones y costas,  Tomo III, folio 897).</w:t>
        <w:br/>
        <w:br/>
        <w:t>[11]  Cfr. copia del registro civil de nacimiento  (expediente  de  fondo  y</w:t>
        <w:br/>
        <w:t>eventuales reparaciones y costas Tomo III, folio 898 y 899).</w:t>
        <w:br/>
        <w:br/>
        <w:t>[12]  Cfr. copia del registro civil de nacimiento  (expediente  de  fondo  y</w:t>
        <w:br/>
        <w:t>eventuales reparaciones y costas Tomo III, folio 900).</w:t>
        <w:br/>
        <w:br/>
        <w:t>[13]  Cfr. copia del registro civil de nacimiento  (expediente  de  fondo  y</w:t>
        <w:br/>
        <w:t>eventuales reparaciones y costas Tomo III, folio 901).</w:t>
        <w:br/>
        <w:br/>
        <w:t>[14]  Cfr. copia del registro civil de nacimiento (expediente de  anexos  al</w:t>
        <w:br/>
        <w:t>escrito de solicitudes, argumentos y pruebas de los  representantes  de  las</w:t>
        <w:br/>
        <w:t>víctimas, folio 2733).</w:t>
        <w:br/>
        <w:br/>
        <w:t>[15]  Cfr. copia del registro civil de matrimonio (expediente de  anexos  al</w:t>
        <w:br/>
        <w:t>escrito de solicitudes, argumentos y pruebas de los  representantes  de  las</w:t>
        <w:br/>
        <w:t>víctimas, folio 2730).</w:t>
        <w:br/>
        <w:br/>
        <w:t>[16]  Cfr. tarjeta de identificación alfabeticofonética de la  Dirección  de</w:t>
        <w:br/>
        <w:t>Identificación  y  extranjería.  (expediente  de  anexos   de   la   demanda</w:t>
        <w:br/>
        <w:t>presentada por la Comisión, Anexo 12, Tomo 4, folio 1058).</w:t>
        <w:br/>
        <w:br/>
        <w:t>[17]   Cfr.  anexos  de  la  petición  ante   la   Comisión   Interamericana</w:t>
        <w:br/>
        <w:t>(expediente de trámite ante la Comisión Interamericana de Derechos  Humanos,</w:t>
        <w:br/>
        <w:t>Folio 1987).</w:t>
        <w:br/>
        <w:br/>
        <w:t>[18]   Cfr.  escrito  de  solicitudes,   argumentos   y   pruebas   de   los</w:t>
        <w:br/>
        <w:t>representantes (expediente  de  fondo,  expediente  de  fondo  y  eventuales</w:t>
        <w:br/>
        <w:t>reparaciones y cotas, Tomo I, Folio 311).</w:t>
        <w:br/>
        <w:br/>
        <w:t>[19]  Cfr. copia del registro civil de nacimiento (expediente de  anexos  al</w:t>
        <w:br/>
        <w:t>escrito de solicitudes, argumentos y pruebas de los  representantes  de  las</w:t>
        <w:br/>
        <w:t>víctimas, folio 2715).</w:t>
        <w:br/>
        <w:br/>
        <w:t>[20]  Cfr. copia del registro civil de nacimiento  (expediente  de  fondo  y</w:t>
        <w:br/>
        <w:t>eventuales reparaciones y costas, Tomo III, folio 922 y 923).</w:t>
        <w:br/>
        <w:br/>
        <w:t>[21]  Cfr. copia del registro civil de nacimiento  (expediente  de  fondo  y</w:t>
        <w:br/>
        <w:t>eventuales reparaciones y costas, Tomo III, folio 924).</w:t>
        <w:br/>
        <w:br/>
        <w:t>[22]  Cfr. copia del registro civil de nacimiento  (expediente  de  fondo  y</w:t>
        <w:br/>
        <w:t>eventuales reparaciones y costas, Tomo III, folio 925)</w:t>
        <w:br/>
        <w:br/>
        <w:t>[23]  Cfr. copia del registro civil de nacimiento  (expediente  de  fondo  y</w:t>
        <w:br/>
        <w:t>eventuales reparaciones y costas, Tomo III, folio 926).</w:t>
        <w:br/>
        <w:br/>
        <w:t>[24]  Cfr. declaración ante notario público de Luz Victoria Chávez Flores  y</w:t>
        <w:br/>
        <w:t>Tito Antonio Guerrero de  20  de  junio  de  2006  (expediente  de  fondo  y</w:t>
        <w:br/>
        <w:t>eventuales reparaciones y costas, Tomo III, folio 989 y 990)</w:t>
        <w:br/>
        <w:br/>
        <w:t>[25]  Cfr. declaración ante notario público de Luz Victoria Chávez Flores  y</w:t>
        <w:br/>
        <w:t>Tito Antonio Guerrero de 20 de junio de 2006, supra nota 24.</w:t>
        <w:br/>
        <w:br/>
        <w:t>[26]   Cfr.  declaración  testimonial  de  Tisibay  Guzmán,  expediente   de</w:t>
        <w:br/>
        <w:t>investigación del  Tribunal  Vigésimo  noveno  de  Primera  Instancia  Penal</w:t>
        <w:br/>
        <w:t>(expediente de anexos de la demanda presentada por la  Comisión,  Anexo  12,</w:t>
        <w:br/>
        <w:t>Tomo 3, folio 1067).</w:t>
        <w:br/>
        <w:br/>
        <w:t>[27]  Según la demanda esta víctima aparece como Carlos Gustavo  Reyes.  Sin</w:t>
        <w:br/>
        <w:t>embargo, la Corte tendrá en cuenta la copia del registro civil de  defunción</w:t>
        <w:br/>
        <w:t>donde aparece nombrado como Charly Gustavo Paiva Reyes (expediente de  fondo</w:t>
        <w:br/>
        <w:t>y eventuales reparaciones y costas, Tomo II, folio 410).</w:t>
        <w:br/>
        <w:br/>
        <w:t>[28]  Cfr. copia del registro civil de  defunción  (expediente  de  fondo  y</w:t>
        <w:br/>
        <w:t>eventuales reparaciones y costas, Tomo II, folio 410).</w:t>
        <w:br/>
        <w:br/>
        <w:t>[29]  Cfr. alegatos finales escritos de los representantes de  las  víctimas</w:t>
        <w:br/>
        <w:t>(expediente de fondo y eventuales reparaciones y  costas,  Tomo  III,  folio</w:t>
        <w:br/>
        <w:t>834).</w:t>
        <w:br/>
        <w:br/>
        <w:t>[30]   Cfr.  escrito  de  solicitudes,   argumentos   y   pruebas   de   los</w:t>
        <w:br/>
        <w:t>representantes (expediente de fondo y eventuales reparaciones y cotas,  Tomo</w:t>
        <w:br/>
        <w:t>I,  Folio  309),  y  anexos  a  la  petición  inicial   ante   la   Comisión</w:t>
        <w:br/>
        <w:t>Interamericana (expediente de trámite ante  la  Comisión  Interamericana  de</w:t>
        <w:br/>
        <w:t>Derechos Humanos, Folio 2006).</w:t>
        <w:br/>
        <w:br/>
        <w:t>[31]  Cfr. copia del registro civil de nacimiento (expediente de  anexos  al</w:t>
        <w:br/>
        <w:t>escrito de solicitudes, argumentos y pruebas de los  representantes  de  las</w:t>
        <w:br/>
        <w:t>víctimas, folio 2696).</w:t>
        <w:br/>
        <w:br/>
        <w:t>[32]  Cfr. copia del registro civil de nacimiento  (expediente  de  fondo  y</w:t>
        <w:br/>
        <w:t>eventuales reparaciones y costas, Tomo III, folio 904).</w:t>
        <w:br/>
        <w:br/>
        <w:t>[33]  Cfr. copia del registro civil de nacimiento  (expediente  de  fondo  y</w:t>
        <w:br/>
        <w:t>eventuales reparaciones y costas, Tomo III, folio 905).</w:t>
        <w:br/>
        <w:br/>
        <w:t>[34]  Cfr. copia del registro civil de nacimiento (expediente de  anexos  al</w:t>
        <w:br/>
        <w:t>escrito de solicitudes, argumentos y pruebas de los  representantes  de  las</w:t>
        <w:br/>
        <w:t>víctimas, folio 2697).</w:t>
        <w:br/>
        <w:br/>
        <w:t>[35]  Según el escrito de solicitudes, argumentos y  pruebas  esta  presunta</w:t>
        <w:br/>
        <w:t>víctima aparece nombrada como Envidia y en un escrito de contestación  a  la</w:t>
        <w:br/>
        <w:t>solicitud de la Corte de prueba para mejor resolver como Eneida.</w:t>
        <w:br/>
        <w:br/>
        <w:t>[36]  Cfr. reconocimiento médico legal y levantamiento del cadáver de  Fabio</w:t>
        <w:br/>
        <w:t>Manuel Castillo, de 30 de noviembre de 1992  (expediente  de  anexos  de  la</w:t>
        <w:br/>
        <w:t>demanda presentada por la Comisión, Anexo 12, Tomo 3, folio 804).</w:t>
        <w:br/>
        <w:br/>
        <w:t>[37]   Cfr.  escrito  de  solicitudes,   argumentos   y   pruebas   de   los</w:t>
        <w:br/>
        <w:t>representantes (expediente de fondo y eventuales reparaciones y cotas,  Tomo</w:t>
        <w:br/>
        <w:t>I,  Folio  307)  y  anexos  a  la  petición   inicial   ante   la   Comisión</w:t>
        <w:br/>
        <w:t>Interamericana (expediente de trámite ante  la  Comisión  Interamericana  de</w:t>
        <w:br/>
        <w:t>Derechos Humanos, Folio 2006).</w:t>
        <w:br/>
        <w:br/>
        <w:t>[38]  Cfr. copia del registro civil de nacimiento (expediente de  anexos  al</w:t>
        <w:br/>
        <w:t>escrito de solicitudes, argumentos y pruebas de los  representantes  de  las</w:t>
        <w:br/>
        <w:t>víctimas, folio 2676).</w:t>
        <w:br/>
        <w:br/>
        <w:t>[39]  Cfr. copia del registro civil de nacimiento  (expediente  de  fondo  y</w:t>
        <w:br/>
        <w:t>eventuales reparaciones y costas, Tomo III, folio 879).</w:t>
        <w:br/>
        <w:br/>
        <w:t>[40]  Cfr. alegatos finales escritos de los representantes de  las  víctimas</w:t>
        <w:br/>
        <w:t>(expediente de fondo y eventuales reparaciones y  costas,  Tomo  III,  folio</w:t>
        <w:br/>
        <w:t>833).</w:t>
        <w:br/>
        <w:br/>
        <w:t>[41]   Cfr.  escrito  de  solicitudes,   argumentos   y   pruebas   de   los</w:t>
        <w:br/>
        <w:t>representantes (expediente  de  fondo,  expediente  de  fondo  y  eventuales</w:t>
        <w:br/>
        <w:t>reparaciones y cotas, Tomo I, Folio 308)</w:t>
        <w:br/>
        <w:br/>
        <w:t>[42]  Cfr. copia del registro civil de nacimiento (expediente de  anexos  al</w:t>
        <w:br/>
        <w:t>escrito de solicitudes, argumentos y pruebas de los  representantes  de  las</w:t>
        <w:br/>
        <w:t>víctimas, folio 2689).</w:t>
        <w:br/>
        <w:br/>
        <w:t>[43]  Cfr. copia del registro civil de defunción de  Henry  Leonel  Chirinos</w:t>
        <w:br/>
        <w:t>Hernández (expediente de fondo y  eventuales  reparaciones  y  costas,  Tomo</w:t>
        <w:br/>
        <w:t>III, folio 896).</w:t>
        <w:br/>
        <w:br/>
        <w:t>[44]  Cfr. copia del registro civil de nacimiento (expediente de  anexos  al</w:t>
        <w:br/>
        <w:t>escrito de solicitudes, argumentos y pruebas de los  representantes  de  las</w:t>
        <w:br/>
        <w:t>víctimas, folio 2692).</w:t>
        <w:br/>
        <w:br/>
        <w:t>[45]  Cfr. copia del registro civil de defunción de  Henry  Leonel  Chirinos</w:t>
        <w:br/>
        <w:t>Hernández (expediente de fondo y  eventuales  reparaciones  y  costas,  Tomo</w:t>
        <w:br/>
        <w:t>III, folio 896).</w:t>
        <w:br/>
        <w:br/>
        <w:t>[46]  Cfr. copia del registro civil de defunción de  Henry  Leonel  Chirinos</w:t>
        <w:br/>
        <w:t>Hernández (expediente de fondo y  eventuales  reparaciones  y  costas,  Tomo</w:t>
        <w:br/>
        <w:t>III, folio 896).</w:t>
        <w:br/>
        <w:br/>
        <w:t>[47]  Cfr. copia del registro civil de nacimiento (expediente de  anexos  al</w:t>
        <w:br/>
        <w:t>escrito de solicitudes, argumentos y pruebas de los  representantes  de  las</w:t>
        <w:br/>
        <w:t>víctimas, folio 2694).</w:t>
        <w:br/>
        <w:br/>
        <w:t>[48]  Cfr. copia del registro civil de nacimiento (expediente de  anexos  al</w:t>
        <w:br/>
        <w:t>escrito de solicitudes, argumentos y pruebas de los  representantes  de  las</w:t>
        <w:br/>
        <w:t>víctimas, folio 2693).</w:t>
        <w:br/>
        <w:br/>
        <w:t>[49]   Cfr.  escrito  de  solicitudes,   argumentos   y   pruebas   de   los</w:t>
        <w:br/>
        <w:t>representantes (expediente  de  fondo,  expediente  de  fondo  y  eventuales</w:t>
        <w:br/>
        <w:t>reparaciones y cotas, Tomo I, Folio 310)</w:t>
        <w:br/>
        <w:br/>
        <w:t>[50]   Cfr.  certificación  de  la  Dirección  de  Dactiloscopia  y  Archivo</w:t>
        <w:br/>
        <w:t>Central,  Departamento  de  Datos  Filiatorios  (expediente   de   fondo   y</w:t>
        <w:br/>
        <w:t>eventuales reparaciones y costas, Tomo III, folio 909).</w:t>
        <w:br/>
        <w:br/>
        <w:t>[51]   Cfr.  certificación  de  la  Dirección  de  Dactiloscopia  y  Archivo</w:t>
        <w:br/>
        <w:t>Central, Departamento de Datos Filiatiros (expediente de fondo y  eventuales</w:t>
        <w:br/>
        <w:t>reparaciones y costas, Tomo III ,  folio 910).</w:t>
        <w:br/>
        <w:br/>
        <w:t>[52]  Cfr. copia del registro civil de nacimiento  (expediente  de  fondo  y</w:t>
        <w:br/>
        <w:t>eventuales reparaciones y costas, Tomo III,  folio 911).</w:t>
        <w:br/>
        <w:br/>
        <w:t>[53]  Cfr. copia del registro civil de nacimiento (expediente de  anexos  al</w:t>
        <w:br/>
        <w:t>escrito de solicitudes, argumentos y pruebas de los  representantes  de  las</w:t>
        <w:br/>
        <w:t>víctimas, folio 2760).</w:t>
        <w:br/>
        <w:br/>
        <w:t>[54]  Cfr. certificación de la Dirección de Dactiloscopia y Archivo  Central</w:t>
        <w:br/>
        <w:t>(expediente de fondo y eventuales reparaciones y  costas,  Tomo  III,  folio</w:t>
        <w:br/>
        <w:t>913).</w:t>
        <w:br/>
        <w:br/>
        <w:t>[55]  Cfr. copia del registro civil de nacimiento (expediente de  anexos  al</w:t>
        <w:br/>
        <w:t>escrito de solicitudes, argumentos y pruebas de los  representantes  de  las</w:t>
        <w:br/>
        <w:t>víctimas, folio 2710).</w:t>
        <w:br/>
        <w:br/>
        <w:t>[56]  Cfr. copia del registro civil de nacimiento (expediente de  anexos  al</w:t>
        <w:br/>
        <w:t>escrito de solicitudes, argumentos y pruebas de los  representantes  de  las</w:t>
        <w:br/>
        <w:t>víctimas, folio).</w:t>
        <w:br/>
        <w:br/>
        <w:t>[57]  Cfr. copia del registro civil de nacimiento (expediente de  anexos  al</w:t>
        <w:br/>
        <w:t>escrito de solicitudes, argumentos y pruebas de los  representantes  de  las</w:t>
        <w:br/>
        <w:t>víctimas, folio 2708).</w:t>
        <w:br/>
        <w:br/>
        <w:t>[58]  Cfr. copia del registro civil de nacimiento  (expediente  de  fondo  y</w:t>
        <w:br/>
        <w:t>eventuales reparaciones y costas, Tomo III,  folio 914).</w:t>
        <w:br/>
        <w:br/>
        <w:t>[59]  Cfr. experticia médico legal  (expediente  de  anexos  de  la  demanda</w:t>
        <w:br/>
        <w:t>presentada por la Comisión, Anexo 12, Tomo 3, folio 783).</w:t>
        <w:br/>
        <w:br/>
        <w:t>[60]  En el escrito de la Demanda esta víctima  aparece  como  Jaime  Arturo</w:t>
        <w:br/>
        <w:t>Henrique Rizzo y en la copia del registro civil de defunción (expediente  de</w:t>
        <w:br/>
        <w:t>fondo y eventuales reparaciones y costas, Tomo II, folio 409)  aparece  como</w:t>
        <w:br/>
        <w:t>Jaime Arturo Henríquez Rizzo, por lo cual la Corte tendrá por nombre  de  la</w:t>
        <w:br/>
        <w:t>víctima el de este último documento.</w:t>
        <w:br/>
        <w:br/>
        <w:t>[61]  Cfr. copia del registro civil de  defunción  (expediente  de  fondo  y</w:t>
        <w:br/>
        <w:t>eventuales reparaciones y costas, Tomo II, folio 409).</w:t>
        <w:br/>
        <w:br/>
        <w:t>[62]  Cfr. anexos a la petición inicial ante la Comisión Interamericana</w:t>
        <w:br/>
        <w:t>(expediente de trámite ante la Comisión Interamericana de Derechos Humanos,</w:t>
        <w:br/>
        <w:t>Folio 2000).</w:t>
        <w:br/>
        <w:br/>
        <w:t>[63]  Cfr. anexos a la petición inicial ante la Comisión Interamericana</w:t>
        <w:br/>
        <w:t>(expediente de trámite ante la Comisión Interamericana de Derechos Humanos,</w:t>
        <w:br/>
        <w:t>Folio 2011).</w:t>
        <w:br/>
        <w:br/>
        <w:t>[64]  En el escrito de la Demanda esta víctima  aparece  como  Jimi  Antonio</w:t>
        <w:br/>
        <w:t>Gonzáles Sandoval y en la copia del registro civil de defunción  (expediente</w:t>
        <w:br/>
        <w:t>de fondo y eventuales reparaciones y costas, Tomo II, folio 406) como  Jimmy</w:t>
        <w:br/>
        <w:t>Antonio Gonzáles Sandoval, por lo cual la Corte  tendrá  por  nombre  de  la</w:t>
        <w:br/>
        <w:t>víctima el de este último documento.</w:t>
        <w:br/>
        <w:br/>
        <w:t>[65]  Cfr. copia del registro civil de  defunción  (expediente  de  fondo  y</w:t>
        <w:br/>
        <w:t>eventuales reparaciones y costas, Tomo II, folio 406).</w:t>
        <w:br/>
        <w:br/>
        <w:t>[66]  Cfr. copia del registro civil de  defunción  (expediente  de  fondo  y</w:t>
        <w:br/>
        <w:t>eventuales reparaciones y costas, Tomo II, folio 405).</w:t>
        <w:br/>
        <w:br/>
        <w:t>[67]   Cfr.  escrito  de  solicitudes,   argumentos   y   pruebas   de   los</w:t>
        <w:br/>
        <w:t>representantes (expediente de fondo y eventuales reparaciones y cotas,  Tomo</w:t>
        <w:br/>
        <w:t>I, Folio 307)</w:t>
        <w:br/>
        <w:br/>
        <w:t>[68]  Cfr. copia del registro civil de nacimiento (expediente de  anexos  al</w:t>
        <w:br/>
        <w:t>escrito de solicitudes, argumentos y pruebas de los  representantes  de  las</w:t>
        <w:br/>
        <w:t>víctimas, folio 2718).</w:t>
        <w:br/>
        <w:br/>
        <w:t>[69]  Cfr. copia del registro civil de nacimiento  (expediente  de  fondo  y</w:t>
        <w:br/>
        <w:t>eventuales reparaciones y costas, Tomo III, folio 883).</w:t>
        <w:br/>
        <w:br/>
        <w:t>[70]  Cfr. certificación  del  Director  de  Identificación  (expediente  de</w:t>
        <w:br/>
        <w:t>fondo y eventuales reparaciones y costas, Tomo III, folio 884).</w:t>
        <w:br/>
        <w:br/>
        <w:t>[71]  Cfr. copia del registro civil de nacimiento  (expediente  de  fondo  y</w:t>
        <w:br/>
        <w:t>eventuales reparaciones y costas, Tomo III, folio 885).</w:t>
        <w:br/>
        <w:br/>
        <w:t>[72]  Cfr. copia del registro civil de nacimiento  (expediente  de  fondo  y</w:t>
        <w:br/>
        <w:t>eventuales reparaciones y costas, Tomo III, folio 886).</w:t>
        <w:br/>
        <w:br/>
        <w:t>[73]  Cfr. copia del registro civil de nacimiento  (expediente  de  fondo  y</w:t>
        <w:br/>
        <w:t>eventuales reparaciones y costas, Tomo III, folio 887).</w:t>
        <w:br/>
        <w:br/>
        <w:t>[74]  Cfr. copia del registro civil de nacimiento  (expediente  de  fondo  y</w:t>
        <w:br/>
        <w:t>eventuales reparaciones y costas, Tomo III, folio 888).</w:t>
        <w:br/>
        <w:br/>
        <w:t>[75]  Cfr. copia del registro civil de nacimiento  (expediente  de  fondo  y</w:t>
        <w:br/>
        <w:t>eventuales reparaciones y costas, Tomo III, folio 889).</w:t>
        <w:br/>
        <w:br/>
        <w:t>[76]  Cfr. anexos a la petición  inicial  ante  la  Comisión  Interamericana</w:t>
        <w:br/>
        <w:t>(expediente de trámite ante la Comisión Interamericana de Derechos  Humanos,</w:t>
        <w:br/>
        <w:t>Folio 2010).</w:t>
        <w:br/>
        <w:br/>
        <w:t>[77]  Cfr. copia del registro civil de  defunción  (expediente  de  fondo  y</w:t>
        <w:br/>
        <w:t>eventuales reparaciones y costas, Tomo II, folio 405).</w:t>
        <w:br/>
        <w:br/>
        <w:t>[78]   Cfr.  escrito  de  solicitudes,   argumentos   y   pruebas   de   los</w:t>
        <w:br/>
        <w:t>representantes (expediente  de  fondo,  expediente  de  fondo  y  eventuales</w:t>
        <w:br/>
        <w:t>reparaciones y cotas, Tomo I, Folio 310)</w:t>
        <w:br/>
        <w:br/>
        <w:t>[79]  Cfr. copia de la  partida  de  nacimiento  (expediente  de  anexos  al</w:t>
        <w:br/>
        <w:t>escrito de solicitudes, argumentos y pruebas de los  representantes  de  las</w:t>
        <w:br/>
        <w:t>víctimas, folio 2711).</w:t>
        <w:br/>
        <w:br/>
        <w:t>[80]  Cfr. copia de la  partida  de  nacimiento  (expediente  de  anexos  al</w:t>
        <w:br/>
        <w:t>escrito de solicitudes, argumentos y pruebas de los  representantes  de  las</w:t>
        <w:br/>
        <w:t>víctimas, folio 2711).</w:t>
        <w:br/>
        <w:br/>
        <w:t>[81]  Cfr. copia del registro civil de nacimiento  (expediente  de  fondo  y</w:t>
        <w:br/>
        <w:t>eventuales reparaciones y costas, Tomo III, folio 915).</w:t>
        <w:br/>
        <w:br/>
        <w:t>[82]  Cfr. copia  de  la  partida  de  nacimiento  (expediente  de  fondo  y</w:t>
        <w:br/>
        <w:t>eventuales reparaciones y costas, Tomo III, folio 916 a 918).</w:t>
        <w:br/>
        <w:br/>
        <w:t>[83]  Cfr. copia del registro civil de nacimiento  (expediente  de  fondo  y</w:t>
        <w:br/>
        <w:t>eventuales reparaciones y costas, Tomo III, folio 919).</w:t>
        <w:br/>
        <w:br/>
        <w:t>[84]  Cfr. copia del registro civil de nacimiento  (expediente  de  fondo  y</w:t>
        <w:br/>
        <w:t>eventuales reparaciones y costas, Tomo III, folio 920).</w:t>
        <w:br/>
        <w:br/>
        <w:t>[85]  Cfr. copia del registro civil de nacimiento  (expediente  de  fondo  y</w:t>
        <w:br/>
        <w:t>eventuales reparaciones y costas, Tomo III, folio 921).</w:t>
        <w:br/>
        <w:br/>
        <w:t>[86]  Cfr. copia del registro civil de nacimiento  (expediente  de  fondo  y</w:t>
        <w:br/>
        <w:t>eventuales reparaciones y costas, Tomo II, folio 413).</w:t>
        <w:br/>
        <w:br/>
        <w:t>[87]   Cfr.  escrito  de  solicitudes,   argumentos   y   pruebas   de   los</w:t>
        <w:br/>
        <w:t>representantes (expediente de fondo y eventuales reparaciones y cotas,  Tomo</w:t>
        <w:br/>
        <w:t>I,  Folio  307)  y  anexos  a  la  petición   inicial   ante   la   Comisión</w:t>
        <w:br/>
        <w:t>Interamericana (expediente de trámite ante  la  Comisión  Interamericana  de</w:t>
        <w:br/>
        <w:t>Derechos Humanos, folio 1979).</w:t>
        <w:br/>
        <w:br/>
        <w:t>[88]  Cfr. copia del registro civil de  defunción  (expediente  de  fondo  y</w:t>
        <w:br/>
        <w:t>eventuales reparaciones y costas, Tomo III, folio 881).</w:t>
        <w:br/>
        <w:br/>
        <w:t>[89]  Cfr. copia del registro civil de nacimiento  (expediente  de  fondo  y</w:t>
        <w:br/>
        <w:t>eventuales reparaciones y costas, Tomo III, folio 882).</w:t>
        <w:br/>
        <w:br/>
        <w:t>[90]  Cfr. copia del registro civil de matrimonio (expediente de  anexos  al</w:t>
        <w:br/>
        <w:t>escrito de solicitudes, argumentos y pruebas de los  representantes  de  las</w:t>
        <w:br/>
        <w:t>víctimas, folio 2679).</w:t>
        <w:br/>
        <w:br/>
        <w:t>[91]  Cfr. copia del registro civil de nacimiento (expediente de  anexos  al</w:t>
        <w:br/>
        <w:t>escrito de solicitudes, argumentos y pruebas de los  representantes  de  las</w:t>
        <w:br/>
        <w:t>víctimas, folio 2682).</w:t>
        <w:br/>
        <w:br/>
        <w:t>[92]  Cfr. alegatos finales escritos de los representantes de  las  víctimas</w:t>
        <w:br/>
        <w:t>(expediente de fondo y eventuales reparaciones y  costas,  Tomo  III,  folio</w:t>
        <w:br/>
        <w:t>835).</w:t>
        <w:br/>
        <w:br/>
        <w:t>[93]  En el escrito de la Demanda esta víctima aparece como  Néstor  Gavidia</w:t>
        <w:br/>
        <w:t>Velásquez y en  la copia del registro  civil  de  defunción  (expediente  de</w:t>
        <w:br/>
        <w:t>fondo y eventuales reparaciones y costas, Tomo II, folio  403)  como  Néstor</w:t>
        <w:br/>
        <w:t>Luis Gavidida Velásquez, por lo cual  la  Corte  tendrá  por  nombre  de  la</w:t>
        <w:br/>
        <w:t>víctima el de este último documento.</w:t>
        <w:br/>
        <w:br/>
        <w:t>[94]  Cfr. copia del registro civil de  defunción  (expediente  de  fondo  y</w:t>
        <w:br/>
        <w:t>eventuales reparaciones y costas, Tomo II, folio 403).</w:t>
        <w:br/>
        <w:br/>
        <w:t>[95]  Cfr. copia del registro civil de nacimiento  (expediente  de  fondo  y</w:t>
        <w:br/>
        <w:t>eventuales reparaciones y costas Tomo III, folio 946).</w:t>
        <w:br/>
        <w:br/>
        <w:t>[96]  Cfr. copia de ficha de datos filiatorios, expediente de investigación</w:t>
        <w:br/>
        <w:t>del Tribunal Vigésimo noveno de Primera Instancia Penal (expediente de</w:t>
        <w:br/>
        <w:t>anexos de la demanda presentada por la Comisión, Anexo 12, Tomo 3, folio</w:t>
        <w:br/>
        <w:t>759).</w:t>
        <w:br/>
        <w:br/>
        <w:t>[97]  Cfr. reconocimiento médico legal y levantamiento del cadáver de  Pablo</w:t>
        <w:br/>
        <w:t>José Badillo García de 28 de noviembre de 1992 (expediente de anexos  de  la</w:t>
        <w:br/>
        <w:t>demanda presentada por la Comisión, Anexo 12, Tomo 3, folio 759).</w:t>
        <w:br/>
        <w:br/>
        <w:t>[98]  En el escrito de la Demanda esta víctima  aparece  como  Luis  Zuluaga</w:t>
        <w:br/>
        <w:t>Ovelmejía y en la copia del  registro  civil  de  defunción  (expediente  de</w:t>
        <w:br/>
        <w:t>fondo y eventuales reparaciones y costas, Tomo II, folio  414)  aparce  como</w:t>
        <w:br/>
        <w:t>Pedro Luis Zuloaga, por lo cual la Corte tendrá por nombre de la víctima  el</w:t>
        <w:br/>
        <w:t>de este último documento.</w:t>
        <w:br/>
        <w:br/>
        <w:t>[99]  Cfr. copia del registro civil de nacimiento  (expediente  de  fondo  y</w:t>
        <w:br/>
        <w:t>eventuales reparaciones y costas, Tomo II, folio 414).</w:t>
        <w:br/>
        <w:br/>
        <w:t>[100]       Cfr.  escrito  de  solicitudes,  argumentos  y  pruebas  de  los</w:t>
        <w:br/>
        <w:t>representantes (expediente de fondo y eventuales reparaciones y cotas,  Tomo</w:t>
        <w:br/>
        <w:t>I, Folio 308)</w:t>
        <w:br/>
        <w:br/>
        <w:t>[101]       Cfr. copia del  registro  civil  de  nacimiento  (expediente  de</w:t>
        <w:br/>
        <w:t>anexos  al  escrito  de   solicitudes,   argumentos   y   pruebas   de   los</w:t>
        <w:br/>
        <w:t>representantes de las víctimas, folio 2686).</w:t>
        <w:br/>
        <w:br/>
        <w:t>[102]        Cfr.  certificación  de   la   Dirección   de   Identificación,</w:t>
        <w:br/>
        <w:t>(expediente de fondo y eventuales reparaciones y costas,  Tomo  III,   folio</w:t>
        <w:br/>
        <w:t>890).</w:t>
        <w:br/>
        <w:br/>
        <w:t>[103]       Cfr. copia del  registro  civil  de  nacimiento  (expediente  de</w:t>
        <w:br/>
        <w:t>fondo y eventuales reparaciones y costas, Tomo III, folio 891).</w:t>
        <w:br/>
        <w:br/>
        <w:t>[104]       Cfr. copia del  registro  civil  de  nacimiento  (expediente  de</w:t>
        <w:br/>
        <w:t>fondo y eventuales reparaciones y costas, Tomo III, folio 892).</w:t>
        <w:br/>
        <w:br/>
        <w:t>[105]       Cfr. copia del  registro  civil  de  nacimiento  (expediente  de</w:t>
        <w:br/>
        <w:t>fondo y eventuales reparaciones y costas, Tomo III, folio 893).</w:t>
        <w:br/>
        <w:br/>
        <w:t>[106]       Cfr. copia del  registro  civil  de  nacimiento  (expediente  de</w:t>
        <w:br/>
        <w:t>fondo y eventuales reparaciones y costas, Tomo III, folio 894).</w:t>
        <w:br/>
        <w:br/>
        <w:t>[107]       Cfr. copia del  registro  civil  de  nacimiento  (expediente  de</w:t>
        <w:br/>
        <w:t>fondo y eventuales reparaciones y costas, Tomo III, folio 865).</w:t>
        <w:br/>
        <w:br/>
        <w:t>[108]       Cfr. copia del registro civil de defunción (expediente de  fondo</w:t>
        <w:br/>
        <w:t>y eventuales reparaciones y costas, Tomo II, folio 417).</w:t>
        <w:br/>
        <w:br/>
        <w:t>[109]       Cfr.  escrito  de  solicitudes,  argumentos  y  pruebas  de  los</w:t>
        <w:br/>
        <w:t>representantes (expediente de fondo y eventuales reparaciones y cotas,  Tomo</w:t>
        <w:br/>
        <w:t>I,  Folio  309)  y  anexos  a  la  petición   inicial   ante   la   Comisión</w:t>
        <w:br/>
        <w:t>Interamericana (expediente de trámite ante  la  Comisión  Interamericana  de</w:t>
        <w:br/>
        <w:t>Derechos Humanos, Folio 1979).</w:t>
        <w:br/>
        <w:br/>
        <w:t>[110]       Cfr. declaración ante notario público de Mireya Delgado  Rengifo</w:t>
        <w:br/>
        <w:t>y Helive Palmenia Rivas González de 7 de junio de 2006 (expediente de  fondo</w:t>
        <w:br/>
        <w:t>y eventuales reparaciones y costas, Tomo III, folio 902 y 903).</w:t>
        <w:br/>
        <w:br/>
        <w:t>[111]       Cfr. copia del  registro  civil  de  nacimiento  (expediente  de</w:t>
        <w:br/>
        <w:t>anexos  al  escrito  de   solicitudes,   argumentos   y   pruebas   de   los</w:t>
        <w:br/>
        <w:t>representantes de las víctimas, folio 2745).</w:t>
        <w:br/>
        <w:br/>
        <w:t>[112]       Cfr. copia del  registro  civil  de  nacimiento  (expediente  de</w:t>
        <w:br/>
        <w:t>anexos  al  escrito  de  solicitudes,    argumentos   y   pruebas   de   los</w:t>
        <w:br/>
        <w:t>representantes de las víctimas, folio 2744).</w:t>
        <w:br/>
        <w:br/>
        <w:t>[113]       Cfr. copia del  registro  civil  de  nacimiento  (expediente  de</w:t>
        <w:br/>
        <w:t>anexos  al  escrito  de   solicitudes,   argumentos   y   pruebas   de   los</w:t>
        <w:br/>
        <w:t>representantes de las víctimas, folio 2741).</w:t>
        <w:br/>
        <w:br/>
        <w:t>[114]       Cfr.  escrito  de  solicitudes,  argumentos  y  pruebas  de  los</w:t>
        <w:br/>
        <w:t>representantes (expediente de fondo y eventuales reparaciones y cotas,  Tomo</w:t>
        <w:br/>
        <w:t>I, Folio 310).</w:t>
        <w:br/>
        <w:br/>
        <w:t>[115]       Cfr. copia del  registro  civil  de  nacimiento  (expediente  de</w:t>
        <w:br/>
        <w:t>anexos  al  escrito  de   solicitudes,   argumentos   y   pruebas   de   los</w:t>
        <w:br/>
        <w:t>representantes de las víctimas, folio 2698)</w:t>
        <w:br/>
        <w:br/>
        <w:t>[116]       Cfr. certificación de la Dirección de  Dactiloscopia  y  Archivo</w:t>
        <w:br/>
        <w:t>Central (expediente de fondo y eventuales reparaciones y costas,  Tomo  III,</w:t>
        <w:br/>
        <w:t>folio 906).</w:t>
        <w:br/>
        <w:br/>
        <w:t>[117]       Cfr. certificación de la Dirección de  Dactiloscopia  y  Archivo</w:t>
        <w:br/>
        <w:t>Central (expediente de fondo y eventuales reparaciones y costas,  Tomo  III,</w:t>
        <w:br/>
        <w:t>folio 907).</w:t>
        <w:br/>
        <w:br/>
        <w:t>[118]       Cfr. copia del  registro  civil  de  nacimiento  (expediente  de</w:t>
        <w:br/>
        <w:t>fondo y eventuales reparaciones y costas, Tomo III, folio 908).</w:t>
        <w:br/>
        <w:br/>
        <w:t>[119]       Cfr. copia del registro civil de defunción (expediente de  fondo</w:t>
        <w:br/>
        <w:t>y eventuales reparaciones y costas, Tomo II, folio 404).</w:t>
        <w:br/>
        <w:br/>
        <w:t>[120]        Cfr.  Caso  Baldeón  García,  supra  nota  3,  párr. 82;   Caso</w:t>
        <w:br/>
        <w:t>Comunidad indígena Sawhoyamaxa. Sentencia de 29 de marzo de  2006.  Serie  C</w:t>
        <w:br/>
        <w:t>No. 146, párr. 150, y Caso de la Masacre de  Pueblo  Bello,  supra  nota  6,</w:t>
        <w:br/>
        <w:t>párr. 120.</w:t>
        <w:br/>
        <w:br/>
        <w:t>[121] Cfr. Caso Baldeón García,  supra  nota  3,  párr. 82;  Caso  Comunidad</w:t>
        <w:br/>
        <w:t>indígena Sawhoyamaxa, supra nota 120, párr. 150, y Caso de los “Niños de  la</w:t>
        <w:br/>
        <w:t>Calle” (Villagrán Morales y otros). Sentencia de 19 de  noviembre  de  1999.</w:t>
        <w:br/>
        <w:t>Serie C No. 63, párr. 144.</w:t>
        <w:br/>
        <w:br/>
        <w:t>[122] Cfr. Caso Baldeón García.  supra  nota  3,  párr. 82;  Caso  Comunidad</w:t>
        <w:br/>
        <w:t>indígena Sawhoyamaxa, supra nota 120, párr. 150,  y Caso de  la  Masacre  de</w:t>
        <w:br/>
        <w:t>Pueblo Bello, supra nota 6, párr. 119.</w:t>
        <w:br/>
        <w:br/>
        <w:t>[123]        Cfr.  Caso  Baldeón  García,  supra  nota  3,  párr. 83;   Caso</w:t>
        <w:br/>
        <w:t>Comunidad indígena Sawhoyamaxa, supra nota 120, párr.  151,  y  Caso  de  la</w:t>
        <w:br/>
        <w:t>Masacre de Pueblo Bello, supra nota 6, párrs. 120.</w:t>
        <w:br/>
        <w:br/>
        <w:t>[124]       Cfr. Caso Baldeón García, supra nota 3, párr. 83; Caso  Hilaire.</w:t>
        <w:br/>
        <w:t>Excepciones Preliminares. Sentencia de 1 de septiembre de 2001. Serie C  No.</w:t>
        <w:br/>
        <w:t>80, párr. 83, y Caso del Tribunal Constitucional. Competencia. Sentencia  de</w:t>
        <w:br/>
        <w:t>24 de septiembre de 1999. Serie C No. 55, párr. 36.</w:t>
        <w:br/>
        <w:br/>
        <w:t>[125] Cfr. Caso Baldeón García,  supra  nota  3,  párr. 84;  Caso  Comunidad</w:t>
        <w:br/>
        <w:t>indígena Sawhoyamaxa, supra nota 120, párr. 120, y Caso  de  la  Masacre  de</w:t>
        <w:br/>
        <w:t>Pueblo Bello, supra nota 6, párr. 120.</w:t>
        <w:br/>
        <w:br/>
        <w:t>[126] Cfr. Caso Baldeón García,  supra  nota  3,  párr. 85;  Caso  Comunidad</w:t>
        <w:br/>
        <w:t>indígena Sawhoyamaxa, supra nota 120, párr. 153, y Caso  de  la  Masacre  de</w:t>
        <w:br/>
        <w:t>Pueblo Bello, supra nota 6, párr. 120.</w:t>
        <w:br/>
        <w:br/>
        <w:t>[127] Cfr.  Caso  Baldeón  García,  supra  nota  3,  párr. 85;  Caso  de  la</w:t>
        <w:br/>
        <w:t>Comunidad indígena Yakye Axa. Sentencia de 17 de  junio  de  2005.  Serie  C</w:t>
        <w:br/>
        <w:t>No. 125, párr. 161, y Caso “Instituto de Reeducación del  Menor”.  Sentencia</w:t>
        <w:br/>
        <w:t>de 2 de septiembre de 2004. Serie C No. 112, párrs. 152 y 153.</w:t>
        <w:br/>
        <w:br/>
        <w:t>[128]       Cfr. Caso del Centro Penitenciario Regional  Capital  Yare  I  y</w:t>
        <w:br/>
        <w:t>II. Medidas Provisionales. Resolución de la Corte de 30 de  marzo  de  2006,</w:t>
        <w:br/>
        <w:t>considerando décimo quinto, e  Internado  Judicial  de  Monagas  (La  Pica).</w:t>
        <w:br/>
        <w:t>Medidas Provisionales. Resolución de la Corte  de  9  de  febrero  de  2006,</w:t>
        <w:br/>
        <w:t>considerando décimo séptimo.</w:t>
        <w:br/>
        <w:br/>
        <w:t>[129]       Cfr. ECHR, Case of Erdogan and Others v. Turkey. Judgment of  25</w:t>
        <w:br/>
        <w:t>April 2006. Application No. 19807/92, para. 67; ECHR, Case  of  Kakoulli  v.</w:t>
        <w:br/>
        <w:t>Turkey. Judgment of 22 November 2005. Application  No. 38595/97,  para. 107-</w:t>
        <w:br/>
        <w:t>108; ECHR, Case of McCann and Others v. the United Kingdom. Judgment  of  27</w:t>
        <w:br/>
        <w:t>September  1995.  Series  A  No. 324,  paras. 148-150  and  194;  Código  de</w:t>
        <w:br/>
        <w:t>Conducta para Oficiales  de  Seguridad  Pública  adoptado  por  la  Asamblea</w:t>
        <w:br/>
        <w:t>General de las Naciones Unidas, resolución 34/169, del 17  de  diciembre  de</w:t>
        <w:br/>
        <w:t>1979, artículo 3.</w:t>
        <w:br/>
        <w:br/>
        <w:t>[130]       Cfr. Principios Básicos sobre el Empleo de la Fuerza y de  Armas</w:t>
        <w:br/>
        <w:t>de Fuego por  parte  de  Oficiales  Encargados  de  Hacer  Cumplir  la  Ley,</w:t>
        <w:br/>
        <w:t>adoptado por el Octavo Congreso de las Naciones Unidas  para  la  Prevención</w:t>
        <w:br/>
        <w:t>del Delito y el Tratamiento de los Delincuentes,  La  Habana,  Cuba,  27  de</w:t>
        <w:br/>
        <w:t>agosto a 7 de septiembre de 1990, Principio 9.</w:t>
        <w:br/>
        <w:br/>
        <w:t>[131] Cfr. Caso del Centro Penitenciario  Regional  Capital  Yare  I  y  II,</w:t>
        <w:br/>
        <w:t>supra nota 128, considerando décimo quinto; Internado  Judicial  de  Monagas</w:t>
        <w:br/>
        <w:t>(La Pica), supra  nota  128,  considerando  décimo  séptimo,  y  Caso  Neira</w:t>
        <w:br/>
        <w:t>Alegría y otros. Sentencia  de  19  de  enero  de  1995.  Serie  C  No.  20,</w:t>
        <w:br/>
        <w:t>párr. 75.</w:t>
        <w:br/>
        <w:br/>
        <w:t>[132]       Cfr. Principios Básicos sobre el Empleo de la Fuerza y de  Armas</w:t>
        <w:br/>
        <w:t>de Fuego por los Funcionarios Encargados de  Hacer  Cumplir  la  Ley,  supra</w:t>
        <w:br/>
        <w:t>nota 130, Principio 11.</w:t>
        <w:br/>
        <w:br/>
        <w:t>[133]       Cfr. Caso  del  Caracazo.  Reparaciones  (art.  63.1  Convención</w:t>
        <w:br/>
        <w:t>Americana sobre Derechos Humanos). Sentencia de 29 de agosto de 2002.  Serie</w:t>
        <w:br/>
        <w:t>C No. 95, párr. 127.</w:t>
        <w:br/>
        <w:br/>
        <w:t>[134]       Cfr. ECHR, Case of Erdogan and  Others  v.  Turkey,  supra  nota</w:t>
        <w:br/>
        <w:t>129, para. 68; ECHR, Case of Kakoulli v. Turkey, supra nota 129,  para. 109-</w:t>
        <w:br/>
        <w:t>110; ECHR, Case of Kilic v. Turkey. Judgment of 28 March  2000.  Application</w:t>
        <w:br/>
        <w:t>No. 22492/93, para. 62.</w:t>
        <w:br/>
        <w:br/>
        <w:t>[135] Cfr. Caso Baldeón García, supra nota 3, párr. 92; Caso de  la  Masacre</w:t>
        <w:br/>
        <w:t>de Pueblo Bello,  supra  nota  6,  párr.  143  y  Caso  de  la  “Masacre  de</w:t>
        <w:br/>
        <w:t>Mapiripán”, supra nota 7, párr. 219. En el mismo sentido,  cfr.  ECHR,  Case</w:t>
        <w:br/>
        <w:t>of Erdogan and Others v. Turkey, supra nota 129,  paras. 88-89;  ECHR,  Case</w:t>
        <w:br/>
        <w:t>of Kakoulli v.  Turkey.  supra  nota  129,  paras. 122-123;  ECHR,  Case  of</w:t>
        <w:br/>
        <w:t>Nachova and others v. Bulgaria [GC]. Judgment of 6  July  2005.  Application</w:t>
        <w:br/>
        <w:t>Nos. 43577/98 and 43579/98, paras. 111-112.</w:t>
        <w:br/>
        <w:br/>
        <w:t>[136]       Cfr. ECHR, Case of Erdogan and  Others  v.  Turkey,  supra  nota</w:t>
        <w:br/>
        <w:t>129,  paras. 89;  ECHR,  Case  of  Kakoulli  v.  Turkey,  supra  nota   129,</w:t>
        <w:br/>
        <w:t>paras. 123; ECHR, Case of Hugh Jordan v. the United Kingdom. Judgment  of  4</w:t>
        <w:br/>
        <w:t>May 2001. Application No. 24746/94, para. 107-108.</w:t>
        <w:br/>
        <w:br/>
        <w:t>[137] Cfr. Caso Durand y Ugarte. Sentencia de 16 de agosto de 2000. Serie  C</w:t>
        <w:br/>
        <w:t>No. 68, párrs. 125 y 126; y ECHR, Case of Nachova  and  others  v.  Bulgaria</w:t>
        <w:br/>
        <w:t>[GC], supra nota 135, para. 112; ECHR, Case of Isayeva v.  Russia.  Judgment</w:t>
        <w:br/>
        <w:t>of 24 February 2005. Application  No. 57950/00,  para. 211;  ECHR,  Case  of</w:t>
        <w:br/>
        <w:t>Kelly and Others v. The United Kingdom. Judgment of 4 May 2001.  Application</w:t>
        <w:br/>
        <w:t>No. 30054/96, para. 95.</w:t>
        <w:br/>
        <w:br/>
        <w:t>[138]        Cfr.  ECHR,  Case  of  Isayeva  v.  Russia,  supra  nota   137,</w:t>
        <w:br/>
        <w:t>para. 214; ECHR, Case of Nachova and Others v.  Bulgaria.  Application  nos.</w:t>
        <w:br/>
        <w:t>43577/98 and 43579/98,  para. 119;  ECHR,  Case  of  McKerr  v.  the  United</w:t>
        <w:br/>
        <w:t>Kingdom. Judgment of 4 May 2001. Application No. 28883/95, para. 115.</w:t>
        <w:br/>
        <w:br/>
        <w:t>[139]       Cfr. ECHR, Case of Erdogan and  Others  v.  Turkey.  supra  nota</w:t>
        <w:br/>
        <w:t>129, para. 68; ECHR, Case of Makaratzis v. Greece. Judgment of  20  December</w:t>
        <w:br/>
        <w:t>2004. Application No. 50385/99, para. 59; ECHR, Case of  McCann  and  Others</w:t>
        <w:br/>
        <w:t>v. United Kingdom. supra nota 129, para. 150.</w:t>
        <w:br/>
        <w:br/>
        <w:t>[140] Cfr. Caso Baldeón García, supra nota 3, párr. 97; Caso de la Masacre</w:t>
        <w:br/>
        <w:t>de Pueblo Bello, supra nota 6, párr. 144,y Caso de la “Masacre de</w:t>
        <w:br/>
        <w:t>Mapiripán”, supra nota 7, párr. 219.</w:t>
        <w:br/>
        <w:br/>
        <w:t>[141]       Cfr.  Caso  de  la  Masacre  de  Pueblo  Bello,  supra  nota  6,</w:t>
        <w:br/>
        <w:t>párr. 119.</w:t>
        <w:br/>
        <w:br/>
        <w:t>[142]       Cfr. ECHR, Case of I.I v Bulgaria.  Judgment  of  9  June  2005.</w:t>
        <w:br/>
        <w:t>Application No. 44082/98, para. 77; ECHR, Case of Poltoratskiy  v.  Ukraine.</w:t>
        <w:br/>
        <w:t>Judgment of 29 April 2003. Application No. 38812/97, para. 148.</w:t>
        <w:br/>
        <w:br/>
        <w:t>[143]       Cfr. Caso López Álvarez. Sentencia de  1  de  febrero  de  2006.</w:t>
        <w:br/>
        <w:t>Serie C No. 141, párr. 105;  Caso  “Instituto  de  Reeducación  del  Menor”,</w:t>
        <w:br/>
        <w:t>supra nota 127, párr. 154, y Caso “Cinco Pensionistas”. Sentencia de  28  de</w:t>
        <w:br/>
        <w:t>febrero de 2003. Serie C No. 98, párr. 116</w:t>
        <w:br/>
        <w:br/>
        <w:t>[144]       Cfr. Caso García Asto  y  Ramírez  Rojas,  Sentencia  de  25  de</w:t>
        <w:br/>
        <w:t>noviembre de  2005.  Serie  C  No.  137,  párr.  221;  Caso  Raxcacó  Reyes.</w:t>
        <w:br/>
        <w:t>Sentencia de 15 de septiembre de 2005. Serie C No. 133,  párr.  95,  y  Caso</w:t>
        <w:br/>
        <w:t>Fermín Ramírez, Sentencia de 20 de junio de 2005. Serie  C  No.  126,  párr.</w:t>
        <w:br/>
        <w:t>118.</w:t>
        <w:br/>
        <w:br/>
        <w:t>[145]       Cfr. CPT/Inf (92) 3 [EN], 2nd General  Report,  13  April  1992,</w:t>
        <w:br/>
        <w:t>para. 43.</w:t>
        <w:br/>
        <w:br/>
        <w:t>[146]       Cfr. ECHR, Case of Kalashnikov v. Russia. Judgment  of  15  July</w:t>
        <w:br/>
        <w:t>2002. Application No. 47095/99, para. 97.</w:t>
        <w:br/>
        <w:br/>
        <w:t>[147]        Cfr.  ECHR,  Case  of  Ostrovar  v.  Moldova.  Judgment  of  13</w:t>
        <w:br/>
        <w:t>September 2005. Application No. 35207/03, para. 82.</w:t>
        <w:br/>
        <w:br/>
        <w:t>[148]       Cfr. ECHR, Case of Peers v. Greece. Judgment of 19  April  2001.</w:t>
        <w:br/>
        <w:t>Application No. 28524/95, para. 70-72.</w:t>
        <w:br/>
        <w:br/>
        <w:t>[149]       Cfr. ECHR, Case of  Karalevicius  v  Lithuania.  Judgment  of  7</w:t>
        <w:br/>
        <w:t>April 2005. Application No. 53254/99, para. 36</w:t>
        <w:br/>
        <w:br/>
        <w:t>[150]       Cfr. CPT/Inf (2001) 16, 11th General Report, para. 29.</w:t>
        <w:br/>
        <w:br/>
        <w:t>[151]       Cfr. ECHR, Case of Mathew v. The  Netherlands.  Judgment  of  29</w:t>
        <w:br/>
        <w:t>September 2005. Application No. 24919/03, para. 199.</w:t>
        <w:br/>
        <w:br/>
        <w:br/>
        <w:t>[152]       Cfr.  Reglas  mínimas  para  el  tratamiento  de  los  reclusos.</w:t>
        <w:br/>
        <w:t>Adoptadas por el Primer Congreso de las  Naciones  Unidas  sobre  Prevención</w:t>
        <w:br/>
        <w:t>del Delito y Tratamiento del Delincuente, celebrado en Ginebra  en  1955,  y</w:t>
        <w:br/>
        <w:t>aprobadas por el Consejo Económico y Social en sus resoluciones 663C  (XXIV)</w:t>
        <w:br/>
        <w:t>de 31 de julio de 1957 y 2076 (LXII) de 13 de mayo de 1977, artículo 32.1.</w:t>
        <w:br/>
        <w:br/>
        <w:br/>
        <w:br/>
        <w:br/>
        <w:t>[153]       Cfr. Reglas mínimas para el tratamiento de los  reclusos,  supra</w:t>
        <w:br/>
        <w:t>nota 152, artículo 31.</w:t>
        <w:br/>
        <w:br/>
        <w:t>[154]       Cfr. Caso García Asto y Ramírez Rojas,  supra  nota  144,  párr.</w:t>
        <w:br/>
        <w:t>221; Caso Raxcacó Reyes, supra nota 144, párr. 95, y  Caso  Fermín  Ramírez,</w:t>
        <w:br/>
        <w:t>supra nota 144, párr. 118.</w:t>
        <w:br/>
        <w:br/>
        <w:t>[155]       Cfr.  Informe  del  Comité  contra  la  Tortura  sobre  Turquía,</w:t>
        <w:br/>
        <w:t>Naciones Unidas, Cuadragésimo octavo Periodo de  Sesiones,  (A/48/44/Add.1),</w:t>
        <w:br/>
        <w:t>1994, párr. 52.</w:t>
        <w:br/>
        <w:br/>
        <w:t>[156]       Declaraciones de Tahís  Peñalver,  Asesora  de  la  Comisión  de</w:t>
        <w:br/>
        <w:t>Política Interior de Diputados e integrante del proyecto  Caballo  de  Troya</w:t>
        <w:br/>
        <w:t>realizado por la firma Topten C.A., a solicitud del Ministerio de  Justicia,</w:t>
        <w:br/>
        <w:t>al Diario El Nacional, "Las mafias carcelarias chocan desde despacho de Min-</w:t>
        <w:br/>
        <w:t>Justicia", 25 de marzo de 1996. Demanda de la Comisión (expediente de  fondo</w:t>
        <w:br/>
        <w:t>y eventuales reparaciones y costas, Tomo I, folio 17).</w:t>
        <w:br/>
        <w:br/>
        <w:t>[157]       Cfr. Cfr. ECHR, Case of Khudoyorov  v.  Russia.  Judgment  of  8</w:t>
        <w:br/>
        <w:t>November  2005,  Application   No. 6847/02,   para. 107;   ECHR,   Case   of</w:t>
        <w:br/>
        <w:t>Karalevicius v Lithuania. supra nota 149, para. 39;  ECHR,  Case  of  I.I  v</w:t>
        <w:br/>
        <w:t>Bulgaria. supra nota 142, para. 73.</w:t>
        <w:br/>
        <w:br/>
        <w:t>[158]       Alegatos finales orales del Estado, audiencia pública del  4  de</w:t>
        <w:br/>
        <w:t>Abril de 2006, supra párr. 26.</w:t>
        <w:br/>
        <w:br/>
        <w:t>[159] Cfr. Caso García Asto y  Ramírez  Rojas  vs.  Perú,  supra  nota  144,</w:t>
        <w:br/>
        <w:t>párr. 226.</w:t>
        <w:br/>
        <w:br/>
        <w:t>[160] Cfr. Caso García Asto y  Ramírez  Rojas  vs.  Perú,  supra  nota  144,</w:t>
        <w:br/>
        <w:t>párr. 227; Caso De la Cruz Flores. Sentencia de 18  de  noviembre  de  2004.</w:t>
        <w:br/>
        <w:t>Serie C No. 115, párr. 122, y Caso Tibi. Sentencia de  7  de  septiembre  de</w:t>
        <w:br/>
        <w:t>2004. Serie C No. 114, párr. 157. En igual sentido, Conjunto  de  Principios</w:t>
        <w:br/>
        <w:t>para la Protección de Todas las Personas  Sometidas  a  Cualquier  Forma  de</w:t>
        <w:br/>
        <w:t>Detención o Prisión, Adoptado por  la  Asamblea  General  en  su  resolución</w:t>
        <w:br/>
        <w:t>43/173, de 9 de diciembre de 1988, Principio 24.</w:t>
        <w:br/>
        <w:br/>
        <w:t>[161]       Cfr. ECHR, Case of Mathew v. The Netherlands,  supra  nota  151,</w:t>
        <w:br/>
        <w:t>para. 187.</w:t>
        <w:br/>
        <w:br/>
        <w:t>[162] Cfr. Caso Baldeón García, supra  nota  3,  párr. 174;  Caso  Comunidad</w:t>
        <w:br/>
        <w:t>indígena Sawhoyamaxa, supra nota 120, párr. 195 , y Caso  Acevedo  Jaramillo</w:t>
        <w:br/>
        <w:t>y otros, supra nota 3, párr. 294.</w:t>
        <w:br/>
        <w:br/>
        <w:t>[163] Cfr. Caso Baldeón García, supra  nota  3,  párr. 175;  Caso  Comunidad</w:t>
        <w:br/>
        <w:t>indígena Sawhoyamaxa, supra nota 120, párr. 196, y Caso Acevedo Jaramillo  y</w:t>
        <w:br/>
        <w:t>otros, supra nota 3, párr. 295.</w:t>
        <w:br/>
        <w:br/>
        <w:t>[164] Cfr. Caso Baldeón García, supra  nota  3,  párr. 176;  Caso  Comunidad</w:t>
        <w:br/>
        <w:t>indígena Sawhoyamaxa, supra nota 120, párr. 197, y Caso Acevedo Jaramillo  y</w:t>
        <w:br/>
        <w:t>otros, supra nota 3, párr. 296.</w:t>
        <w:br/>
        <w:br/>
        <w:t>[165]       Cfr. Caso Baldeón García, supra nota 3,  párr. 176;  Caso  López</w:t>
        <w:br/>
        <w:t>Álvarez, supra nota 143, párr. 182, y Caso  Blanco  Romero  y  otros,  supra</w:t>
        <w:br/>
        <w:t>nota 3, párr. 69.</w:t>
        <w:br/>
        <w:br/>
        <w:t>[166] Cfr. Caso Baldeón García, supra  nota  3,  párr. 175;  Caso  Comunidad</w:t>
        <w:br/>
        <w:t>indígena Sawhoyamaxa, supra nota 120, párr. 197, y Caso Acevedo Jaramillo  y</w:t>
        <w:br/>
        <w:t>otros, supra nota 3, párr. 296.</w:t>
        <w:br/>
        <w:br/>
        <w:t>[167]        Cfr.  Caso  Baldeón  García,  supra  nota  3,  párr. 177;  Caso</w:t>
        <w:br/>
        <w:t>Comunidad indígena Sawhoyamaxa, supra nota 120, párr. 198,  y  Caso  Acevedo</w:t>
        <w:br/>
        <w:t>Jaramillo y otros, supra nota 3, párr. 297.</w:t>
        <w:br/>
        <w:br/>
        <w:t>[168] Cfr. Caso López Álvarez, supra  nota  143,  párr. 203,  y  Caso  Gómez</w:t>
        <w:br/>
        <w:t>Palomino. Sentencia de 22 de noviembre de 2005. Serie C No. 136, párr. 123</w:t>
        <w:br/>
        <w:br/>
        <w:t>[169]        Cfr.  Caso  de  la  Masacre  de  Pueblo  Bello, supra  nota  6,</w:t>
        <w:br/>
        <w:t>párr. 250.</w:t>
        <w:br/>
        <w:br/>
        <w:t>[170]       Cfr..  Caso  Baldeón  García,  supra  nota  3,  párr. 183;  Caso</w:t>
        <w:br/>
        <w:t>Acevedo Jaramillo  y  otros, supra  nota  3,   párr. 301,   y   Caso   López</w:t>
        <w:br/>
        <w:t>Álvarez, supra nota 143, párr. 192.</w:t>
        <w:br/>
        <w:br/>
        <w:t>[171]       Cfr. Decreto 3.628 publicado en la  Gaceta  Oficial  No.  38.174</w:t>
        <w:br/>
        <w:t>del       27       de       abril       de       2005.        Ver        en:</w:t>
        <w:br/>
        <w:t>http://www.tsj.gov.ve/gaceta/Abril/270405/270405-38174-23.html.</w:t>
        <w:br/>
        <w:br/>
        <w:t>[172]       Cfr.  Informe  de  Desarrollo  Humano  2004,  elaborado  por  el</w:t>
        <w:br/>
        <w:t>programa de las Naciones Unidas para el Desarrollo (PNUD).</w:t>
        <w:br/>
        <w:br/>
        <w:t>[173]        Cfr.  Caso  Baldeón  García,  supra  nota  3,  párr. 188;  Caso</w:t>
        <w:br/>
        <w:t>Comunidad indígena Sawhoyamaxa, supra nota 120, párr. 219,  y  Caso  Acevedo</w:t>
        <w:br/>
        <w:t>Jaramillo y otros, supra nota 3, párr. 297.</w:t>
        <w:br/>
        <w:br/>
        <w:t>[174] Cfr. Caso Baldeón García, supra  nota  3,  párr. 189;  Caso  Comunidad</w:t>
        <w:br/>
        <w:t>indígena Sawhoyamaxa, supra nota 120, párr. 220, y Caso Acevedo Jaramillo  y</w:t>
        <w:br/>
        <w:t>otros, supra nota 3, párr. 309.</w:t>
        <w:br/>
        <w:br/>
        <w:t>[175] Cfr. Caso Pueblo Bello, supra nota 6, párr. 257; Caso de las  Hermanas</w:t>
        <w:br/>
        <w:t>Serrano  Cruz,  supra  nota  6,  párr. 159;  Caso  de  los  Hermanos   Gómez</w:t>
        <w:br/>
        <w:t>Paquiyauri. Sentencia de 8 de julio de 2004. Serie C No. 110,  párr. 218,  y</w:t>
        <w:br/>
        <w:t>Caso 19 Comerciantes. Sentencia de 5 de julio de  2004.  Serie  C  No.  109,</w:t>
        <w:br/>
        <w:t>párr. 249.</w:t>
        <w:br/>
        <w:br/>
        <w:t>[176] Cfr. Caso Baldeón García, supra  nota  3,  párr. 193;  Caso  Comunidad</w:t>
        <w:br/>
        <w:t>indígena Sawhoyamaxa, supra nota 120, párr. 228, y Caso  de  la  Masacre  de</w:t>
        <w:br/>
        <w:t>Pueblo Bello, supra nota 6, párr. 264.</w:t>
        <w:br/>
        <w:br/>
        <w:t>[177]       Cfr.. Caso Baldeón García, supra nota 3, párr.  195  ;  Caso  de</w:t>
        <w:br/>
        <w:t>Blanco Romero y otros, supra nota 3, párr. 94, y  Caso  de  la  “Masacre  de</w:t>
        <w:br/>
        <w:t>Mapiripán”, supra nota 7, párr. 237.</w:t>
        <w:br/>
        <w:br/>
        <w:t>[178]       Cfr. Caso Baldeón García, supra nota 3, párr. 195;  Caso  de  la</w:t>
        <w:br/>
        <w:t>Masacre de Pueblo Bello, supra nota 6, párr. 266, y  Caso de  Blanco  Romero</w:t>
        <w:br/>
        <w:t>y otros, supra nota 3, párr. 94</w:t>
        <w:br/>
        <w:br/>
        <w:t>[179]       Cfr.  Caso  de  la  Masacre  de  Pueblo  Bello,  supra  nota  6,</w:t>
        <w:br/>
        <w:t>párr. 268; Caso de la “Masacre de Mapiripán”, supra nota 7, párr. 299;  Caso</w:t>
        <w:br/>
        <w:t>de la Comunidad Moiwana, supra nota 4, párr. 207.</w:t>
        <w:br/>
        <w:br/>
        <w:t>[180]       Cfr. Caso Baldeón García,  supra  nota  3,  párr. 199;  Caso  de</w:t>
        <w:br/>
        <w:t>Blanco Romero y otros, supra nota 3, párr. 97.</w:t>
        <w:br/>
        <w:br/>
        <w:t>[181]       Cfr. Caso Baldeón García, supra nota 3, párr. 199;  Caso  de  la</w:t>
        <w:br/>
        <w:t>Masacre de Pueblo Bello, supra nota 6, párr. 267, y Caso de Blanco Romero  y</w:t>
        <w:br/>
        <w:t>otros, supra nota 3, párr. 97</w:t>
        <w:br/>
        <w:br/>
        <w:t>[182]       Cfr. Caso de la Comunidad Moiwana.  supra  nota  4,  párr.  208;</w:t>
        <w:br/>
        <w:t>Manual de Naciones Unidas sobre la Prevención e  Investigación  Eficaces  de</w:t>
        <w:br/>
        <w:t>Ejecuciones Extralegales, Arbitrarias y Sumarias. U.N.  Doc.  E/ST/CSDHA/.12</w:t>
        <w:br/>
        <w:t>(1991).</w:t>
        <w:br/>
        <w:br/>
        <w:t>[183]       Cfr. Caso Baldeón  García, supra  nota  3,  párr. 201;  Caso  de</w:t>
        <w:br/>
        <w:t>Blanco Romero y otros, supra nota  3   párr. 98;  Caso  Gómez  Palomino  vs.</w:t>
        <w:br/>
        <w:t>Perú, supra nota 168, párr. 140; y Caso de la “Masacre de  Mapiripán”, supra</w:t>
        <w:br/>
        <w:t>nota 7, párr. 304. Caso de la Comunidad Moiwana, supra nota  4,  párr.  206;</w:t>
        <w:br/>
        <w:t>Caso de las Hermanas Serrano Cruz, supra nota 6,  párr.  172;  Caso  de  los</w:t>
        <w:br/>
        <w:t>Hermanos Gómez Paquiyauri, supra nota 175, párr. 175; Caso 19  Comerciantes,</w:t>
        <w:br/>
        <w:t>supra párr. 175, párr. 262; Caso Molina  Theissen.  Reparaciones.  Sentencia</w:t>
        <w:br/>
        <w:t>de 3 de julio de 2004. Serie C No. 108, párrs. 83  a  84;  Caso  Myrna  Mack</w:t>
        <w:br/>
        <w:t>Chang, Sentencia de 25 de noviembre de 2003. Serie C No. 101, párrs.  276  a</w:t>
        <w:br/>
        <w:t>277; Caso Bulacio, Sentencia de 18 de septiembre de 2003. Serie C  No.  100,</w:t>
        <w:br/>
        <w:t>párr. 116; Caso del Caracazo. Reparaciones, supra nota  133,  párr.  119,  y</w:t>
        <w:br/>
        <w:t>Caso Trujillo Oroza. Reparaciones. Sentencia  de  27  de  febrero  de  2002.</w:t>
        <w:br/>
        <w:t>Serie C No. 92, párr. 106.</w:t>
        <w:br/>
        <w:br/>
        <w:t>[184]       Cfr. Caso Raxcacó Reyes, supra nota 144, párr. 134; Caso  Fermín</w:t>
        <w:br/>
        <w:t>Ramírez, supra nota 144, párr. 130;  Caso  Caesar.  Sentencia  11  de  marzo</w:t>
        <w:br/>
        <w:t>2005. Serie C No. 123, párr. 134, y Caso Lori Berenson Mejía.  Sentencia  de</w:t>
        <w:br/>
        <w:t>25 de noviembre de 2004. Serie C No. 119, párr. 241.</w:t>
        <w:br/>
        <w:br/>
        <w:t>[185]       Cfr. Caso  del  Caracazo.  Reparaciones  (art.  63.1  Convención</w:t>
        <w:br/>
        <w:t>Americana sobre Derechos Humanos), supra nota 133.</w:t>
        <w:br/>
        <w:br/>
        <w:t>[186]        Cfr..  Caso  Baldeón  García, supra  nota  3,  párr. 194;  Caso</w:t>
        <w:br/>
        <w:t>Comunidad  indígena  Sawhoyamaxa,  supra  nota  120,  párr.  236,   y   Caso</w:t>
        <w:br/>
        <w:t>Acevedo Jaramillo y otros vs. Perú. , supra nota 3, párr. 313.</w:t>
        <w:br/>
        <w:br/>
        <w:t>[187] Cfr.. Caso Baldeón García, supra nota  3,  párr. 208;  Caso  Comunidad</w:t>
        <w:br/>
        <w:t>indígena Sawhoyamaxa, supra nota 120, párr. 237, y Caso Acevedo Jaramillo  y</w:t>
        <w:br/>
        <w:t>otros vs. Perú, supra nota 3, párr. 315.</w:t>
        <w:br/>
        <w:br/>
        <w:t>[188]        Cfr.  Caso  de  la  “Masacre  de  Mapiripán”,  supra  nota   7,</w:t>
        <w:br/>
        <w:t>párr. 325; Caso Yatama. Sentencia de 23 de junio de 2005. Serie C  No.  127,</w:t>
        <w:br/>
        <w:t>párr. 265, y Caso Carpio Nicolle y otros. Sentencia de 22  de  noviembre  de</w:t>
        <w:br/>
        <w:t>2004. Serie C No. 117, párr. 145.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