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Caso Claude Reyes y otros Vs. Chile</w:t>
        <w:br/>
        <w:br/>
        <w:br/>
        <w:br/>
        <w:t xml:space="preserve">                    Sentencia de 19 de septiembre de 2006</w:t>
        <w:br/>
        <w:t xml:space="preserve">                       (Fondo, Reparaciones y Costas)</w:t>
        <w:br/>
        <w:br/>
        <w:br/>
        <w:br/>
        <w:br/>
        <w:br/>
        <w:t>En el caso Claude Reyes y otros,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jueces*:</w:t>
        <w:br/>
        <w:br/>
        <w:t xml:space="preserve">      Sergio García Ramírez, Presidente;</w:t>
        <w:br/>
        <w:t xml:space="preserve">      Alirio Abreu Burelli, Vicepresidente;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 y</w:t>
        <w:br/>
        <w:t xml:space="preserve">      Diego García-Sayán, Juez;</w:t>
        <w:br/>
        <w:br/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56 y 58 del Reglamento de  la  Corte</w:t>
        <w:br/>
        <w:t>(en adelante “el Reglamento”), dicta la presente Sentencia.</w:t>
        <w:br/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t>1.    El 8 de julio  de  2005,  de  conformidad 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ante la Corte una demanda contra el Estado  de  Chile  (en  adelante</w:t>
        <w:br/>
        <w:t>“el Estado” o “Chile”). Dicha demanda se originó en la denuncia No.  12.108,</w:t>
        <w:br/>
        <w:t>recibida en la Secretaría de la Comisión el 17 de diciembre de 1998.</w:t>
        <w:br/>
        <w:br/>
        <w:t>2.    La Comisión presentó la demanda con el fin de  que  la  Corte  declare</w:t>
        <w:br/>
        <w:t>que el Estado es responsable por la  violación de los  derechos  consagrados</w:t>
        <w:br/>
        <w:t>en los artículos 13 (Libertad de Pensamiento y de Expresión) y  25  (Derecho</w:t>
        <w:br/>
        <w:t>a la Protección Judicial) de la Convención Americana, en  relación  con  las</w:t>
        <w:br/>
        <w:t>obligaciones establecidas  en los artículos 1.1 (Obligación de Respetar  los</w:t>
        <w:br/>
        <w:t xml:space="preserve"> Derechos) y 2 (Deber de Adoptar Disposiciones de Derechos  Interno)  de  la</w:t>
        <w:br/>
        <w:t>misma, en perjuicio de  los  señores  Marcel  Claude  Reyes,  Sebastián  Cox</w:t>
        <w:br/>
        <w:t>Urrejola y Arturo Longton Guerrero.</w:t>
        <w:br/>
        <w:br/>
        <w:t>3.    Los hechos expuestos por la Comisión en la  demanda  habrían  ocurrido</w:t>
        <w:br/>
        <w:t>entre mayo y agosto de 1998 y se refieren a la supuesta negativa del  Estado</w:t>
        <w:br/>
        <w:t>de brindar a los señores Marcel  Claude  Reyes,  Sebastián  Cox  Urrejola  y</w:t>
        <w:br/>
        <w:t>Arturo Longton Guerrero toda la información  que  requerían  del  Comité  de</w:t>
        <w:br/>
        <w:t>Inversiones Extranjeras, en relación con la empresa forestal Trillium  y  el</w:t>
        <w:br/>
        <w:t>Proyecto Río Condor, el  cual  era  un  proyecto  de  deforestación  que  se</w:t>
        <w:br/>
        <w:t>llevaría a cabo en  la  décimo  segunda  región  de  Chile  y  “p[odía]  ser</w:t>
        <w:br/>
        <w:t>perjudicial para el medio ambiente e impedir  el  desarrollo  sostenible  de</w:t>
        <w:br/>
        <w:t>Chile”.  La Comisión indicó que tal  negativa  se  dio  sin  que  el  Estado</w:t>
        <w:br/>
        <w:t>“argumentar[a] una  justificación  válida  de  acuerdo  con  la  legislación</w:t>
        <w:br/>
        <w:t>chilena”, así como a que supuestamente “no [les] otorgó un recurso  judicial</w:t>
        <w:br/>
        <w:t>efectivo  para  impugnar  una  violación  del  derecho  al   acceso   a   la</w:t>
        <w:br/>
        <w:t>información” y “no [les] aseguró los derechos al acceso a la  información  y</w:t>
        <w:br/>
        <w:t>a  la  protección  judicial,  ni  contó  con  mecanismos  establecidos  para</w:t>
        <w:br/>
        <w:t>garantizar el derecho al acceso a la información pública”.</w:t>
        <w:br/>
        <w:br/>
        <w:t>4.    Asimismo, la Comisión solicitó a la Corte que, de conformidad  con  el</w:t>
        <w:br/>
        <w:t>artículo 63.1 de la Convención, ordene al  Estado  que  adopte  determinadas</w:t>
        <w:br/>
        <w:t>medidas de reparación indicadas en la  demanda.   Por  último,  solicitó  al</w:t>
        <w:br/>
        <w:t>Tribunal que ordene al Estado el pago de las costas y  gastos  generados  en</w:t>
        <w:br/>
        <w:t>la tramitación del caso en la jurisdicción interna y ante  los  órganos  del</w:t>
        <w:br/>
        <w:t>Sistema Interamericano.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t>5.          La Corte es competente para conocer el  presente  caso,  en  los</w:t>
        <w:br/>
        <w:t>términos de los artículos 62 y 63.1 de la Convención, en razón de que  Chile</w:t>
        <w:br/>
        <w:t>es Estado Parte en la Convención Americana desde el 21 de agosto de  1990  y</w:t>
        <w:br/>
        <w:t>reconoció la competencia contenciosa de la Corte ese mismo día.</w:t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br/>
        <w:t>6.    El 17 de diciembre  de  1998  un  grupo  integrado  por:  la  “Clínica</w:t>
        <w:br/>
        <w:t>Jurídica  de  Interés  Público”  de  la  Universidad  Diego  Portales,   las</w:t>
        <w:br/>
        <w:t>organizaciones chilenas “ONG FORJA”, “Fundación Terram”  y  la  “Corporación</w:t>
        <w:br/>
        <w:t>la Morada”; el Instituto de Defensa Legal  del  Perú;  la  “Fundación  Poder</w:t>
        <w:br/>
        <w:t>Ciudadano”  y  la  Asociación  para  los  Derechos  Civiles  (organizaciones</w:t>
        <w:br/>
        <w:t>argentinas); y los señores Baldo Prokurica Prokurica, Oswaldo Palma  Flores,</w:t>
        <w:br/>
        <w:t>Guido Girardo Lavín y Leopoldo Sánchez  Grunert,  presentaron  una  denuncia</w:t>
        <w:br/>
        <w:t>ante la Comisión.</w:t>
        <w:br/>
        <w:br/>
        <w:t>7.    El 10 de octubre de 2003 la  Comisión  aprobó  el  Informe  Nº  60/03,</w:t>
        <w:br/>
        <w:t>mediante el cual declaró admisible el caso. El 11 de noviembre  de  2003  la</w:t>
        <w:br/>
        <w:t>Comisión se puso a disposición de las partes con el objeto de  alcanzar  una</w:t>
        <w:br/>
        <w:t>solución amistosa.</w:t>
        <w:br/>
        <w:br/>
        <w:t>8.    El 7 de marzo de 2005 la Comisión, de conformidad con el  artículo  50</w:t>
        <w:br/>
        <w:t>de la Convención, aprobó el Informe Nº 31/05, en el cual concluyó que  Chile</w:t>
        <w:br/>
        <w:t>“violó los derechos de Marcel Claude Reyes, Sebastián Cox Urrejola y  Arturo</w:t>
        <w:br/>
        <w:t>Longton  Guerrero  al  acceso  a  información  pública  y  a  la  protección</w:t>
        <w:br/>
        <w:t>judicial, previstos en los artículos 13 y 25  de  la  Convención  Americana,</w:t>
        <w:br/>
        <w:t>respectivamente, en relación con los artículos 1(1) y 2  de  la  Convención,</w:t>
        <w:br/>
        <w:t>al  haberles  negado  el  acceso  a  información  en  poder  del  Comité  de</w:t>
        <w:br/>
        <w:t>Inversiones Extranjeras de Chile y al no otorgarles  acceso  a  la  justicia</w:t>
        <w:br/>
        <w:t>chilena para impugnar esa denegación”.  Asimismo, la Comisión  recomendó  al</w:t>
        <w:br/>
        <w:t>Estado “[d]ivulgar públicamente la información solicitada por Marcel  Claude</w:t>
        <w:br/>
        <w:t>Reyes, Sebastián Cox Urrejola y Arturo  Longton  Guerrero”;  “[o]torgar  una</w:t>
        <w:br/>
        <w:t>reparación adecuada a Marcel Claude Reyes, Sebastián Cox Urrejola  y  Arturo</w:t>
        <w:br/>
        <w:t>Longton Guerrero por la violación de sus derechos,  incluido  el  suministro</w:t>
        <w:br/>
        <w:t>de la información solicitada”; y “[a]justar el orden  jurídico  interno,  de</w:t>
        <w:br/>
        <w:t>conformidad con el artículo 13 de la Convención Americana  con  respecto  al</w:t>
        <w:br/>
        <w:t>acceso a la información y adoptar las medidas necesarias  para  la  creación</w:t>
        <w:br/>
        <w:t>de prácticas  y  mecanismos  que  garanticen  a  los  habitantes  un  acceso</w:t>
        <w:br/>
        <w:t>efectivo a la información pública o a la información de interés  colectivo”.</w:t>
        <w:br/>
        <w:br/>
        <w:br/>
        <w:t>9.    El 8 de abril de 2005 la Comisión transmitió el  referido  informe  al</w:t>
        <w:br/>
        <w:t>Estado y le otorgó un plazo de dos meses, contado a partir de  la  fecha  de</w:t>
        <w:br/>
        <w:t>su transmisión, para que informara sobre las medidas adoptadas  con  el  fin</w:t>
        <w:br/>
        <w:t>de cumplir las recomendaciones formuladas.</w:t>
        <w:br/>
        <w:br/>
        <w:t>10.   El 8 de abril de 2005 la Comisión  comunicó  a  los  peticionarios  la</w:t>
        <w:br/>
        <w:t>aprobación del informe de conformidad con el artículo 50 de la Convención  y</w:t>
        <w:br/>
        <w:t>les solicitó que presentaran, dentro del plazo de un mes, su posición  sobre</w:t>
        <w:br/>
        <w:t>el sometimiento del caso a la Corte.</w:t>
        <w:br/>
        <w:br/>
        <w:t>11.   El 8 de junio de 2005 el Estado pidió una prórroga para informar a  la</w:t>
        <w:br/>
        <w:t>Comisión del cumplimiento de las recomendaciones contenidas  en  el  Informe</w:t>
        <w:br/>
        <w:t>Nº 31/05. La Comisión concedió la prórroga solicitada hasta el 23  de  junio</w:t>
        <w:br/>
        <w:t>de 2005.</w:t>
        <w:br/>
        <w:br/>
        <w:t>12.   El 15 de junio de 2005 los peticionarios presentaron una  comunicación</w:t>
        <w:br/>
        <w:t>a la Comisión, mediante la cual declararon su interés  en  que  la  Comisión</w:t>
        <w:br/>
        <w:t>remitiera el caso a la Corte.</w:t>
        <w:br/>
        <w:br/>
        <w:t>13.   El 30 de junio de 2005 el Estado remitió un informe a la  Comisión  en</w:t>
        <w:br/>
        <w:t>respuesta a las recomendaciones del Informe de fondo Nº 31/05  (supra  párr.</w:t>
        <w:br/>
        <w:t>8). Chile remitió copia de los  contratos  de  inversión  extranjera  y  los</w:t>
        <w:br/>
        <w:t>contratos de cesión relativos al Proyecto “Río Condor”.</w:t>
        <w:br/>
        <w:br/>
        <w:t>14.         El 1 de julio de  2005  “entendiendo  que  el  Estado  no  había</w:t>
        <w:br/>
        <w:t>adoptado sus recomendaciones en forma satisfactoria”,  la  Comisión  decidió</w:t>
        <w:br/>
        <w:t>someter el presente caso a la jurisdicción de la Corte.</w:t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br/>
        <w:t>15.   El 8 de julio de 2005 la Comisión Interamericana presentó  la  demanda</w:t>
        <w:br/>
        <w:t>ante la Corte,  a  la  cual  adjuntó  prueba  documental  y  ofreció  prueba</w:t>
        <w:br/>
        <w:t>testimonial y pericial.  La Comisión designó como delegados  a  los  señores</w:t>
        <w:br/>
        <w:t>Evelio Fernández Arévalo, Santiago A.  Canton  y  Eduardo  Bertoni,  y  como</w:t>
        <w:br/>
        <w:t>asesores legales a los señores Ariel Dulitzky y Victor  H.  Madrigal-Borloz,</w:t>
        <w:br/>
        <w:t>y a las señoras Christina M. Cerna y Lisa Yagel (infra párr. 22).</w:t>
        <w:br/>
        <w:br/>
        <w:t>16.         El 4 de agosto de 2005 la Secretaría de la  Corte  (en  adelante</w:t>
        <w:br/>
        <w:t>“la Secretaría”), previo examen preliminar de la demanda  realizado  por  el</w:t>
        <w:br/>
        <w:t>Presidente de la Corte (en adelante “el Presidente”), de conformidad con  lo</w:t>
        <w:br/>
        <w:t>dispuesto en el artículo 35.1.b) del Reglamento, la notificó junto  con  sus</w:t>
        <w:br/>
        <w:t>anexos al Estado y le informó sobre el plazo para contestarla y designar  su</w:t>
        <w:br/>
        <w:t>representación en el proceso.</w:t>
        <w:br/>
        <w:br/>
        <w:t>17.   El 4 de agosto de 2005 la Secretaría, de conformidad con lo  dispuesto</w:t>
        <w:br/>
        <w:t>en el artículo 35.1.e) del Reglamento, notificó la demanda y sus  anexos  al</w:t>
        <w:br/>
        <w:t>señor Juan Pablo Olmedo Bustos, representante de las presuntas víctimas  (en</w:t>
        <w:br/>
        <w:t>adelante “el representante”),  y  le  indicó  el  plazo  para  presentar  su</w:t>
        <w:br/>
        <w:t>escrito de solicitudes,  argumentos  y  pruebas  (en  adelante  “escrito  de</w:t>
        <w:br/>
        <w:t>solicitudes y argumentos”).</w:t>
        <w:br/>
        <w:br/>
        <w:t>18.   El 5 de agosto de 2005 el Estado  presentó  un  escrito,  mediante  el</w:t>
        <w:br/>
        <w:t>cual solicitó a la Corte que  “consider[e]  el  contenido  de  lo  informado</w:t>
        <w:br/>
        <w:t>oportunamente a la Comisión Interamericana[,  mediante  escritos  de  30  de</w:t>
        <w:br/>
        <w:t>junio de 2005 (supra párr. 13) y 8 de  julio  de  2005[1]],  al  momento  de</w:t>
        <w:br/>
        <w:t>practicar el examen preliminar de los fundamentos de derecho de la  demanda,</w:t>
        <w:br/>
        <w:t>para los efectos pertinentes de admisibilidad”.</w:t>
        <w:br/>
        <w:br/>
        <w:t>19.         El 23 de agosto de 2005 el  Estado  designó  como  Agente  a  la</w:t>
        <w:br/>
        <w:t>señora Amira Esquivel Utreras y como Agente alterno al  señor  Miguel  Ángel</w:t>
        <w:br/>
        <w:t>González Morales.</w:t>
        <w:br/>
        <w:br/>
        <w:t>20.   El 28 de septiembre de 2005 el representante  remitió  su  escrito  de</w:t>
        <w:br/>
        <w:t>solicitudes y  argumentos, al cual  acompañó  prueba  documental  y  ofreció</w:t>
        <w:br/>
        <w:t>prueba pericial. El 3 de octubre  de  2005  presentó  los  anexos  de  dicho</w:t>
        <w:br/>
        <w:t>escrito.</w:t>
        <w:br/>
        <w:br/>
        <w:t>21.    El  2  de  diciembre  de  2005  el  Estado  presentó  el  escrito  de</w:t>
        <w:br/>
        <w:t>contestación a la demanda  y  observaciones  al  escrito  de  solicitudes  y</w:t>
        <w:br/>
        <w:t>argumentos,  al  cual  acompañó  prueba   documental,   y   ofreció   prueba</w:t>
        <w:br/>
        <w:t>testimonial y pericial. El 23 de diciembre de 2005  presentó  los  anexos  a</w:t>
        <w:br/>
        <w:t>dicho escrito.</w:t>
        <w:br/>
        <w:br/>
        <w:t>22.   El 17  de  enero  de  2006  la  Comisión  presentó  una  comunicación,</w:t>
        <w:br/>
        <w:t>mediante la cual acreditó a la señora Lilly  Ching  como  asesora  legal  en</w:t>
        <w:br/>
        <w:t>este caso, en sustitución de la señora Lisa Yagel (supra párr. 15).</w:t>
        <w:br/>
        <w:br/>
        <w:t>23.   El 7 de febrero de 2006 la Corte emitió una  Resolución,  mediante  la</w:t>
        <w:br/>
        <w:t>cual requirió que los señores  Sebastián  Cox  Urrejola  y  Arturo  Longton,</w:t>
        <w:br/>
        <w:t>propuestos como testigos por  la  Comisión,  y  los  señores  Andrés  Emilio</w:t>
        <w:br/>
        <w:t>Culagovski Rubio y Liliana Guiditta Macchiavelo Martini, propuestos  por  el</w:t>
        <w:br/>
        <w:t>Estado, prestaran sus testimonios a través de  declaraciones  rendidas  ante</w:t>
        <w:br/>
        <w:t>fedatario público  (affidávits).  También  requirió  que  el  señor  Claudio</w:t>
        <w:br/>
        <w:t>Francisco Castillo Castillo, propuesto como perito  por  el  Estado,  y  los</w:t>
        <w:br/>
        <w:t>señores Tomás Vial del  Solar,  Miguel  Ángel  Fernández,  y  Davor  Harasic</w:t>
        <w:br/>
        <w:t>Yaksic,  propuestos  como  peritos  por  el  representante,  prestaran   sus</w:t>
        <w:br/>
        <w:t>dictámenes  a  través  de  declaraciones  rendidas  ante  fedatario  público</w:t>
        <w:br/>
        <w:t>(affidávits).  Asimismo, en dicha Resolución la Corte convocó a  las  partes</w:t>
        <w:br/>
        <w:t>a una audiencia pública que se celebraría en  la  ciudad  de  Buenos  Aires,</w:t>
        <w:br/>
        <w:t>Argentina, en la Sala de Audiencias de la Corte Suprema  de  la  Nación,  el</w:t>
        <w:br/>
        <w:t>día 3 de abril de 2006, para escuchar sus alegatos finales orales  sobre  el</w:t>
        <w:br/>
        <w:t>fondo y las eventuales reparaciones y costas,  así  como  las  declaraciones</w:t>
        <w:br/>
        <w:t>testimoniales del señor Marcel Claude Reyes, propuesto por la Comisión,  del</w:t>
        <w:br/>
        <w:t>señor Eduardo Jorge Moyano Berríos, propuesto por el Estado,  así  como  los</w:t>
        <w:br/>
        <w:t>dictámenes  periciales  del  señor  Ernesto  Villanueva,  propuesto  por  la</w:t>
        <w:br/>
        <w:t>Comisión, del señor Roberto Mayorga Lorca, propuesto  por  el  representante</w:t>
        <w:br/>
        <w:t>de las presuntas víctimas, y del señor Carlos Carmona  Santander,  propuesto</w:t>
        <w:br/>
        <w:t>por el Estado. Además, en esta Resolución la Corte informó a las partes  que</w:t>
        <w:br/>
        <w:t>contaban con plazo hasta el 18 de mayo de 2006 para presentar  sus  alegatos</w:t>
        <w:br/>
        <w:t>finales escritos en relación con el fondo y las  eventuales  reparaciones  y</w:t>
        <w:br/>
        <w:t>costas. Asimismo, el Tribunal admitió el ofrecimiento  probatorio  realizado</w:t>
        <w:br/>
        <w:t>por el representante  en  su  escrito  de  solicitudes  y  argumentos  y  le</w:t>
        <w:br/>
        <w:t>requirió que presentara directamente las pruebas al Tribunal.</w:t>
        <w:br/>
        <w:br/>
        <w:t>24.   El 17 de febrero de 2006 el representante  de las  presuntas  víctimas</w:t>
        <w:br/>
        <w:t>y el Estado solicitaron  una  prórroga  para  presentar  los  testimonios  y</w:t>
        <w:br/>
        <w:t>peritajes a  través  de  declaración  rendida  ante  fedatario  público,  en</w:t>
        <w:br/>
        <w:t>respuesta a lo requerido en la Resolución emitida por el Tribunal  el  7  de</w:t>
        <w:br/>
        <w:t>febrero de 2006. El Presidente de la Corte concedió la  prórroga  solicitada</w:t>
        <w:br/>
        <w:t>hasta el 10 de  marzo  de  2006  para  el  representante,  el  Estado  y  la</w:t>
        <w:br/>
        <w:t>Comisión.</w:t>
        <w:br/>
        <w:br/>
        <w:t>25.   El 17 de febrero de 2006 la Asociación por los Derechos Civiles  (ADC)</w:t>
        <w:br/>
        <w:t>presentó  un  escrito  mediante  el  cual  solicitó,  “en  su  carácter   de</w:t>
        <w:br/>
        <w:t>denunciante original ante la Comisión”, que se  autorizara  su  intervención</w:t>
        <w:br/>
        <w:t>en la audiencia pública  que se realizaría el día 3 de  abril  de  2006.  La</w:t>
        <w:br/>
        <w:t>Secretaría, siguiendo  instrucciones  del  Presidente,  admitió  el  escrito</w:t>
        <w:br/>
        <w:t>presentado por la ADC en calidad de amicus curiae. En cuanto a la  solicitud</w:t>
        <w:br/>
        <w:t>de participar en  la  audiencia  pública  no  se  admitió  la  participación</w:t>
        <w:br/>
        <w:t>directa de la referida asociación; y se  le  indicó  que  solamente  podrían</w:t>
        <w:br/>
        <w:t>exponer sus alegatos las personas acreditadas por las partes en el caso.</w:t>
        <w:br/>
        <w:br/>
        <w:t>26.   El 10  de  marzo  de  2006  la  Comisión  Interamericana  remitió  las</w:t>
        <w:br/>
        <w:t>declaraciones escritas de los testigos Luis Sebastián Cox Urrejola y  Arturo</w:t>
        <w:br/>
        <w:t>Longton Guerrero. Ese mismo día Chile remitió las declaraciones escritas  de</w:t>
        <w:br/>
        <w:t>los testigos Andrés Emilio Culagovski Rubio y Liliana  Guiditta  Macchiavelo</w:t>
        <w:br/>
        <w:t>Martini y del perito Claudio Francisco Castillo Castillo (supra párrs. 23  y</w:t>
        <w:br/>
        <w:t>24).</w:t>
        <w:br/>
        <w:br/>
        <w:t>27.   El 13 de marzo de 2006 el  representante  de  las  presuntas  víctimas</w:t>
        <w:br/>
        <w:t>remitió las declaraciones escritas de los peritos Tomás Vial  Solar,  Miguel</w:t>
        <w:br/>
        <w:t>Ángel Fernández González y Davor Harasic Yaksic  (supra  párrs.  23  y  24).</w:t>
        <w:br/>
        <w:t>Asimismo,  el  representante  remitió  cuatro   documentos   “emanados   con</w:t>
        <w:br/>
        <w:t>posterioridad  a  la  presentación  del  escrito  de   solicitudes”,   “[d]e</w:t>
        <w:br/>
        <w:t>conformidad [con e]l artículo 44.3 del Reglamento” de la Corte.  Además,  en</w:t>
        <w:br/>
        <w:t>relación con la prueba cuya presentación fue admitida por  la  Corte  en  su</w:t>
        <w:br/>
        <w:t>Resolución de 7 de febrero  de  2006  (supra  párr.  23),  el  representante</w:t>
        <w:br/>
        <w:t>remitió un informe emitido el 15 de febrero de 2006 por el Presidente de  la</w:t>
        <w:br/>
        <w:t>Comisión Asesora Presidencial para la Protección  de  los  Derechos  de  las</w:t>
        <w:br/>
        <w:t>Personas, así como también presentó una comunicación del Director  Ejecutivo</w:t>
        <w:br/>
        <w:t>del Open Society Justice Iniciative de 20 de febrero de  2006,  mediante  la</w:t>
        <w:br/>
        <w:t>cual remitió un informe titulado “Transparency  and  Silence.  A  Survey  of</w:t>
        <w:br/>
        <w:t>Access  to  Information  Laws  and   Practices   in   Fourteen   Countries”.</w:t>
        <w:br/>
        <w:t>Finalmente, el representante remitió dos escritos presentados en calidad  de</w:t>
        <w:br/>
        <w:t>amici curiae por el Centro de Estudios  Legales  y  Sociales  (CELS)  y  los</w:t>
        <w:br/>
        <w:t>señores Damián M. Loreti y Analía Elíades (profesores de la Cátedra  UNESCO-</w:t>
        <w:br/>
        <w:t>Libertad de Expresión de la Facultad de Periodismo y Comunicación Social  de</w:t>
        <w:br/>
        <w:t>la Universidad Nacional de La Plata), y por el señor Gastón  Gómez  Bernales</w:t>
        <w:br/>
        <w:t>(profesor de la Facultad de Derecho de la Universidad Diego  Portales).   El</w:t>
        <w:br/>
        <w:t>referido  escrito  del  representante  y   sus   anexos   fueron   recibidos</w:t>
        <w:br/>
        <w:t>primeramente mediante correo electrónico de 10 de marzo de 2006.</w:t>
        <w:br/>
        <w:br/>
        <w:t>28.   El 27 de marzo de 2006 la Comisión presentó un  escrito,  mediante  el</w:t>
        <w:br/>
        <w:t>cual indicó que “no t[enía]  observaciones  que  formular”  respecto  de  la</w:t>
        <w:br/>
        <w:t>prueba presentada por el representante  de  las  presuntas  víctimas  (supra</w:t>
        <w:br/>
        <w:t>párr.  27),  y  señaló  que  “no  t[enía]  observaciones  respecto  de   las</w:t>
        <w:br/>
        <w:t>declaraciones juradas presentadas ante el  Tribunal”  por  el  Estado  y  el</w:t>
        <w:br/>
        <w:t>representante (supra párrs. 26 y 27).</w:t>
        <w:br/>
        <w:br/>
        <w:t>29.   El 28  de  marzo  de  2006  Chile  remitió  sus  observaciones  a  los</w:t>
        <w:br/>
        <w:t>testimonios y peritajes escritos  presentados  por  la  Comisión  y  por  el</w:t>
        <w:br/>
        <w:t>representante de las presuntas víctimas (supra párrs. 26 y 27), así  como  a</w:t>
        <w:br/>
        <w:t>la prueba remitida por el referido representante (supra párr. 27).</w:t>
        <w:br/>
        <w:br/>
        <w:t>30.   El 28 de  marzo  de  2006  las  organizaciones  Open  Society  Justice</w:t>
        <w:br/>
        <w:t>Initiative, ARTICLE 19, Instituto Prensa y Sociedad, Access  Info  Europe  y</w:t>
        <w:br/>
        <w:t>Libertad de Información México presentaron un escrito en  calidad  de  amici</w:t>
        <w:br/>
        <w:t>curiae.</w:t>
        <w:br/>
        <w:br/>
        <w:t>31.   El 31 de marzo de  2006  el  Impact  Litigation  Project  de  American</w:t>
        <w:br/>
        <w:t>University Washington College of  Law  remitió  un  escrito  en  calidad  de</w:t>
        <w:br/>
        <w:t>amicus curiae.</w:t>
        <w:br/>
        <w:br/>
        <w:t>32.   El 3 de abril de 2006 se celebró la audiencia pública  sobre  fondo  y</w:t>
        <w:br/>
        <w:t>eventuales reparaciones y costas,  en  la  cual  comparecieron:  a)  por  la</w:t>
        <w:br/>
        <w:t>Comisión Interamericana: Evelio Fernández y Santiago A.  Canton,  delegados;</w:t>
        <w:br/>
        <w:t>Víctor H. Madrigal Borloz, Lilly Ching, Juan Pablo Albán,  Carlos  Zelada  e</w:t>
        <w:br/>
        <w:t>Ignacio Álvarez, asesores legales;  b)  por  las  presuntas  víctimas:  Juan</w:t>
        <w:br/>
        <w:t>Pablo Olmedo, representante, y Ciro Colombana López, asesor;  y  c)  por  el</w:t>
        <w:br/>
        <w:t>Estado de Chile: Amira Esquivel Utreras, Agente; Patricio Aguirre  Vacchieri</w:t>
        <w:br/>
        <w:t>y  Virginia  Barahona  Lara.   Asimismo  comparecieron  ante  la  Corte  los</w:t>
        <w:br/>
        <w:t>testigos y peritos propuestos por las partes (supra párr. 23 e  infra  párr.</w:t>
        <w:br/>
        <w:t>49).  Además, la Corte escuchó los  alegatos  finales  de  la  Comisión,  el</w:t>
        <w:br/>
        <w:t>representante  y  el  Estado.   Al  finalizar  la  audiencia   pública,   el</w:t>
        <w:br/>
        <w:t>representante  presentó   un   ejemplar   del   libro   titulado   “Derechos</w:t>
        <w:br/>
        <w:t>fundamentales y recursos de protección”  de  Gastón  Gómez  Bernales  (infra</w:t>
        <w:br/>
        <w:t>párr. 40).</w:t>
        <w:br/>
        <w:br/>
        <w:t>33.   El 18 de mayo de  2006  la  Comisión  presentó  sus  alegatos  finales</w:t>
        <w:br/>
        <w:t>escritos sobre el fondo y las eventuales reparaciones y  costas.  El  23  de</w:t>
        <w:br/>
        <w:t>mayo de 2006 la Comisión presentó un anexo a dichos alegatos finales.</w:t>
        <w:br/>
        <w:br/>
        <w:t>34.   El 18 de mayo de 2006  el  representante  de  las  presuntas  víctimas</w:t>
        <w:br/>
        <w:t>remitió sus alegatos finales escritos, a los que  adjuntó  documentación  al</w:t>
        <w:br/>
        <w:t>día siguiente. El representante presentó un “resumen de los  resultados  del</w:t>
        <w:br/>
        <w:t>Estudio de Monitoreo de Acceso a la Información llevada a cabo [por el  Open</w:t>
        <w:br/>
        <w:t>Society Justice Iniciative] en [el] 2004, en 14 países,  incluyendo  Chile”,</w:t>
        <w:br/>
        <w:t>en relación con la prueba cuya presentación fue admitida por la Corte en  su</w:t>
        <w:br/>
        <w:t>Resolución de 7 de febrero de 2006 (supra párr. 23).</w:t>
        <w:br/>
        <w:br/>
        <w:t>35.   El 19 de  mayo  de  2006  el  Estado  presentó  sus  alegatos  finales</w:t>
        <w:br/>
        <w:t>escritos.</w:t>
        <w:br/>
        <w:br/>
        <w:t>36.   El 23 de mayo de 2006 el Director Ejecutivo del Open  Society  Justice</w:t>
        <w:br/>
        <w:t>Iniciative presentó el mismo documento que había remitido  el  representante</w:t>
        <w:br/>
        <w:t>de las presuntas víctimas el 18 de mayo de 2006 (supra párr. 34).</w:t>
        <w:br/>
        <w:br/>
        <w:t>37.   El 24 de mayo de 2006 el representante remitió la  versión  en  idioma</w:t>
        <w:br/>
        <w:t>español del informe del Open Society Justice  Iniciative,  cuya  versión  en</w:t>
        <w:br/>
        <w:t>inglés había sido presentada el 13 de marzo de 2006 (supra párr. 27).</w:t>
        <w:br/>
        <w:br/>
        <w:t>38.   El 5 de junio  de  2006  el  Centro  por  la  Justicia  y  el  Derecho</w:t>
        <w:br/>
        <w:t>Internacional (CEJIL) presentó un escrito en calidad de amicus curiae.</w:t>
        <w:br/>
        <w:br/>
        <w:t>39.         El 5 de julio de 2006  la  Secretaría,  siguiendo  instrucciones</w:t>
        <w:br/>
        <w:t>del Presidente, solicitó a la Comisión  Interamericana  y  al  representante</w:t>
        <w:br/>
        <w:t>que  presentaran,  a  más  tardar  el  14  de  julio  de  2006,  determinada</w:t>
        <w:br/>
        <w:t>documentación como prueba para mejor resolver.</w:t>
        <w:br/>
        <w:br/>
        <w:t>40.         El 7 de junio de  2006,  en  respuesta  a  la  solicitud  de  la</w:t>
        <w:br/>
        <w:t>Secretaría, el representante  remitió  dos  ejemplares  del  libro  titulado</w:t>
        <w:br/>
        <w:t>“Derechos fundamentales y recursos de protección”, que había  presentado  al</w:t>
        <w:br/>
        <w:t>finalizar  la  audiencia  pública  (supra  párr.  32),  los  cuales   fueron</w:t>
        <w:br/>
        <w:t>utilizados para transmitir a las otras partes.</w:t>
        <w:br/>
        <w:br/>
        <w:t>41.   El 11 de julio de 2006 la  Comisión  remitió  la  prueba  que  le  fue</w:t>
        <w:br/>
        <w:t>requerida mediante nota de 5 de julio de 2006 (supra párr. 39).</w:t>
        <w:br/>
        <w:br/>
        <w:t>42.   El 14 de julio de 2006 el Estado presentó una  comunicación,  mediante</w:t>
        <w:br/>
        <w:t>la cual  remitió  “comentarios  y  observaciones”  al  escrito  remitido  en</w:t>
        <w:br/>
        <w:t>calidad de amicus curiae por CEJIL el 5 de junio de 2006 (supra párr. 38).</w:t>
        <w:br/>
        <w:br/>
        <w:t>43.   El 18 de julio de 2006 el  representante  de  las  presuntas  víctimas</w:t>
        <w:br/>
        <w:t>presentó  su  respuesta  a  la  solicitud  de  prueba  para  mejor  resolver</w:t>
        <w:br/>
        <w:t>realizada mediante la referida nota de Secretaría de  5  de  julio  de  2006</w:t>
        <w:br/>
        <w:t>(supra párr. 39).</w:t>
        <w:br/>
        <w:br/>
        <w:t>44.   El 25 de julio de 2006  la  Secretaría  comunicó  a  las  partes  que,</w:t>
        <w:br/>
        <w:t>siguiendo instrucciones del Presidente, se les otorgaba un  plazo  de  siete</w:t>
        <w:br/>
        <w:t>días para que remitieran las observaciones que estimaran  pertinentes  a  la</w:t>
        <w:br/>
        <w:t>prueba para mejor resolver presentada el 11 y 18 de  julio  de  2006  (supra</w:t>
        <w:br/>
        <w:t>párrs. 41 y 43).</w:t>
        <w:br/>
        <w:br/>
        <w:t>45.   El 28 de julio de 2006 Chile presentó sus observaciones  a  la  prueba</w:t>
        <w:br/>
        <w:t>para mejor resolver presentada por  la  Comisión  Interamericana  y  por  el</w:t>
        <w:br/>
        <w:t>representante de las presuntas víctimas mediante escritos  de  11  y  18  de</w:t>
        <w:br/>
        <w:t>julio de 2006, respectivamente (supra párrs. 39, 41, 43 y 44).</w:t>
        <w:br/>
        <w:br/>
        <w:t>46.   El 31 de julio de 2006 la Comisión presentó un  escrito,  mediante  el</w:t>
        <w:br/>
        <w:t>cual indicó que “no tiene observaciones que formular” respecto de la  prueba</w:t>
        <w:br/>
        <w:t>para  mejor  resolver  presentada  por  el  representante  de  la  presuntas</w:t>
        <w:br/>
        <w:t>víctimas (supra párr. 43).</w:t>
        <w:br/>
        <w:br/>
        <w:t>47.   El 7 de agosto de 2006 el  representante  de  las  presuntas  víctimas</w:t>
        <w:br/>
        <w:t>remitió la versión electrónica del “[décimo noveno] informe de  la  Comisión</w:t>
        <w:br/>
        <w:t>Asesora Presidencial para la Protección de los  Derechos  de  las  Personas,</w:t>
        <w:br/>
        <w:t>correspondiente  al  segundo  trimestre  del  año  2006”  y   solicitó   “su</w:t>
        <w:br/>
        <w:t>incorporación como parte de la prueba rendida en el presente caso”.</w:t>
        <w:br/>
        <w:br/>
        <w:t xml:space="preserve">                                      V</w:t>
        <w:br/>
        <w:t xml:space="preserve">                                   Prueba</w:t>
        <w:br/>
        <w:br/>
        <w:br/>
        <w:t xml:space="preserve">                           A)    Prueba documental</w:t>
        <w:br/>
        <w:br/>
        <w:br/>
        <w:t>48.    Entre  la  prueba  documental  presentada,  las   partes   remitieron</w:t>
        <w:br/>
        <w:t>declaraciones testimoniales y dictámenes periciales escritos,  en  respuesta</w:t>
        <w:br/>
        <w:t>a lo dispuesto por la Corte en su Resolución de 7 de febrero de 2006  (supra</w:t>
        <w:br/>
        <w:t>párr. 23). Dichas declaraciones y dictámenes se resumen a continuación:</w:t>
        <w:br/>
        <w:br/>
        <w:br/>
        <w:br/>
        <w:t xml:space="preserve">                                 Testimonios</w:t>
        <w:br/>
        <w:br/>
        <w:br/>
        <w:br/>
        <w:t xml:space="preserve">  a)        Propuestos por la Comisión Interamericana de Derechos Humanos</w:t>
        <w:br/>
        <w:br/>
        <w:br/>
        <w:t xml:space="preserve">      1.    Luis Sebastián Cox Urrejola, presunta víctima</w:t>
        <w:br/>
        <w:br/>
        <w:t>Es abogado y representante de la organización no gubernamental “ONG  FORJA”,</w:t>
        <w:br/>
        <w:t>cuyo objetivo es mejorar la capacidad de personas y grupos para ejercer  sus</w:t>
        <w:br/>
        <w:t>derechos.</w:t>
        <w:br/>
        <w:br/>
        <w:t>En mayo de 1998 “fue que  asociados  con  Marcel  Claude  y  Arturo  Longton</w:t>
        <w:br/>
        <w:t>presenta[on]  la  demanda  de   información   al   Comité   de   Inversiones</w:t>
        <w:br/>
        <w:t>Extranjeras” (en adelante “CIE”  o  “el  Comité”),  solicitando  información</w:t>
        <w:br/>
        <w:t>sobre Forestal Trillium Ltda. y el Proyecto de Río Cóndor, con el  propósito</w:t>
        <w:br/>
        <w:t>de aportar e incidir desde la sociedad civil para  la  mayor  información  y</w:t>
        <w:br/>
        <w:t>participación de la ciudadanía, “para la mayor responsabilización social  de</w:t>
        <w:br/>
        <w:t>empresas privadas en el marco de grandes inversiones públicas  promovidas  y</w:t>
        <w:br/>
        <w:t>autorizadas por el Estado y su institucionalidad”. “Ante la  negativa  [...]</w:t>
        <w:br/>
        <w:t>de[l  Comité]  y  de  sus   autoridades”   interpusieron   varios   recursos</w:t>
        <w:br/>
        <w:t>judiciales.</w:t>
        <w:br/>
        <w:br/>
        <w:t>La ausencia de una respuesta y de una negativa formal por parte  del  Comité</w:t>
        <w:br/>
        <w:t>a la referida solicitud significó un perjuicio a “la causa  ciudadana  y  de</w:t>
        <w:br/>
        <w:t>interés público” que ha estado defendiendo, así como un  incumplimiento  por</w:t>
        <w:br/>
        <w:t>parte de la entidad estatal a las obligaciones a las que  está  sujeta  y  a</w:t>
        <w:br/>
        <w:t>las ulteriores normativas y recomendaciones  nacionales  e  internacionales.</w:t>
        <w:br/>
        <w:t>Dicho incumplimiento se “ref[irió] a la idoneidad del  inversionista,  a  la</w:t>
        <w:br/>
        <w:t>materialización de la inversión autorizada y  al  cumplimiento  del  DL  No.</w:t>
        <w:br/>
        <w:t>600”.</w:t>
        <w:br/>
        <w:br/>
        <w:br/>
        <w:t xml:space="preserve">      2.    Arturo Longton Guerrero, presunta víctima</w:t>
        <w:br/>
        <w:br/>
        <w:t>Ha sido diputado de la República por más de dieciséis años, “período  en  el</w:t>
        <w:br/>
        <w:t>cual  ha  estado  comprometido  con  diversas   iniciativas   destinadas   a</w:t>
        <w:br/>
        <w:t>salvaguardar los derechos fundamentales de la persona humana”.  “Durante  el</w:t>
        <w:br/>
        <w:t>año 1997  [(sic)],  en  [su  carácter  de]  ciudadano  interesado  y  en  el</w:t>
        <w:br/>
        <w:t>ejercicio de [su] cargo como Diputado de la República, y preocupado  por  la</w:t>
        <w:br/>
        <w:t>posible tala indiscriminada de bosque nativo en el extremo sur de Chile  por</w:t>
        <w:br/>
        <w:t>parte de una empresa  extranjera[,  …]  concurri[ó]  junto  con  […]  Marcel</w:t>
        <w:br/>
        <w:t>Claude [Reyes] a reunir[se] con el Director de  Inversiones  Extranjeras  en</w:t>
        <w:br/>
        <w:t>Chile, a fin de que [les] informar[a] de la veracidad  de  las  afirmaciones</w:t>
        <w:br/>
        <w:t>de  [la]  empresa  taladora  de   bosques   nativos,   solicitando   diversa</w:t>
        <w:br/>
        <w:t>información respecto del inversionista extranjero involucrado  […]  y[,]  en</w:t>
        <w:br/>
        <w:t>particular, los antecedentes que mostraran su idoneidad y  seriedad”.  “Esta</w:t>
        <w:br/>
        <w:t>denegación de  información  pública,  significó  una  vulneración  de  [sus]</w:t>
        <w:br/>
        <w:t>derechos  como  ser  humano,  y  también  una  afectación  y  daño  a   [su]</w:t>
        <w:br/>
        <w:t>investidura como Diputado de la República, y un impedimento a [su] tarea  de</w:t>
        <w:br/>
        <w:t>fiscalizador”.</w:t>
        <w:br/>
        <w:br/>
        <w:t>Se refirió a varios casos que considera de negación de información  pública,</w:t>
        <w:br/>
        <w:t>en los cuales ha intervenido directamente, y  expresó  que  esos  casos  “se</w:t>
        <w:br/>
        <w:t>repiten constantemente en todos los Ministerios  y  Administración  Pública”</w:t>
        <w:br/>
        <w:t>de Chile.</w:t>
        <w:br/>
        <w:br/>
        <w:br/>
        <w:br/>
        <w:t>b)    Propuestos por el Estado</w:t>
        <w:br/>
        <w:br/>
        <w:t xml:space="preserve">      3.    Andrés Emilio Culagovski Rubio, abogado y Fiscal del  Comité  de</w:t>
        <w:br/>
        <w:t xml:space="preserve">      Inversiones Extranjeras</w:t>
        <w:br/>
        <w:br/>
        <w:t>El Comité de Inversiones Extranjeras “es una  persona  jurídica  de  derecho</w:t>
        <w:br/>
        <w:t>público, funcionalmente descentralizada, con patrimonio propio,  domiciliada</w:t>
        <w:br/>
        <w:t>en la ciudad  de  Santiago,  que  se  relaciona  con  el  Presidente  de  la</w:t>
        <w:br/>
        <w:t>República  por  intermedio   del   Ministerio   de   Economía,   Fomento   y</w:t>
        <w:br/>
        <w:t>Reconstrucción”.   Además,   “es   el   único   organismo   autorizado,   en</w:t>
        <w:br/>
        <w:t>representación de […]  Chile  para  aceptar  el  ingreso  de  capitales  del</w:t>
        <w:br/>
        <w:t>exterior acogidos al Decreto Ley [Nº 600] y para establecer los  términos  y</w:t>
        <w:br/>
        <w:t>condiciones de los respectivos contratos”. Dentro  de  las  otras  funciones</w:t>
        <w:br/>
        <w:t>que realiza el CIE, están las siguientes: recibir, estudiar y decidir  sobre</w:t>
        <w:br/>
        <w:t>las solicitudes de  inversiones  extranjeras;  administrar  los  respectivos</w:t>
        <w:br/>
        <w:t>contratos de inversión  extranjera;  preparar  estudios  y  antecedentes  en</w:t>
        <w:br/>
        <w:t>materia de interpretación; llevar un registro estadístico  de  la  inversión</w:t>
        <w:br/>
        <w:t>extranjera ingresada mediante el Decreto Legislativo Nº 600;  participar  en</w:t>
        <w:br/>
        <w:t>las  negociaciones  internacionales  relativas   a   inversión   extranjera;</w:t>
        <w:br/>
        <w:t>participar en actividades de promoción de Chile como plaza de  la  inversión</w:t>
        <w:br/>
        <w:t>extranjera; centralizar la información y el resultado del control que  deban</w:t>
        <w:br/>
        <w:t>ejercer los organismos públicos respecto de las obligaciones que  contraigan</w:t>
        <w:br/>
        <w:t>los titulares de  inversiones  extranjeras  o  las  empresas  en  que  éstos</w:t>
        <w:br/>
        <w:t>participen y denunciar ante los poderes y organismos  públicos  competentes,</w:t>
        <w:br/>
        <w:t>los delitos o infracciones de que tome  conocimiento;  realizar  y  agilizar</w:t>
        <w:br/>
        <w:t>los trámites ante los organismos que deben informar o  dar  su  autorización</w:t>
        <w:br/>
        <w:t>previa para la aprobación de  las  diversas  solicitudes  que  el  CIE  debe</w:t>
        <w:br/>
        <w:t>resolver; investigar en Chile o  en  el  extranjero  sobre  la  idoneidad  y</w:t>
        <w:br/>
        <w:t>seriedad de los peticionarios o interesados; así como toda otra función  que</w:t>
        <w:br/>
        <w:t>le  sea  encargada  por  la  normativa  vigente  o   por   las   autoridades</w:t>
        <w:br/>
        <w:t>competentes.</w:t>
        <w:br/>
        <w:br/>
        <w:t>Se refirió a la forma en la cual se encuentra integrado  el  CIE,  y  señaló</w:t>
        <w:br/>
        <w:t>que para el cumplimiento de  sus  atribuciones  y  obligaciones,  el  Comité</w:t>
        <w:br/>
        <w:t>dispone de una Vicepresidencia Ejecutiva.</w:t>
        <w:br/>
        <w:br/>
        <w:t>Se refirió al tipo de  autorización  que  puede  otorgar  el  CIE  ante  una</w:t>
        <w:br/>
        <w:t>solicitud de inversión extranjera y a los antecedentes que debe tener  a  la</w:t>
        <w:br/>
        <w:t>vista para otorgarla.</w:t>
        <w:br/>
        <w:br/>
        <w:t>En el caso del proyecto de inversión extranjera representado por la  Empresa</w:t>
        <w:br/>
        <w:t>Forestal Trillium Ltda., la Vicepresidencia Ejecutiva del CIE  se  limitó  a</w:t>
        <w:br/>
        <w:t>recibir, estudiar e informar la solicitud de  inversión  extranjera  con  la</w:t>
        <w:br/>
        <w:t>finalidad de verificar que  se  cumplieran  los  requisitos  legales  de  la</w:t>
        <w:br/>
        <w:t>misma. Esta solicitud, una vez informada por  la  Vicepresidencia  Ejecutiva</w:t>
        <w:br/>
        <w:t>del CIE, fue  presentada  al  Comité  de  Inversiones  Extranjeras  para  su</w:t>
        <w:br/>
        <w:t>aprobación.</w:t>
        <w:br/>
        <w:br/>
        <w:t>El testigo no tenía ninguna información respecto del proyecto de la  Empresa</w:t>
        <w:br/>
        <w:t>Forestal Trillium Ltda, ya  que  no  le  correspondía  “dar  seguimiento  ni</w:t>
        <w:br/>
        <w:t>intervenir en las etapas  de  implementación  de  los  proyectos  económicos</w:t>
        <w:br/>
        <w:t>cuyos flujos de capital fueron autorizados”.</w:t>
        <w:br/>
        <w:br/>
        <w:br/>
        <w:t xml:space="preserve">      4.    Liliana Guiditta Macchiavello Martini,  abogada  del  Comité  de</w:t>
        <w:br/>
        <w:t xml:space="preserve">      Inversiones Extranjeras</w:t>
        <w:br/>
        <w:br/>
        <w:t>Es  abogada  del  Comité  de  Inversiones  Extranjeras  desde  1997   y   ha</w:t>
        <w:br/>
        <w:t>desarrollado  múltiples  funciones  dentro   de   la   fiscalía   de   dicha</w:t>
        <w:br/>
        <w:t>institución.</w:t>
        <w:br/>
        <w:br/>
        <w:t>Se refirió a la forma en la cual se encuentra integrado el CIE.  Indicó  que</w:t>
        <w:br/>
        <w:t>las funciones de la Vicepresidencia Ejecutiva, definidas  en  los  artículos</w:t>
        <w:br/>
        <w:t>15 y 15 bis del Decreto Legislativo  Nº  600,  “evidencian  que  el  rol  de</w:t>
        <w:br/>
        <w:t>[dicho Comité y su] Vicepresidencia es únicamente el de autorizar  el  flujo</w:t>
        <w:br/>
        <w:t>de capitales extranjeros  a  Chile  en  cualquiera  de  las  modalidades  de</w:t>
        <w:br/>
        <w:t>inversión que contempla dicho decreto en su artículo 2”.</w:t>
        <w:br/>
        <w:br/>
        <w:t>“El rol limitado del CIE en cuanto  a  autorizar  el  ingreso  de  capitales</w:t>
        <w:br/>
        <w:t>extranjeros  a Chile no se ve alterado por la obligación que el artículo  15</w:t>
        <w:br/>
        <w:t>letra (e) del referido decreto impone a la Vicepresidencia [de dicho  Comité</w:t>
        <w:br/>
        <w:t>…], en el sentido de interactuar con aquellos organismos públicos que  deban</w:t>
        <w:br/>
        <w:t>entregar su autorización en forma previa a la aprobación de la solicitud  de</w:t>
        <w:br/>
        <w:t>inversión extranjera por parte del CIE.  Tal obligación sólo  está  referida</w:t>
        <w:br/>
        <w:t>a aquellos casos en los cuales la legislación sectorial respectiva exige  la</w:t>
        <w:br/>
        <w:t>autorización de una entidad pública con respecto a  inversiones  en  ciertos</w:t>
        <w:br/>
        <w:t>sectores industriales y comerciales específicos.  Los  permisos  sanitarios,</w:t>
        <w:br/>
        <w:t>medioambientales, etc., deben ser solicitados a las autoridades  competentes</w:t>
        <w:br/>
        <w:t>cumpliendo con los requisitos respectivos.</w:t>
        <w:br/>
        <w:br/>
        <w:t>La función que tiene el CIE de investigar la idoneidad  y  seriedad  de  los</w:t>
        <w:br/>
        <w:t>peticionarios  implica  exigir  a  los  inversionistas   extranjeros   todos</w:t>
        <w:br/>
        <w:t>aquellos antecedentes públicos o privados en Chile o en  el  extranjero  que</w:t>
        <w:br/>
        <w:t>logren demostrar que disponen de los capitales  que  pretenden  ingresar  al</w:t>
        <w:br/>
        <w:t>país. “Respecto  de  los  inversionistas  extranjeros  relacionados  con  el</w:t>
        <w:br/>
        <w:t>Proyecto Trillium, se solicitaron todos  los  antecedentes  exigidos  a  las</w:t>
        <w:br/>
        <w:t>personas jurídicas [… .] Con los antecedentes proporcionados […] el  Consejo</w:t>
        <w:br/>
        <w:t>de Inversiones Extranjeras estimó que éstos, cumplían  con  las  condiciones</w:t>
        <w:br/>
        <w:t>de seriedad e idoneidad” exigidas.</w:t>
        <w:br/>
        <w:br/>
        <w:t>En la época en que los solicitantes en este caso requirieron la  información</w:t>
        <w:br/>
        <w:t>al CIE, su Vicepresidencia “consideró de  carácter  reservado  toda  aquella</w:t>
        <w:br/>
        <w:t>información referida a terceros cuya entrega pudiera constituir un  atentado</w:t>
        <w:br/>
        <w:t>a la privacidad de sus titulares, arriesgando  de  manera  irresponsable  el</w:t>
        <w:br/>
        <w:t>resultado de las actividades de los inversionistas en [Chile]”.  La  testigo</w:t>
        <w:br/>
        <w:t>hizo  alusión  a  algunas  de  las  actividades  consideradas  de   carácter</w:t>
        <w:br/>
        <w:t>reservado, como los antecedentes comerciales,  la  propiedad  intelectual  o</w:t>
        <w:br/>
        <w:t>industrial, el uso de tecnología y, en general,  los  aspectos  particulares</w:t>
        <w:br/>
        <w:t>de  los  proyectos  de  inversión  que   los   inversionistas   pretendieran</w:t>
        <w:br/>
        <w:t>desarrollar con los capitales para cuya transferencia a Chile  solicitan  la</w:t>
        <w:br/>
        <w:t>autorización del CIE. Al momento de presentar sus solicitudes de  inversión,</w:t>
        <w:br/>
        <w:t>los  inversionistas  no  tienen  la  obligación   de   presentar   proyectos</w:t>
        <w:br/>
        <w:t>“íntegramente  acotados  o  ya   consolidados”   y,   por   lo   tanto,   la</w:t>
        <w:br/>
        <w:t>Vicepresidencia del CIE y el CIE  deben  mantener  una  actitud  de  extrema</w:t>
        <w:br/>
        <w:t>reserva frente a aquella información proporcionada por  los  inversionistas,</w:t>
        <w:br/>
        <w:t>con el  fin  de  garantizarles  suficientemente  que  los  detalles  de  sus</w:t>
        <w:br/>
        <w:t>actividades comerciales no serán divulgados.  La  Resolución  Administrativa</w:t>
        <w:br/>
        <w:t>Exenta Nº 113  de  2002  recoge  los  criterios  anteriormente  señalados  y</w:t>
        <w:br/>
        <w:t>establece  cuáles  son  los  actos,  documentos   y   antecedentes   de   la</w:t>
        <w:br/>
        <w:t>Vicepresidencia del CIE que tendrían el carácter de secretos  o  reservados.</w:t>
        <w:br/>
        <w:t>La Constitución chilena de 2005 impone la  obligación  de  revisar  toda  la</w:t>
        <w:br/>
        <w:t>política de  información  existente,  de  forma  tal  que  se  encuentre  en</w:t>
        <w:br/>
        <w:t>concordancia con el artículo 8 de la Carta Fundamental.  Para  lo  anterior,</w:t>
        <w:br/>
        <w:t>la Secretaría General de la Presidencia, mediante oficio  Nº  072  de  2006,</w:t>
        <w:br/>
        <w:t>entregó a los servicios públicos orientaciones en materia  de  transparencia</w:t>
        <w:br/>
        <w:t>y publicidad de los actos de la Administración.</w:t>
        <w:br/>
        <w:br/>
        <w:t>En cuanto a la actitud del CIE ante la solicitud de la Fundación TERRAM,  en</w:t>
        <w:br/>
        <w:t>la reunión sostenida entre los peticionarios y el  Vicepresidente  Ejecutivo</w:t>
        <w:br/>
        <w:t>del CIE, éste último  “entregó  la  información  que  se  le  solicitaba  en</w:t>
        <w:br/>
        <w:t>relación [con el] proyecto, ajustándose a  los  criterios  de  publicidad  y</w:t>
        <w:br/>
        <w:t>reserva imperantes en esa época.  Dicha  información  fue  complementada  el</w:t>
        <w:br/>
        <w:t>mismo día mediante fax dirigido al señor Marcel Claude Reyes.  La  Fundación</w:t>
        <w:br/>
        <w:t>TERRAM, ignorando la información proporcionada por  la  Vicepresidencia  del</w:t>
        <w:br/>
        <w:t>CIE, insistió en su petición en dos ocasiones (3 de junio y 2  de  julio  de</w:t>
        <w:br/>
        <w:t>1998) y, posteriormente, inició una serie de denuncias y reclamos  ante  los</w:t>
        <w:br/>
        <w:t>tribunales de justicia y los medios de comunicación,  situación  que  motivó</w:t>
        <w:br/>
        <w:t>las correspondientes aclaraciones por parte de la Vicepresidencia  del  CIE.</w:t>
        <w:br/>
        <w:t>La información entregada por la  Vicepresidencia  del  CIE  a  la  Fundación</w:t>
        <w:br/>
        <w:t>TERRAM era “aquella de la  que  era  titular  el  CIE”,  es  decir,  aquella</w:t>
        <w:br/>
        <w:t>referida “a los Contratos de Inversión Extranjera celebrados al  amparo  del</w:t>
        <w:br/>
        <w:t>Decreto Legislativo Nº 600,  [la]  identidad  de  los  inversionistas,  [el]</w:t>
        <w:br/>
        <w:t>monto de la inversión autorizada, [los] plazos de ingreso de  capital  […  y</w:t>
        <w:br/>
        <w:t>el] capital efectivamente materializado”.</w:t>
        <w:br/>
        <w:br/>
        <w:t>La “política comunicacional” de la Vicepresidencia del  CIE  siempre  se  ha</w:t>
        <w:br/>
        <w:t>aplicado de igual manera a todas las personas que  requieren  información  o</w:t>
        <w:br/>
        <w:t>antecedentes “que puedan obrar en su poder”.  La testigo  considera  que  en</w:t>
        <w:br/>
        <w:t>este caso se procedió de la misma  forma  como  se  procede  ante  cualquier</w:t>
        <w:br/>
        <w:t>solicitud de esa naturaleza.</w:t>
        <w:br/>
        <w:br/>
        <w:br/>
        <w:br/>
        <w:t xml:space="preserve">                                  Peritajes</w:t>
        <w:br/>
        <w:br/>
        <w:br/>
        <w:t>a)    Propuestos por el representante de las presuntas víctimas</w:t>
        <w:br/>
        <w:br/>
        <w:t xml:space="preserve">      1.    Tomás Vial Solar, abogado</w:t>
        <w:br/>
        <w:br/>
        <w:t>Fue asesor  legal  del  Ministerio  Secretaría  General  de  la  Presidencia</w:t>
        <w:br/>
        <w:t>durante el período 2002 a 2004.</w:t>
        <w:br/>
        <w:br/>
        <w:t>De acuerdo a los informes de las respectivas comisiones de Senado y  Cámara,</w:t>
        <w:br/>
        <w:t>la reforma del artículo 8º de la  Constitución  Política  “se  entendió  […]</w:t>
        <w:br/>
        <w:t>simplemente [como] elevar a rango constitucional lo que ya  [se  encontraba]</w:t>
        <w:br/>
        <w:t>contemplado en los artículos 13 y 15 de la Ley  Orgánica  Constitucional  de</w:t>
        <w:br/>
        <w:t>Bases de la  Administración  [de]  1999”.   En  la  discusión  parlamentaria</w:t>
        <w:br/>
        <w:t>“nunca se h[izo] mención a la existencia  de  un  derecho  de  acceso  a  la</w:t>
        <w:br/>
        <w:t>información por parte de los  ciudadanos”;  “tampoco  h[ubo]  constancia  de</w:t>
        <w:br/>
        <w:t>haberse discutido los efectos de la reforma respecto a los diversos  órganos</w:t>
        <w:br/>
        <w:t>del Estado  y  respecto  a  la  normativa  vigente”;  ni  “se  expres[ó]  la</w:t>
        <w:br/>
        <w:t>necesidad de modificar la legislación vigente ni de realizar esfuerzos  para</w:t>
        <w:br/>
        <w:t>lograr un mayor acceso a la información”.</w:t>
        <w:br/>
        <w:br/>
        <w:t>El nuevo artículo 8 de  la  Constitución  Política  introduce  un  principio</w:t>
        <w:br/>
        <w:t>constitucional de publicidad que se aplica a todos los  órganos  del  Estado</w:t>
        <w:br/>
        <w:t>y, por lo tanto, tiene un alcance mayor que la Ley  de  Bases,  la  cual  se</w:t>
        <w:br/>
        <w:t>refería sólo a la Administración del Estado.</w:t>
        <w:br/>
        <w:br/>
        <w:t>La  norma  constitucional  señala  que  serán  públicos   los   actos,   las</w:t>
        <w:br/>
        <w:t>resoluciones y los procedimientos para su creación. Los términos  “actos”  y</w:t>
        <w:br/>
        <w:t>“procedimientos” deben  entenderse  en  sentido  amplio.  En  cuanto  a  los</w:t>
        <w:br/>
        <w:t>fundamentos de los actos  y  las  resoluciones,  todo  documento  que  tenga</w:t>
        <w:br/>
        <w:t>relación con determinado acto del Estado es público.</w:t>
        <w:br/>
        <w:br/>
        <w:t>La  norma  constitucional  establece  que  los  límites  al  acceso   a   la</w:t>
        <w:br/>
        <w:t>información deben ser impuestos  sólo  por  una  ley  de  quórum  calificado</w:t>
        <w:br/>
        <w:t>(mayoría absoluta de los senadores y diputados  en  ejercicio).  Las  nuevas</w:t>
        <w:br/>
        <w:t>causales dispuestas en el artículo 8 de la Constitución señalan que solo  se</w:t>
        <w:br/>
        <w:t>podrá establecer el secreto o la reserva cuando la  publicidad  afectare  el</w:t>
        <w:br/>
        <w:t>debido cumplimiento de las funciones de los órganos,  los  derechos  de  las</w:t>
        <w:br/>
        <w:t>personas, la seguridad nacional y el  interés  público.   Igualmente,  dicha</w:t>
        <w:br/>
        <w:t>norma redujo las causales por las cuales se puede declarar  una  información</w:t>
        <w:br/>
        <w:t>como secreta o reservada.</w:t>
        <w:br/>
        <w:br/>
        <w:t>“La  aprobación   de   la   reforma   constitucional   […]   transformó   en</w:t>
        <w:br/>
        <w:t>inconstitucionales [tanto] las normas del artículo 13 de la Ley de  Bases[,]</w:t>
        <w:br/>
        <w:t>que permitían establecer dicha reserva  por  medio  de  preceptos  de  rango</w:t>
        <w:br/>
        <w:t>reglamentario, [como el] Reglamento sobre el Secreto y Reserva y  todas  las</w:t>
        <w:br/>
        <w:t>resoluciones correspondientes”. La norma constitucional es  más  restrictiva</w:t>
        <w:br/>
        <w:t>en cuanto a las causales de negativa  de  información  que  la  norma  legal</w:t>
        <w:br/>
        <w:t>(artículo 13 de la Ley de Bases), ya que establece “que  debe  afectarse  el</w:t>
        <w:br/>
        <w:t>derecho de una  persona  para  que  se  pueda  negar  la  información”.  Sin</w:t>
        <w:br/>
        <w:t>embargo, es menos  exigente  pues  la  norma  legal  sí  establecía  que  la</w:t>
        <w:br/>
        <w:t>publicidad debía afectar “sensiblemente” el derecho  del  tercero,  mientras</w:t>
        <w:br/>
        <w:t>que la reforma constitucional no lo  menciona  de  manera  específica.   Las</w:t>
        <w:br/>
        <w:t>normas de carácter legal que establecieran el secreto o  reserva  de  alguna</w:t>
        <w:br/>
        <w:t>materia dictadas con anterioridad a la reforma constitucional  conservan  su</w:t>
        <w:br/>
        <w:t>validez,  en  la  “medida  en   que   no   contraríen   sustancialmente   la</w:t>
        <w:br/>
        <w:t>Constitución”.</w:t>
        <w:br/>
        <w:br/>
        <w:br/>
        <w:t>Indicó que si bien la reforma constitucional representa un avance  desde  el</w:t>
        <w:br/>
        <w:t>punto de vista de asegurar el acceso  a  la  información,  no  contempla  un</w:t>
        <w:br/>
        <w:t>deber positivo por parte del  Estado  y,  por  ende,  no  se  constituye  en</w:t>
        <w:br/>
        <w:t>derecho subjetivo. Al no constituirse como derecho constitucional, surge  un</w:t>
        <w:br/>
        <w:t>conflicto al ponerlo en balanza con  otros  derechos  que  sí  tienen  rango</w:t>
        <w:br/>
        <w:t>constitucional y que tendrían prioridad sobre el acceso  a  la  información.</w:t>
        <w:br/>
        <w:t>Igualmente, al no ser un derecho constitucional, el Estado no se  ve  en  la</w:t>
        <w:br/>
        <w:t>obligación constitucional de “promoverlo ni de  crear  condiciones  para  su</w:t>
        <w:br/>
        <w:t>debida protección”.</w:t>
        <w:br/>
        <w:br/>
        <w:br/>
        <w:t>En cuanto a los mecanismos de la Administración  destinados  a  proteger  el</w:t>
        <w:br/>
        <w:t>acceso a la información pública, se refirió a las normas sobre acceso  a  la</w:t>
        <w:br/>
        <w:t>información relativas a la Administración, particularmente los artículos  13</w:t>
        <w:br/>
        <w:t>y 14 de la Ley Orgánica Constitucional de Bases de  la  Administración.   En</w:t>
        <w:br/>
        <w:t>dicha ley, se dispone  que  son  públicos  los  actos  administrativos,  los</w:t>
        <w:br/>
        <w:t>documentos que sirvan de complemento o sustento directo  y  los  informes  o</w:t>
        <w:br/>
        <w:t>antecedentes de empresas.</w:t>
        <w:br/>
        <w:br/>
        <w:t>En lo concerniente a las causales de denegación de  información,  el  inciso</w:t>
        <w:br/>
        <w:t>11 del artículo 13 de la Ley de Bases establece cinco causales:  la  primera</w:t>
        <w:br/>
        <w:t>se debería entender derogada por la reforma constitucional, ya que  disponía</w:t>
        <w:br/>
        <w:t>que  la  reserva  o  secreto  podía  establecerse  según  normas  legales  o</w:t>
        <w:br/>
        <w:t>reglamentarias; la segunda es que  la  publicidad  impida  o  entorpezca  el</w:t>
        <w:br/>
        <w:t>debido cumplimiento de las funciones del órgano requerido; la tercera es  la</w:t>
        <w:br/>
        <w:t>oposición de terceros; la cuarta es la afectación  sensible  de  derechos  o</w:t>
        <w:br/>
        <w:t>intereses de terceros; y la quinta es que la publicidad afecte la  seguridad</w:t>
        <w:br/>
        <w:t>o el interés nacional.  La amplitud de la segunda causal puede llevar a  que</w:t>
        <w:br/>
        <w:t>se de una “interpretación arbitraria” por parte de las autoridades.</w:t>
        <w:br/>
        <w:br/>
        <w:t>Respecto de los recursos  ante  la  negativa  de  entregar  información,  el</w:t>
        <w:br/>
        <w:t>requirente puede interponer recursos administrativos y  también  un  recurso</w:t>
        <w:br/>
        <w:t>ante la justicia, llamado  “amparo  de  información”  y  contemplado  en  el</w:t>
        <w:br/>
        <w:t>artículo 14 de la Ley de Bases.  En cuanto a los  recursos  administrativos,</w:t>
        <w:br/>
        <w:t>la ley “no contempla un recurso […] específico”, por lo  que  el  requirente</w:t>
        <w:br/>
        <w:t>debe recurrir a recursos generales como lo son el recurso  de  reposición  y</w:t>
        <w:br/>
        <w:t>el recurso jerárquico.  “La efectividad de estos recursos,  en  el  caso  de</w:t>
        <w:br/>
        <w:t>petición de información […] es limitada”.</w:t>
        <w:br/>
        <w:br/>
        <w:br/>
        <w:t xml:space="preserve">      2.     Miguel Ángel Fernández González, abogado</w:t>
        <w:br/>
        <w:br/>
        <w:t>La evolución legislativa relativa a la protección del derecho  al  acceso  a</w:t>
        <w:br/>
        <w:t>la información incluye las propuestas realizadas por  la  Comisión  Nacional</w:t>
        <w:br/>
        <w:t>de Ética Pública, las cuales se concretaron en: la promulgación  de  la  Ley</w:t>
        <w:br/>
        <w:t>Nº 19.653; la incorporación del principio de publicidad de los actos de  los</w:t>
        <w:br/>
        <w:t>órganos integrantes de la Administración del  Estado;  la  inclusión  de  un</w:t>
        <w:br/>
        <w:t>procedimiento judicial especial en  caso  de  que  el  órgano  requerido  no</w:t>
        <w:br/>
        <w:t>brinde acceso a la información; la publicación de la Ley  No.  19.880  sobre</w:t>
        <w:br/>
        <w:t>procedimientos  administrativos;  y  el  reconocimiento  constitucional  del</w:t>
        <w:br/>
        <w:t>principio de publicidad en el artículo 8 de la Constitución Política.</w:t>
        <w:br/>
        <w:br/>
        <w:t>En cuanto a la normativa actual  en  materia  de  acceso  a  la  información</w:t>
        <w:br/>
        <w:t>pública, señala la importancia de haber elevado a  rango  constitucional  el</w:t>
        <w:br/>
        <w:t>principio  de  publicidad,  estableciendo  igualmente  una  reserva  de  ley</w:t>
        <w:br/>
        <w:t>respecto de las causales que permiten declarar  el  secreto  o  la  reserva.</w:t>
        <w:br/>
        <w:t>Señala la problemática a la cual se enfrenta  el  derecho  de  acceso  a  la</w:t>
        <w:br/>
        <w:t>información pública al existir causales de reserva con contenido tan  amplio</w:t>
        <w:br/>
        <w:t>y difuso como lo son, por ejemplo, el interés nacional y la seguridad de  la</w:t>
        <w:br/>
        <w:t>Nación.</w:t>
        <w:br/>
        <w:br/>
        <w:br/>
        <w:t xml:space="preserve">      3.     Davor Harasic Yaksic, abogado y Presidente del Capítulo Chileno</w:t>
        <w:br/>
        <w:t xml:space="preserve">      de Transparencia Internacional y Consejero del Consejo de Defensa  del</w:t>
        <w:br/>
        <w:t xml:space="preserve">      Estado durante el período 1972 a 1996</w:t>
        <w:br/>
        <w:br/>
        <w:t>Se refirió al contenido de la legislación chilena relativa al  acceso  a  la</w:t>
        <w:br/>
        <w:t>información en manos del Estado.  La Ley Nº 19.653 de  1999  sobre  Probidad</w:t>
        <w:br/>
        <w:t>Administrativa  de  los  Órganos  de  la  Administración,  y  la  Ley  sobre</w:t>
        <w:br/>
        <w:t>Procedimiento  Administrativo  de  2003,  consagraron  los   principios   de</w:t>
        <w:br/>
        <w:t>transparencia y publicidad como ejes centrales del correcto ejercicio de  la</w:t>
        <w:br/>
        <w:t>función  pública.  La  reforma  constitucional  de  2005   elevó   a   rango</w:t>
        <w:br/>
        <w:t>constitucional los principios de transparencia y publicidad y  los  extendió</w:t>
        <w:br/>
        <w:t>a todos los órganos del Estado.</w:t>
        <w:br/>
        <w:br/>
        <w:t>Señaló lo que considera son  obstáculos  y  limitaciones  del  acceso  a  la</w:t>
        <w:br/>
        <w:t>información pública en Chile. La ley que incorporó formalmente el  principio</w:t>
        <w:br/>
        <w:t>de   publicidad   en   el   ordenamiento   chileno   (Ley   sobre   Probidad</w:t>
        <w:br/>
        <w:t>Administrativa) permitió limitar el derecho de acceso a la  información,  al</w:t>
        <w:br/>
        <w:t>disponer  que  las  causales  de  denegación  podían  ser  establecidas  por</w:t>
        <w:br/>
        <w:t>disposiciones legales o reglamentarias.  Entre  los  años  2001  a  2005  se</w:t>
        <w:br/>
        <w:t>dieron prácticas administrativas a favor de  la  reserva  y  el  secreto  de</w:t>
        <w:br/>
        <w:t>actos administrativos, documentos y antecedentes. Dichas prácticas  tuvieron</w:t>
        <w:br/>
        <w:t>como base el Reglamento sobre Secreto  o  Reserva  creado  bajo  el  Decreto</w:t>
        <w:br/>
        <w:t>Supremo Nº 26 del Ministerio  General  de  la  Presidencia.   El  mencionado</w:t>
        <w:br/>
        <w:t>Reglamento  excedió  el  marco  de  competencias  normativas,  aumentó   las</w:t>
        <w:br/>
        <w:t>causales de denegación  de  información  y  desencadenó  la  emisión  de  un</w:t>
        <w:br/>
        <w:t>centenar de resoluciones por parte de los órganos de la  Administración  que</w:t>
        <w:br/>
        <w:t>transformaron el secreto y la reserva en “la regla general  de  desmedro  de</w:t>
        <w:br/>
        <w:t>los principio de transparencia y publicidad”. Otro obstáculo es la escasa  e</w:t>
        <w:br/>
        <w:t>insuficiente tutela judicial  que  se  genera  en  razón  del  procedimiento</w:t>
        <w:br/>
        <w:t>especial de amparo consagrado por la Ley  de  Probidad  Administrativa  que,</w:t>
        <w:br/>
        <w:t>lejos  de  fortalecer  el  principio  de  publicidad  y  el  acceso   a   la</w:t>
        <w:br/>
        <w:t>información, ha provocado que los jefes de servicios opten por  “esperar  la</w:t>
        <w:br/>
        <w:t>eventual resolución judicial”, que además es débil en la protección  de  los</w:t>
        <w:br/>
        <w:t>peticionarios.</w:t>
        <w:br/>
        <w:br/>
        <w:br/>
        <w:t>b)    Propuesto por el Estado</w:t>
        <w:br/>
        <w:br/>
        <w:t xml:space="preserve">      4.    Claudio Francisco Castillo Castillo, abogado</w:t>
        <w:br/>
        <w:br/>
        <w:t>Se refirió a la  naturaleza  y  las  funciones  del  Comité  de  Inversiones</w:t>
        <w:br/>
        <w:t>Extranjeras de acuerdo a lo dispuesto en  el  Decreto  Legislativo  Nº  600.</w:t>
        <w:br/>
        <w:t>Señaló la labor de promoción de inversiones que realizó  la  Vicepresidencia</w:t>
        <w:br/>
        <w:t>del CIE entre los años 1994 y 2000.</w:t>
        <w:br/>
        <w:br/>
        <w:t>En cuanto a la tramitación de las solicitudes de  inversión  extrajera,  los</w:t>
        <w:br/>
        <w:t>inversionistas  que  “desean  efectuar  inversiones  en  Chile   […]   deben</w:t>
        <w:br/>
        <w:t>completar  una  Solicitud  de  Inversiones  Extranjeras,  contenida  en   un</w:t>
        <w:br/>
        <w:t>formulario  preimpreso  elaborado  por  la  Vicepresidencia  del  CIE”.   El</w:t>
        <w:br/>
        <w:t>inversionista debía indicar en el formulario, inter alia,  los  antecedentes</w:t>
        <w:br/>
        <w:t>relativos al “[n]ombre o [la]  razón  social;  [los  p]rincipales  socios  o</w:t>
        <w:br/>
        <w:t>accionistas; [la n]acionalidad; [los  a]ntecedentes  económicos;  [el  g]iro</w:t>
        <w:br/>
        <w:t>económico; [una b]reve descripción del proyecto que [se] desea […  realizar]</w:t>
        <w:br/>
        <w:t>en  Chile;  [la  i]nversión  proyectada  realizar  para  llevar  a  cabo  el</w:t>
        <w:br/>
        <w:t>proyecto;  [los  a]ntecedentes  de  la  empresa  chilena  receptora  de  los</w:t>
        <w:br/>
        <w:t>aportes; [y  si  los  inversionistas]  se  acog[ían]  o  no  al  sistema  de</w:t>
        <w:br/>
        <w:t>invariabilidad tributaria”.</w:t>
        <w:br/>
        <w:br/>
        <w:t>Dicha solicitud de inversiones debía ser presentada  en  la  Vicepresidencia</w:t>
        <w:br/>
        <w:t>del CIE junto con los antecedentes  legales  del  inversionista.  Debía  ser</w:t>
        <w:br/>
        <w:t>evaluada en  sus  aspectos  formales  por  la  Vicepresidencia  del  CIE  y,</w:t>
        <w:br/>
        <w:t>finalmente, en el caso de solicitudes de menos de US$  5.000.000,00,  debían</w:t>
        <w:br/>
        <w:t>ser  autorizadas  por  el  Vicepresidente  Ejecutivo  con  el  acuerdo   del</w:t>
        <w:br/>
        <w:t>Presidente del Comité de Inversiones Extranjeras, y respecto de  solicitudes</w:t>
        <w:br/>
        <w:t>de más de US$ 5.000.000,00 debían  ser  autorizadas  por  los  miembros  del</w:t>
        <w:br/>
        <w:t>Comité. La autorización dada a los inversionistas para efectuar sus  aportes</w:t>
        <w:br/>
        <w:t>de capital es “sin perjuicio de las demás autorizaciones que  deban  obtener</w:t>
        <w:br/>
        <w:t>de las autoridades locales, según el proyecto que desean realizar”.</w:t>
        <w:br/>
        <w:br/>
        <w:t>En cuanto al  nivel  de  confidencialidad  de  las  acciones,  documentos  y</w:t>
        <w:br/>
        <w:t>operaciones relacionadas  con  los  proyectos  de  inversión  extranjera  en</w:t>
        <w:br/>
        <w:t>Chile, todos los antecedentes que dispone  la  Vicepresidencia  del  CIE  en</w:t>
        <w:br/>
        <w:t>relación con determinado proyecto provienen de los  propios  inversionistas.</w:t>
        <w:br/>
        <w:t>Durante  los  años   noventa   existía   una   distinción   del   grado   de</w:t>
        <w:br/>
        <w:t>confidencialidad de los antecedentes  presentados  por  los  inversionistas.</w:t>
        <w:br/>
        <w:t>Algunos antecedentes no eran de carácter público debido a  que  se  referían</w:t>
        <w:br/>
        <w:t>“a un negocio específico de propiedad de  los  inversionistas  extranjeros”.</w:t>
        <w:br/>
        <w:t>Respecto de estos últimos la Vicepresidencia del CIE “e[ra] muy  cuidados[a]</w:t>
        <w:br/>
        <w:t>en no proporcionar es[a información] a terceros”.  “La fuerte  expansión  de</w:t>
        <w:br/>
        <w:t>muchos sectores productivos del país, apoyada por la  inversión  extranjera,</w:t>
        <w:br/>
        <w:t>no hubiera sido posible si el CIE hubiera tenido un manejo descuidado de  la</w:t>
        <w:br/>
        <w:t>información técnica, financiera o económica de los  proyectos  de  inversión</w:t>
        <w:br/>
        <w:t>extranjera”.</w:t>
        <w:br/>
        <w:br/>
        <w:br/>
        <w:br/>
        <w:t xml:space="preserve">                     B)    Prueba testimonial y pericial</w:t>
        <w:br/>
        <w:br/>
        <w:br/>
        <w:t>49.   El 3 de abril de 2006  la  Corte  recibió  en  audiencia  pública  las</w:t>
        <w:br/>
        <w:t>declaraciones de los testigos propuestos por la Comisión  Interamericana  de</w:t>
        <w:br/>
        <w:t>Derechos Humanos y por el  Estado,  y  de  los  peritos  propuestos  por  la</w:t>
        <w:br/>
        <w:t>Comisión, por el representante de las presuntas víctimas  y  por  el  Estado</w:t>
        <w:br/>
        <w:t>(supra  párr.  32).   A  continuación,  el  Tribunal   resume   las   partes</w:t>
        <w:br/>
        <w:t>principales de dichos testimonios y peritajes.</w:t>
        <w:br/>
        <w:br/>
        <w:br/>
        <w:t xml:space="preserve">                                 Testimonios</w:t>
        <w:br/>
        <w:br/>
        <w:br/>
        <w:t>a)    Propuesto por la Comisión Interamericana</w:t>
        <w:br/>
        <w:br/>
        <w:t xml:space="preserve">      1.    Marcel Claude Reyes, presunta víctima</w:t>
        <w:br/>
        <w:br/>
        <w:t>Es economista, y fue el  fundador  y  director  ejecutivo  de  la  Fundación</w:t>
        <w:br/>
        <w:t>TERRAM de 1997 a 2003. Los objetivos  fundamentales  de  dicha  organización</w:t>
        <w:br/>
        <w:t>eran “participar activamente en el debate público  y  en  la  producción  de</w:t>
        <w:br/>
        <w:t>información sólida y científica para apoyar la lucha social y  civil  de  la</w:t>
        <w:br/>
        <w:t>ciudadanía chilena en relación al  desarrollo  sustentable”.   En  1983  fue</w:t>
        <w:br/>
        <w:t>funcionario  del  Banco  Central  y  fue  asignado  asesor  del  Comité   de</w:t>
        <w:br/>
        <w:t>Inversiones Extranjeras y en la Unidad de Cuentas Ambientales.</w:t>
        <w:br/>
        <w:br/>
        <w:t>En cuanto a la solicitud de información que hizo al  Comité  de  Inversiones</w:t>
        <w:br/>
        <w:t>Extranjeras en relación  con  el  proyecto  del  Río  Cóndor  y  la  empresa</w:t>
        <w:br/>
        <w:t>Trillium, su intención era tener  una  “participa[ción]  activa  […]  en  el</w:t>
        <w:br/>
        <w:t>debate y en la discusión sobre el proyecto Río Cóndor […] desde la  economía</w:t>
        <w:br/>
        <w:t>para hacer una evaluación técnico-económica y social del proyecto, así  como</w:t>
        <w:br/>
        <w:t>[para evaluar] el potencial […] desarrollo que ten[dría] la  región  [y]  el</w:t>
        <w:br/>
        <w:t>país [en relación] a [dicho] proyecto”. Ese proyecto era  de  “gran  impacto</w:t>
        <w:br/>
        <w:t>ambiental” y generó discusión pública.</w:t>
        <w:br/>
        <w:br/>
        <w:t>Para llevar a  cabo  dicha  participación,  “requer[í]a[n]  un  conjunto  de</w:t>
        <w:br/>
        <w:t>informaciones [por parte del Comité de Inversiones Extranjeras],  porque  la</w:t>
        <w:br/>
        <w:t>que existía a nivel público y en los organismos públicos vinculados  con  el</w:t>
        <w:br/>
        <w:t>medio ambiente  no  era  suficiente”.  Hicieron  una  solicitud  formal  por</w:t>
        <w:br/>
        <w:t>escrito requiriendo,  entre  otras  cosas,  información  concerniente  a  la</w:t>
        <w:br/>
        <w:t>idoneidad del inversionista, a su trayectoria a nivel internacional y  a  su</w:t>
        <w:br/>
        <w:t>cumplimiento  de  normas  ambientales,  jurídicas   y   tributarias.   “Como</w:t>
        <w:br/>
        <w:t>resultado  de  [esta]  solicitud,  recibi[eron]  una   nota   del   entonces</w:t>
        <w:br/>
        <w:t>Vicepresidente ejecutivo del Comité […], quien  [los]  invitó,  [a  él  y  a</w:t>
        <w:br/>
        <w:t>Arturo  Longton],  a  una  reunión”,  en  la  cual  les  entregó  “una  hoja</w:t>
        <w:br/>
        <w:t>conteniendo el nombre del inversionista, su razón social [y] el capital  que</w:t>
        <w:br/>
        <w:t>había solicitado ingresar al país”. Después de la reunión  recibió  “un  fax</w:t>
        <w:br/>
        <w:t>en la tarde de ese mismo día […] diciéndo[le] que efectivamente […]  faltaba</w:t>
        <w:br/>
        <w:t>la información sobre  los  capitales  asociados  que  no  fueron  entregados</w:t>
        <w:br/>
        <w:t>tampoco en ese fax”. Afirmó haber obtenido la información de  forma  parcial</w:t>
        <w:br/>
        <w:t>y no haber recibido respuesta verbal o escrita respecto  de  la  información</w:t>
        <w:br/>
        <w:t>faltante, ni de las razones por las que no le dieron o no le iban a  dar  la</w:t>
        <w:br/>
        <w:t>información,  aún  luego  de  haber  insistido   en   dos   ocasiones   más.</w:t>
        <w:br/>
        <w:t>Posteriormente, luego de pasar  un  “plazo  razonable”  y  sin  conocer  los</w:t>
        <w:br/>
        <w:t>motivos de la negación de  información,  recurrieron  a  los  tribunales  de</w:t>
        <w:br/>
        <w:t>justicia interponiendo: un recurso de protección, el cual fue denegado  “por</w:t>
        <w:br/>
        <w:t>no ser pertinente”; un recurso de reposición del recurso de  protección,  el</w:t>
        <w:br/>
        <w:t>cual también fue denegado; y una queja ante la Corte  Suprema,  que  también</w:t>
        <w:br/>
        <w:t>fue denegada.</w:t>
        <w:br/>
        <w:br/>
        <w:t>“El proyecto forestal [en cuestión] no se llevó a efecto, porque después  de</w:t>
        <w:br/>
        <w:t>aproximadamente  cinco  años  de  tramitación,  de  debate  público   y   de</w:t>
        <w:br/>
        <w:t>obstaculización […] por parte de la  ciudadanía  […]  no  se  realiz[ó]  por</w:t>
        <w:br/>
        <w:t>problemas financieros”.</w:t>
        <w:br/>
        <w:br/>
        <w:t>Se refirió a una información solicitada ante la Comisión  Nacional  Forestal</w:t>
        <w:br/>
        <w:t>en  el  año  2000,  vinculada  a  una  investigación  adelantada  por  dicha</w:t>
        <w:br/>
        <w:t>institución. La información  no  les  fue  entregada  y  recurrieron  a  los</w:t>
        <w:br/>
        <w:t>tribunales, ganando esta vez el juicio por acceso a información.</w:t>
        <w:br/>
        <w:br/>
        <w:t>A partir de su experiencia vinculada a temas ambientales, considera que  “es</w:t>
        <w:br/>
        <w:t>de extrema dificultad acceder a [la] información” y por tal razón  pide  que</w:t>
        <w:br/>
        <w:t>“esta información [que le fue denegada] sea pública […,] y que el Estado  de</w:t>
        <w:br/>
        <w:t>Chile termine con la práctica del secreto, que es una  práctica  que  impide</w:t>
        <w:br/>
        <w:t>el desempeño de la ciudadanía y el ejercicio de la libertad de expresión”.</w:t>
        <w:br/>
        <w:br/>
        <w:br/>
        <w:br/>
        <w:t>b)    Propuesto por el Estado</w:t>
        <w:br/>
        <w:br/>
        <w:t xml:space="preserve">      2.    Eduardo Moyano Berríos, Vicepresidente Ejecutivo del  Comité  de</w:t>
        <w:br/>
        <w:t xml:space="preserve">      Inversiones Extranjeras de 1994 a 2000</w:t>
        <w:br/>
        <w:br/>
        <w:t>En cuanto al tratamiento de los proyectos de inversión  extranjera,  “[c]ada</w:t>
        <w:br/>
        <w:t>proyecto  tiene  un  expediente,  [y]  en  el  mismo   constan   todos   los</w:t>
        <w:br/>
        <w:t>antecedentes que ha aportado [el inversionista] al CIE”. No se hacía  llegar</w:t>
        <w:br/>
        <w:t>“todo el archivo de antecedentes” a los  Ministros,  sino  “un  informe  con</w:t>
        <w:br/>
        <w:t>esos  antecedentes  [y]  los  documentos  que  se  consideraran  de  extrema</w:t>
        <w:br/>
        <w:t>importancia”. “Está convencido que debe existir  [un  expediente]  sobre  el</w:t>
        <w:br/>
        <w:t>proyecto Trillium”, así como que “los ministros en su oportunidad  aprobaron</w:t>
        <w:br/>
        <w:t>el proyecto en el año, sino recuerd[a] mal, […] 1991”. En la  época  en  que</w:t>
        <w:br/>
        <w:t>fue Vicepresidente Ejecutivo del CIE “hubo una discusión  pública  sobre  el</w:t>
        <w:br/>
        <w:t>proyecto”.</w:t>
        <w:br/>
        <w:br/>
        <w:t>La solicitud de información realizada por la fundación  TERRAM  en  mayo  de</w:t>
        <w:br/>
        <w:t>1998 sobre el proyecto Trillium se materializó en una reunión el 19 de  mayo</w:t>
        <w:br/>
        <w:t>de 1998, en la que se hizo entrega de “buena parte de la información  de  la</w:t>
        <w:br/>
        <w:t>cual disponía, información adicional se le envió a la  fundación  TERRAM  el</w:t>
        <w:br/>
        <w:t>mismo día en un  fax”.  La  información  entregada  estaba  relacionada  con</w:t>
        <w:br/>
        <w:t>“cuándo se había aprobado el proyecto, cuáles las empresas,  los  flujos  de</w:t>
        <w:br/>
        <w:t>inversiones que se habían hecho hasta la fecha, qué tipo  de  proyecto  era,</w:t>
        <w:br/>
        <w:t>su localización, etc.”.</w:t>
        <w:br/>
        <w:br/>
        <w:t>En cuanto a la información que originó la controversia, como  Vicepresidente</w:t>
        <w:br/>
        <w:t>no suministró la  información  solicitada  en  el  punto  3  del  pedido  de</w:t>
        <w:br/>
        <w:t>información, dado que “el Comité de  Inversión  Extranjera  […]  no  entregó</w:t>
        <w:br/>
        <w:t>antecedentes financieros propios de la  empresa  teniendo  presente  que  la</w:t>
        <w:br/>
        <w:t>entrega de aquellos antecedentes iba contra el interés colectivo”,  el  cual</w:t>
        <w:br/>
        <w:t>era “el desarrollo del país”. “[N]o podía darse el caso de que las  empresas</w:t>
        <w:br/>
        <w:t>extranjeras que acudían al Comité de Inversiones  Extranjeras  tuvieran  que</w:t>
        <w:br/>
        <w:t>hacer públic[a] de esa forma  información  financiera,  que  podía  ser  muy</w:t>
        <w:br/>
        <w:t>relevante para ellos en relación a su  competencia,  y  por  lo  tanto  ello</w:t>
        <w:br/>
        <w:t>podría inhibir el  proceso  de  inversión  extranjera”.   No  suministró  la</w:t>
        <w:br/>
        <w:t>información solicitada en el punto 6, dado que “no existía”  la  información</w:t>
        <w:br/>
        <w:t>de los antecedentes que podría solicitar el Comité a otras instituciones,  y</w:t>
        <w:br/>
        <w:t>el Comité  no  tenía  función  policial;  y  no  suministró  la  información</w:t>
        <w:br/>
        <w:t>solicitada en el punto 7, dado que “[e]l Comité de  Inversiones  Extranjeras</w:t>
        <w:br/>
        <w:t>no tenía la función ni la capacidad propia para  evaluar  cada  proyecto  en</w:t>
        <w:br/>
        <w:t>sus méritos; contaba con algo más de  20  funcionarios,  y  no  era  tampoco</w:t>
        <w:br/>
        <w:t>necesario dado que lo que hace el Comité de Inversiones Extranjeras  es  que</w:t>
        <w:br/>
        <w:t>autoriza el ingreso de los capitales y el tratamiento  de  los  capitales  y</w:t>
        <w:br/>
        <w:t>hay una institucionalidad  propia  del  país  en  cada  uno  de  los  campos</w:t>
        <w:br/>
        <w:t>sectoriales”. La  negación  de  dicha  información  no  fue  consultada  con</w:t>
        <w:br/>
        <w:t>anterioridad  a  la  empresa  Trillium,  sino  que  se  fundamentó  en  “una</w:t>
        <w:br/>
        <w:t>política”  y  en  la  práctica  ejercida  por  el  Comité   de   Inversiones</w:t>
        <w:br/>
        <w:t>Extranjeras y por su Vicepresidencia Ejecutiva.</w:t>
        <w:br/>
        <w:br/>
        <w:t>En lo concerniente al mecanismo de responder a  solicitudes  de  información</w:t>
        <w:br/>
        <w:t>recibidas por el Comité,  la  práctica  era  responder  a  la  petición  por</w:t>
        <w:br/>
        <w:t>escrito. En este  caso  se  “respondió  con  una  reunión  y  con  un  fax”,</w:t>
        <w:br/>
        <w:t>posteriormente “hubo cartas […] que se contestaron  mediante  conversaciones</w:t>
        <w:br/>
        <w:t>verbales”, es decir, “hubo [un] contacto de carácter personal”  y,  por  tal</w:t>
        <w:br/>
        <w:t>razón, no se consideró “la necesidad de formalizar esa vinculación”.  Afirmó</w:t>
        <w:br/>
        <w:t>que “las preguntas por escrito deben responderse por escrito,  y  si  no  se</w:t>
        <w:br/>
        <w:t>hizo en toda su extensión es  un  error  del  cual  [él  era]  culpable,  de</w:t>
        <w:br/>
        <w:t>carácter administrativo”.</w:t>
        <w:br/>
        <w:br/>
        <w:br/>
        <w:br/>
        <w:t xml:space="preserve">                                  PERITAJES</w:t>
        <w:br/>
        <w:br/>
        <w:t>a)    Propuesto por la Comisión</w:t>
        <w:br/>
        <w:br/>
        <w:t xml:space="preserve">      1.    Ernesto Villanueva, abogado</w:t>
        <w:br/>
        <w:br/>
        <w:br/>
        <w:t>“El artículo 13 de la Convención ha sido interpretado sistemáticamente  como</w:t>
        <w:br/>
        <w:t>fuente de lo que sería una de las vertientes del  derecho  de  acceso  a  la</w:t>
        <w:br/>
        <w:t>información pública”.  “Por un lado [el...] desarrollo  humano  […]  va  […]</w:t>
        <w:br/>
        <w:t>generando mayor exigencia [sobre] el espíritu de  la  norma  [y,]  por  otro</w:t>
        <w:br/>
        <w:t>lado[, …] el derecho de acceso  a  la  información  pública  supone  que  el</w:t>
        <w:br/>
        <w:t>titular del derecho […] es [la sociedad] y que […] las autoridades  […]  del</w:t>
        <w:br/>
        <w:t>Estado [son] los depositarios de [una] información que no le[s]  pertenece”.</w:t>
        <w:br/>
        <w:br/>
        <w:br/>
        <w:t>Una adecuada ley de acceso a la  información  pública  debería  contener  un</w:t>
        <w:br/>
        <w:t>amplio número de  sujetos  obligados  a  informar  y  los  peticionarios  no</w:t>
        <w:br/>
        <w:t>deberían acreditar razones para motivar su petición,  ya  que  se  trata  de</w:t>
        <w:br/>
        <w:t>información pública y, por ende, de un  derecho  humano  fundamental.   Otro</w:t>
        <w:br/>
        <w:t>elemento importante es que al momento  de  clasificar  la  información  como</w:t>
        <w:br/>
        <w:t>reservada, se debería invocar la causal de excepción de manera  puntual,  se</w:t>
        <w:br/>
        <w:t>debería demostrar que existe un daño probable y  posible  que  afectaría  el</w:t>
        <w:br/>
        <w:t>interés general y la  excepción  invocada  y,  por  tanto,  se  tendría  que</w:t>
        <w:br/>
        <w:t>explicar cuál es la razón por la cual no se debe  liberar  esa  información.</w:t>
        <w:br/>
        <w:t>Además, debería demostrarse que ese  daño  sería  superior  al  derecho  del</w:t>
        <w:br/>
        <w:t>público de conocer esa información por “razones de interés  público”.   Sólo</w:t>
        <w:br/>
        <w:t>de esa forma se podrá diferenciar una reserva por  cuestiones  de  criterios</w:t>
        <w:br/>
        <w:t>políticos  de  una  reserva  en  que   efectivamente  se  ponen  en   riesgo</w:t>
        <w:br/>
        <w:t>cuestiones de interés público que deben preservarse como  una  excepción  al</w:t>
        <w:br/>
        <w:t>acceso a la información. La  ley  tendría  que  disponer  instituciones  que</w:t>
        <w:br/>
        <w:t>garanticen su cumplimiento.</w:t>
        <w:br/>
        <w:br/>
        <w:t>Los países más modernos han introducido medidas legales como  la  obligación</w:t>
        <w:br/>
        <w:t>de tener una minuta puntual de todas las actividades que se llevan  a  cabo,</w:t>
        <w:br/>
        <w:t>así como el darle al órgano  regulador  facultades  de  investigación  y  de</w:t>
        <w:br/>
        <w:t>contrastación  que  permitan  verificar  si  se  trata  de   una   verdadera</w:t>
        <w:br/>
        <w:t>inexistencia de la información o  si  se  trata  de  un  mecanismo  para  no</w:t>
        <w:br/>
        <w:t>otorgarla al peticionario.</w:t>
        <w:br/>
        <w:br/>
        <w:t>En cuanto a este caso concreto, el Comité de Inversiones Extranjeras  no  se</w:t>
        <w:br/>
        <w:t>ajustó a los parámetros internacionales.  Las modificaciones realizadas  por</w:t>
        <w:br/>
        <w:t>Chile a su legislación no se ajustan a dichos parámetros, ya  que  debido  a</w:t>
        <w:br/>
        <w:t>los vacíos de la ley, el Estado logra invocar  una  serie  de  elementos  de</w:t>
        <w:br/>
        <w:t>discrecionalidad  al  interpretar  las  excepciones  para  no   otorgar   la</w:t>
        <w:br/>
        <w:t>información solicitada.</w:t>
        <w:br/>
        <w:br/>
        <w:t>El problema de la discrecionalidad poco  a  poco  se  ha  ido  reduciendo  a</w:t>
        <w:br/>
        <w:t>través de mecanismos legales. Con más frecuencia se puede  observar  en  las</w:t>
        <w:br/>
        <w:t>distintas legislaciones la gran capacidad del Estado de  invocar  una  serie</w:t>
        <w:br/>
        <w:t>de elementos ante el vacío de la ley. En algunos países se han  implementado</w:t>
        <w:br/>
        <w:t>elementos  que  encarezcan  esa   posibilidad   de   discrecionalidad.   Las</w:t>
        <w:br/>
        <w:t>excepciones a la  entrega  de  información  pública  deberían  ser  mínimas,</w:t>
        <w:br/>
        <w:t>establecidas por ley y reglamentadas al máximo posible, para evitar  que  la</w:t>
        <w:br/>
        <w:t>información  de  interés  público  sea  incorporada  en  alguna  de   dichas</w:t>
        <w:br/>
        <w:t>excepciones. “El punto central es lograr  que  a  través  de  las  leyes  de</w:t>
        <w:br/>
        <w:t>acceso a la información pública se puedan  tener  resultados  concretos  con</w:t>
        <w:br/>
        <w:t>informes y datos que permitan a  la  sociedad  ejercer  un  escrutinio,  […]</w:t>
        <w:br/>
        <w:t>lograr el combate a la corrupción, […] satisfacer intereses personales,  […]</w:t>
        <w:br/>
        <w:t>ejercer derechos y […] cumplir obligaciones”.</w:t>
        <w:br/>
        <w:br/>
        <w:br/>
        <w:t>b)    Propuesto por el representante de las presuntas víctimas</w:t>
        <w:br/>
        <w:br/>
        <w:t xml:space="preserve">      2.    Roberto Mayorga Lorca, abogado y fiscal y vicepresidente del CIE</w:t>
        <w:br/>
        <w:t xml:space="preserve">      de 1990 a 1994</w:t>
        <w:br/>
        <w:br/>
        <w:t>Las atribuciones y obligaciones del Comité  de  Inversiones  Extranjeras  en</w:t>
        <w:br/>
        <w:t>virtud del artículo 15 del Decreto Ley Nº 600 (Estatuto  de  Inversión)  son</w:t>
        <w:br/>
        <w:t>estudiar e  informar  las  solicitudes  de  inversión,  lo  que  equivale  a</w:t>
        <w:br/>
        <w:t>investigar en Chile y en el  extranjero  la  idoneidad  y  seriedad  de  los</w:t>
        <w:br/>
        <w:t>peticionarios  que  presentan  las  solicitudes.  Igualmente  el  CIE   debe</w:t>
        <w:br/>
        <w:t>“denunciar ante los poderes y organismos públicos competentes los delitos  e</w:t>
        <w:br/>
        <w:t>infracciones de [los cuales] tom[a] conocimiento”.  De  acuerdo  al  Decreto</w:t>
        <w:br/>
        <w:t>Ley Nº 600, el Comité está obligado no sólo a analizar la  transferencia  de</w:t>
        <w:br/>
        <w:t>capitales sino también la idoneidad del inversionista, sobre la base de  los</w:t>
        <w:br/>
        <w:t>antecedentes recopilados luego de presentarse la solicitud y sobre  la  base</w:t>
        <w:br/>
        <w:t>de  su  propio  criterio.  A  pesar  de  no  tener  una  “red   externa   de</w:t>
        <w:br/>
        <w:t>investigación”, el CIE mantenía una conexión con la  policía  internacional,</w:t>
        <w:br/>
        <w:t>la cual verificaba si había algún antecedente de carácter  ilícito  respecto</w:t>
        <w:br/>
        <w:t>de los peticionarios de la inversión.</w:t>
        <w:br/>
        <w:br/>
        <w:t>Una vez presentada la solicitud, toda la  documentación  recopilada  por  el</w:t>
        <w:br/>
        <w:t>Comité formaba parte de un expediente que estudiaba el  Departamento  Legal,</w:t>
        <w:br/>
        <w:t>el cual decidía mediante un informe si procedía o no la inversión. Si  dicho</w:t>
        <w:br/>
        <w:t>informe era positivo, el Comité de Inversiones Extranjeras, reunido con  los</w:t>
        <w:br/>
        <w:t>ministros,  el  fiscal  y  el  vicepresidente,  decidían  la  aprobación   o</w:t>
        <w:br/>
        <w:t>reprobación del proyecto.</w:t>
        <w:br/>
        <w:br/>
        <w:br/>
        <w:t>c)    Propuesto por el Estado</w:t>
        <w:br/>
        <w:br/>
        <w:t xml:space="preserve">      3.    Carlos Carmona Santander, abogado</w:t>
        <w:br/>
        <w:br/>
        <w:t>En el año 2005 la Constitución de la República se reformó y “se  introdu[jo]</w:t>
        <w:br/>
        <w:t>por primera vez en [el] sistema [chileno] una normativa  aplicable  a  todos</w:t>
        <w:br/>
        <w:t>los órganos del Estado, [que] establec[ió] la  obligación  de  entregar  [al</w:t>
        <w:br/>
        <w:t>peticionario] la información que [fuere] requerida”.  Hasta ese  momento  el</w:t>
        <w:br/>
        <w:t>derecho de acceso a la información estaba regulado en  una  norma  legal,  y</w:t>
        <w:br/>
        <w:t>con la reforma pasó a ser regulado directamente por la Constitución como  un</w:t>
        <w:br/>
        <w:t>principio aplicable a  todos  los  órganos  estatales.  Dicha  normativa  se</w:t>
        <w:br/>
        <w:t>establece  en  el  primer  título  de  la  Constitución  que  es   base   de</w:t>
        <w:br/>
        <w:t>interpretación para todos  los  demás  títulos  que  regulan  las  distintas</w:t>
        <w:br/>
        <w:t>potestades y derechos de las personas.</w:t>
        <w:br/>
        <w:br/>
        <w:t>Esta regulación constitucional establece que se puede negar la  petición  de</w:t>
        <w:br/>
        <w:t>información por  el secreto o la reserva, el cual se puede disponer por  una</w:t>
        <w:br/>
        <w:t>serie de causales como  las  siguientes:  cuando  la  publicidad  afecta  el</w:t>
        <w:br/>
        <w:t>debido cumplimiento de las funciones de los órganos;  cuando  la  publicidad</w:t>
        <w:br/>
        <w:t>afecta los derechos de las  personas;  y  cuando  la  publicidad  afecta  la</w:t>
        <w:br/>
        <w:t>seguridad de la  nación  o  el  interés  nacional.  Hay  una  transformación</w:t>
        <w:br/>
        <w:t>radical en esta materia porque las causales están  señaladas  en  la  propia</w:t>
        <w:br/>
        <w:t>Constitución y son reguladas por una ley de quórum  calificado  (mayoría  de</w:t>
        <w:br/>
        <w:t>diputados y senadores en ejercicio).</w:t>
        <w:br/>
        <w:br/>
        <w:t>Se refirió a los recursos judiciales dispuestos para proteger el  derecho  a</w:t>
        <w:br/>
        <w:t>acceder a la  información  pública.  Actualmente  existen  recursos  legales</w:t>
        <w:br/>
        <w:t>específicos de acceso a la información administrativa, los cuales no  tienen</w:t>
        <w:br/>
        <w:t>plazo y permiten que se discuta la calificación de  la  Administración  para</w:t>
        <w:br/>
        <w:t>determinar si ésta se  ajusta  o  no  a  las  causales  que  permiten  negar</w:t>
        <w:br/>
        <w:t>información. Igualmente  se  refirió  a  las  sanciones  disciplinarias  que</w:t>
        <w:br/>
        <w:t>contiene la Ley de  Probidad  de  1999,  aplicada  a  los  funcionarios  que</w:t>
        <w:br/>
        <w:t>deniegan sin justa causa la información solicitada.</w:t>
        <w:br/>
        <w:br/>
        <w:t>En cuanto a la protección de  derecho  del  acceso  a  la  información,  los</w:t>
        <w:br/>
        <w:t>ciudadanos cuentan con las siguientes  garantías:  el  derecho  a  pedir  el</w:t>
        <w:br/>
        <w:t>acceso a la información sin costo, salvo el de la fotocopia  respectiva;  la</w:t>
        <w:br/>
        <w:t>impugnabilidad mediante los recursos comunes administrativos;  los  recursos</w:t>
        <w:br/>
        <w:t>comunes ante  los  tribunales;  los  recursos  especiales;  y  el  requisito</w:t>
        <w:br/>
        <w:t>legislativo  de  quórum  calificado  en  el  Congreso  para  establecer  las</w:t>
        <w:br/>
        <w:t>restricciones al derecho.</w:t>
        <w:br/>
        <w:br/>
        <w:br/>
        <w:t xml:space="preserve">                         C) Valoración de la Prueba</w:t>
        <w:br/>
        <w:br/>
        <w:br/>
        <w:br/>
        <w:t>Valoración de Prueba Documental</w:t>
        <w:br/>
        <w:br/>
        <w:br/>
        <w:t>50.    En  este  caso,  como  en  otros[2],  el  Tribunal  admite  el  valor</w:t>
        <w:br/>
        <w:t>probatorio  de  aquellos  documentos  presentados  por  las  partes  en   su</w:t>
        <w:br/>
        <w:t>oportunidad procesal o como  prueba  para  mejor  resolver,  que  no  fueron</w:t>
        <w:br/>
        <w:t>controvertidos ni objetados, ni cuya autenticidad fue puesta en  duda.   Por</w:t>
        <w:br/>
        <w:t>otra parte, la Corte  admite,  de  conformidad  con  el  artículo  44.3  del</w:t>
        <w:br/>
        <w:t>Reglamento, los documentos remitidos por el representante de  las  presuntas</w:t>
        <w:br/>
        <w:t>víctimas el 13 de marzo de 2006 (supra párr. 27),  con  posterioridad  a  la</w:t>
        <w:br/>
        <w:t>presentación del escrito de solicitudes y argumentos, así  como  la  versión</w:t>
        <w:br/>
        <w:t>en español de uno de dichos documentos, presentada el 24  de  mayo  de  2006</w:t>
        <w:br/>
        <w:t>(supra párr. 37), tomando en cuenta las  observaciones  presentadas  por  el</w:t>
        <w:br/>
        <w:t>Estado  (supra  párr.  29)  y  valorándolas  en  el  conjunto   del   acervo</w:t>
        <w:br/>
        <w:t>probatorio.</w:t>
        <w:br/>
        <w:br/>
        <w:t>51.   En cuanto a las declaraciones escritas rendidas por los testigos  Luis</w:t>
        <w:br/>
        <w:t>Sebastián Cox Urrejola, Arturo Longton Guerrero,  Andrés  Emilio  Culagovski</w:t>
        <w:br/>
        <w:t>Rubio, y Liliana Guiditta Macchiavelo Martini,  así  como  por  los  peritos</w:t>
        <w:br/>
        <w:t>Claudio  Francisco  Castillo  Castillo,  Tomás  Vial  Solar,  Miguel   Ángel</w:t>
        <w:br/>
        <w:t>Fernández González y Davor Harasic Yaksic (supra párrs. 26 y  27)  la  Corte</w:t>
        <w:br/>
        <w:t>las estima pertinentes en cuanto se ajusten al objeto que fue  definido  por</w:t>
        <w:br/>
        <w:t>el Tribunal en la Resolución en que  ordenó  recibirlas  (supra  párr.  23),</w:t>
        <w:br/>
        <w:t>tomando en cuenta las observaciones presentadas por el Estado  (supra  párr.</w:t>
        <w:br/>
        <w:t>29).  El Tribunal ha admitido en otras ocasiones declaraciones  juradas  que</w:t>
        <w:br/>
        <w:t>no fueron rendidas ante fedatario público, cuando no se afecta la  seguridad</w:t>
        <w:br/>
        <w:t>jurídica y el equilibrio procesal entre las partes[3].</w:t>
        <w:br/>
        <w:br/>
        <w:t>52.   La Corte  incorpora  al  acervo  probatorio,  de  conformidad  con  lo</w:t>
        <w:br/>
        <w:t>dispuesto en el artículo 44.1 del Reglamento, los documentos  remitidos  por</w:t>
        <w:br/>
        <w:t>el representante el 13 de marzo de 2006 (supra párr. 27), cuyo  ofrecimiento</w:t>
        <w:br/>
        <w:t>fue  realizado  por  el  representante  en  su  escrito  de  solicitudes   y</w:t>
        <w:br/>
        <w:t>argumentos y admitido por este Tribunal mediante Resolución de 7 de  febrero</w:t>
        <w:br/>
        <w:t>de 2006 (supra párr. 23).</w:t>
        <w:br/>
        <w:br/>
        <w:t xml:space="preserve">      53.        En aplicación de lo  dispuesto  en  el  artículo  45.2  del</w:t>
        <w:br/>
        <w:t>Reglamento,  la  Corte  incorpora  al  acervo  probatorio   los   documentos</w:t>
        <w:br/>
        <w:t>presentados por la Comisión y por el representante (supra párrs.  41  y  43)</w:t>
        <w:br/>
        <w:t>en respuesta a la solicitud de prueba para mejor resolver realizada  por  el</w:t>
        <w:br/>
        <w:t>Presidente (supra párr. 39), tomando en cuenta las observaciones  realizadas</w:t>
        <w:br/>
        <w:t>por el Estado (supra párrs. 44 y 45).</w:t>
        <w:br/>
        <w:br/>
        <w:t>54.   La Corte agrega al acervo probatorio, de conformidad con  el  artículo</w:t>
        <w:br/>
        <w:t>45.1 del Reglamento y por estimarlos útiles  para  resolver  este  caso,  el</w:t>
        <w:br/>
        <w:t>documento presentado por el representante al finalizar la audiencia  pública</w:t>
        <w:br/>
        <w:t>celebrada el día 3 de abril de 2006 (supra párr. 32), los  presentados  como</w:t>
        <w:br/>
        <w:t>anexos a sus alegatos finales escritos  (supra  párr.  34)  y  el  documento</w:t>
        <w:br/>
        <w:t>remitido el 7 de agosto de 2006 (supra párr.  47),  tomando  en  cuenta  las</w:t>
        <w:br/>
        <w:t>observaciones presentadas por el Estado, y los valora  en  el  conjunto  del</w:t>
        <w:br/>
        <w:t>acervo probatorio, aplicando las reglas de la sana crítica.</w:t>
        <w:br/>
        <w:br/>
        <w:t>55.   Asimismo, en aplicación de  lo  dispuesto  en  el  artículo  45.1  del</w:t>
        <w:br/>
        <w:t>Reglamento, la Corte incorpora al acervo probatorio  del  presente  caso  la</w:t>
        <w:br/>
        <w:t>Constitución Política de Chile, la Ley No. 19.980 de 29 de mayo de 2003,  el</w:t>
        <w:br/>
        <w:t>Decreto Supremo No. 423 de 5 de abril de 1994 y el proyecto de ley  Nº  3773</w:t>
        <w:br/>
        <w:t>disponible en la página web del Senado,  ya  que  resultan  útiles  para  el</w:t>
        <w:br/>
        <w:t>presente caso.</w:t>
        <w:br/>
        <w:br/>
        <w:t>Valoración Prueba Testimonial y Pericial</w:t>
        <w:br/>
        <w:br/>
        <w:t>56.   En relación con las declaraciones rendidas por los testigos y  peritos</w:t>
        <w:br/>
        <w:t>propuestos por las partes (supra párrs. 32  y  49),  los  cuales  no  fueron</w:t>
        <w:br/>
        <w:t>objetadas ni controvertidas, el Tribunal las admite y les  otorga  el  valor</w:t>
        <w:br/>
        <w:t>probatorio correspondiente.  Este  Tribunal  estima  que  las  declaraciones</w:t>
        <w:br/>
        <w:t>testimoniales de los señores Marcel Claude Reyes, Arturo Longton Guerrero  y</w:t>
        <w:br/>
        <w:t>Sebastián Cox Urrejola (supra párrs. 32 y 49), que  resultan  útiles  en  el</w:t>
        <w:br/>
        <w:t>presente  caso,  no  pueden  ser  valoradas  aisladamente  por  tratarse  de</w:t>
        <w:br/>
        <w:t>presuntas víctimas y por tener un interés directo en este caso,  sino  deben</w:t>
        <w:br/>
        <w:t>serlo dentro del conjunto de las pruebas del proceso[4].</w:t>
        <w:br/>
        <w:br/>
        <w:br/>
        <w:t xml:space="preserve">                                     VI</w:t>
        <w:br/>
        <w:t xml:space="preserve">                               HECHOS PROBADOS</w:t>
        <w:br/>
        <w:br/>
        <w:t>57.         Con fundamento en  las  pruebas  aportadas  y  considerando  las</w:t>
        <w:br/>
        <w:t>manifestaciones formuladas por las partes, la Corte considera  probados  los</w:t>
        <w:br/>
        <w:t>siguientes hechos:</w:t>
        <w:br/>
        <w:br/>
        <w:t xml:space="preserve">      El Comité de Inversiones  Extranjeras  y  el  mecanismo  de  inversión</w:t>
        <w:br/>
        <w:t xml:space="preserve">      extranjera regulado por el Decreto Legislativo Nº 600</w:t>
        <w:br/>
        <w:br/>
        <w:t>57.1   El  Decreto  Legislativo  Nº  600  de  1974,  con  texto   refundido,</w:t>
        <w:br/>
        <w:t>coordinado y sistematizado mediante  Decreto  del  Ministerio  de  Economía,</w:t>
        <w:br/>
        <w:t>Fomento y Reconstrucción No. 523 de 3 de septiembre  de  1993,  contiene  el</w:t>
        <w:br/>
        <w:t>Estatuto de la Inversión  Extranjera  en  Chile,  el  cual  es  uno  de  los</w:t>
        <w:br/>
        <w:t>mecanismos  legales  para   materializar   dicha   inversión,   que   otorga</w:t>
        <w:br/>
        <w:t>determinados beneficios al inversor.  Dicho  Decreto  Legislativo  contempla</w:t>
        <w:br/>
        <w:t>la normativa que rige a “las personas naturales y jurídicas  extranjeras,  y</w:t>
        <w:br/>
        <w:t>las chilenas con residencia y domicilio  en  el  exterior,  que  transfieran</w:t>
        <w:br/>
        <w:t>capitales extranjeros a Chile  y  que  celebren  un  contrato  de  inversión</w:t>
        <w:br/>
        <w:t>extranjera”[5].  Dicho  Decreto  regula  la  celebración  de  contratos   de</w:t>
        <w:br/>
        <w:t>inversión  extranjera,  los  derechos  y  deberes  de   los   inversionistas</w:t>
        <w:br/>
        <w:t>extranjeros y los regímenes aplicables a éstos, así como las  funciones  del</w:t>
        <w:br/>
        <w:t>Comité de Inversiones Extranjeras y de la Vicepresidencia Ejecutiva[6].</w:t>
        <w:br/>
        <w:br/>
        <w:t>57.2  El Comité de Inversiones  Extranjeras  “es  una  persona  jurídica  de</w:t>
        <w:br/>
        <w:t>derecho público, funcionalmente descentralizada, con patrimonio propio,  […]</w:t>
        <w:br/>
        <w:t>que se relacionará con el Presidente de  la  República  por  intermedio  del</w:t>
        <w:br/>
        <w:t>Ministerio de Economía, Fomento y Reconstrucción”. El  Comité  se  encuentra</w:t>
        <w:br/>
        <w:t>integrado por: 1) el Ministro de Economía, Fomento y  Reconstrucción,  quien</w:t>
        <w:br/>
        <w:t>preside;  2)  el   Ministro  de  Hacienda;  3)  el  Ministro  de  Relaciones</w:t>
        <w:br/>
        <w:t>Exteriores;  4)  el  Ministro  del  ramo  respectivo  cuando  se  trate   de</w:t>
        <w:br/>
        <w:t>solicitudes de inversiones vinculadas con materias que digan   relación  con</w:t>
        <w:br/>
        <w:t>Ministerios  no  representados  en  este   Comité;   5)   el   Ministro   de</w:t>
        <w:br/>
        <w:t>Planificación y Cooperación,  y  6)  el  Presidente  del  Banco  Central  de</w:t>
        <w:br/>
        <w:t>Chile[7].</w:t>
        <w:br/>
        <w:br/>
        <w:t>57.3  Dicho Comité es “el único organismo autorizado, en representación  del</w:t>
        <w:br/>
        <w:t>Estado de Chile, para aceptar el ingreso de capitales del exterior  acogidos</w:t>
        <w:br/>
        <w:t>al [… D]ecreto ley [Nº 600] y para establecer los términos y condiciones  de</w:t>
        <w:br/>
        <w:t>los respectivos  contratos”  y  se  relacionará  con  el  Presidente  de  la</w:t>
        <w:br/>
        <w:t>República  por  intermedio   del   Ministerio   de   Economía,   Fomento   y</w:t>
        <w:br/>
        <w:t>Reconstrucción. Para el cumplimiento de sus atribuciones y obligaciones  “el</w:t>
        <w:br/>
        <w:t>Comité [de Inversiones Extranjeras] actuará representado por  su  Presidente</w:t>
        <w:br/>
        <w:t>en los casos de […] inversiones que  requieran  de[l]  acuerdo  del  Comité,</w:t>
        <w:br/>
        <w:t>según lo dispuesto en el artículo 16 [de dicho decreto], en caso  contrario,</w:t>
        <w:br/>
        <w:t>actuará representado por su Vicepresidente Ejecutivo”[8].</w:t>
        <w:br/>
        <w:br/>
        <w:t>57.4  La Vicepresidencia Ejecutiva del Comité  de  Inversiones  Extranjeras,</w:t>
        <w:br/>
        <w:t>para  el  cumplimiento  de  sus  atribuciones  y  obligaciones,  tendrá  las</w:t>
        <w:br/>
        <w:t>siguientes funciones: a) recibir, estudiar e  informar  las  solicitudes  de</w:t>
        <w:br/>
        <w:t>inversiones extranjeras y las demás que se presenten a la consideración  del</w:t>
        <w:br/>
        <w:t>Comité; b) actuar como órgano  administrativo  del  Comité,  preparando  los</w:t>
        <w:br/>
        <w:t>antecedentes y estudios que requiera;  c) cumplir funciones de  información,</w:t>
        <w:br/>
        <w:t>registro,  estadística  y   coordinación   respecto   de   las   inversiones</w:t>
        <w:br/>
        <w:t>extranjeras; d) centralizar la información y el resultado  del  control  que</w:t>
        <w:br/>
        <w:t>deban ejercer los organismos  públicos  respecto  de  las  obligaciones  que</w:t>
        <w:br/>
        <w:t>contraigan los  titulares de inversiones extranjeras o las empresas  en  que</w:t>
        <w:br/>
        <w:t>éstos participen  y  denunciar   ante  los  poderes  y  organismos  públicos</w:t>
        <w:br/>
        <w:t>competentes, los delitos  o  infracciones  de  que   tome  conocimiento;  e)</w:t>
        <w:br/>
        <w:t>realizar y agilizar los trámites ante los diferentes  organismos  que  deban</w:t>
        <w:br/>
        <w:t>informar o dar su autorización previa para la  aprobación  de  las  diversas</w:t>
        <w:br/>
        <w:t>solicitudes que el Comité debe resolver y para la debida materialización  de</w:t>
        <w:br/>
        <w:t>los contratos y resoluciones correspondientes; y f) investigar  en  Chile  o</w:t>
        <w:br/>
        <w:t>en el extranjero sobre la  idoneidad  y  seriedad  de  los  peticionarios  o</w:t>
        <w:br/>
        <w:t>interesados[9].</w:t>
        <w:br/>
        <w:br/>
        <w:t>57.5  El Comité de Inversiones Extranjeras recibe solicitudes  de  inversión</w:t>
        <w:br/>
        <w:t>extranjera en Chile a través de su Vicepresidente, a las cuales se  adjuntan</w:t>
        <w:br/>
        <w:t>antecedentes de los  solicitantes.  Cuando  los  solicitantes  son  personas</w:t>
        <w:br/>
        <w:t>jurídicas, los antecedentes consisten,  entre  otros,  en:  nombre  o  razón</w:t>
        <w:br/>
        <w:t>social; tipo  de  sociedad;  nombres  de  principales  accionistas  y  otros</w:t>
        <w:br/>
        <w:t>antecedentes  sociales;   domicilio;   actividad   económica;   antecedentes</w:t>
        <w:br/>
        <w:t>económicos del último año; capital social;  patrimonio;  utilidades;  países</w:t>
        <w:br/>
        <w:t>en  que  tienen  inversiones;  representante  legal  en  Chile;  descripción</w:t>
        <w:br/>
        <w:t>económica  del  proyecto;  sector  económico;  región  de  destino   de   la</w:t>
        <w:br/>
        <w:t>inversión; empleos nuevos que el  proyecto  generará;  mercado  de  destino;</w:t>
        <w:br/>
        <w:t>monto, objeto y composición del aporte; y datos  de  la  sociedad  receptora</w:t>
        <w:br/>
        <w:t>del aporte[10].</w:t>
        <w:br/>
        <w:br/>
        <w:t>Respecto del contrato de inversión para la  realización  del  “Proyecto  Río</w:t>
        <w:br/>
        <w:t>Cóndor”</w:t>
        <w:br/>
        <w:br/>
        <w:t>57.6  El 21 de marzo y 24 de septiembre de 1991  el  Comité  de  Inversiones</w:t>
        <w:br/>
        <w:t>Extranjeras emitió dos acuerdos, mediante los cuales aprobó las  solicitudes</w:t>
        <w:br/>
        <w:t>de inversiones extranjeras formuladas por  las  empresas  Cetec  Engineering</w:t>
        <w:br/>
        <w:t>Company Inc. y Sentarn Enterprises Ltd., para invertir  un  capital  de  US$</w:t>
        <w:br/>
        <w:t>180.000.000 (ciento ochenta millones de dólares de  los  Estados  Unidos  de</w:t>
        <w:br/>
        <w:t>América)[11].</w:t>
        <w:br/>
        <w:br/>
        <w:t>57.7  El 24 de diciembre de 1991 el Estado de Chile celebró un  contrato  de</w:t>
        <w:br/>
        <w:t>inversión extranjera con las sociedades Cetec  Engineering  Company  Inc.  y</w:t>
        <w:br/>
        <w:t>Sentarn  Enterprises  Ltd.  (inversionistas  extranjeros)  y   la   sociedad</w:t>
        <w:br/>
        <w:t>Inversiones Cetec-Sel Chile Limitada  (empresa  receptora).  Dicho  contrato</w:t>
        <w:br/>
        <w:t>fue celebrado de conformidad con el Decreto Ley Nº 600 sobre el Estatuto  de</w:t>
        <w:br/>
        <w:t>Inversión Extranjera, con el objeto de invertir en Chile un capital  de  US$</w:t>
        <w:br/>
        <w:t>180.000.000 (ciento ochenta millones de dólares de  los  Estados  Unidos  de</w:t>
        <w:br/>
        <w:t>América). Dicho contrato establece que el referido capital se  destinaría  a</w:t>
        <w:br/>
        <w:t>“enterar y pagar, en una o más oportunidades” a  la  empresa  receptora  del</w:t>
        <w:br/>
        <w:t>mismo, Inversiones Cetec Cel Chile  Ltda.,  para  que  ésta  lo  utilice  en</w:t>
        <w:br/>
        <w:t>“labores  de  diseño,  construcción  y   operación   de   un   proyecto   de</w:t>
        <w:br/>
        <w:t>industrialización forestal de la duodécima región”, conocido como  “Proyecto</w:t>
        <w:br/>
        <w:t>Río Cóndor”.  El  referido  proyecto  “involucra[ba]  el  desarrollo  de  un</w:t>
        <w:br/>
        <w:t>complejo forestal integrado, compuesto de un aserradero  mecanizado,  planta</w:t>
        <w:br/>
        <w:t>reelaboradora  de  madera,  fabricación  de  chapas   y   tableros,   planta</w:t>
        <w:br/>
        <w:t>recuperadora de astillas [y] planta energética […]”[12]. Dicho proyecto  era</w:t>
        <w:br/>
        <w:t>de “gran impacto ambiental” y generó discusión pública[13].</w:t>
        <w:br/>
        <w:br/>
        <w:t>57.8  El Comité de Inversiones Extranjeras aprobó la solicitud de  inversión</w:t>
        <w:br/>
        <w:t>extranjera con base en el análisis de los  antecedentes  aportados  por  los</w:t>
        <w:br/>
        <w:t>inversionistas[14]. En el marco del referido contrato de inversión se  llegó</w:t>
        <w:br/>
        <w:t>a materializar una inversión de aproximadamente US$  33.729.540  (treinta  y</w:t>
        <w:br/>
        <w:t>tres millones setecientos veintinueve mil  quinientos  cuarenta  dólares  de</w:t>
        <w:br/>
        <w:t>los Estados Unidos de América)[15].</w:t>
        <w:br/>
        <w:br/>
        <w:t>57.9  El 15 de diciembre de  1993,  después  de  diversas  cesiones  de  los</w:t>
        <w:br/>
        <w:t>derechos emanados de dicho contrato a  otras  empresas  que  actuarían  como</w:t>
        <w:br/>
        <w:t>inversionistas extranjeros[16], la empresa receptora  Inversiones  Cetec-Sel</w:t>
        <w:br/>
        <w:t>Chile Ltda. cambió su razón social por la  de  Forestal  Trillium  Ltda  (en</w:t>
        <w:br/>
        <w:t>adelante “Forestal Trillium”), y el 15 de marzo de  1999  cambió  nuevamente</w:t>
        <w:br/>
        <w:t>su razón social a Forestal Savia Limitada[17].</w:t>
        <w:br/>
        <w:br/>
        <w:t>57.10 El 28 de agosto de 2002 y el 10 de octubre de  2003  el  inversionista</w:t>
        <w:br/>
        <w:t>extranjero Bayside Ltd. y el Estado  de  Chile  firmaron  dos  contratos  de</w:t>
        <w:br/>
        <w:t>inversión extranjera, mediante los cuales se autorizó un aporte  de  capital</w:t>
        <w:br/>
        <w:t>de US$ 10.000.000,00 (diez millones de dólares  de  los  Estados  Unidos  de</w:t>
        <w:br/>
        <w:t>América)  y de US$ 5.000.000,00 (cinco millones de dólares  de  los  Estados</w:t>
        <w:br/>
        <w:t>Unidos de América) “destinado[s] a enterar y pagar un aumento de capital  en</w:t>
        <w:br/>
        <w:t>la sociedad denominada FORESTAL  SAVIA  LIMITADA,  antes  FORESTAL  TRILLIUM</w:t>
        <w:br/>
        <w:t>LIMITADA, la  que  se  dedica  a  desarrollar  el  Proyecto  Río  Cóndor  de</w:t>
        <w:br/>
        <w:t>explotación forestal en la Décima Segunda  Región”.  En  dicho  contrato  se</w:t>
        <w:br/>
        <w:t>señaló que la referida autorización  de  inversión  era  “sin  perjuicio  de</w:t>
        <w:br/>
        <w:t>cualesquiera otras que  […]  deb[í]an  ser  otorgadas  por  las  autoridades</w:t>
        <w:br/>
        <w:t>competentes”[18].</w:t>
        <w:br/>
        <w:br/>
        <w:t>57.11 El Proyecto Río Cóndor no se llevó a cabo,  por  lo  cual  la  Empresa</w:t>
        <w:br/>
        <w:t>Forestal Savia Limitada (antes Forestal Trillium), que revestía  la  calidad</w:t>
        <w:br/>
        <w:t>de  “receptora  de  los  flujos  de  capital  de  las  empresas   inversoras</w:t>
        <w:br/>
        <w:t>extranjeras acreditadas”, implementó el referido proyecto[19].</w:t>
        <w:br/>
        <w:br/>
        <w:br/>
        <w:t xml:space="preserve">      Respecto de la solicitud de  información  de  Marcel  Claude  Reyes  y</w:t>
        <w:br/>
        <w:t xml:space="preserve">      Arturo Longton Guerrero al Comité de  Inversiones  Extranjeras   y  la</w:t>
        <w:br/>
        <w:t xml:space="preserve">      respuesta a dicha solicitud</w:t>
        <w:br/>
        <w:br/>
        <w:br/>
        <w:t>57.12 El señor Marcel Claude Reyes es economista.  En  1983  trabajó  en  el</w:t>
        <w:br/>
        <w:t>Banco Central como asesor del Comité de  Inversiones  Extranjeras  y  en  la</w:t>
        <w:br/>
        <w:t>Unidad de Cuentas Ambientales y  fue  Director  Ejecutivo  de  la  Fundación</w:t>
        <w:br/>
        <w:t>Terram desde 1997 hasta 2003. Dicha organización no gubernamental tiene  por</w:t>
        <w:br/>
        <w:t>finalidad, entre otras, promover la capacidad  de  la  sociedad  civil  para</w:t>
        <w:br/>
        <w:t>responder a decisiones públicas sobre inversiones relacionadas  con  el  uso</w:t>
        <w:br/>
        <w:t>de los recursos naturales, así como “participar  activamente  en  el  debate</w:t>
        <w:br/>
        <w:t>público y  en  la  producción  de  información  sólida   científica  […]  en</w:t>
        <w:br/>
        <w:t>relación al desarrollo sustentable en [Chile]”[20].</w:t>
        <w:br/>
        <w:br/>
        <w:t>57.13 El 7 de mayo de 1998 el señor Marcel Claude Reyes, en su  carácter  de</w:t>
        <w:br/>
        <w:t>Director Ejecutivo de la  Fundación  Terram,  remitió  una  comunicación  al</w:t>
        <w:br/>
        <w:t>Vicepresidente Ejecutivo del Comité de Inversiones Extranjeras, mediante  la</w:t>
        <w:br/>
        <w:t>cual  indicó  que  dicha  organización  se  propuso  “evaluar  los  factores</w:t>
        <w:br/>
        <w:t>comerciales, económicos y sociales  del  proyecto  [Río  Cóndor],  medir  el</w:t>
        <w:br/>
        <w:t>impacto sobre el medio ambiente […] y activar el control social respecto  de</w:t>
        <w:br/>
        <w:t>la gestión de los órganos del Estado que tienen o han tenido  injerencia  en</w:t>
        <w:br/>
        <w:t>el desarrollo del proyecto de explotación Río Cóndor”[21].  En  la  referida</w:t>
        <w:br/>
        <w:t>comunicación el Director  Ejecutivo  de  la  Fundación  Terram  solicitó  al</w:t>
        <w:br/>
        <w:t>Comité de Inversiones que suministrara la siguiente información “de  interés</w:t>
        <w:br/>
        <w:t>público”[22]:</w:t>
        <w:br/>
        <w:br/>
        <w:t xml:space="preserve">      “1.   Contratos celebrados entre el Estado de Chile y el Inversionista</w:t>
        <w:br/>
        <w:t xml:space="preserve">      Extranjero referidos al proyecto  denominado  Río  Cóndor,  expresando</w:t>
        <w:br/>
        <w:t xml:space="preserve">      fecha y Notaría en la que se suscribieron y facilitando copia  de  los</w:t>
        <w:br/>
        <w:t xml:space="preserve">      mismos.</w:t>
        <w:br/>
        <w:br/>
        <w:br/>
        <w:t xml:space="preserve">      2.    Identidad de los inversionistas de  este  proyecto,  extranjeros</w:t>
        <w:br/>
        <w:t xml:space="preserve">      y/o nacionales.</w:t>
        <w:br/>
        <w:br/>
        <w:br/>
        <w:t xml:space="preserve">      3.    Antecedentes que el Comité de Inversiones Extranjeras tuvo a  la</w:t>
        <w:br/>
        <w:t xml:space="preserve">      vista, en Chile y en  el  extranjero,  para  asegurar  la  seriedad  e</w:t>
        <w:br/>
        <w:t xml:space="preserve">      idoneidad de (los) Inversionista(s) y los acuerdos de dicho Comité  en</w:t>
        <w:br/>
        <w:t xml:space="preserve">      que se tuvieron dichos antecedentes por suficientes.</w:t>
        <w:br/>
        <w:br/>
        <w:br/>
        <w:t xml:space="preserve">      4.    Monto total  de  la  inversión  autorizada  relacionada  con  el</w:t>
        <w:br/>
        <w:t xml:space="preserve">      Proyecto denominado Río Cóndor, forma y plazos de ingreso del  capital</w:t>
        <w:br/>
        <w:t xml:space="preserve">      y existencia de créditos asociados a la misma.</w:t>
        <w:br/>
        <w:br/>
        <w:br/>
        <w:t xml:space="preserve">      5.    Capital  efectivamente  ingresado  al  país  a  la  fecha,  como</w:t>
        <w:br/>
        <w:t xml:space="preserve">      capitales propios, aportes de capital y créditos asociados.</w:t>
        <w:br/>
        <w:br/>
        <w:br/>
        <w:t xml:space="preserve">      6.    Información que obre en poder del Comité y/o que haya  demandado</w:t>
        <w:br/>
        <w:t xml:space="preserve">      a otras entidades públicas o privadas referida al control respecto  de</w:t>
        <w:br/>
        <w:t xml:space="preserve">      las  obligaciones  que  contraigan  los   titulares   de   inversiones</w:t>
        <w:br/>
        <w:t xml:space="preserve">      extranjeras o las empresas que estos participen  y  si  el  Comité  ha</w:t>
        <w:br/>
        <w:t xml:space="preserve">      tomado conocimiento de alguna infracción o delito.</w:t>
        <w:br/>
        <w:br/>
        <w:br/>
        <w:t xml:space="preserve">      7.    Información respecto de si  el  Vicepresidente  Ejecutivo  de[l]</w:t>
        <w:br/>
        <w:t xml:space="preserve">      Comité ha ejercido la atribución que le confiere el  artículo  15  bis</w:t>
        <w:br/>
        <w:t xml:space="preserve">      del D[ecreto Ley Nº] 600, en el sentido  de  solicitar  de  todos  los</w:t>
        <w:br/>
        <w:t xml:space="preserve">      servicios o empresas de los sectores público y privado, los informes y</w:t>
        <w:br/>
        <w:t xml:space="preserve">      antecedentes que requiera para el cumplimiento de los fines del Comité</w:t>
        <w:br/>
        <w:t xml:space="preserve">      y en el evento que así fuera, poner  la  misma  a  disposición  de  la</w:t>
        <w:br/>
        <w:t xml:space="preserve">      Fundación”[23].</w:t>
        <w:br/>
        <w:br/>
        <w:t>57.14 El 19 de mayo de  1998  el  Vicepresidente  Ejecutivo  del  Comité  de</w:t>
        <w:br/>
        <w:t>Inversiones Extranjeras se reunió con el señor Marcel Claude Reyes y con  el</w:t>
        <w:br/>
        <w:t>diputado Arturo Longton Guerrero[24].  El  referido  Vicepresidente  entregó</w:t>
        <w:br/>
        <w:t>“una hoja conteniendo tanto el nombre del inversionista,  su  razón  social,</w:t>
        <w:br/>
        <w:t>como el capital que había solicitado ingresar al país”[25], cuándo se  había</w:t>
        <w:br/>
        <w:t>aprobado el proyecto, cuáles eran las empresas, los  flujos  de  inversiones</w:t>
        <w:br/>
        <w:t>que se habían  hecho  hasta  la  fecha,  qué  tipo  de  proyecto  era  y  su</w:t>
        <w:br/>
        <w:t>localización[26].</w:t>
        <w:br/>
        <w:br/>
        <w:t>57.15 El 19 de mayo de  1998  el  Vicepresidente  Ejecutivo  del  Comité  de</w:t>
        <w:br/>
        <w:t>Inversiones  Extranjeras  remitió  al  señor   Marcel   Claude   Reyes   una</w:t>
        <w:br/>
        <w:t>comunicación de una página, vía facsimilar, mediante la cual  manifestó  que</w:t>
        <w:br/>
        <w:t>“[d]e acuerdo a lo conversado,  efectivamente  las  cifras  entregadas  sólo</w:t>
        <w:br/>
        <w:t>corresponden a capital, que e[ra] lo único que  se  ha[bía]  materializado[,</w:t>
        <w:br/>
        <w:t>que e]l Proyecto t[enía] autorización  para  ingresar  ‘créditos  asociados’</w:t>
        <w:br/>
        <w:t>por US$102.000.000 pero no ha[bía] hecho uso de tal autorización[, y que  el</w:t>
        <w:br/>
        <w:t>capital] autorizado correspond[ía] a un total de US$ 78.500.000” [27].</w:t>
        <w:br/>
        <w:br/>
        <w:t>57.16 Los días 3 de junio y 2 de julio de 1998 el señor Marcel Claude  Reyes</w:t>
        <w:br/>
        <w:t>remitió  dos  comunicaciones  al  Vicepresidente  Ejecutivo  del  Comité  de</w:t>
        <w:br/>
        <w:t>Inversiones  Extranjeras,  mediante  las  cuales  reiteró   su   pedido   de</w:t>
        <w:br/>
        <w:t>información,  con  base  en  “la  obligación  de  transparencia  a  que   se</w:t>
        <w:br/>
        <w:t>encuentra[n] sujet[os] los agentes del Estado y el derecho de acceso a  [la]</w:t>
        <w:br/>
        <w:t>información pública tal cual se encuentra contemplado en  [la]  Constitución</w:t>
        <w:br/>
        <w:t>Política  del  Estado  y  en  los  tratados  internacionales   suscritos   y</w:t>
        <w:br/>
        <w:t>ratificados por Chile”. Además, en dichas  comunicaciones  el  señor  Claude</w:t>
        <w:br/>
        <w:t>Reyes indicó que “no se ha[bía] recibido respuesta por  parte  de[l]  Comité</w:t>
        <w:br/>
        <w:t>de Inversiones Extranjeras frente a la solicitud  planteada”  y  no  realizó</w:t>
        <w:br/>
        <w:t>indicación alguna sobre la información que ya había  sido  entregada  (supra</w:t>
        <w:br/>
        <w:t>párr. 57.14 y 57.15)[28].</w:t>
        <w:br/>
        <w:br/>
        <w:t>57.17 El Vicepresidente del Comité de Inversiones Extranjeras no adoptó  una</w:t>
        <w:br/>
        <w:t>decisión escrita en la cual  fundamentara  la  denegatoria  de  entregar  la</w:t>
        <w:br/>
        <w:t>información solicitada en los puntos 3, 6 y  7  del  pedido  de  información</w:t>
        <w:br/>
        <w:t>original (supra párr. 57.13)[29].</w:t>
        <w:br/>
        <w:br/>
        <w:t>57.18 En el  procedimiento  ante  la  Comisión  Interamericana  de  Derechos</w:t>
        <w:br/>
        <w:t>Humanos (supra párr. 13), el 30 de junio de 2005  el  Estado  remitió  a  la</w:t>
        <w:br/>
        <w:t>Comisión Interamericana copia de los contratos de inversión extranjera y  de</w:t>
        <w:br/>
        <w:t>cesión relativos al proyecto “Río Condor”[30].</w:t>
        <w:br/>
        <w:br/>
        <w:t>57.19 El Estado entregó a los señores Claude Reyes y  Longton  Guerrero,  de</w:t>
        <w:br/>
        <w:t>forma oral o escrita, la información correspondiente a la solicitada en  los</w:t>
        <w:br/>
        <w:t>puntos 1, 2,  4  y  5  del  pedido  de  información  original  (supra  párr.</w:t>
        <w:br/>
        <w:t>57.13)[31].</w:t>
        <w:br/>
        <w:br/>
        <w:t>57.20 El 3 de abril de  2006  el  Vicepresidente  Ejecutivo  del  Comité  de</w:t>
        <w:br/>
        <w:t>Inversiones Extranjeras en la época en que el señor  Claude  Reyes  presentó</w:t>
        <w:br/>
        <w:t>su  solicitud  de  información,  manifestó  durante  la  audiencia   pública</w:t>
        <w:br/>
        <w:t>celebrada ante la Corte Interamericana, inter alia,  que  no  suministró  la</w:t>
        <w:br/>
        <w:t>información solicitada:</w:t>
        <w:br/>
        <w:br/>
        <w:br/>
        <w:t xml:space="preserve">   a) en el punto 3 (supra párr. 57.13), ya que “el  Comité  de  Inversiones</w:t>
        <w:br/>
        <w:t xml:space="preserve">   Extranjeras […] no entregó antecedentes financieros propios de la empresa</w:t>
        <w:br/>
        <w:t xml:space="preserve">   teniendo presente que la entrega de aquellos antecedentes iba  contra  el</w:t>
        <w:br/>
        <w:t xml:space="preserve">   interés colectivo”, el cual era “el desarrollo del  país”.   “[N]o  podía</w:t>
        <w:br/>
        <w:t xml:space="preserve">   darse el caso de que las empresas extranjeras que acudían  al  Comité  de</w:t>
        <w:br/>
        <w:t xml:space="preserve">   Inversiones Extranjeras tuvieran que hacer pública esa forma  información</w:t>
        <w:br/>
        <w:t xml:space="preserve">   financiera, que podía ser muy relevante  para  ellos  en  relación  a  su</w:t>
        <w:br/>
        <w:t xml:space="preserve">   competencia y, por lo tanto, ello podría inhibir el proceso de  inversión</w:t>
        <w:br/>
        <w:t xml:space="preserve">   extranjera”.  Era una práctica del Comité de Inversiones  no  entregar  a</w:t>
        <w:br/>
        <w:t xml:space="preserve">   terceros la información financiera de la empresa que pudiera afectarla en</w:t>
        <w:br/>
        <w:t xml:space="preserve">   su competencia. El Comité y el Vicepresidente definían qué era de interés</w:t>
        <w:br/>
        <w:t xml:space="preserve">   colectivo;</w:t>
        <w:br/>
        <w:br/>
        <w:br/>
        <w:t xml:space="preserve">   b) en  el  punto  6  (supra  párr.  57.13),  dado  que  “no  existía”  la</w:t>
        <w:br/>
        <w:t xml:space="preserve">   información de los antecedentes que podría solicitar el  Comité  a  otras</w:t>
        <w:br/>
        <w:t xml:space="preserve">   instituciones, y el Comité “no es un organismo de carácter policial”; y</w:t>
        <w:br/>
        <w:br/>
        <w:br/>
        <w:t xml:space="preserve">   c) en  el  punto  7  (supra  párr.  57.13),  dado  que  “[e]l  Comité  de</w:t>
        <w:br/>
        <w:t xml:space="preserve">   Inversiones Extranjeras no tenía la función ni la capacidad  propia  para</w:t>
        <w:br/>
        <w:t xml:space="preserve">   evaluar cada proyecto  en  sus  méritos,  contaba  con  algo  más  de  20</w:t>
        <w:br/>
        <w:t xml:space="preserve">   funcionarios, y no era tampoco necesario dado que lo que hace  el  Comité</w:t>
        <w:br/>
        <w:t xml:space="preserve">   de Inversiones Extranjeras es que autoriza el ingreso de los capitales  y</w:t>
        <w:br/>
        <w:t xml:space="preserve">   el tratamiento de los capitales y hay una  institucionalidad  propia  del</w:t>
        <w:br/>
        <w:t xml:space="preserve">   país en cada uno de los campos sectoriales”[32].</w:t>
        <w:br/>
        <w:br/>
        <w:br/>
        <w:br/>
        <w:t xml:space="preserve">      Respecto  de  la  práctica  de  la  Vicepresidencia  del   Comité   de</w:t>
        <w:br/>
        <w:t xml:space="preserve">      Inversiones Extranjeras sobre entrega de información</w:t>
        <w:br/>
        <w:br/>
        <w:t>57.21 La Vicepresidencia Ejecutiva del  Comité  de  Inversiones  Extranjeras</w:t>
        <w:br/>
        <w:t>hasta el 2002 “mantuvo el criterio de entregar sólo información de  la  cual</w:t>
        <w:br/>
        <w:t>era titular”, tenía la práctica de no entregar información  relativa  a  los</w:t>
        <w:br/>
        <w:t>estados  financieros  y  a  los  nombres  de  los  socios  de  una  compañía</w:t>
        <w:br/>
        <w:t>inversora[33], y consideraba que era de “carácter reservado  la  información</w:t>
        <w:br/>
        <w:t>referida  a  terceros,  tales  como  antecedentes   comerciales,   propiedad</w:t>
        <w:br/>
        <w:t>intelectual o industrial, tecnología y en general los aspectos  particulares</w:t>
        <w:br/>
        <w:t>del proyecto de inversión  que  los  inversionistas  extranjeros  pretendían</w:t>
        <w:br/>
        <w:t>desarrollar, […] por tratarse de antecedentes de carácter  privado,  propios</w:t>
        <w:br/>
        <w:t>del inversionista, que de hacerse públicos  podían  lesionar  sus  legítimas</w:t>
        <w:br/>
        <w:t>expectativas comerciales, sin que existiera fuente legal que  permitiera  su</w:t>
        <w:br/>
        <w:t>publicidad”[34].</w:t>
        <w:br/>
        <w:br/>
        <w:t>57.22 El 13 de noviembre de  2002  el  Ministerio  de  Economía,  Fomento  y</w:t>
        <w:br/>
        <w:t>Reconstrucción  dictó la Resolución Exenta No 113, publicada  en  el  Diario</w:t>
        <w:br/>
        <w:t>Oficial el 24 de marzo de 2003. Dicha Resolución establece en su artículo  1</w:t>
        <w:br/>
        <w:t>que “tendrán el carácter secretos  o  reservados  los  actos,  documentos  y</w:t>
        <w:br/>
        <w:t>antecedentes en atención a que su conocimiento o difusión podría afectar  el</w:t>
        <w:br/>
        <w:t>interés público”, enumerando en 5 incisos  los  supuestos  comprendidos  por</w:t>
        <w:br/>
        <w:t>dicha Resolución. Además, en su artículo 2 establece en  qué  supuestos  los</w:t>
        <w:br/>
        <w:t>actos,  documentos  y  antecedentes  tendrán  el  carácter  de  secretos   o</w:t>
        <w:br/>
        <w:t>reservados en atención a que su conocimiento o difusión  podría  afectar  el</w:t>
        <w:br/>
        <w:t>interés privado de los administrados[35].</w:t>
        <w:br/>
        <w:br/>
        <w:br/>
        <w:br/>
        <w:br/>
        <w:br/>
        <w:br/>
        <w:t xml:space="preserve">      Respecto de las actuaciones judiciales</w:t>
        <w:br/>
        <w:br/>
        <w:br/>
        <w:t>57.23 El 27 de julio de 1998 los señores “Marcel Claude Reyes, por sí  y  en</w:t>
        <w:br/>
        <w:t>representación de Fundación Terram, Sebastián Cox  Urrejola,  por  sí  y  en</w:t>
        <w:br/>
        <w:t>representación de la ONG FORJA y Arturo Longton Guerrero, por sí,  y  en  su</w:t>
        <w:br/>
        <w:t>calidad  de  [d]iputado  de  la  República”,  presentaron  un   recurso   de</w:t>
        <w:br/>
        <w:t>protección ante la Corte de Apelaciones de Santiago[36].  Dicho  recurso  se</w:t>
        <w:br/>
        <w:t>fundamentó en la supuesta violación por parte de Chile  al  derecho  de  los</w:t>
        <w:br/>
        <w:t>recurrentes a la libertad de expresión y de acceso a  información  en  poder</w:t>
        <w:br/>
        <w:t>del Estado, garantizado por el artículo 19.12 de  la  Constitución  chilena,</w:t>
        <w:br/>
        <w:t>en relación con el artículo  5.2  de  la  misma;  el  artículo  13.1  de  la</w:t>
        <w:br/>
        <w:t>Convención Americana y el artículo 19.2 del Pacto Internacional de  Derechos</w:t>
        <w:br/>
        <w:t>Civiles y Políticos. Solicitaron a la  referida  Corte  de  Apelaciones  que</w:t>
        <w:br/>
        <w:t>ordenara al Comité de Inversiones Extranjeras que respondiera al  pedido  de</w:t>
        <w:br/>
        <w:t>información  y  pusiera  a  disposición  de  las   presuntas   víctimas   la</w:t>
        <w:br/>
        <w:t>información, en un plazo razonable. En el  texto  del  referido  recurso  de</w:t>
        <w:br/>
        <w:t>protección los recurrentes no hicieron referencia  a  la  reunión  sostenida</w:t>
        <w:br/>
        <w:t>con el Vicepresidente Ejecutivo del Comité de Inversiones Extranjeras, ni  a</w:t>
        <w:br/>
        <w:t>la información que éste  les  habría  proporcionado  (supra  párr.  57.14  y</w:t>
        <w:br/>
        <w:t>57.15).</w:t>
        <w:br/>
        <w:br/>
        <w:t>57.24 El artículo 20 de la Constitución Política de la  República  de  Chile</w:t>
        <w:br/>
        <w:t>regula el recurso de protección, el  cual  puede  ser  interpuesto  por  una</w:t>
        <w:br/>
        <w:t>persona “por sí o por cualquiera a su nombre” ante la Corte  de  Apelaciones</w:t>
        <w:br/>
        <w:t>respectiva, cuando por “causa de actos u omisiones arbitrarios  o  ilegales,</w:t>
        <w:br/>
        <w:t>sufra privación, perturbación o amenaza en  el  legítimo  ejercicio  de  los</w:t>
        <w:br/>
        <w:t>derechos y garantías establecidos en determinados numerales del artículo  19</w:t>
        <w:br/>
        <w:t>específicamente descritos en el artículo 20. Procederá  también  el  recurso</w:t>
        <w:br/>
        <w:t>de protección en el caso del número 8 del artículo 19, cuando el  derecho  a</w:t>
        <w:br/>
        <w:t>vivir en un medio ambiente libre de contaminación sea afectado por  un  acto</w:t>
        <w:br/>
        <w:t>arbitrario e  ilegal  imputable  a  una  autoridad  o  persona  determinada.</w:t>
        <w:br/>
        <w:t>Además, dicho artículo 20 también establece que la referida Corte  “adoptará</w:t>
        <w:br/>
        <w:t>de inmediato las providencias que  juzgue  necesarias  para  restablecer  el</w:t>
        <w:br/>
        <w:t>imperio del derecho y  asegurar  la  debida  protección  del  afectado,  sin</w:t>
        <w:br/>
        <w:t>perjuicio de los demás derechos que pueda hacer valer ante  la  autoridad  o</w:t>
        <w:br/>
        <w:t>los tribunales correspondientes” [37].</w:t>
        <w:br/>
        <w:br/>
        <w:t>57.25 El 29 de julio de 1998 la Corte de Apelaciones de Santiago emitió  una</w:t>
        <w:br/>
        <w:t>resolución, mediante la cual declaró inadmisible el  recurso  de  protección</w:t>
        <w:br/>
        <w:t>interpuesto, con base  en  que  de  “los  hechos  descritos  […]  y  de  los</w:t>
        <w:br/>
        <w:t>antecedentes aparejados  al  recurso,  se  desprende  que  éste  adolece  de</w:t>
        <w:br/>
        <w:t>manifiesta falta de fundamento”.  Además, la  Corte  de  Apelaciones  señaló</w:t>
        <w:br/>
        <w:t>que  tenía  presente  que  “el  recurso  de  protección  tiene  por   objeto</w:t>
        <w:br/>
        <w:t>restablecer el imperio del derecho  cuando  éste  ha  sido  quebrantado  por</w:t>
        <w:br/>
        <w:t>actos u omisiones arbitrarias o ilegales que amenazan,  perturban  o  privan</w:t>
        <w:br/>
        <w:t>del ejercicio legítimo de alguna de las  garantías  taxativamente  numeradas</w:t>
        <w:br/>
        <w:t>en el artículo 20 de la Constitución Política de  la  República,  dejando  a</w:t>
        <w:br/>
        <w:t>salvo las demás acciones legales”. La referida resolución no  contiene  otra</w:t>
        <w:br/>
        <w:t>fundamentación que la señalada anteriormente, y  se  indica  que  se  adopta</w:t>
        <w:br/>
        <w:t>dicha decisión de “conformidad con  lo  dispuesto  en  el  No.  2  del  Auto</w:t>
        <w:br/>
        <w:t>Acordado  de  [la]  Exma.  Corte  Suprema  [publicado  el]  9  de  junio  de</w:t>
        <w:br/>
        <w:t>[1998]”[38].</w:t>
        <w:br/>
        <w:br/>
        <w:t>57.26 El Auto Acordado de la Corte Suprema de Chile “sobre  Tramitación  del</w:t>
        <w:br/>
        <w:t>Recurso de Protección de Garantías Constitucionales” emitido el 24 de  junio</w:t>
        <w:br/>
        <w:t>de 1992, fue modificado por “Auto Acordado sobre  Tramitación  y  Fallo  del</w:t>
        <w:br/>
        <w:t>Recurso de Protección el 4 de mayo de 1998,  publicado  el  9  de  junio  de</w:t>
        <w:br/>
        <w:t>1998. En el No. 2 de este último, la Corte Suprema acordó que: “el  Tribunal</w:t>
        <w:br/>
        <w:t>examinará  si  ha  sido  interpuesto  en  tiempo  y  si  tiene   fundamentos</w:t>
        <w:br/>
        <w:t>suficientes para acogerlo a tramitación.   Si  en  opinión  unánime  de  sus</w:t>
        <w:br/>
        <w:t>integrantes su presentación ha sido extemporánea  o  adolece  de  manifiesta</w:t>
        <w:br/>
        <w:t>falta de fundamento lo declarará  inadmisible  desde  luego  por  resolución</w:t>
        <w:br/>
        <w:t>someramente fundada, la que no será susceptible de recurso alguno, salvo  el</w:t>
        <w:br/>
        <w:t>de reposición ante el mismo tribunal”[39].</w:t>
        <w:br/>
        <w:br/>
        <w:t>57.27 El 31 de julio de 1998 el abogado de las presuntas víctimas  interpuso</w:t>
        <w:br/>
        <w:t>un recurso de reposición ante la Corte de Apelaciones de Santiago,  mediante</w:t>
        <w:br/>
        <w:t>el cual solicitó a dicha Corte “se sirva reponer la resolución de […] 29  de</w:t>
        <w:br/>
        <w:t>julio [de 1998 …] dejándola sin efecto, declarando admisible el [recurso  de</w:t>
        <w:br/>
        <w:t>protección]”[40]. En dicho  recurso,  además  de  exponer  los  alegatos  de</w:t>
        <w:br/>
        <w:t>derecho sobre la supuesta violación del derecho a acceder a  la  información</w:t>
        <w:br/>
        <w:t>solicitada, indicó que dicha resolución no contiene justificación  de  fondo</w:t>
        <w:br/>
        <w:t>relacionada con la declaración de inadmisibilidad y “no se  condice  con  lo</w:t>
        <w:br/>
        <w:t>dispuesto en el No.  2  del  Autoacordado  sobre  Tramitación  y  Fallo  del</w:t>
        <w:br/>
        <w:t>Recurso  de  Protección”,  el  cual   dispone   que   “la   declaración   de</w:t>
        <w:br/>
        <w:t>inadmisibilidad deberá ser  ‘someramente  fundada’”.  En  dicho  recurso  el</w:t>
        <w:br/>
        <w:t>referido abogado señaló que la declaración de inadmisibilidad  “importa  una</w:t>
        <w:br/>
        <w:t>violación a lo dispuesto en el artículo 5 inciso 2 de la  C[onstitución  …,]</w:t>
        <w:br/>
        <w:t>en relación con el artículo 25 de la Convención Americana” .</w:t>
        <w:br/>
        <w:br/>
        <w:t>57.28 El 31 de julio de 1998 el abogado de las presuntas  víctimas  presentó</w:t>
        <w:br/>
        <w:t>un recurso de queja ante  la  Corte  Suprema  de  Chile  en  contra  de  los</w:t>
        <w:br/>
        <w:t>Ministros de la Corte de Apelaciones de Santiago que firmaron la  resolución</w:t>
        <w:br/>
        <w:t>de 29 de julio de 1998 (supra párr. 57.25) y requirió que se dispusiera  que</w:t>
        <w:br/>
        <w:t>“los recurridos informen en el menor tiempo posible, y en definitiva,  hacer</w:t>
        <w:br/>
        <w:t>lugar al mismo, poniendo inmediato remedio al mal que lo motiva,  enmendando</w:t>
        <w:br/>
        <w:t>conforme a derecho  la  resolución  adoptada  con  falta  grave  o  abuso  y</w:t>
        <w:br/>
        <w:t>adoptando las demás medidas que correspondan de acuerdo a la ley”[41].</w:t>
        <w:br/>
        <w:br/>
        <w:t>57.29 El artículo 545 del Código Orgánico de  Tribunales  establece  que  el</w:t>
        <w:br/>
        <w:t>recurso de queja tiene por finalidad “corregir las faltas  o  abusos  graves</w:t>
        <w:br/>
        <w:t>cometidos en la dictación de resoluciones de carácter jurisdiccional”.  Sólo</w:t>
        <w:br/>
        <w:t>procederá cuando la falta o abuso se cometa en sentencia interlocutoria  que</w:t>
        <w:br/>
        <w:t>ponga fin al juicio o haga imposible su continuación o definitiva, y que  no</w:t>
        <w:br/>
        <w:t>sean susceptibles de recurso alguno, ordinario o extraordinario”[42].</w:t>
        <w:br/>
        <w:br/>
        <w:t>57.30 El 6 de agosto de 1998 la Corte de  Apelaciones  de  Santiago  declaró</w:t>
        <w:br/>
        <w:t>“no ha lugar a la reposición solicitada”[43] (supra párr. 57.27).</w:t>
        <w:br/>
        <w:br/>
        <w:t>57.31 El 18 de agosto de  1998  la  Corte  Suprema  declaró  inadmisible  el</w:t>
        <w:br/>
        <w:t>recurso de queja interpuesto  por  el  abogado  de  las  presuntas  víctimas</w:t>
        <w:br/>
        <w:t>(supra párr. 57.28), con base en que “no se da en la especie el  presupuesto</w:t>
        <w:br/>
        <w:t>de admisibilidad”,  dado  que  la  resolución  que  declaró  inadmisible  el</w:t>
        <w:br/>
        <w:t>recurso de protección (supra  párr.  57.25),  de  conformidad  con  el  auto</w:t>
        <w:br/>
        <w:t>acordado sobre tramitación y  fallo  de  dicho  recurso,  era  recurrible  a</w:t>
        <w:br/>
        <w:t>través del recurso de reposición[44].</w:t>
        <w:br/>
        <w:br/>
        <w:br/>
        <w:t xml:space="preserve">      Respecto del marco jurídico del derecho de  acceso  a  la  información</w:t>
        <w:br/>
        <w:t xml:space="preserve">      bajo el control  del  Estado  y  la  reserva  o  secreto  de  actos  y</w:t>
        <w:br/>
        <w:t xml:space="preserve">      documentos en Chile</w:t>
        <w:br/>
        <w:br/>
        <w:t>57.32 La Constitución Política de Chile en su artículo 19 número 12  asegura</w:t>
        <w:br/>
        <w:t>a todas las personas “[l]a libertad de emitir opinión y la de informar,  sin</w:t>
        <w:br/>
        <w:t>censura previa, en cualquier forma y por cualquier medio, sin  perjuicio  de</w:t>
        <w:br/>
        <w:t>responder de los delitos y abusos que se cometan en el  ejercicio  de  estas</w:t>
        <w:br/>
        <w:t>libertades,  en  conformidad  a  la  ley,  la  que  deberá  ser  de   quórum</w:t>
        <w:br/>
        <w:t>calificado”[45].  Dicho  artículo  también  contempla   “[e]l   derecho   de</w:t>
        <w:br/>
        <w:t>presentar peticiones a la  autoridad,  sobre  cualquier  asunto  de  interés</w:t>
        <w:br/>
        <w:t>público o privado, sin otra  limitación  que  la  de  proceder  en  términos</w:t>
        <w:br/>
        <w:t>respetuosos y convenientes”[46].</w:t>
        <w:br/>
        <w:br/>
        <w:t>57.33  La  Ley  Orgánica   Constitucional   de   Bases   Generales   de   la</w:t>
        <w:br/>
        <w:t>Administración del Estado Nº 18.575 de 1986, vigente  en  la  época  de  los</w:t>
        <w:br/>
        <w:t>hechos, no contenía disposiciones que  hicieran  referencia  al  derecho  de</w:t>
        <w:br/>
        <w:t>acceso a la información bajo el control del Estado y  a  los  principios  de</w:t>
        <w:br/>
        <w:t>transparencia  y  publicidad  de  la  Administración.  Dicha   ley   tampoco</w:t>
        <w:br/>
        <w:t>consagraba  un  procedimiento  para  poder  acceder  a  la  información  que</w:t>
        <w:br/>
        <w:t>tuvieran los órganos administrativos[47].</w:t>
        <w:br/>
        <w:br/>
        <w:t>57.34 El 18 de abril de 1994 se publicó en  el  Diario  Oficial  el  Decreto</w:t>
        <w:br/>
        <w:t>Supremo Nº 423, mediante el cual se  creó  la  Comisión  Nacional  de  Ética</w:t>
        <w:br/>
        <w:t>Pública, inter alia, con el propósito de promover  una  reflexión  informada</w:t>
        <w:br/>
        <w:t>sobre el tema de la ética pública,  involucrando  de  manera  activa  a  los</w:t>
        <w:br/>
        <w:t>distintos poderes del Estado y sectores de la ciudadanía. En  dicho  decreto</w:t>
        <w:br/>
        <w:t>se enfatizó la necesidad de “modernizar  la  gestión  pública,  orientar  el</w:t>
        <w:br/>
        <w:t>desarrollo  de  sus  funciones  para  el  cumplimiento  de  sus   objetivos,</w:t>
        <w:br/>
        <w:t>mejorando la eficiencia, la productividad y la calidad de  las  prestaciones</w:t>
        <w:br/>
        <w:t>que otorgan los servicios públicos”[48].</w:t>
        <w:br/>
        <w:br/>
        <w:t>57.35 El 14 de diciembre de 1999 se publicó  en  el  Diario  Oficial  de  la</w:t>
        <w:br/>
        <w:t>República  de  Chile  la  Ley  Nº  19.653  sobre  “Probidad   administrativa</w:t>
        <w:br/>
        <w:t>aplicable a los órganos de la administración del Estado”. La Ley  Nº  19.653</w:t>
        <w:br/>
        <w:t>incorporó los principios de probidad, transparencia y publicidad y  fijó  el</w:t>
        <w:br/>
        <w:t>“derecho a recurrir al juez de letras en lo civil”,  solicitando  amparo  al</w:t>
        <w:br/>
        <w:t>derecho a requerir por escrito cierta información[49].  El 17  de  noviembre</w:t>
        <w:br/>
        <w:t>de 2001 se publicó el Decreto con fuerza de ley (DFL) 1/19.653 que  fijó  el</w:t>
        <w:br/>
        <w:t>“texto refundido, coordinado y sistematizado de la Ley  No.  18.575”  (supra</w:t>
        <w:br/>
        <w:t>párr. 57.33). Dicha ley dispuso, inter alia, que[50]:</w:t>
        <w:br/>
        <w:br/>
        <w:br/>
        <w:t xml:space="preserve">      a)     “son públicos los actos administrativos de los  órganos  de  la</w:t>
        <w:br/>
        <w:t xml:space="preserve">      administración del Estado y los documentos que les sirvan de  sustento</w:t>
        <w:br/>
        <w:t xml:space="preserve">      o complemento directo y esencial”. La publicidad se  “extiende  a  los</w:t>
        <w:br/>
        <w:t xml:space="preserve">      informes  y  antecedentes  que  las  empresas  privadas  que   presten</w:t>
        <w:br/>
        <w:t xml:space="preserve">      servicios de utilidad pública y las empresas a  que  se  refieren  los</w:t>
        <w:br/>
        <w:t xml:space="preserve">      incisos tercero y quinto […] de la Ley […] sobre Sociedades  Anónimas,</w:t>
        <w:br/>
        <w:t xml:space="preserve">      proporcionen a las entidades estatales encargadas de su fiscalización,</w:t>
        <w:br/>
        <w:t xml:space="preserve">      en la medida que sean de interés público, que su difusión no afecte el</w:t>
        <w:br/>
        <w:t xml:space="preserve">      debido funcionamiento  de  la  empresa  y  que  el  titular  de  dicha</w:t>
        <w:br/>
        <w:t xml:space="preserve">      información no haga uso de su derecho a denegar el acceso a la misma”;</w:t>
        <w:br/>
        <w:br/>
        <w:br/>
        <w:t xml:space="preserve">      b)    en caso que la información “no se encuentre  a  disposición  del</w:t>
        <w:br/>
        <w:t xml:space="preserve">      público de modo permanente, el interesado tendrá derecho a  requerirla</w:t>
        <w:br/>
        <w:t xml:space="preserve">      por escrito al jefe del servicio respectivo”;</w:t>
        <w:br/>
        <w:br/>
        <w:br/>
        <w:t xml:space="preserve">      c)    el jefe del servicio podrá denegar el acceso  a  la  información</w:t>
        <w:br/>
        <w:t xml:space="preserve">      por las causales estipuladas en la ley, pero denegada la petición  por</w:t>
        <w:br/>
        <w:t xml:space="preserve">      causal distinta de la de seguridad de la Nación o el interés nacional,</w:t>
        <w:br/>
        <w:t xml:space="preserve">      el interesado tiene derecho a recurrir al Juez de Letras en lo  Civil,</w:t>
        <w:br/>
        <w:t xml:space="preserve">      y contra la sentencia que  dicte  ese  juez  se  puede  interponer  el</w:t>
        <w:br/>
        <w:t xml:space="preserve">      recurso de apelación ante la Corte de Apelaciones respectiva. En  caso</w:t>
        <w:br/>
        <w:t xml:space="preserve">      de que la causal invocada fuere la seguridad de la Nación o el interés</w:t>
        <w:br/>
        <w:t xml:space="preserve">      nacional, la reclamación del requirente deberá deducirse ante la Corte</w:t>
        <w:br/>
        <w:t xml:space="preserve">      Suprema;</w:t>
        <w:br/>
        <w:br/>
        <w:br/>
        <w:t xml:space="preserve">      d)    si  la  información  requerida  puede  afectar  los  derechos  o</w:t>
        <w:br/>
        <w:t xml:space="preserve">      intereses de terceros, éstos tienen  la  facultad  de  oponerse  a  la</w:t>
        <w:br/>
        <w:t xml:space="preserve">      entrega de los documentos solicitados mediante la presentación  de  un</w:t>
        <w:br/>
        <w:t xml:space="preserve">      escrito que no requiere expresión de causa, luego de que se le  otorga</w:t>
        <w:br/>
        <w:t xml:space="preserve">      oportunidad para ello.  Aún sin oposición de  los  terceros,  el  jefe</w:t>
        <w:br/>
        <w:t xml:space="preserve">      superior del órgano requerido puede estimar que “la divulgación de  la</w:t>
        <w:br/>
        <w:t xml:space="preserve">      información involucrada afecta sensiblemente los derechos o  intereses</w:t>
        <w:br/>
        <w:t xml:space="preserve">      de los terceros titulares de la misma”;</w:t>
        <w:br/>
        <w:br/>
        <w:br/>
        <w:t xml:space="preserve">      e)    el jefe superior  del  órgano  requerido  debe  proporcionar  la</w:t>
        <w:br/>
        <w:t xml:space="preserve">      documentación que se le solicite, salvo que  concurra  alguna  de  las</w:t>
        <w:br/>
        <w:t xml:space="preserve">      causales que lo autorizan a negarse. La negativa debe  formularse  por</w:t>
        <w:br/>
        <w:t xml:space="preserve">      escrito y contener las razones que motivan tal decisión.   Las  únicas</w:t>
        <w:br/>
        <w:t xml:space="preserve">      causales por las cuales el Estado puede  denegar  la  entrega  de  los</w:t>
        <w:br/>
        <w:t xml:space="preserve">      documentos o antecedentes requeridos a la Administración son:</w:t>
        <w:br/>
        <w:t xml:space="preserve">           1)    la reserva o secreto establecidos en disposiciones legales</w:t>
        <w:br/>
        <w:t xml:space="preserve">           o reglamentarias;</w:t>
        <w:br/>
        <w:t xml:space="preserve">           2)     que  la  publicidad  impida  o   entorpezca   el   debido</w:t>
        <w:br/>
        <w:t xml:space="preserve">           cumplimiento de las funciones del órgano requerido;</w:t>
        <w:br/>
        <w:t xml:space="preserve">           3)    la oposición deducida en tiempo y forma por los terceros a</w:t>
        <w:br/>
        <w:t xml:space="preserve">           quienes se refiere o afecta  la  información  contenida  en  los</w:t>
        <w:br/>
        <w:t xml:space="preserve">           documentos requeridos;</w:t>
        <w:br/>
        <w:t xml:space="preserve">           4)     que  la  divulgación  o  entrega  de  los  documentos   o</w:t>
        <w:br/>
        <w:t xml:space="preserve">           antecedentes requeridos  afecte  sensiblemente  los  derechos  o</w:t>
        <w:br/>
        <w:t xml:space="preserve">           intereses  de  terceras  personas,  según  calificación  fundada</w:t>
        <w:br/>
        <w:t xml:space="preserve">           efectuada por el jefe superior del órgano requerido; y</w:t>
        <w:br/>
        <w:t xml:space="preserve">           5)    que la publicidad afecte la seguridad de la  Nación  o  el</w:t>
        <w:br/>
        <w:t xml:space="preserve">           interés nacional.</w:t>
        <w:br/>
        <w:br/>
        <w:t xml:space="preserve">      f)    uno o más  reglamentos  establecerán  los  casos  de  secreto  o</w:t>
        <w:br/>
        <w:t xml:space="preserve">      reserva de la documentación y antecedentes que obren en poder  de  los</w:t>
        <w:br/>
        <w:t xml:space="preserve">      órganos de la Administración del Estado.</w:t>
        <w:br/>
        <w:br/>
        <w:t>57.36 El  28  de  enero  de  2001  el  Ministro  Secretario  General  de  la</w:t>
        <w:br/>
        <w:t>Presidencia promulgó el Decreto Supremo Nº 26, que establece  el  Reglamento</w:t>
        <w:br/>
        <w:t>sobre el Secreto o Reserva de los Actos y Documentos  de  la  Administración</w:t>
        <w:br/>
        <w:t>del Estado, el cual fue publicado el 7 de mayo  de  2001.  Dicho  reglamento</w:t>
        <w:br/>
        <w:t>establece que para que el  órgano  administrativo  esté  en  condiciones  de</w:t>
        <w:br/>
        <w:t>entregar  la  información   requerida,   ésta   debe   referirse   a   actos</w:t>
        <w:br/>
        <w:t>administrativos o a documentos que  le  sirvan  de  sustento  o  complemento</w:t>
        <w:br/>
        <w:t>directo  o  esencial[51]  y  define  lo  que  debe   entenderse   por   acto</w:t>
        <w:br/>
        <w:t>administrativo, documento, documento de  respaldo,  sustento  o  complemento</w:t>
        <w:br/>
        <w:t>directo, sustento o  complemento  esencial  y  actos  o  documentos  que  se</w:t>
        <w:br/>
        <w:t>encuentran a disposición permanente del público[52]. Además,  el  mencionado</w:t>
        <w:br/>
        <w:t>Reglamento establece que:</w:t>
        <w:br/>
        <w:br/>
        <w:br/>
        <w:t xml:space="preserve">      a)    son públicos los informes de las empresas privadas  que  presten</w:t>
        <w:br/>
        <w:t xml:space="preserve">      servicios de utilidad pública o empresas cuyo dueño sea el Estado o en</w:t>
        <w:br/>
        <w:t xml:space="preserve">      que designe dos o más directores de Sociedades Anónimas, en tanto  que</w:t>
        <w:br/>
        <w:t xml:space="preserve">      la documentación requerida corresponda a los informes  y  antecedentes</w:t>
        <w:br/>
        <w:t xml:space="preserve">      que dichas empresas proporcionen a las entidades estatales  encargadas</w:t>
        <w:br/>
        <w:t xml:space="preserve">      de su fiscalización; que tales antecedentes e informes sean de interés</w:t>
        <w:br/>
        <w:t xml:space="preserve">      público; que su difusión no afecte  el  debido  funcionamiento  de  la</w:t>
        <w:br/>
        <w:t xml:space="preserve">      empresa; y que el titular de dicha  información  no  haga  uso  de  su</w:t>
        <w:br/>
        <w:t xml:space="preserve">      derecho a denegar el acceso a la misma[53];</w:t>
        <w:br/>
        <w:br/>
        <w:br/>
        <w:t xml:space="preserve">      b)    se encuentran a disposición  permanente  del  público,  aquellos</w:t>
        <w:br/>
        <w:t xml:space="preserve">      actos y documentos que han sido objeto de publicación  íntegra  en  el</w:t>
        <w:br/>
        <w:t xml:space="preserve">      Diario Oficial y que están consignados en el índice que deberá  llevar</w:t>
        <w:br/>
        <w:t xml:space="preserve">      cada servicio[54];</w:t>
        <w:br/>
        <w:br/>
        <w:br/>
        <w:t xml:space="preserve">      c)    la declaración de reserva  o  de  secreto  la  realiza  el  Jefe</w:t>
        <w:br/>
        <w:t xml:space="preserve">      Superior de Servicio, mediante resolución fundada[55];</w:t>
        <w:br/>
        <w:br/>
        <w:br/>
        <w:t xml:space="preserve">      d)    los actos y documentos de  carácter  “secreto”  serán  conocidos</w:t>
        <w:br/>
        <w:t xml:space="preserve">      sólo por las autoridades o personas a las que vayan  dirigidos  y  por</w:t>
        <w:br/>
        <w:t xml:space="preserve">      quienes deban intervenir en su  estudio  o  resolución.  Los  actos  y</w:t>
        <w:br/>
        <w:t xml:space="preserve">      documentos de carácter “reservado” serán conocidos  únicamente  en  el</w:t>
        <w:br/>
        <w:t xml:space="preserve">      ámbito de la unidad del órgano a que sean remitidos[56];</w:t>
        <w:br/>
        <w:br/>
        <w:br/>
        <w:t xml:space="preserve">      e)    “[s]ólo podrán ser declarados como  secretos  o  reservados  los</w:t>
        <w:br/>
        <w:t xml:space="preserve">      actos y documentos cuyo  conocimiento  o  difusión  pueda  afectar  el</w:t>
        <w:br/>
        <w:t xml:space="preserve">      interés público o privado de los administrados”,  de  conformidad  con</w:t>
        <w:br/>
        <w:t xml:space="preserve">      los criterios señalados en el  artículo  8  del  Reglamento,  el  cual</w:t>
        <w:br/>
        <w:t xml:space="preserve">      incorpora dentro del interés  público  causales  de  reserva  como  la</w:t>
        <w:br/>
        <w:t xml:space="preserve">      defensa,   seguridad   nacional,   política    exterior,    relaciones</w:t>
        <w:br/>
        <w:t xml:space="preserve">      internacionales, política monetaria, entre otros, y dentro del interés</w:t>
        <w:br/>
        <w:t xml:space="preserve">      privado   causales   de   reserva   como   expedientes   relativos   a</w:t>
        <w:br/>
        <w:t xml:space="preserve">      procedimientos   sancionatorios   o   disciplinarios   de    cualquier</w:t>
        <w:br/>
        <w:t xml:space="preserve">      naturaleza, y expedientes médicos o sanitarios, entre otros[57];</w:t>
        <w:br/>
        <w:br/>
        <w:br/>
        <w:t xml:space="preserve">      f)    los órganos de la Administración del Estado  deberán  clasificar</w:t>
        <w:br/>
        <w:t xml:space="preserve">      los actos o documentos  conforme  a  los  criterios  explicitados,  en</w:t>
        <w:br/>
        <w:t xml:space="preserve">      atención al grado de protección que requieren[58]; y</w:t>
        <w:br/>
        <w:br/>
        <w:br/>
        <w:t xml:space="preserve">      g)    los actos y  documentos  de  carácter  “reservado”  o  “secreto”</w:t>
        <w:br/>
        <w:t xml:space="preserve">      mantendrán dicho carácter por el plazo de 20 años, a menos que el Jefe</w:t>
        <w:br/>
        <w:t xml:space="preserve">      de Servicio respectivo lo excluya de  estas  categorías  a  través  de</w:t>
        <w:br/>
        <w:t xml:space="preserve">      resolución fundada[59].</w:t>
        <w:br/>
        <w:br/>
        <w:t>57.37 Después de la entrada en  vigencia  del  Decreto  Supremo  Nº  26  que</w:t>
        <w:br/>
        <w:t>establece  el  Reglamento  sobre  el  Secreto  o  Reserva  de  los  Actos  y</w:t>
        <w:br/>
        <w:t>Documentos  de  la  Administración  del  Estado  (supra  párr.  57.36),   se</w:t>
        <w:br/>
        <w:t>emitieron aproximadamente 90 resoluciones, otorgando el carácter de  secreto</w:t>
        <w:br/>
        <w:t>o  reservados  a  una  serie  de   actos   administrativos,   documentos   y</w:t>
        <w:br/>
        <w:t>antecedentes en manos de órganos del Estado[60].</w:t>
        <w:br/>
        <w:br/>
        <w:t>57.38 El 29  de  mayo  de  2003  se  publicó  la  Ley  Nº  19.880[61]  sobre</w:t>
        <w:br/>
        <w:t>procedimientos administrativos, en la cual  se  incorporó  el  principio  de</w:t>
        <w:br/>
        <w:t>publicidad en sus artículos 16, 17 incisos a) y d) y 39.  En el artículo  16</w:t>
        <w:br/>
        <w:t>se estipula que  “salvo  las  excepciones  establecidas  por  la  ley  o  el</w:t>
        <w:br/>
        <w:t>reglamento, son públicos los actos administrativos  de  los  órganos  de  la</w:t>
        <w:br/>
        <w:t>Administración del Estado y los documentos  que  le  sirvan  de  sustento  o</w:t>
        <w:br/>
        <w:t>complemento directo o esencial”.</w:t>
        <w:br/>
        <w:br/>
        <w:t>57.39 El 4 de octubre de 2004 la Contraloría General de la República  emitió</w:t>
        <w:br/>
        <w:t>el Dictamen Nº 49.883[62],  en  respuesta  a  una  petición  presentada  por</w:t>
        <w:br/>
        <w:t>varias personas y organizaciones, quienes  impugnaron  la  legalidad  de  49</w:t>
        <w:br/>
        <w:t>resoluciones de declaración de secreto  o  reserva.  Dicho  dictamen  señaló</w:t>
        <w:br/>
        <w:t>que “en numerosas resoluciones se excede la normativa a los  efectos  de  la</w:t>
        <w:br/>
        <w:t>declaración de secreto o reserva en otros órdenes de materias”,  y  que  “en</w:t>
        <w:br/>
        <w:t>diversas resoluciones se fijan materias  sujetas  a  secreto  o  reserva  en</w:t>
        <w:br/>
        <w:t>términos de tal amplitud que no resulta admisible entenderlas amparadas  por</w:t>
        <w:br/>
        <w:t>la regulación legal y reglamentaria que debe servirles de  fundamento”.   En</w:t>
        <w:br/>
        <w:t>el referido dictamen la Contraloría  señaló  que  “debe  observarse  que  en</w:t>
        <w:br/>
        <w:t>distintas resoluciones no se advierte el fundamento  preciso  para  declarar</w:t>
        <w:br/>
        <w:t>secretos o reservados determinados documentos”.  Con base en las  anteriores</w:t>
        <w:br/>
        <w:t>consideraciones, la Contraloría ordenó de  manera  perentoria  a  todas  las</w:t>
        <w:br/>
        <w:t>reparticiones que “las reexaminen a la brevedad [...] y,  en  los  casos  en</w:t>
        <w:br/>
        <w:t>que corresponda, las modifiquen en términos que se ajusten  a  la  normativa</w:t>
        <w:br/>
        <w:t>que les sirve de fundamento”.</w:t>
        <w:br/>
        <w:br/>
        <w:t>57.40 El 4 de enero de 2005 dos senadores presentaron  un  proyecto  de  ley</w:t>
        <w:br/>
        <w:t>sobre acceso a la información pública[63].  En la exposición de  motivos  se</w:t>
        <w:br/>
        <w:t>señaló que “[a] pesar de los esfuerzos legislativos [realizados a través  de</w:t>
        <w:br/>
        <w:t>la Ley de Probidad de 1999 y la Ley No. 19.880 de 29 de mayo  de  2003],  en</w:t>
        <w:br/>
        <w:t>la práctica [l]os principios de transparencia y de acceso a  la  información</w:t>
        <w:br/>
        <w:t>pública, se encuentran seriamente  limitados,  llegando  a  convertir  estas</w:t>
        <w:br/>
        <w:t>leyes en letra muerta […, lo cual se debe al  hecho  que  la  misma  ley  de</w:t>
        <w:br/>
        <w:t>probidad dispone que  uno  o  mas  reglamentos  establecerán  los  casos  de</w:t>
        <w:br/>
        <w:t>secreto o reserva de la documentación y antecedentes que obren en  poder  de</w:t>
        <w:br/>
        <w:t>la administración del  Estado,  lo  que  constituye  una  seria  barrera  al</w:t>
        <w:br/>
        <w:t>derecho de acceso a la información pública establecido en la ley”.</w:t>
        <w:br/>
        <w:br/>
        <w:t>57.41 El 26 de agosto de 2005 entró en vigencia la Ley Nº  20.050,  mediante</w:t>
        <w:br/>
        <w:t>la cual se realizó una reforma a la Constitución Política de  la  República.</w:t>
        <w:br/>
        <w:t>Entre otras  reformas  sustantivas,  incorpora  un  nuevo  artículo  8°  que</w:t>
        <w:br/>
        <w:t>establece que</w:t>
        <w:br/>
        <w:br/>
        <w:t xml:space="preserve">      [e]l ejercicio de las funciones públicas obliga a sus titulares a  dar</w:t>
        <w:br/>
        <w:t xml:space="preserve">      estricto  cumplimiento  al  principio  de  probidad   en   todas   sus</w:t>
        <w:br/>
        <w:t xml:space="preserve">      actuaciones. Son públicos los actos y resoluciones de los órganos  del</w:t>
        <w:br/>
        <w:t xml:space="preserve">      Estado, así como sus fundamentos y los  procedimientos  que  utilicen.</w:t>
        <w:br/>
        <w:t xml:space="preserve">      Sin embargo, sólo una ley de quórum  calificado  podrá  establecer  la</w:t>
        <w:br/>
        <w:t xml:space="preserve">      reserva o secreto  de  aquéllos  o  de  éstos,  cuando  la  publicidad</w:t>
        <w:br/>
        <w:t xml:space="preserve">      afectare el debido cumplimiento de las funciones  de  dichos  órganos,</w:t>
        <w:br/>
        <w:t xml:space="preserve">      los derechos de las personas, la seguridad de la Nación o  el  interés</w:t>
        <w:br/>
        <w:t xml:space="preserve">      nacional[64].</w:t>
        <w:br/>
        <w:br/>
        <w:t>La disposición transitoria quinta de la Constitución de Chile establece  que</w:t>
        <w:br/>
        <w:t>“[s]e entenderá que las  leyes  actualmente  en  vigor  sobre  materias  que</w:t>
        <w:br/>
        <w:t>conforme  a  esta  Constitución  deben  ser  objeto   de   leyes   orgánicas</w:t>
        <w:br/>
        <w:t>constitucionales  o  aprobadas  con   quórum   calificado,   cumplen   estos</w:t>
        <w:br/>
        <w:t>requisitos y seguirán  aplicándose  en  lo  que  no  sean  contrarias  a  la</w:t>
        <w:br/>
        <w:t>Constitución,  mientras  no   se   dicten   los   correspondientes   cuerpos</w:t>
        <w:br/>
        <w:t>legales”[65].</w:t>
        <w:br/>
        <w:br/>
        <w:t>57.42 El 7 de octubre de 2005 el Senado de la República de Chile  aprobó  al</w:t>
        <w:br/>
        <w:t>Proyecto de Ley sobre acceso  a  la  información  pública  que  modifica  el</w:t>
        <w:br/>
        <w:t>Decreto con fuerza de ley Nº 1 que fijó el  texto  refundido,  coordinado  y</w:t>
        <w:br/>
        <w:t>sistematizado de la Ley Orgánica sobre Bases Generales de la  Administración</w:t>
        <w:br/>
        <w:t>del Estado, para “alcanzar un alto grado de transparencia  en  el  ejercicio</w:t>
        <w:br/>
        <w:t>de las funciones públicas [y facilitar] la formación  de  una  mayor  y  más</w:t>
        <w:br/>
        <w:t>efectiva participación ciudadana en los asuntos  públicos”[66].  Actualmente</w:t>
        <w:br/>
        <w:t>dicho proyecto se encuentra en su segundo trámite constitucional.</w:t>
        <w:br/>
        <w:br/>
        <w:t>57.43 El 12 de diciembre de 2005 el  Ministerio  Secretaría  General  de  la</w:t>
        <w:br/>
        <w:t>Presidencia emitió el Decreto Nº 134, mediante el  cual  derogó  el  Decreto</w:t>
        <w:br/>
        <w:t>Supremo No. 26 de 2001 (supra párr. 57.36), con fundamento en que  luego  de</w:t>
        <w:br/>
        <w:t>la reforma que introdujo el nuevo  artículo  8  de  la  Constitución  (supra</w:t>
        <w:br/>
        <w:t>párr. 57.40) el contenido  del  referido  Decreto  “se  ha  transformado  en</w:t>
        <w:br/>
        <w:t>contrario a la norma constitucional, no pudiendo, por tanto subsistir en  el</w:t>
        <w:br/>
        <w:t>ordenamiento jurídico”[67].</w:t>
        <w:br/>
        <w:br/>
        <w:t>57.44 El  30  de  enero  de  2006  el  Ministro  Secretario  General  de  la</w:t>
        <w:br/>
        <w:t>Presidencia remitió a diversas autoridades del Estado una  comunicación,  la</w:t>
        <w:br/>
        <w:t>cual consiste en una “guía que describe los criterios y  reglas  actualmente</w:t>
        <w:br/>
        <w:t>aplicables  en  materia  de   publicidad   y   acceso   a   la   información</w:t>
        <w:br/>
        <w:t>administrativa”, dado que, como “consecuencia de la derogación [del  Decreto</w:t>
        <w:br/>
        <w:t>No. 26,] han quedado también derogadas tácitamente  todas  las  Resoluciones</w:t>
        <w:br/>
        <w:t>dictadas al amparo de dicho Reglamento que establecieron casos de secreto  o</w:t>
        <w:br/>
        <w:t>reserva de actos y documentos de la Administración”[68].</w:t>
        <w:br/>
        <w:br/>
        <w:t>57.45 El 15 de febrero de 2006 la  Comisión  Asesora  Presidencial  para  la</w:t>
        <w:br/>
        <w:t>Protección de los Derechos de las Personas[69] informó a la  Corte  que  “ha</w:t>
        <w:br/>
        <w:t>tomado iniciativa frente a  algunos  organismos  de  la  Administración  del</w:t>
        <w:br/>
        <w:t>Estado para exhortarlos, de manera oficiosa,  a  que  den  respuesta  a  las</w:t>
        <w:br/>
        <w:t>demandas  de  obtención  de  información  planteadas  por  particulares   y,</w:t>
        <w:br/>
        <w:t>especialmente, por personas jurídicas sin  fines  de  lucro”.  Sin  embargo,</w:t>
        <w:br/>
        <w:t>dicha Comisión informó que en general los resultados han sido  “infructuosos</w:t>
        <w:br/>
        <w:t>por cuanto la legislación vigente en la materia reserva a  un  procedimiento</w:t>
        <w:br/>
        <w:t>contencioso  administrativo  especial  […]  la  dilucidación  del  conflicto</w:t>
        <w:br/>
        <w:t>planteado entre el requirente  de  la  información  y  el  servicio  público</w:t>
        <w:br/>
        <w:t>requerido. […] Estando pues reservada a la competencia judicial la  decisión</w:t>
        <w:br/>
        <w:t>sobre si procede o no entregar  la  información  pública  que  el  ciudadano</w:t>
        <w:br/>
        <w:t>demanda, la lógica inclinación de los jefes de servicios ante esta clase  de</w:t>
        <w:br/>
        <w:t>requerimientos es esperar que el tribunal competente se  los  ordene”,  dado</w:t>
        <w:br/>
        <w:t>que sólo así se “relevará de responsabilidad  ante  eventuales  reclamos  de</w:t>
        <w:br/>
        <w:t>terceros”[70].</w:t>
        <w:br/>
        <w:br/>
        <w:br/>
        <w:t>Sobre las costas y gastos</w:t>
        <w:br/>
        <w:br/>
        <w:t>57.46 Las presuntas  víctimas  y  su  representante  incurrieron  en  gastos</w:t>
        <w:br/>
        <w:t>durante la  tramitación  interna  ante  los  tribunales,  así  como  también</w:t>
        <w:br/>
        <w:t>realizaron diversos gastos durante el  proceso  internacional  (infra  párr.</w:t>
        <w:br/>
        <w:t>167).</w:t>
        <w:br/>
        <w:br/>
        <w:br/>
        <w:br/>
        <w:t xml:space="preserve">                                     VII</w:t>
        <w:br/>
        <w:t xml:space="preserve">            Violación del artículo 13 de la Convención Americana</w:t>
        <w:br/>
        <w:t xml:space="preserve">              en relación con los artículos 1.1 y 2 de la misma</w:t>
        <w:br/>
        <w:t xml:space="preserve">                  (libertad de pensamiento y de expresión)</w:t>
        <w:br/>
        <w:br/>
        <w:br/>
        <w:t>Alegatos de la Comisión</w:t>
        <w:br/>
        <w:br/>
        <w:t>58.   En cuanto a la alegada violación del artículo 13 de la Convención,  en</w:t>
        <w:br/>
        <w:t>relación con los artículos 1.1. y 2 de la misma, la Comisión señaló que:</w:t>
        <w:br/>
        <w:br/>
        <w:t xml:space="preserve">      a)     la divulgación de la información en poder del Estado debe jugar</w:t>
        <w:br/>
        <w:t xml:space="preserve">      un rol muy importante en una sociedad democrática, pues habilita a  la</w:t>
        <w:br/>
        <w:t xml:space="preserve">      sociedad civil para controlar las acciones del  gobierno  a  quien  ha</w:t>
        <w:br/>
        <w:t xml:space="preserve">      confiado la protección de sus intereses.   “[E]l  artículo  13  de  la</w:t>
        <w:br/>
        <w:t xml:space="preserve">      Convención debe comprender una obligación positiva de parte del Estado</w:t>
        <w:br/>
        <w:t xml:space="preserve">      de brindar acceso a la información en su poder”, lo cual es  necesario</w:t>
        <w:br/>
        <w:t xml:space="preserve">      para evitar abusos de los funcionarios  gubernamentales,  promover  la</w:t>
        <w:br/>
        <w:t xml:space="preserve">      rendición de cuentas y la transparencia dentro del Estado  y  permitir</w:t>
        <w:br/>
        <w:t xml:space="preserve">      un debate público sólido e informado  para  asegurar  la  garantía  de</w:t>
        <w:br/>
        <w:t xml:space="preserve">      contar con recursos efectivos contra tales abusos;</w:t>
        <w:br/>
        <w:br/>
        <w:br/>
        <w:t xml:space="preserve">      b)    existe un consenso creciente en torno a que los  Estados  tienen</w:t>
        <w:br/>
        <w:t xml:space="preserve">      la obligación positiva de brindar la información que obre en su  poder</w:t>
        <w:br/>
        <w:t xml:space="preserve">      a sus ciudadanos.  “[L]a Comisión ha interpretado que el [a]rtículo 13</w:t>
        <w:br/>
        <w:t xml:space="preserve">      incluye un derecho al acceso a la información en poder del Estado”;</w:t>
        <w:br/>
        <w:br/>
        <w:t xml:space="preserve">      c)    “de acuerdo a los amplios términos del [a]rtículo 13, el derecho</w:t>
        <w:br/>
        <w:t xml:space="preserve">      al acceso a la información debe estar  regido  por  el  ‘principio  de</w:t>
        <w:br/>
        <w:t xml:space="preserve">      máxima divulgación’”.  “[L]a carga de la prueba corresponde al Estado,</w:t>
        <w:br/>
        <w:t xml:space="preserve">      el cual tiene que demostrar  que  las  limitaciones  al  acceso  a  la</w:t>
        <w:br/>
        <w:t xml:space="preserve">      información son  compatibles  con  las  normas  interamericanas  sobre</w:t>
        <w:br/>
        <w:t xml:space="preserve">      libertad de expresión”. “Ello significa que  la  restricción  no  sólo</w:t>
        <w:br/>
        <w:t xml:space="preserve">      debe relacionarse  con  uno  de  [los]  objetivos  [legítimos  que  la</w:t>
        <w:br/>
        <w:t xml:space="preserve">      justifican], sino que también  debe  demostrarse  que  la  divulgación</w:t>
        <w:br/>
        <w:t xml:space="preserve">      constituye una amenaza de causar substancial perjuicio a ese  objetivo</w:t>
        <w:br/>
        <w:t xml:space="preserve">      y que el perjuicio al objetivo debe ser mayor que el  interés  público</w:t>
        <w:br/>
        <w:t xml:space="preserve">      en disponer de la información” (prueba de proporcionalidad);</w:t>
        <w:br/>
        <w:br/>
        <w:t xml:space="preserve">      d)    la mayoría de los Estados americanos cuentan con  regulación  en</w:t>
        <w:br/>
        <w:t xml:space="preserve">      materia de acceso a la información.  La  legislación  chilena  no  fue</w:t>
        <w:br/>
        <w:t xml:space="preserve">      aplicada en este caso porque fue promulgada con  posterioridad  a  los</w:t>
        <w:br/>
        <w:t xml:space="preserve">      hechos que dieron lugar  a  la  petición.   “El  Estado  de  Chile  ha</w:t>
        <w:br/>
        <w:t xml:space="preserve">      realizado una serie de modificaciones legislativas; sin  embargo[,  …]</w:t>
        <w:br/>
        <w:t xml:space="preserve">      éstas no garantizan  de  forma  efectiva  y  amplia  el  acceso  a  la</w:t>
        <w:br/>
        <w:t xml:space="preserve">      información  pública”.  “Las  excepciones  previstas  en  la  ley  […]</w:t>
        <w:br/>
        <w:t xml:space="preserve">      confieren un grado excesivo de  discrecionalidad  al  funcionario  que</w:t>
        <w:br/>
        <w:t xml:space="preserve">      determina si se divulga o no la información”;</w:t>
        <w:br/>
        <w:br/>
        <w:br/>
        <w:t xml:space="preserve">      e)    en el presente caso, la Comisión centra su preocupación  entorno</w:t>
        <w:br/>
        <w:t xml:space="preserve">      a la información relacionada con la evaluación que realizaba el Comité</w:t>
        <w:br/>
        <w:t xml:space="preserve">      de la pertinencia  de  inversionistas  extranjeros,  la  cual  no  fue</w:t>
        <w:br/>
        <w:t xml:space="preserve">      entregada  a  las  presuntas   víctimas   y   tampoco   fue   denegada</w:t>
        <w:br/>
        <w:t xml:space="preserve">      oficialmente;</w:t>
        <w:br/>
        <w:br/>
        <w:br/>
        <w:t xml:space="preserve">      f)    respecto al argumento del Estado de que el tipo  de  información</w:t>
        <w:br/>
        <w:t xml:space="preserve">      solicitada hubiera violado, de ser revelada a las presuntas  víctimas,</w:t>
        <w:br/>
        <w:t xml:space="preserve">      el derecho de confidencialidad  de  las  empresas  involucradas,  debe</w:t>
        <w:br/>
        <w:t xml:space="preserve">      decirse que las restricciones al derecho a buscar, recibir y  divulgar</w:t>
        <w:br/>
        <w:t xml:space="preserve">      información deben estar expresamente establecidas por ley.  “El Estado</w:t>
        <w:br/>
        <w:t xml:space="preserve">      no [ha] cita[do] ninguna disposición  de  la  legislación  chilena  ni</w:t>
        <w:br/>
        <w:t xml:space="preserve">      ningún  antecedente  jurídico   que   expresamente   establezca   como</w:t>
        <w:br/>
        <w:t xml:space="preserve">      información reservada lo relativo al proceso de toma de decisiones del</w:t>
        <w:br/>
        <w:t xml:space="preserve">      Comité de Inversiones Extranjeras”. La decisión de retener información</w:t>
        <w:br/>
        <w:t xml:space="preserve">      parece estar “totalmente a discreción del Vicepresidente del Comité de</w:t>
        <w:br/>
        <w:t xml:space="preserve">      Inversiones Extranjeras”. Además, en su contestación a la  demanda  el</w:t>
        <w:br/>
        <w:t xml:space="preserve">      Estado  se  aparta  de  la  línea  de  argumentación  en  torno  a  la</w:t>
        <w:br/>
        <w:t xml:space="preserve">      confidencialidad, alegando que el Comité de Inversiones Extranjeras no</w:t>
        <w:br/>
        <w:t xml:space="preserve">      contaba  ni  cuenta  con  disponibilidad  de  tiempo,   capacidad   ni</w:t>
        <w:br/>
        <w:t xml:space="preserve">      facultades  legales  para  investigar  situaciones  de  hecho  de  los</w:t>
        <w:br/>
        <w:t xml:space="preserve">      inversionistas;</w:t>
        <w:br/>
        <w:br/>
        <w:t xml:space="preserve">      g)    el Comité de Inversiones Extranjeras  nunca  dio  respuesta  por</w:t>
        <w:br/>
        <w:t xml:space="preserve">      escrito en relación a la información faltante y no ha demostrado  cómo</w:t>
        <w:br/>
        <w:t xml:space="preserve">      la retención de la información en cuestión  era  “necesaria”  para  la</w:t>
        <w:br/>
        <w:t xml:space="preserve">      consecución de un objetivo legítimo previsto en el artículo 13  de  la</w:t>
        <w:br/>
        <w:t xml:space="preserve">      Convención.  Tampoco presentó ningún argumento que  demuestre  que  la</w:t>
        <w:br/>
        <w:t xml:space="preserve">      divulgación de la información habría causado un perjuicio sustancial a</w:t>
        <w:br/>
        <w:t xml:space="preserve">      estos objetivos, y que ese perjuicio hubiera sido mayor que el interés</w:t>
        <w:br/>
        <w:t xml:space="preserve">      público en divulgar la  información,  como  lo  requiere  el  indicado</w:t>
        <w:br/>
        <w:t xml:space="preserve">      artículo 13.  Además es “insostenible” la afirmación del Estado de que</w:t>
        <w:br/>
        <w:t xml:space="preserve">      el  papel  de  control  de  los  organismos   del   gobierno   compete</w:t>
        <w:br/>
        <w:t xml:space="preserve">      exclusivamente al Congreso; y</w:t>
        <w:br/>
        <w:br/>
        <w:br/>
        <w:t xml:space="preserve">      h)    “el Estado chileno no garantizó el derecho  de  las  [presuntas]</w:t>
        <w:br/>
        <w:t xml:space="preserve">      víctimas al acceso a la información porque  un  organismo  del  Estado</w:t>
        <w:br/>
        <w:t xml:space="preserve">      negó  acceso  a  información  sin  demostrar  que  la   misma   estaba</w:t>
        <w:br/>
        <w:t xml:space="preserve">      comprendida por una de las excepciones legítimas a la norma general de</w:t>
        <w:br/>
        <w:t xml:space="preserve">      divulgación prevista en el artículo 13.  Además, el  Estado  no  contó</w:t>
        <w:br/>
        <w:t xml:space="preserve">      con mecanismos establecidos para garantizar el derecho al acceso a  la</w:t>
        <w:br/>
        <w:t xml:space="preserve">      información en forma efectiva en el  momento  que  se  produjeron  los</w:t>
        <w:br/>
        <w:t xml:space="preserve">      hechos que dieron lugar a esta petición”.</w:t>
        <w:br/>
        <w:br/>
        <w:br/>
        <w:t>Alegatos del representante de las presuntas víctimas:</w:t>
        <w:br/>
        <w:br/>
        <w:t>59.   En cuanto a la alegada violación del artículo 13 de la Convención,  en</w:t>
        <w:br/>
        <w:t>relación con los artículos 1.1. y 2 de la  misma,  el  representante  señaló</w:t>
        <w:br/>
        <w:t>que:</w:t>
        <w:br/>
        <w:br/>
        <w:t xml:space="preserve">      a)    el Estado negó a las presuntas víctimas información  que  poseía</w:t>
        <w:br/>
        <w:t xml:space="preserve">      sin dar fundamento alguno. Ante la Corte,  el  Estado  fundamentó  tal</w:t>
        <w:br/>
        <w:t xml:space="preserve">      negativa  en  que   había   un   vacío   normativo   respecto   a   la</w:t>
        <w:br/>
        <w:t xml:space="preserve">      confidencialidad de la información entregada por parte de las empresas</w:t>
        <w:br/>
        <w:t xml:space="preserve">      al Comité de Inversiones  Extranjeras.  Dicha  motivación  vulnera  la</w:t>
        <w:br/>
        <w:t xml:space="preserve">      presunción de máxima divulgación de la información y los principios de</w:t>
        <w:br/>
        <w:t xml:space="preserve">      proporcionalidad y necesidad que se imponen  a  las  restricciones  al</w:t>
        <w:br/>
        <w:t xml:space="preserve">      derecho a la libertad de  expresión.   Por  un  lado,  la  omisión  de</w:t>
        <w:br/>
        <w:t xml:space="preserve">      entrega  se  decidió  sin   consultar   previamente   a   la   empresa</w:t>
        <w:br/>
        <w:t xml:space="preserve">      eventualmente afectada por la publicidad de dicha información  y,  por</w:t>
        <w:br/>
        <w:t xml:space="preserve">      otro lado, el Estado no acreditó  ante  la  Corte  en  qué  medida  la</w:t>
        <w:br/>
        <w:t xml:space="preserve">      información requerida pudo haber afectado los derechos de  la  empresa</w:t>
        <w:br/>
        <w:t xml:space="preserve">      Forestal Trillium Ltda. o la  política  estatal  de  promoción  de  la</w:t>
        <w:br/>
        <w:t xml:space="preserve">      inversión extranjera;</w:t>
        <w:br/>
        <w:br/>
        <w:br/>
        <w:t xml:space="preserve">      b)    ha quedado acreditado que el Comité de  Inversiones  Extranjeras</w:t>
        <w:br/>
        <w:t xml:space="preserve">      debe realizar una labor investigativa respecto de  los  inversionistas</w:t>
        <w:br/>
        <w:t xml:space="preserve">      extranjeros. Al haberse reservado un examen de comportamiento  de  los</w:t>
        <w:br/>
        <w:t xml:space="preserve">      inversionistas, el  Estado  dejó  de  garantizar  a  la  sociedad  las</w:t>
        <w:br/>
        <w:t xml:space="preserve">      cualidades de credibilidad corporativa de los inversionistas y  de  su</w:t>
        <w:br/>
        <w:t xml:space="preserve">      inversión;</w:t>
        <w:br/>
        <w:br/>
        <w:t xml:space="preserve">      c)    el reconocimiento implícito de la falta de investigación y de la</w:t>
        <w:br/>
        <w:t xml:space="preserve">      negación de información por parte del Comité  vulnera  el  derecho  al</w:t>
        <w:br/>
        <w:t xml:space="preserve">      acceso a la información incluido  en  el  derecho  a  la  libertad  de</w:t>
        <w:br/>
        <w:t xml:space="preserve">      expresión ya que,  en  áreas  sensibles  como  la  afectación  de  los</w:t>
        <w:br/>
        <w:t xml:space="preserve">      recursos naturales del país, el interés público  exige  al  Estado  la</w:t>
        <w:br/>
        <w:t xml:space="preserve">      adopción  de  medidas  adicionales  y  complementarias  de  protección</w:t>
        <w:br/>
        <w:t xml:space="preserve">      destinadas a asegurar la idoneidad y seriedad de quienes invierten  en</w:t>
        <w:br/>
        <w:t xml:space="preserve">      el país. El Estado se encuentra en la obligación positiva de generar y</w:t>
        <w:br/>
        <w:t xml:space="preserve">      difundir  información   pública   para   facilitar   la   deliberación</w:t>
        <w:br/>
        <w:t xml:space="preserve">      democrática y el control ciudadano; y</w:t>
        <w:br/>
        <w:br/>
        <w:br/>
        <w:t xml:space="preserve">      d)     las  medidas  legislativas  que  el  Estado  ha  realizado   no</w:t>
        <w:br/>
        <w:t xml:space="preserve">      constituyen una eximente de responsabilidad  internacional,  toda  vez</w:t>
        <w:br/>
        <w:t xml:space="preserve">      que la omisión de respuesta y entrega de la información referida a  la</w:t>
        <w:br/>
        <w:t xml:space="preserve">      idoneidad del inversionista extranjero y  la  denegación  de  justicia</w:t>
        <w:br/>
        <w:t xml:space="preserve">      incurrida por los tribunales nacionales,  son  hechos  consumados  que</w:t>
        <w:br/>
        <w:t xml:space="preserve">      atentan contra los derechos consagrados en la Convención. Asimismo, la</w:t>
        <w:br/>
        <w:t xml:space="preserve">      reforma constitucional aprobada, que deja tácitamente  sin  efecto  la</w:t>
        <w:br/>
        <w:t xml:space="preserve">      normativa reglamentaria sobre secreto  y  reserva  de  2001,  si  bien</w:t>
        <w:br/>
        <w:t xml:space="preserve">      constituye un avance, resulta  incompleta,  obstaculiza,  restringe  y</w:t>
        <w:br/>
        <w:t xml:space="preserve">      limita el ejercicio del derecho de acceso a la información  pública  y</w:t>
        <w:br/>
        <w:t xml:space="preserve">      contiene causales de restricción incompatibles con el artículo  13  de</w:t>
        <w:br/>
        <w:t xml:space="preserve">      la Convención. Esta reforma, así como la que se tramita actualmente en</w:t>
        <w:br/>
        <w:t xml:space="preserve">      el Congreso, no reconocen el derecho a acceder a la  información  como</w:t>
        <w:br/>
        <w:t xml:space="preserve">      un elemento del derecho a la libertad de expresión como lo consagra el</w:t>
        <w:br/>
        <w:t xml:space="preserve">      artículo 13 de la Convención Americana, sino  como  “un  elemento  que</w:t>
        <w:br/>
        <w:t xml:space="preserve">      expresa el interés general del principio de publicidad y de probidad”.</w:t>
        <w:br/>
        <w:br/>
        <w:br/>
        <w:br/>
        <w:br/>
        <w:t>Alegatos del Estado</w:t>
        <w:br/>
        <w:br/>
        <w:t>60.   En cuanto a la alegada violación del artículo 13 de la Convención,  en</w:t>
        <w:br/>
        <w:t>relación con los artículos 1.1 y 2 de la misma, el Estado señaló que:</w:t>
        <w:br/>
        <w:br/>
        <w:t xml:space="preserve">      a)    en cuanto a la supuesta denegación de información por parte  del</w:t>
        <w:br/>
        <w:t xml:space="preserve">      Comité de Inversiones Extranjeras respecto  de  lo  requerido  en  los</w:t>
        <w:br/>
        <w:t xml:space="preserve">      puntos 6 y 7 de la solicitud, ha quedado claro según  los  testimonios</w:t>
        <w:br/>
        <w:t xml:space="preserve">      de los señores Moyano Berríos y Mayorca que dicho Comité no poseía esa</w:t>
        <w:br/>
        <w:t xml:space="preserve">      información;</w:t>
        <w:br/>
        <w:br/>
        <w:br/>
        <w:t xml:space="preserve">      b)    en lo referente a la información relacionada con el punto  3  de</w:t>
        <w:br/>
        <w:t xml:space="preserve">      la solicitud, en la  época  de  los  hechos  de  este  caso  y  en  la</w:t>
        <w:br/>
        <w:t xml:space="preserve">      actualidad,  el  Comité  de  Inversiones  Extranjeras  no  cuenta  con</w:t>
        <w:br/>
        <w:t xml:space="preserve">      capacidad física ni con facultades legales para investigar situaciones</w:t>
        <w:br/>
        <w:t xml:space="preserve">      de hecho de los inversionistas.  “La función del Comité de Inversiones</w:t>
        <w:br/>
        <w:t xml:space="preserve">      Extranjeras sólo consiste en facilitar y  aprobar  flujos  de  capital</w:t>
        <w:br/>
        <w:t xml:space="preserve">      externos a Chile”. No es función del  Comité  “efectúa[r]  un  estudio</w:t>
        <w:br/>
        <w:t xml:space="preserve">      previo para garantizar la  viabilidad  técnica,  legal,  financiera  o</w:t>
        <w:br/>
        <w:t xml:space="preserve">      económica de los proyectos económicos [de inversión]; esa tarea es  de</w:t>
        <w:br/>
        <w:t xml:space="preserve">      los propios inversionistas”. Todos los antecedentes con que cuenta  el</w:t>
        <w:br/>
        <w:t xml:space="preserve">      Comité son  proporcionados  por  los  propios  inversionistas.  “[L]os</w:t>
        <w:br/>
        <w:t xml:space="preserve">      peticionarios  solicitaron  al  Comité  de   Inversiones   Extranjeras</w:t>
        <w:br/>
        <w:t xml:space="preserve">      información orientada a  conocer  el  posible  impacto  ambiental  que</w:t>
        <w:br/>
        <w:t xml:space="preserve">      podría tener el proyecto  forestal”,  información  que  el  Comité  no</w:t>
        <w:br/>
        <w:t xml:space="preserve">      poseía por ser  de  competencia  de  la  Comisión  Nacional  de  Medio</w:t>
        <w:br/>
        <w:t xml:space="preserve">      Ambiente;</w:t>
        <w:br/>
        <w:br/>
        <w:br/>
        <w:t xml:space="preserve">      c)     “[a]  la  fecha  de  presentación  de  la  denuncia   por   los</w:t>
        <w:br/>
        <w:t xml:space="preserve">      peticionarios (diciembre de 1998) y hasta el año 2002 no existía norma</w:t>
        <w:br/>
        <w:t xml:space="preserve">      que regulara la publicidad o reserva de los actos de administración ni</w:t>
        <w:br/>
        <w:t xml:space="preserve">      de los documentos que sirven de base a éstos por parte del  Comité  de</w:t>
        <w:br/>
        <w:t xml:space="preserve">      Inversiones Extranjeras”. Dicho Comité consideró de carácter reservado</w:t>
        <w:br/>
        <w:t xml:space="preserve">      la  información  referida  a  terceros  y  en  general  los   aspectos</w:t>
        <w:br/>
        <w:t xml:space="preserve">      particulares del proyecto, por tratarse de  antecedentes  de  carácter</w:t>
        <w:br/>
        <w:t xml:space="preserve">      privado, que  de  hacerse  públicos  “podría  lesionar  sus  legítimas</w:t>
        <w:br/>
        <w:t xml:space="preserve">      expectativas  comerciales,  sin  que  existiera   fuente   legal   que</w:t>
        <w:br/>
        <w:t xml:space="preserve">      permitiera su publicidad”;</w:t>
        <w:br/>
        <w:br/>
        <w:t xml:space="preserve">      d)    ha dado cumplimiento a las  recomendaciones  realizadas  por  la</w:t>
        <w:br/>
        <w:t xml:space="preserve">      Comisión en su informe de fondo, a  saber,  divulgar  públicamente  la</w:t>
        <w:br/>
        <w:t xml:space="preserve">      información solicitada por los peticionarios, otorgar  una  reparación</w:t>
        <w:br/>
        <w:t xml:space="preserve">      adecuada a los  peticionarios,  y  adecuar  el  ordenamiento  jurídico</w:t>
        <w:br/>
        <w:t xml:space="preserve">      interno a los términos del artículo 13 de la Convención;</w:t>
        <w:br/>
        <w:br/>
        <w:br/>
        <w:t xml:space="preserve">      e)     respecto  de  la  recomendación  de  divulgar  públicamente  la</w:t>
        <w:br/>
        <w:t xml:space="preserve">      información solicitada, la Comisión se refiere en general a la entrega</w:t>
        <w:br/>
        <w:t xml:space="preserve">      de información y “obvia en su  recomendación  la  información  que  le</w:t>
        <w:br/>
        <w:t xml:space="preserve">      fuera entregada directamente por el Comité de Inversiones  Extranjeras</w:t>
        <w:br/>
        <w:t xml:space="preserve">      a las presuntas víctimas y que respondía a cuatro de los siete  puntos</w:t>
        <w:br/>
        <w:t xml:space="preserve">      contenidos en la solicitud hecha a dicho Comité”.  “[L]a circunstancia</w:t>
        <w:br/>
        <w:t xml:space="preserve">      de que el proyecto en cuestión no se implementó [ni] se ejecutó”  hace</w:t>
        <w:br/>
        <w:t xml:space="preserve">      que desaparezcan los motivos de la información  solicitada  y  que  el</w:t>
        <w:br/>
        <w:t xml:space="preserve">      cumplimiento de  las  recomendaciones  “esté  absolutamente  fuera  de</w:t>
        <w:br/>
        <w:t xml:space="preserve">      contexto”.  Sin perjuicio de lo anterior, el 30 de junio  de  2005  el</w:t>
        <w:br/>
        <w:t xml:space="preserve">      Estado  “acompañó  […]  a  la  Comisión  los  contratos  de  inversión</w:t>
        <w:br/>
        <w:t xml:space="preserve">      extranjera y de cesión de los mismos, relativos al proyecto Río Cóndor</w:t>
        <w:br/>
        <w:t xml:space="preserve">      de la Empresa Forestal Trillium”;</w:t>
        <w:br/>
        <w:br/>
        <w:t xml:space="preserve">      f)    respecto a la segunda recomendación de la  Comisión  de  otorgar</w:t>
        <w:br/>
        <w:t xml:space="preserve">      una reparación adecuada a los peticionarios, el Estado  informó  a  la</w:t>
        <w:br/>
        <w:t xml:space="preserve">      Comisión que “se est[aba] analizando […] una  reparación  de  carácter</w:t>
        <w:br/>
        <w:t xml:space="preserve">      simbólic[o] que pu[dier]a  recoger  la  situación  de  vulneración  de</w:t>
        <w:br/>
        <w:t xml:space="preserve">      derechos de que fueron víctimas, como asimismo publicitar los  avances</w:t>
        <w:br/>
        <w:t xml:space="preserve">      que en materia de acceso a información pública puede exhibir  [Chile],</w:t>
        <w:br/>
        <w:t xml:space="preserve">      en aras de ir adecuando su derecho interno a los términos del artículo</w:t>
        <w:br/>
        <w:t xml:space="preserve">      13  de  la  Convención.   La  naturaleza  y  características  de  esta</w:t>
        <w:br/>
        <w:t xml:space="preserve">      reparación simbólica, sería propuesta a la C[omisión], para ser puesta</w:t>
        <w:br/>
        <w:t xml:space="preserve">      en conocimiento de los peticionarios, lo que no alcanzó a  verificarse</w:t>
        <w:br/>
        <w:t xml:space="preserve">      por la decisión de la Comisión de elevar el conocimiento del caso ante</w:t>
        <w:br/>
        <w:t xml:space="preserve">      [l]a […] Corte […]”;</w:t>
        <w:br/>
        <w:br/>
        <w:br/>
        <w:br/>
        <w:br/>
        <w:t xml:space="preserve">      g)    respecto a la tercera recomendación de la Comisión, el Estado ha</w:t>
        <w:br/>
        <w:t xml:space="preserve">      adaptado su normativa interna para hacerla conforme a lo dispuesto  en</w:t>
        <w:br/>
        <w:t xml:space="preserve">      el artículo 13 de la Convención.  Como  ejemplo,  señala  la  reciente</w:t>
        <w:br/>
        <w:t xml:space="preserve">      reforma a la Constitución Política, que incorporó en su artículo 8º el</w:t>
        <w:br/>
        <w:t xml:space="preserve">      principio de probidad y el derecho de acceso a la información pública,</w:t>
        <w:br/>
        <w:t xml:space="preserve">      así como que “recientemente  se  ha  elaborado  un  Proyecto  de  Ley,</w:t>
        <w:br/>
        <w:t xml:space="preserve">      destinado a perfeccionar la normativa legal que  rige  actualmente  el</w:t>
        <w:br/>
        <w:t xml:space="preserve">      derecho de acceso a la información, su ejercicio, límites y mecanismos</w:t>
        <w:br/>
        <w:t xml:space="preserve">      de impugnación para el caso de limitación abusiva, ilegal o arbitraria</w:t>
        <w:br/>
        <w:t xml:space="preserve">      de su ejercicio”. De igual manera, las  causales  en  cuya  virtud  se</w:t>
        <w:br/>
        <w:t xml:space="preserve">      puede denegar la entrega de los documentos requeridos se encuentran ya</w:t>
        <w:br/>
        <w:t xml:space="preserve">      establecidas por la Ley de Probidad No.  19.653  y  como  consecuencia</w:t>
        <w:br/>
        <w:t xml:space="preserve">      directa de la reforma constitucional, “se derogó el Decreto Ley No. 26</w:t>
        <w:br/>
        <w:t xml:space="preserve">      del Ministerio Secretaría General de la Presidencia que estableció  en</w:t>
        <w:br/>
        <w:t xml:space="preserve">      su momento los casos en que los órganos de la  Administración  podrían</w:t>
        <w:br/>
        <w:t xml:space="preserve">      otorgar carácter de reservado o de  secreto  a  ciertos  documentos  o</w:t>
        <w:br/>
        <w:t xml:space="preserve">      actos en el ejercicio de su función”, para evitar cualquier  actuación</w:t>
        <w:br/>
        <w:t xml:space="preserve">      al margen de la nueva disposición constitucional; y</w:t>
        <w:br/>
        <w:br/>
        <w:br/>
        <w:t xml:space="preserve">      h)    el análisis de la nueva legislación, adoptada como  consecuencia</w:t>
        <w:br/>
        <w:t xml:space="preserve">      de las recomendaciones  de  la  Comisión  Interamericana,  escapa  del</w:t>
        <w:br/>
        <w:t xml:space="preserve">      objeto y de la competencia contenciosa de la Corte porque este  no  es</w:t>
        <w:br/>
        <w:t xml:space="preserve">      un caso en que las nuevas normas se encuentren cuestionadas.</w:t>
        <w:br/>
        <w:br/>
        <w:br/>
        <w:t>Consideraciones de la Corte</w:t>
        <w:br/>
        <w:br/>
        <w:t>61.   El artículo 13 (Libertad de Pensamiento y de Expresión) de la</w:t>
        <w:br/>
        <w:t>Convención Americana dispone, inter alia, que:</w:t>
        <w:br/>
        <w:br/>
        <w:t xml:space="preserve">      1.    Toda persona tiene derecho a la libertad  de  pensamiento  y  de</w:t>
        <w:br/>
        <w:t xml:space="preserve">      expresión.  Este derecho comprende la libertad de  buscar,  recibir  y</w:t>
        <w:br/>
        <w:t xml:space="preserve">      difundir informaciones e ideas de toda índole,  sin  consideración  de</w:t>
        <w:br/>
        <w:t xml:space="preserve">      fronteras, ya  sea  oralmente,  por  escrito  o  en  forma  impresa  o</w:t>
        <w:br/>
        <w:t xml:space="preserve">      artística, o por cualquier otro procedimiento de su elección.</w:t>
        <w:br/>
        <w:br/>
        <w:br/>
        <w:t xml:space="preserve">      2.    El ejercicio del derecho previsto en  el  inciso  precedente  no</w:t>
        <w:br/>
        <w:t xml:space="preserve">      puede  estar  sujeto  a  previa  censura  sino   a   responsabilidades</w:t>
        <w:br/>
        <w:t xml:space="preserve">      ulteriores, las que deben estar expresamente fijadas por la ley y  ser</w:t>
        <w:br/>
        <w:t xml:space="preserve">      necesarias para asegurar:</w:t>
        <w:br/>
        <w:br/>
        <w:br/>
        <w:t xml:space="preserve">           a.    el respeto a los derechos o a la reputación de los  demás,</w:t>
        <w:br/>
        <w:t xml:space="preserve">           o</w:t>
        <w:br/>
        <w:br/>
        <w:br/>
        <w:t xml:space="preserve">           b.    la protección de la seguridad nacional, el orden público o</w:t>
        <w:br/>
        <w:t xml:space="preserve">           la salud o la moral públicas.</w:t>
        <w:br/>
        <w:br/>
        <w:t xml:space="preserve">      3.    No se puede restringir el derecho de expresión por vías o medios</w:t>
        <w:br/>
        <w:t xml:space="preserve">      indirectos, tales como el abuso de controles oficiales o  particulares</w:t>
        <w:br/>
        <w:t xml:space="preserve">      de papel para periódicos, de frecuencias radioeléctricas, o de enseres</w:t>
        <w:br/>
        <w:t xml:space="preserve">      y aparatos usados en la difusión de  información  o  por  cualesquiera</w:t>
        <w:br/>
        <w:t xml:space="preserve">      otros medios encaminados a impedir la comunicación y la circulación de</w:t>
        <w:br/>
        <w:t xml:space="preserve">      ideas y opiniones.</w:t>
        <w:br/>
        <w:br/>
        <w:br/>
        <w:t xml:space="preserve">      […]</w:t>
        <w:br/>
        <w:br/>
        <w:br/>
        <w:t>62.   En relación con la obligación de respetar los  derechos,  el  artículo</w:t>
        <w:br/>
        <w:t>1.1 de la Convención dispone que:</w:t>
        <w:br/>
        <w:br/>
        <w:t xml:space="preserve">      Los Estados Partes en esta  Convención se comprometen a  respetar  los</w:t>
        <w:br/>
        <w:t xml:space="preserve">      derechos y libertades reconocidos en ella y a  garantizar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63.   Respecto del deber de adoptar disposiciones  de  derecho  interno,  el</w:t>
        <w:br/>
        <w:t>artículo 2 de la Convención establece que:</w:t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 comprometen a  adoptar, con</w:t>
        <w:br/>
        <w:t xml:space="preserve">      arreglo a sus procedimientos constitucionales y a las disposiciones de</w:t>
        <w:br/>
        <w:t xml:space="preserve">      esta  Convención, las medidas legislativas  o  de  otro  carácter  que</w:t>
        <w:br/>
        <w:t xml:space="preserve">      fueren necesarias para hacer  efectivos tales derechos y libertades.</w:t>
        <w:br/>
        <w:br/>
        <w:t>64.   La Corte ha establecido que el deber general  del  artículo  2  de  la</w:t>
        <w:br/>
        <w:t>Convención implica la supresión de  las  normas  y  prácticas  de  cualquier</w:t>
        <w:br/>
        <w:t>naturaleza  que  entrañen  violación  a  las  garantías  previstas   en   la</w:t>
        <w:br/>
        <w:t>Convención, así como la expedición de normas y el  desarrollo  de  prácticas</w:t>
        <w:br/>
        <w:t>conducentes a la efectiva observancia de dichas garantías[71].</w:t>
        <w:br/>
        <w:br/>
        <w:t>65.   La Corte debe determinar, a la  luz  de  los  hechos  probados  en  el</w:t>
        <w:br/>
        <w:t>presente caso, si la falta  de  entrega  de  una  parte  de  la  información</w:t>
        <w:br/>
        <w:t>solicitada al Comité de Inversiones Extranjeras en  1998,  constituyó  o  no</w:t>
        <w:br/>
        <w:t>una violación del derecho a la libertad de pensamiento  y  de  expresión  de</w:t>
        <w:br/>
        <w:t>los señores Marcel Claude Reyes, Sebastián Cox  Urrejola  y  Arturo  Longton</w:t>
        <w:br/>
        <w:t>Guerrero y, por consiguiente, si se configuró una violación al  artículo  13</w:t>
        <w:br/>
        <w:t>de la Convención Americana.</w:t>
        <w:br/>
        <w:br/>
        <w:t>66.   En cuanto a las particularidades del caso, ha quedado probado  que  se</w:t>
        <w:br/>
        <w:t>solicitó información bajo el control del Comité de Inversiones  Extranjeras,</w:t>
        <w:br/>
        <w:t>y que dicho Comité es una persona jurídica de derecho público  (supra  párr.</w:t>
        <w:br/>
        <w:t>57.2 y 57.13 a 57.16). Asimismo, la información que fue solicitada  guardaba</w:t>
        <w:br/>
        <w:t>relación con un contrato de  inversión  extranjera  celebrado  originalmente</w:t>
        <w:br/>
        <w:t>entre el Estado y dos empresas extranjeras y una empresa chilena  receptora,</w:t>
        <w:br/>
        <w:t>con el fin de desarrollar un proyecto  de  industrialización  forestal,  que</w:t>
        <w:br/>
        <w:t>generó gran discusión pública por  el  impacto  ambiental  que  podía  tener</w:t>
        <w:br/>
        <w:t>(supra párr. 57.7).</w:t>
        <w:br/>
        <w:br/>
        <w:t>67.   Antes  de  entrar  a  analizar  si  la  restricción  al  acceso  a  la</w:t>
        <w:br/>
        <w:t>información en este caso conllevó la alegada violación al artículo 13 de  la</w:t>
        <w:br/>
        <w:t>Convención Americana, el Tribunal determinará, en primer término, a  quiénes</w:t>
        <w:br/>
        <w:t>considera como presuntas víctimas, así como también definirá  el  objeto  de</w:t>
        <w:br/>
        <w:t>la controversia respecto de la falta de entrega de información.</w:t>
        <w:br/>
        <w:br/>
        <w:t>68.    En  cuanto  a  la  determinación  de   quiénes   habrían   solicitado</w:t>
        <w:br/>
        <w:t>información cuya falta de entrega se alega en el  presente  caso,  tanto  la</w:t>
        <w:br/>
        <w:t>Comisión como el representante señalaron que las presuntas  víctimas  serían</w:t>
        <w:br/>
        <w:t>los señores Marcel Claude Reyes, Arturo Longton  Guerrero  y  Sebastián  Cox</w:t>
        <w:br/>
        <w:t>Urrejola, e indicaron que  el  Estado  violó  su  derecho  de  acceso  a  la</w:t>
        <w:br/>
        <w:t>información pública porque se negó a brindarles  la  información  solicitada</w:t>
        <w:br/>
        <w:t>por ellos, sin una justificación válida.  En  este  sentido,  el  señor  Cox</w:t>
        <w:br/>
        <w:t>Urrejola manifestó en su  declaración  escrita  “que  asociados  con  Marcel</w:t>
        <w:br/>
        <w:t>Claude y Arturo Longton presenta[ron] la demanda de  información  al  Comité</w:t>
        <w:br/>
        <w:t>de Inversiones Extranjeras [en] mayo de 1998” (supra  párr.  48).  Asimismo,</w:t>
        <w:br/>
        <w:t>el señor Arturo Longton en su declaración escrita señaló que en  la  reunión</w:t>
        <w:br/>
        <w:t>que se llevó a cabo el 19 de  mayo de  1998  solicitó  “diversa  información</w:t>
        <w:br/>
        <w:t>respecto del inversionista extranjero involucrado […] y, en particular,  los</w:t>
        <w:br/>
        <w:t>antecedentes que mostraran su idoneidad y seriedad” (supra párr. 48).</w:t>
        <w:br/>
        <w:br/>
        <w:t>69.   En el presente caso, en que  se  alega  la  violación  al  derecho  de</w:t>
        <w:br/>
        <w:t>acceder a información bajo el control del Estado, la  determinación  de  las</w:t>
        <w:br/>
        <w:t>presuntas víctimas requiere  conocer  las  solicitudes  de  información  que</w:t>
        <w:br/>
        <w:t>habrían realizado y cuáles habrían sido denegadas.</w:t>
        <w:br/>
        <w:br/>
        <w:t>70.   Del análisis  de  la  prueba,  quedan  claros  los  hechos  sobre  las</w:t>
        <w:br/>
        <w:t>solicitudes de información realizadas al Comité de  Inversiones  Extranjeras</w:t>
        <w:br/>
        <w:t>por el señor Marcel Claude Reyes, en su calidad de Director Ejecutivo de  la</w:t>
        <w:br/>
        <w:t>Fundación Terram (supra párr. 57.13, 57.14 y 57.16),  así  como  que  en  la</w:t>
        <w:br/>
        <w:t>reunión  sostenida  con  el  Vicepresidente  del  referido  Comité   también</w:t>
        <w:br/>
        <w:t>participó el  señor  Arturo  Longton  Guerrero  (supra  párr.  57.14)  y  se</w:t>
        <w:br/>
        <w:t>solicitó información, parte de la cual no  les  habría  sido  entregada.  El</w:t>
        <w:br/>
        <w:t>Estado no presentó ningún argumento que  contradiga  que  el  señor  Longton</w:t>
        <w:br/>
        <w:t>Guerrero solicitó información al Comité que no le habría sido entregada.  En</w:t>
        <w:br/>
        <w:t>cuanto al señor  Sebastián  Cox  Urrejola,  el  Tribunal  considera  que  la</w:t>
        <w:br/>
        <w:t>Comisión y el representante no acreditaron cuál fue la información que  éste</w:t>
        <w:br/>
        <w:t>habría solicitado al Comité de Inversiones Extranjeras y que no  le  hubiere</w:t>
        <w:br/>
        <w:t>sido entregada, sino que este señor participó  recién  en  la  interposición</w:t>
        <w:br/>
        <w:t>del recurso de protección ante la Corte de Apelaciones  de  Santiago  (supra</w:t>
        <w:br/>
        <w:t>párr. 57.23).</w:t>
        <w:br/>
        <w:br/>
        <w:t>71.    Por  las  anteriores  consideraciones,  el  Tribunal   analizará   la</w:t>
        <w:br/>
        <w:t>violación del artículo 13 de la Convención Americana  en  relación  con  los</w:t>
        <w:br/>
        <w:t>señores Marcel Claude Reyes y Arturo Longton Guerrero, personas respecto  de</w:t>
        <w:br/>
        <w:t>quienes se probó  que  solicitaron  información  al  Comité  de  Inversiones</w:t>
        <w:br/>
        <w:t>Extranjeras.</w:t>
        <w:br/>
        <w:br/>
        <w:t xml:space="preserve">                                      *</w:t>
        <w:br/>
        <w:br/>
        <w:t>Información que no fue entregada (Objeto de la controversia)</w:t>
        <w:br/>
        <w:br/>
        <w:t>72.   Por otro lado, la Corte destaca que, tal como ha quedado demostrado  y</w:t>
        <w:br/>
        <w:t>ha sido reconocido tanto por la Comisión, por  el  representante  y  por  el</w:t>
        <w:br/>
        <w:t>Estado, éste entregó  información  correspondiente  a  4  de  los  7  puntos</w:t>
        <w:br/>
        <w:t>solicitados mediante comunicación de 7 de mayo de 1998 (supra  párr.  57.13,</w:t>
        <w:br/>
        <w:t>57.14, 57.15 y 57.19).</w:t>
        <w:br/>
        <w:br/>
        <w:t>73.   El Tribunal encuentra claro que la información que  no  fue  entregada</w:t>
        <w:br/>
        <w:t>por el Estado era de interés  público,  ya  que  guardaba  relación  con  un</w:t>
        <w:br/>
        <w:t>contrato de inversión extranjera celebrado originalmente entre el  Estado  y</w:t>
        <w:br/>
        <w:t>dos empresas extranjeras y una empresa chilena  receptora,  con  el  fin  de</w:t>
        <w:br/>
        <w:t>desarrollar un proyecto de industrialización forestal, que  por  el  impacto</w:t>
        <w:br/>
        <w:t>ambiental que podía tener generó gran discusión pública (supra párr.  57.7).</w:t>
        <w:br/>
        <w:t xml:space="preserve"> Además, dicho pedido de información guardaba relación con  la  verificación</w:t>
        <w:br/>
        <w:t>del adecuado actuar y cumplimiento de  funciones  por  parte  de  un  órgano</w:t>
        <w:br/>
        <w:t>estatal: el Comité de Inversiones Extranjeras.</w:t>
        <w:br/>
        <w:br/>
        <w:t>74.   El presente caso no versa sobre la denegatoria absoluta de entrega  de</w:t>
        <w:br/>
        <w:t>información, ya que el Estado cumplió  parcialmente  con  su  obligación  de</w:t>
        <w:br/>
        <w:t>suministrar información que estaba bajo  su  control.   La  controversia  se</w:t>
        <w:br/>
        <w:t>plantea en relación con la falta de  entrega  de  parte  de  la  información</w:t>
        <w:br/>
        <w:t>solicitada en los puntos 3, 6 y 7 de la referida carta de 7 de mayo de  1998</w:t>
        <w:br/>
        <w:t>(supra párr. 57.13 y 57.17).</w:t>
        <w:br/>
        <w:br/>
        <w:t xml:space="preserve">                                      *</w:t>
        <w:br/>
        <w:t xml:space="preserve">                                   *     *</w:t>
        <w:br/>
        <w:br/>
        <w:t>A)    Derecho a la libertad de pensamiento y de expresión</w:t>
        <w:br/>
        <w:br/>
        <w:t>75.   La jurisprudencia del Tribunal ha dado un amplio contenido al  derecho</w:t>
        <w:br/>
        <w:t>a la libertad de pensamiento y de expresión consagrado en el artículo 13  de</w:t>
        <w:br/>
        <w:t>la Convención, a través de la descripción de sus  dimensiones  individual  y</w:t>
        <w:br/>
        <w:t>social,  de  las  cuales  ha  desprendido  una  serie  de  derechos  que  se</w:t>
        <w:br/>
        <w:t>encuentran protegidos en dicho artículo[72].</w:t>
        <w:br/>
        <w:br/>
        <w:t>76.   En este  sentido  la  Corte  ha  establecido  que,  de  acuerdo  a  la</w:t>
        <w:br/>
        <w:t>protección que otorga la Convención Americana, el derecho a la  libertad  de</w:t>
        <w:br/>
        <w:t>pensamiento y de expresión comprende “no sólo el derecho y  la  libertad  de</w:t>
        <w:br/>
        <w:t>expresar su propio pensamiento, sino también el derecho  y  la  libertad  de</w:t>
        <w:br/>
        <w:t>buscar, recibir y difundir informaciones e ideas  de  toda  índole”[73].  Al</w:t>
        <w:br/>
        <w:t>igual que la Convención Americana,  otros  instrumentos  internacionales  de</w:t>
        <w:br/>
        <w:t>derechos humanos, tales como la Declaración Universal de Derechos Humanos  y</w:t>
        <w:br/>
        <w:t>el Pacto Internacional  de  Derechos  Civiles  y  Políticos,  establecen  un</w:t>
        <w:br/>
        <w:t>derecho positivo a buscar y a recibir información.</w:t>
        <w:br/>
        <w:br/>
        <w:t>77.   En lo que respecta a los hechos del presente  caso,  la  Corte  estima</w:t>
        <w:br/>
        <w:t>que el artículo 13 de la Convención, al estipular expresamente los  derechos</w:t>
        <w:br/>
        <w:t>a “buscar” y a “recibir” “informaciones”, protege el derecho que tiene  toda</w:t>
        <w:br/>
        <w:t>persona a solicitar el acceso a la información bajo el control  del  Estado,</w:t>
        <w:br/>
        <w:t>con las salvedades  permitidas  bajo  el  régimen  de  restricciones  de  la</w:t>
        <w:br/>
        <w:t>Convención. Consecuentemente,  dicho  artículo  ampara  el  derecho  de  las</w:t>
        <w:br/>
        <w:t>personas a recibir dicha información y la obligación positiva del Estado  de</w:t>
        <w:br/>
        <w:t>suministrarla, de forma tal que la persona pueda tener acceso a conocer  esa</w:t>
        <w:br/>
        <w:t>información o reciba una respuesta  fundamentada  cuando  por  algún  motivo</w:t>
        <w:br/>
        <w:t>permitido por la Convención el Estado pueda limitar el  acceso  a  la  misma</w:t>
        <w:br/>
        <w:t>para el caso concreto. Dicha información debe ser  entregada  sin  necesidad</w:t>
        <w:br/>
        <w:t>de  acreditar  un  interés  directo  para  su  obtención  o  una  afectación</w:t>
        <w:br/>
        <w:t>personal, salvo en los casos en que se  aplique  una  legítima  restricción.</w:t>
        <w:br/>
        <w:t>Su entrega a una persona puede permitir a su vez  que  ésta  circule  en  la</w:t>
        <w:br/>
        <w:t>sociedad de manera que pueda conocerla, acceder a ella y valorarla. De  esta</w:t>
        <w:br/>
        <w:t>forma, el derecho a la libertad de pensamiento y de expresión  contempla  la</w:t>
        <w:br/>
        <w:t>protección del derecho de acceso  a  la  información  bajo  el  control  del</w:t>
        <w:br/>
        <w:t>Estado, el cual también  contiene  de  manera  clara  las  dos  dimensiones,</w:t>
        <w:br/>
        <w:t>individual y  social,  del  derecho  a  la  libertad  de  pensamiento  y  de</w:t>
        <w:br/>
        <w:t>expresión, las  cuales  deben  ser  garantizadas  por  el  Estado  de  forma</w:t>
        <w:br/>
        <w:t>simultánea[74].</w:t>
        <w:br/>
        <w:br/>
        <w:t>78.   Al respecto, es importante destacar que existe  un  consenso  regional</w:t>
        <w:br/>
        <w:t>de los Estados que integran la Organización de los  Estados  Americanos  (en</w:t>
        <w:br/>
        <w:t>adelante “la OEA”) sobre la importancia del acceso a la información  pública</w:t>
        <w:br/>
        <w:t>y  la  necesidad  de  su  protección.   Dicho  derecho  ha  sido  objeto  de</w:t>
        <w:br/>
        <w:t>resoluciones específicas emitidas por la Asamblea General de la OEA[75].  En</w:t>
        <w:br/>
        <w:t>la última Resolución de 3 de junio de 2006 la Asamblea  General  de  la  OEA</w:t>
        <w:br/>
        <w:t>“inst[ó] a los Estados a que respeten  y  hagan  respetar  el  acceso  a  la</w:t>
        <w:br/>
        <w:t>información pública a todas las personas  y  [a]  promover  la  adopción  de</w:t>
        <w:br/>
        <w:t>disposiciones legislativas o de otro carácter  que  fueran  necesarias  para</w:t>
        <w:br/>
        <w:t>asegurar su reconocimiento y aplicación efectiva”[76].</w:t>
        <w:br/>
        <w:br/>
        <w:t>79.   La Carta Democrática Interamericana[77] destaca en su  artículo  4  la</w:t>
        <w:br/>
        <w:t>importancia de “la transparencia  de  las  actividades  gubernamentales,  la</w:t>
        <w:br/>
        <w:t>probidad, la responsabilidad de los gobiernos  en  la  gestión  pública,  el</w:t>
        <w:br/>
        <w:t>respeto por los derechos sociales y la libertad de expresión  y  de  prensa”</w:t>
        <w:br/>
        <w:t>como componentes fundamentales del ejercicio de la democracia. Asimismo,  en</w:t>
        <w:br/>
        <w:t>su artículo 6 la Carta afirma que “[l]a participación de  la  ciudadanía  en</w:t>
        <w:br/>
        <w:t>las decisiones relativas  a  su  propio  desarrollo  […  es]  una  condición</w:t>
        <w:br/>
        <w:t>necesaria para el pleno y efectivo ejercicio de la democracia”, por  lo  que</w:t>
        <w:br/>
        <w:t>invita a los Estados Parte a  “[p]romover  y  fomentar  diversas  formas  de</w:t>
        <w:br/>
        <w:t>participación [ciudadana]”.</w:t>
        <w:br/>
        <w:br/>
        <w:t>80.   En la Declaración de Nuevo León, aprobada en el  2004,  los  Jefes  de</w:t>
        <w:br/>
        <w:t>Estado de las Américas se comprometieron, entre otras cosas, “a  contar  con</w:t>
        <w:br/>
        <w:t>los  marcos  jurídicos  y  normativos,  así  como  con  las  estructuras   y</w:t>
        <w:br/>
        <w:t>condiciones necesarias para garantizar a nuestros ciudadanos el  derecho  al</w:t>
        <w:br/>
        <w:t>acceso a la información”, reconociendo que “[e]l acceso a la información  en</w:t>
        <w:br/>
        <w:t>poder del Estado, con el debido respeto  a  las  normas  constitucionales  y</w:t>
        <w:br/>
        <w:t>legales, incluidas  las  de  privacidad  y  confidencialidad,  es  condición</w:t>
        <w:br/>
        <w:t>indispensable para la participación ciudadana [...]”[78].</w:t>
        <w:br/>
        <w:br/>
        <w:t>81.   En igual sentido se debe destacar lo establecido en materia de  acceso</w:t>
        <w:br/>
        <w:t>a  la  información  en  la  Convención  de   Naciones   Unidas   contra   la</w:t>
        <w:br/>
        <w:t>Corrupción[79] y en la Declaración de Río  sobre  el  Medio  Ambiente  y  el</w:t>
        <w:br/>
        <w:t>Desarrollo[80]. Asimismo, en el ámbito del Consejo de Europa, ya desde  1970</w:t>
        <w:br/>
        <w:t>la Asamblea Parlamentaria realizó recomendaciones  al  Comité  de  Ministros</w:t>
        <w:br/>
        <w:t>del  Consejo  de  Europa  en  materia  de  “derecho   a   la   libertad   de</w:t>
        <w:br/>
        <w:t>información”[81], así como  también  emitió  una  Declaración,  en  la  cual</w:t>
        <w:br/>
        <w:t>estableció que respecto del derecho a la libertad de expresión debe  existir</w:t>
        <w:br/>
        <w:t>“el correspondiente deber de las autoridades públicas de hacer accesible  la</w:t>
        <w:br/>
        <w:t>información  sobre  asuntos  de  interés  público  dentro  de  los   límites</w:t>
        <w:br/>
        <w:t>razonables  […]”[82].  Asimismo,   se   han   adoptado   recomendaciones   y</w:t>
        <w:br/>
        <w:t>directivas[83], y en 1982 el Comité de  Ministros  adoptó  una  “Declaración</w:t>
        <w:br/>
        <w:t>sobre libertad de expresión e información”, en la cual expresó  el  objetivo</w:t>
        <w:br/>
        <w:t>de buscar una política de apertura de información en el sector  público[84].</w:t>
        <w:br/>
        <w:t xml:space="preserve"> En 1998 se adoptó la “Convención sobre  el  acceso  a  la  información,  la</w:t>
        <w:br/>
        <w:t>participación del público en  la  toma  de  decisiones  y  el  acceso  a  la</w:t>
        <w:br/>
        <w:t>justicia en asuntos ambientales”, en el marco de la Conferencia  Ministerial</w:t>
        <w:br/>
        <w:t>“Medio Ambiente para Europa”, celebrada en Aarhus,  Dinamarca.   Además,  el</w:t>
        <w:br/>
        <w:t>Comité de Ministros del Consejo de Europa emitió una recomendación sobre  el</w:t>
        <w:br/>
        <w:t>derecho de acceso  a  documentos  oficiales  en  poder  de  las  autoridades</w:t>
        <w:br/>
        <w:t>públicas[85], en cuyo  principio  IV  establece  las  posibles  excepciones,</w:t>
        <w:br/>
        <w:t>señalando que “[dichas] restricciones deberán exponerse  de  manera  precisa</w:t>
        <w:br/>
        <w:t>por ley, ser necesarias en una sociedad democrática y ser proporcionales  al</w:t>
        <w:br/>
        <w:t>objetivo de protección”.</w:t>
        <w:br/>
        <w:br/>
        <w:t>82.   Asimismo, el Tribunal considera de especial  relevancia  que  a  nivel</w:t>
        <w:br/>
        <w:t>mundial, muchos países han adoptado normativa dirigida a proteger y  regular</w:t>
        <w:br/>
        <w:t>el derecho de acceder a la información bajo el control del Estado.</w:t>
        <w:br/>
        <w:br/>
        <w:t>83.    Finalmente,  la  Corte  estima  relevante  hacer   notar   que,   con</w:t>
        <w:br/>
        <w:t>posterioridad a los hechos de este  caso,  Chile  ha  realizado  importantes</w:t>
        <w:br/>
        <w:t>avances en materia de consagración normativa del  derecho  de  acceso  a  la</w:t>
        <w:br/>
        <w:t>información bajo el  control  del  Estado,  que  incluyen  entre  otros  una</w:t>
        <w:br/>
        <w:t>reforma constitucional,  y  que  actualmente  se  encuentra  en  trámite  un</w:t>
        <w:br/>
        <w:t>proyecto de ley sobre dicho derecho.</w:t>
        <w:br/>
        <w:br/>
        <w:t xml:space="preserve">                                      *</w:t>
        <w:br/>
        <w:t xml:space="preserve">                                   *     *</w:t>
        <w:br/>
        <w:br/>
        <w:t>84.   Este Tribunal ha expresado  que  “[l]a  democracia  representativa  es</w:t>
        <w:br/>
        <w:t>determinante en todo el sistema  del  que  la  Convención  forma  parte”,  y</w:t>
        <w:br/>
        <w:t>constituye “un ‘principio’ reafirmado  por  los  Estados  americanos  en  la</w:t>
        <w:br/>
        <w:t>Carta de la OEA, instrumento fundamental  del  Sistema  Interamericano”[86].</w:t>
        <w:br/>
        <w:t>La Asamblea General de la OEA en  diversas  resoluciones  consideró  que  el</w:t>
        <w:br/>
        <w:t>acceso a la información  pública  es  un  requisito  indispensable  para  el</w:t>
        <w:br/>
        <w:t>funcionamiento mismo de la democracia, una mayor transparencia y  una  buena</w:t>
        <w:br/>
        <w:t>gestión  pública,  y  que  en  un  sistema  democrático   representativo   y</w:t>
        <w:br/>
        <w:t>participativo, la ciudadanía ejerce sus derechos constitucionales, a  través</w:t>
        <w:br/>
        <w:t>de  una  amplia  libertad  de  expresión  y  de  un  libre   acceso   a   la</w:t>
        <w:br/>
        <w:t>información[87].</w:t>
        <w:br/>
        <w:br/>
        <w:t>85.   La Corte Interamericana ha hecho referencia  a  la  estrecha  relación</w:t>
        <w:br/>
        <w:t>existente entre democracia y libertad de expresión, al establecer que</w:t>
        <w:br/>
        <w:br/>
        <w:t xml:space="preserve">      […] la libertad de expresión es un elemento fundamental sobre el  cual</w:t>
        <w:br/>
        <w:t xml:space="preserve">      se basa la existencia de una sociedad  democrática.  Es  indispensable</w:t>
        <w:br/>
        <w:t xml:space="preserve">      para la formación de la opinión pública. Es también conditio sine  qua</w:t>
        <w:br/>
        <w:t xml:space="preserve">      non para que los partidos políticos, los  sindicatos,  las  sociedades</w:t>
        <w:br/>
        <w:t xml:space="preserve">      científicas y culturales, y en general, quienes deseen  influir  sobre</w:t>
        <w:br/>
        <w:t xml:space="preserve">      la colectividad puedan desarrollarse plenamente. Es, en fin, condición</w:t>
        <w:br/>
        <w:t xml:space="preserve">      para que la  comunidad,  a  la  hora  de  ejercer  sus  opciones  esté</w:t>
        <w:br/>
        <w:t xml:space="preserve">      suficientemente informada.  Por  ende,  es  posible  afirmar  que  una</w:t>
        <w:br/>
        <w:t xml:space="preserve">      sociedad que no está bien informada no es plenamente libre[88].</w:t>
        <w:br/>
        <w:br/>
        <w:br/>
        <w:t>86.   En este sentido, el actuar del Estado debe encontrarse regido por  los</w:t>
        <w:br/>
        <w:t>principios de publicidad y transparencia en la gestión pública, lo que  hace</w:t>
        <w:br/>
        <w:t>posible que las personas que se encuentran bajo su jurisdicción  ejerzan  el</w:t>
        <w:br/>
        <w:t>control democrático de las gestiones estatales,  de  forma  tal  que  puedan</w:t>
        <w:br/>
        <w:t>cuestionar, indagar y considerar si se está dando un  adecuado  cumplimiento</w:t>
        <w:br/>
        <w:t>de las funciones públicas. El acceso a la información bajo  el  control  del</w:t>
        <w:br/>
        <w:t>Estado, que sea de interés público, puede permitir la  participación  en  la</w:t>
        <w:br/>
        <w:t>gestión pública, a través del control social que se puede ejercer con  dicho</w:t>
        <w:br/>
        <w:t>acceso.</w:t>
        <w:br/>
        <w:br/>
        <w:t>87.         El control democrático, por parte de la sociedad a través de  la</w:t>
        <w:br/>
        <w:t>opinión pública, fomenta  la transparencia de las  actividades  estatales  y</w:t>
        <w:br/>
        <w:t>promueve  la  responsabilidad  de  los  funcionarios    sobre   su   gestión</w:t>
        <w:br/>
        <w:t>pública[89]. Por ello, para que  las  personas  puedan  ejercer  el  control</w:t>
        <w:br/>
        <w:t>democrático es esencial que el Estado garantice el acceso a  la  información</w:t>
        <w:br/>
        <w:t>de interés público bajo su control. Al permitir el ejercicio de ese  control</w:t>
        <w:br/>
        <w:t>democrático se fomenta una  mayor  participación  de  las  personas  en  los</w:t>
        <w:br/>
        <w:t>intereses de la sociedad.</w:t>
        <w:br/>
        <w:br/>
        <w:br/>
        <w:t>B)    Las restricciones al ejercicio del derecho de acceso a la  información</w:t>
        <w:br/>
        <w:t>bajo el control del Estado impuestas en este caso</w:t>
        <w:br/>
        <w:br/>
        <w:t>88.         El derecho de acceso  a  la  información  bajo  el  control  del</w:t>
        <w:br/>
        <w:t>Estado admite restricciones. Este Tribunal ya se ha  pronunciado,  en  otros</w:t>
        <w:br/>
        <w:t>casos, sobre las restricciones  que  se  pueden  imponer  al  ejercicio  del</w:t>
        <w:br/>
        <w:t>derecho a la libertad de pensamiento y de expresión[90].</w:t>
        <w:br/>
        <w:br/>
        <w:t>89.         En cuanto a los requisitos que debe cumplir una  restricción  en</w:t>
        <w:br/>
        <w:t>esta materia, en primer término deben  estar  previamente  fijadas  por  ley</w:t>
        <w:br/>
        <w:t>como medio para asegurar que  no  queden  al  arbitrio  del  poder  público.</w:t>
        <w:br/>
        <w:t>Dichas leyes deben dictarse  “por  razones  de  interés  general  y  con  el</w:t>
        <w:br/>
        <w:t>propósito para el cual han sido  establecidas”.  Al  respecto  la  Corte  ha</w:t>
        <w:br/>
        <w:t>enfatizado que</w:t>
        <w:br/>
        <w:br/>
        <w:t xml:space="preserve">    En tal perspectiva  no  es  posible  interpretar  la  expresión  leyes,</w:t>
        <w:br/>
        <w:t xml:space="preserve">    utilizada en el artículo 30, como sinónimo de cualquier norma jurídica,</w:t>
        <w:br/>
        <w:t xml:space="preserve">    pues ello equivaldría a admitir que los derechos  fundamentales  pueden</w:t>
        <w:br/>
        <w:t xml:space="preserve">    ser restringidos por la sola determinación del poder público, sin  otra</w:t>
        <w:br/>
        <w:t xml:space="preserve">    limitación  formal  que  la  de  consagrar   tales   restricciones   en</w:t>
        <w:br/>
        <w:t xml:space="preserve">    disposiciones de carácter general.</w:t>
        <w:br/>
        <w:t xml:space="preserve">    […]</w:t>
        <w:br/>
        <w:t xml:space="preserve">    El requisito según el cual las leyes han de ser dictadas por razones de</w:t>
        <w:br/>
        <w:t xml:space="preserve">    interés general significa que deben haber sido adoptadas en función del</w:t>
        <w:br/>
        <w:t xml:space="preserve">    "bien común"  (art.  32.2),  concepto  que  ha  de  interpretarse  como</w:t>
        <w:br/>
        <w:t xml:space="preserve">    elemento integrante del orden público del Estado democrático […][91].</w:t>
        <w:br/>
        <w:br/>
        <w:br/>
        <w:br/>
        <w:t>90.         En segundo  lugar,  la  restricción  establecida  por  ley  debe</w:t>
        <w:br/>
        <w:t>responder a un objetivo permitido por la Convención Americana. Al  respecto,</w:t>
        <w:br/>
        <w:t>el artículo 13.2 de la Convención  permite  que  se  realicen  restricciones</w:t>
        <w:br/>
        <w:t>necesarias para asegurar “el respeto a los derechos o  a  la  reputación  de</w:t>
        <w:br/>
        <w:t>los demás” o “la protección de la seguridad nacional, el orden público o  la</w:t>
        <w:br/>
        <w:t>salud o la moral públicas”.</w:t>
        <w:br/>
        <w:br/>
        <w:t>91.          Finalmente,  las  restricciones  que  se  impongan  deben   ser</w:t>
        <w:br/>
        <w:t>necesarias en  una  sociedad  democrática,  lo  que  depende  de  que  estén</w:t>
        <w:br/>
        <w:t>orientadas  a  satisfacer  un  interés  público  imperativo.   Entre  varias</w:t>
        <w:br/>
        <w:t>opciones para alcanzar ese objetivo, debe escogerse  aquélla  que  restrinja</w:t>
        <w:br/>
        <w:t>en menor escala el derecho protegido. Es  decir,  la  restricción  debe  ser</w:t>
        <w:br/>
        <w:t>proporcional al  interés  que  la  justifica  y  debe  ser  conducente  para</w:t>
        <w:br/>
        <w:t>alcanzar el logro de  ese  legítimo  objetivo,  interfiriendo  en  la  menor</w:t>
        <w:br/>
        <w:t>medida posible en el efectivo ejercicio del derecho[92].</w:t>
        <w:br/>
        <w:br/>
        <w:t>92.          La  Corte  observa  que  en   una   sociedad   democrática   es</w:t>
        <w:br/>
        <w:t>indispensable que las autoridades estatales se rijan  por  el  principio  de</w:t>
        <w:br/>
        <w:t>máxima divulgación, el cual establece la presunción de que toda  información</w:t>
        <w:br/>
        <w:t>es accesible, sujeto a un sistema restringido de excepciones.</w:t>
        <w:br/>
        <w:br/>
        <w:t>93.         Corresponde al Estado demostrar que al establecer  restricciones</w:t>
        <w:br/>
        <w:t>al acceso a la información bajo su control ha cumplido  con  los  anteriores</w:t>
        <w:br/>
        <w:t>requisitos.</w:t>
        <w:br/>
        <w:br/>
        <w:t>94.   En el presente caso, está  probado  que  la  restricción  aplicada  al</w:t>
        <w:br/>
        <w:t>acceso a la información no se basó en una ley.  En esa época no  existía  en</w:t>
        <w:br/>
        <w:t>Chile legislación que regulara la materia de restricciones al  acceso  a  la</w:t>
        <w:br/>
        <w:t>información bajo el control del Estado.</w:t>
        <w:br/>
        <w:br/>
        <w:t>95.   Asimismo, el Estado no demostró que la restricción  respondiera  a  un</w:t>
        <w:br/>
        <w:t>objetivo permitido por la Convención Americana, ni que  fuera  necesaria  en</w:t>
        <w:br/>
        <w:t>una sociedad democrática, ya que la  autoridad  encargada  de  responder  la</w:t>
        <w:br/>
        <w:t>solicitud de información no adoptó una  decisión  escrita  fundamentada  que</w:t>
        <w:br/>
        <w:t>pudiera permitir conocer  cuáles  fueron  los  motivos  para  restringir  el</w:t>
        <w:br/>
        <w:t>acceso a tal información en el caso concreto.</w:t>
        <w:br/>
        <w:br/>
        <w:t>96.   A pesar de que en su momento oportuno la autoridad pública ante  quien</w:t>
        <w:br/>
        <w:t>se planteó la solicitud de información no adoptó una  decisión  fundamentada</w:t>
        <w:br/>
        <w:t>sobre la denegatoria al realizar tal limitación al derecho,  la  Corte  nota</w:t>
        <w:br/>
        <w:t>que, posteriormente, en el proceso  internacional  el  Estado  ha  sostenido</w:t>
        <w:br/>
        <w:t>varios argumentos con el fin  de  justificar  la  falta  de  entrega  de  la</w:t>
        <w:br/>
        <w:t>información solicitada en los puntos 3, 6 y 7 de la solicitud de 7  de  mayo</w:t>
        <w:br/>
        <w:t>de 1998 (supra párr. 57.13).</w:t>
        <w:br/>
        <w:br/>
        <w:t>97.   Asimismo, fue recién durante la audiencia pública celebrada  el  3  de</w:t>
        <w:br/>
        <w:t>abril  de  2006  (supra  párr.  32)  que  quien  desempeñaba  el  puesto  de</w:t>
        <w:br/>
        <w:t>Vicepresidente del Comité de Inversiones Extranjeras  en  la  época  de  los</w:t>
        <w:br/>
        <w:t>hechos y declaró como testigo ante el Tribunal, detalló los motivos por  los</w:t>
        <w:br/>
        <w:t>cuales no entregó cada uno de los  tres  puntos  de  información  solicitada</w:t>
        <w:br/>
        <w:t>(supra párr. 57.20).  Señaló  básicamente  que  “el  Comité  de  Inversiones</w:t>
        <w:br/>
        <w:t>Extranjeras […] no entregó antecedentes financieros propios  de  la  empresa</w:t>
        <w:br/>
        <w:t>teniendo presente que la entrega de  aquellos  antecedentes  iba  contra  el</w:t>
        <w:br/>
        <w:t>interés colectivo”, el cual era “el desarrollo del  país”,  y  que  era  una</w:t>
        <w:br/>
        <w:t>práctica del Comité de Inversiones no entregar  a  terceros  la  información</w:t>
        <w:br/>
        <w:t>financiera de la empresa que pudiera afectarla en su  competencia.   Además,</w:t>
        <w:br/>
        <w:t>manifestó que otra parte de la información no la tenía dicho Comité, ni  era</w:t>
        <w:br/>
        <w:t>su obligación tenerla ni recabarla.</w:t>
        <w:br/>
        <w:br/>
        <w:t>98.         Tal como ha quedado acreditado, la restricción  aplicada  en  el</w:t>
        <w:br/>
        <w:t>presente caso no cumplió con los parámetros convencionales. Al respecto,  la</w:t>
        <w:br/>
        <w:t>Corte entiende que el establecimiento de restricciones al derecho de  acceso</w:t>
        <w:br/>
        <w:t>a información bajo el control del Estado a través  de  la  práctica  de  sus</w:t>
        <w:br/>
        <w:t>autoridades, sin la observancia de los límites convencionales (supra  párrs.</w:t>
        <w:br/>
        <w:t>77 y 88 a 93), crea  un  campo  fértil  para  la  actuación  discrecional  y</w:t>
        <w:br/>
        <w:t>arbitraria del Estado en la clasificación de la  información  como  secreta,</w:t>
        <w:br/>
        <w:t>reservada o confidencial, y  se  genera  inseguridad  jurídica  respecto  al</w:t>
        <w:br/>
        <w:t>ejercicio de dicho derecho y las facultades del Estado para restringirlo.</w:t>
        <w:br/>
        <w:br/>
        <w:t>99.   Por otro lado, es necesario destacar que al solicitar  la  información</w:t>
        <w:br/>
        <w:t>al Comité de  Inversiones  Extranjeras  el  señor  Marcel  Claude  Reyes  se</w:t>
        <w:br/>
        <w:t>“propuso  evaluar  los  factores  comerciales,  económicos  y  sociales  del</w:t>
        <w:br/>
        <w:t>proyecto [Río Cóndor], medir el  impacto  sobre  el  medio  ambiente  […]  y</w:t>
        <w:br/>
        <w:t>activar el control social respecto de la gestión de órganos del  Estado  que</w:t>
        <w:br/>
        <w:t>tienen o han tenido injerencia” en  el  desarrollo  de  dicho  proyecto  “de</w:t>
        <w:br/>
        <w:t>explotación del Río Cóndor” (supra párr. 57.13).  Asimismo, el señor  Arturo</w:t>
        <w:br/>
        <w:t>Longton Guerrero expresó que acudió a pedir la información  “preocupado  por</w:t>
        <w:br/>
        <w:t>la posible tala indiscriminada de bosque nativo en el extremo sur de  Chile”</w:t>
        <w:br/>
        <w:t>y que “[l]a denegación de información pública, significó […] un  impedimento</w:t>
        <w:br/>
        <w:t>a  [su]  tarea  de  fiscalizador”  (supra  párr.  48).   Al  no  recibir  la</w:t>
        <w:br/>
        <w:t>información   solicitada,   ni   una   contestación   motivada   sobre   las</w:t>
        <w:br/>
        <w:t>restricciones a su derecho al acceso a la información bajo  el  control  del</w:t>
        <w:br/>
        <w:t>Estado, los señores Claude Reyes  y  Longton  Guerrero  vieron  afectada  la</w:t>
        <w:br/>
        <w:t>posibilidad de realizar un control social de la gestión pública.</w:t>
        <w:br/>
        <w:br/>
        <w:t xml:space="preserve">                                      *</w:t>
        <w:br/>
        <w:t xml:space="preserve">                                *           *</w:t>
        <w:br/>
        <w:br/>
        <w:t>100.  La Corte valora los esfuerzos realizados  por  Chile  con  el  fin  de</w:t>
        <w:br/>
        <w:t>adecuar su normativa a la  Convención  Americana  en  materia  de  acceso  a</w:t>
        <w:br/>
        <w:t>información bajo el control del Estado, en particular la reciente reforma  a</w:t>
        <w:br/>
        <w:t>la Constitución Política realizada  en  el  año  2005  que  dispone  que  la</w:t>
        <w:br/>
        <w:t>reserva o secreto de la información debe establecerse por ley  (supra  párr.</w:t>
        <w:br/>
        <w:t>57.41), disposición que no existía en la época de los hechos de  este  caso.</w:t>
        <w:br/>
        <w:br/>
        <w:br/>
        <w:t>101.   Sin  embargo,  la  Corte  considera  necesario   reiterar   que,   de</w:t>
        <w:br/>
        <w:t>conformidad con el deber dispuesto en el artículo 2  de  la  Convención,  el</w:t>
        <w:br/>
        <w:t>Estado  tiene  que  adoptar  las  medidas  necesarias  para  garantizar  los</w:t>
        <w:br/>
        <w:t>derechos protegidos en la Convención, lo cual implica la supresión tanto  de</w:t>
        <w:br/>
        <w:t>las normas y prácticas que entrañen violaciones a tales derechos,  así  como</w:t>
        <w:br/>
        <w:t>la expedición de normas y  el  desarrollo  de  prácticas  conducentes  a  la</w:t>
        <w:br/>
        <w:t>efectiva observancia de dichas garantías.  En particular, ello  implica  que</w:t>
        <w:br/>
        <w:t>la normativa que regule restricciones al acceso a  la  información  bajo  el</w:t>
        <w:br/>
        <w:t>control del Estado debe cumplir con los  parámetros  convencionales  y  sólo</w:t>
        <w:br/>
        <w:t>pueden  realizarse  restricciones  por  las  razones   permitidas   por   la</w:t>
        <w:br/>
        <w:t>Convención (supra párrs. 88 a 93),  lo  cual  es  también  aplicable  a  las</w:t>
        <w:br/>
        <w:t>decisiones que adopten los órganos internos en dicha materia.</w:t>
        <w:br/>
        <w:br/>
        <w:t>102.  Es preciso indicar que las violaciones en el presente caso  ocurrieron</w:t>
        <w:br/>
        <w:t>antes que el Estado realizara tales reformas, por lo que la  Corte  concluye</w:t>
        <w:br/>
        <w:t>que, en este caso, el Estado no cumplió con las obligaciones que  le  impone</w:t>
        <w:br/>
        <w:t>el  artículo  2  de  la  Convención  Americana  de   adoptar   las   medidas</w:t>
        <w:br/>
        <w:t>legislativas o de otro carácter necesarias para garantizar el derecho  a  la</w:t>
        <w:br/>
        <w:t>libertad de pensamiento y de expresión de los señores Marcel Claude Reyes  y</w:t>
        <w:br/>
        <w:t>Arturo Longton Guerrero.</w:t>
        <w:br/>
        <w:br/>
        <w:t xml:space="preserve">                                      *</w:t>
        <w:br/>
        <w:t xml:space="preserve">                                *           *</w:t>
        <w:br/>
        <w:br/>
        <w:t>103.  Con fundamento en las consideraciones precedentes, la  Corte  concluye</w:t>
        <w:br/>
        <w:t>que el Estado violó el derecho a la libertad de pensamiento y  de  expresión</w:t>
        <w:br/>
        <w:t>consagrado en el artículo 13 de la Convención Americana en perjuicio de  los</w:t>
        <w:br/>
        <w:t>señores Marcel Claude Reyes y Arturo Longton Guerrero, y  ha  incumplido  la</w:t>
        <w:br/>
        <w:t>obligación general de  respetar  y  garantizar  los  derechos  y  libertades</w:t>
        <w:br/>
        <w:t>dispuesta en el artículo  1.1  de  dicho  tratado.  Asimismo,  al  no  haber</w:t>
        <w:br/>
        <w:t>adoptado las medidas necesarias y compatibles con la Convención  para  hacer</w:t>
        <w:br/>
        <w:t>efectivo el derecho al acceso a la información bajo el control  del  Estado,</w:t>
        <w:br/>
        <w:t>Chile incumplió la obligación general de adoptar  disposiciones  de  derecho</w:t>
        <w:br/>
        <w:t>interno que emana del artículo 2 de la Convención.</w:t>
        <w:br/>
        <w:br/>
        <w:br/>
        <w:t xml:space="preserve">                                    VIII</w:t>
        <w:br/>
        <w:t xml:space="preserve">                      Artículo 23 (Derechos Políticos)</w:t>
        <w:br/>
        <w:t xml:space="preserve">                         de la Convención Americana</w:t>
        <w:br/>
        <w:t xml:space="preserve">              en relación con los artículos 1.1 y 2 de la misma</w:t>
        <w:br/>
        <w:br/>
        <w:br/>
        <w:t>104.  La Comisión no alegó que se hubiere  violado  el  artículo  23  de  la</w:t>
        <w:br/>
        <w:t>Convención.</w:t>
        <w:br/>
        <w:br/>
        <w:br/>
        <w:t>Alegatos del representante de las presuntas víctimas:</w:t>
        <w:br/>
        <w:br/>
        <w:t>105.   El  representante  alegó  que  Chile  violó  el  artículo  23  de  la</w:t>
        <w:br/>
        <w:t>Convención, en relación con los artículos 1.1. y 2 de la misma,  apreciación</w:t>
        <w:br/>
        <w:t>que no figura en la demanda presentada por la  Comisión.   El  representante</w:t>
        <w:br/>
        <w:t>señaló que:</w:t>
        <w:br/>
        <w:br/>
        <w:t xml:space="preserve">      a)    el Estado vulneró el derecho a la participación directa  en  los</w:t>
        <w:br/>
        <w:t xml:space="preserve">      asuntos públicos ya que éste no se encuentra legalmente reconocido  en</w:t>
        <w:br/>
        <w:t xml:space="preserve">      Chile. Para su  efectividad,  es  imprescindible  que  los  ciudadanos</w:t>
        <w:br/>
        <w:t xml:space="preserve">      puedan ejercer también el derecho a acceder a la información  pública,</w:t>
        <w:br/>
        <w:t xml:space="preserve">      ya que éstos dos derechos “confluyen, legitiman y sustentan el derecho</w:t>
        <w:br/>
        <w:t xml:space="preserve">      al control social”;</w:t>
        <w:br/>
        <w:br/>
        <w:t xml:space="preserve">      b)    “la negativa injustificada a entregar la información  solicitada</w:t>
        <w:br/>
        <w:t xml:space="preserve">      representa una clara infracción al derecho de participación  política,</w:t>
        <w:br/>
        <w:t xml:space="preserve">      al inhibir la participación de las presuntas  víctimas  en  el  debate</w:t>
        <w:br/>
        <w:t xml:space="preserve">      público respecto  de  un  aspecto  relevante  y  de  interés  para  la</w:t>
        <w:br/>
        <w:t xml:space="preserve">      ciudadanía de la inversión extranjera orientada a  la  explotación  de</w:t>
        <w:br/>
        <w:t xml:space="preserve">      los  recursos  naturales  del  país,  cual  es  el   conocimiento   de</w:t>
        <w:br/>
        <w:t xml:space="preserve">      inversionista, su idoneidad y seriedad”; y</w:t>
        <w:br/>
        <w:br/>
        <w:br/>
        <w:t xml:space="preserve">      c)    el Estado infringió las obligaciones generales  establecidas  en</w:t>
        <w:br/>
        <w:t xml:space="preserve">      los artículos 1 y 2 de la Convención Americana al carecer de prácticas</w:t>
        <w:br/>
        <w:t xml:space="preserve">      y medidas  que  promuevan  el  ejercicio  del  derecho  general  a  la</w:t>
        <w:br/>
        <w:t xml:space="preserve">      participación ciudadana y al no disponer de recursos legales  expresos</w:t>
        <w:br/>
        <w:t xml:space="preserve">      que permitan su protección.</w:t>
        <w:br/>
        <w:br/>
        <w:br/>
        <w:t>106.  El Estado  no  presentó  alegatos  sobre  la  supuesta  violación  del</w:t>
        <w:br/>
        <w:t>artículo 23 de la  Convención Americana.</w:t>
        <w:br/>
        <w:br/>
        <w:br/>
        <w:t>Consideraciones de la Corte</w:t>
        <w:br/>
        <w:br/>
        <w:t>107.  Este Tribunal no examinará la alegada violación al artículo 23  de  la</w:t>
        <w:br/>
        <w:t>Convención porque ya ha tomado en cuenta los argumentos  formulados  por  el</w:t>
        <w:br/>
        <w:t>representante al respecto, al analizar la violación del artículo  13  de  la</w:t>
        <w:br/>
        <w:t>Convención Americana.</w:t>
        <w:br/>
        <w:br/>
        <w:br/>
        <w:t xml:space="preserve">                                     IX</w:t>
        <w:br/>
        <w:t xml:space="preserve">    Violación de los artículos 8 y 25 (Garantías Judiciales y Protección</w:t>
        <w:br/>
        <w:t xml:space="preserve">   Judicial) de la Convención en relación con el artículo 1.1 de la misma</w:t>
        <w:br/>
        <w:br/>
        <w:t>108.  La   Comisión  no  alegó  ninguna  violación  del  artículo  8  de  la</w:t>
        <w:br/>
        <w:t>Convención, pero en cuanto al artículo 25, en  relación  con  los  artículos</w:t>
        <w:br/>
        <w:t>1.1 y 2 de dicho tratado, indicó que:</w:t>
        <w:br/>
        <w:br/>
        <w:t xml:space="preserve">       a)     la  falta  de  un  recurso  judicial  efectivo  para   reparar</w:t>
        <w:br/>
        <w:t xml:space="preserve">      violaciones de derechos protegidos por la  Convención  constituye  una</w:t>
        <w:br/>
        <w:t xml:space="preserve">      violación de la misma. La  efectividad  del  recurso  implica  que  el</w:t>
        <w:br/>
        <w:t xml:space="preserve">      órgano judicial evalúe los méritos de la denuncia; y</w:t>
        <w:br/>
        <w:br/>
        <w:t xml:space="preserve">      b)    el Estado tiene la obligación de  brindar  un  recurso  judicial</w:t>
        <w:br/>
        <w:t xml:space="preserve">      efectivo ante las presuntas violaciones al  derecho  de  acceso  a  la</w:t>
        <w:br/>
        <w:t xml:space="preserve">      información. Chile no otorgó ese recurso a las presuntas  víctimas  de</w:t>
        <w:br/>
        <w:t xml:space="preserve">      este caso, toda vez que “la justicia chilena nunca   intentó  siquiera</w:t>
        <w:br/>
        <w:t xml:space="preserve">      superficialmente determinar los derechos  de  las  víctimas”,  “ni  ha</w:t>
        <w:br/>
        <w:t xml:space="preserve">      asegurado un mecanismo  o  un  procedimiento  adecuado  para  que  una</w:t>
        <w:br/>
        <w:t xml:space="preserve">      persona  pueda   acceder   a   una   instancia   judicial   reguladora</w:t>
        <w:br/>
        <w:t xml:space="preserve">      independiente y eficaz para garantizar el  derecho  del  acceso  a  la</w:t>
        <w:br/>
        <w:t xml:space="preserve">      información de los requirentes”.</w:t>
        <w:br/>
        <w:br/>
        <w:t>109.  El representante de  las  presuntas  víctimas  presentó  sus  alegatos</w:t>
        <w:br/>
        <w:t>sobre las presuntas violaciones a los artículos 8 y 25, en relación con  los</w:t>
        <w:br/>
        <w:t>artículos 1.1 y 2 de dicho tratado, de forma conjunta, por  lo  que  así  se</w:t>
        <w:br/>
        <w:t>resumen a continuación:</w:t>
        <w:br/>
        <w:br/>
        <w:t xml:space="preserve">      a)    la Corte de Apelaciones de Santiago no conoció  la  petición  de</w:t>
        <w:br/>
        <w:t xml:space="preserve">      los recurrentes, sino que la declaró inadmisible “sin  desarrollar  en</w:t>
        <w:br/>
        <w:t xml:space="preserve">      forma alguna el razonamiento para arribar a dicha conclusión”,  y  ese</w:t>
        <w:br/>
        <w:t xml:space="preserve">      criterio fue ratificado por la Corte Suprema.  Dicha  “declaración  de</w:t>
        <w:br/>
        <w:t xml:space="preserve">      inadmisibilidad del recurso impidió que las  víctimas  fuer[a]n  oídas</w:t>
        <w:br/>
        <w:t xml:space="preserve">      con las debidas garantías para la satisfacción del derecho reclamado”;</w:t>
        <w:br/>
        <w:t xml:space="preserve">      y</w:t>
        <w:br/>
        <w:br/>
        <w:br/>
        <w:t xml:space="preserve">      b)    en sus alegatos  finales  señaló  que  el  Estado  incumplió  lo</w:t>
        <w:br/>
        <w:t xml:space="preserve">      dispuesto en los  artículos  1  y  2  de  la  Convención,  ya  que  el</w:t>
        <w:br/>
        <w:t xml:space="preserve">      procedimiento formal de  tramitación  del  recurso  judicial  para  la</w:t>
        <w:br/>
        <w:t xml:space="preserve">      protección de los derechos fundamentales, contenido en el artículo  20</w:t>
        <w:br/>
        <w:t xml:space="preserve">      de  la  Constitución  chilena,  no   se   encuentra   incorporado   al</w:t>
        <w:br/>
        <w:t xml:space="preserve">      ordenamiento mediante ley como lo exige la Convención,  sino  mediante</w:t>
        <w:br/>
        <w:t xml:space="preserve">      resolución de la Corte Suprema. La práctica del Poder Judicial muestra</w:t>
        <w:br/>
        <w:t xml:space="preserve">      una aplicación restrictiva de los criterios de admisibilidad de  dicho</w:t>
        <w:br/>
        <w:t xml:space="preserve">      recurso. Solicitó a la Corte que declare que el auto  acordado  de  la</w:t>
        <w:br/>
        <w:t xml:space="preserve">      Corte Suprema de Justicia que  regula  el  referido  recurso  “vulnera</w:t>
        <w:br/>
        <w:t xml:space="preserve">      [los] artículo[s] 8 y 25 de la Convención”.</w:t>
        <w:br/>
        <w:br/>
        <w:t>110.  El Estado no se refirió a la supuesta violación del artículo 8  de  la</w:t>
        <w:br/>
        <w:t>Convención Americana, pero en relación al artículo 25 indicó que:</w:t>
        <w:br/>
        <w:br/>
        <w:t xml:space="preserve">       a)     el  artículo  25  de  la  Convención  “impone  al  Estado  una</w:t>
        <w:br/>
        <w:t xml:space="preserve">      obligación de medios y no de resultados”.  A  partir  de  1999,  Chile</w:t>
        <w:br/>
        <w:t xml:space="preserve">      cuenta con un recurso de habeas data que ofrece “todas  las  garantías</w:t>
        <w:br/>
        <w:t xml:space="preserve">      necesarias para obtener el acceso  a  la  información  pública”.  Este</w:t>
        <w:br/>
        <w:t xml:space="preserve">      recurso puede ser interpuesto en cualquier momento, por lo  tanto  las</w:t>
        <w:br/>
        <w:t xml:space="preserve">      supuestas víctimas, en  caso  de  negativa  de  información,  pudieron</w:t>
        <w:br/>
        <w:t xml:space="preserve">      haberlo interpuesto; y</w:t>
        <w:br/>
        <w:br/>
        <w:t xml:space="preserve">            b)    las presuntas víctimas, “entre las que  se  encontraba  el</w:t>
        <w:br/>
        <w:t xml:space="preserve">      Diputado Arturo Longton”, disponían además de otro recurso en el orden</w:t>
        <w:br/>
        <w:t xml:space="preserve">      interno ante la Cámara de  Diputados,  el  cual  pudieron  interponer.</w:t>
        <w:br/>
        <w:t xml:space="preserve">      Anunciaron su interposición, pero nunca lo  hicieron  a  pesar  de  su</w:t>
        <w:br/>
        <w:t xml:space="preserve">      efectividad.  Mediante  este   recurso   cualquier   diputado   “podrá</w:t>
        <w:br/>
        <w:t xml:space="preserve">      solicitar, en  el  tiempo  destinado  a  los  incidentes,  informes  o</w:t>
        <w:br/>
        <w:t xml:space="preserve">      antecedentes específicos a los organismos  de  la  Administración  del</w:t>
        <w:br/>
        <w:t xml:space="preserve">      Estado a través de la Secretaría de la Cámara de Diputados”.</w:t>
        <w:br/>
        <w:br/>
        <w:br/>
        <w:t>Consideraciones de la Corte</w:t>
        <w:br/>
        <w:br/>
        <w:t>111.  En cuanto a la alegada violación del  artículo  8  de  la  Convención,</w:t>
        <w:br/>
        <w:t>esta Corte reitera  su  jurisprudencia  sobre  la  posibilidad  de  que  las</w:t>
        <w:br/>
        <w:t>presuntas víctimas o sus representantes invoquen derechos distintos  de  los</w:t>
        <w:br/>
        <w:t>comprendidos en la demanda de la Comisión[93].</w:t>
        <w:br/>
        <w:br/>
        <w:t>112.  Como ha quedado establecido en los hechos probados (supra párr.  57.12</w:t>
        <w:br/>
        <w:t>a 57.17 y  57.23  a  57.30),  el  Vicepresidente  Ejecutivo  del  Comité  de</w:t>
        <w:br/>
        <w:t>Inversiones  Extranjeras  (en  el  ámbito  administrativo)  y  la  Corte  de</w:t>
        <w:br/>
        <w:t>Apelaciones de Santiago (en el  ámbito  judicial)  adoptaron  decisiones  en</w:t>
        <w:br/>
        <w:t>relación con la solicitud de  acceso  a  información  bajo  el  control  del</w:t>
        <w:br/>
        <w:t>Estado realizada por los señores Claude Reyes y Longton Guerrero.</w:t>
        <w:br/>
        <w:br/>
        <w:t>113.   En primer  término,  la  Corte  analizará  si  la  referida  decisión</w:t>
        <w:br/>
        <w:t>administrativa fue adoptada de conformidad con  la  garantía  de  la  debida</w:t>
        <w:br/>
        <w:t>fundamentación protegida en el artículo 8.1 de la  Convención.   En  segundo</w:t>
        <w:br/>
        <w:t>lugar, el Tribunal determinará si la decisión  judicial  cumplió  con  dicha</w:t>
        <w:br/>
        <w:t>garantía y si, en el presente caso, Chile garantizó el derecho a un  recurso</w:t>
        <w:br/>
        <w:t>sencillo y rápido o a cualquier  otro  recurso  efectivo  consagrado  en  el</w:t>
        <w:br/>
        <w:t>artículo 25.1 de la Convención.</w:t>
        <w:br/>
        <w:br/>
        <w:br/>
        <w:t>1)    Aplicación del artículo 8.1 de la Convención respecto de  la  decisión</w:t>
        <w:br/>
        <w:t>del órgano administrativo</w:t>
        <w:br/>
        <w:br/>
        <w:t>114.  El artículo 8.1 de la Convención señala que:</w:t>
        <w:br/>
        <w:br/>
        <w:t xml:space="preserve">   1. Toda persona tiene derecho a ser oída, con las  debidas  garantías  y</w:t>
        <w:br/>
        <w:t xml:space="preserve">   dentro de un  plazo  razonable,  por  un  juez  o  tribunal  competente,</w:t>
        <w:br/>
        <w:t xml:space="preserve">   independiente e imparcial, establecido con anterioridad por la  ley,  en</w:t>
        <w:br/>
        <w:t xml:space="preserve">   la sustanciación de cualquier acusación penal formulada contra  ella,  o</w:t>
        <w:br/>
        <w:t xml:space="preserve">   para la determinación de sus derechos y  obligaciones  de  orden  civil,</w:t>
        <w:br/>
        <w:t xml:space="preserve">   laboral, fiscal o de cualquier otro carácter.</w:t>
        <w:br/>
        <w:br/>
        <w:t>115.  Seguidamente, la Corte analizará si en el presente caso Chile  cumplió</w:t>
        <w:br/>
        <w:t>con la garantía  de  la  fundamentación  de  la  decisión  adoptada  por  el</w:t>
        <w:br/>
        <w:t>Vicepresidente del Comité de Inversiones Extranjeras, de acuerdo a  la  cual</w:t>
        <w:br/>
        <w:t>no se entregó una parte de la información solicitada.</w:t>
        <w:br/>
        <w:br/>
        <w:t>116.  El artículo 8 de la Convención Americana  se  aplica  al  conjunto  de</w:t>
        <w:br/>
        <w:t>requisitos que deben observarse en las instancias  procesales,  cualesquiera</w:t>
        <w:br/>
        <w:t>que  ellas  sean,  a  efecto  de  que   las   personas   puedan   defenderse</w:t>
        <w:br/>
        <w:t>adecuadamente ante cualquier acto emanado del Estado que pueda  afectar  sus</w:t>
        <w:br/>
        <w:t>derechos[94].</w:t>
        <w:br/>
        <w:br/>
        <w:t>117.  De acuerdo a lo dispuesto en el artículo 8.1 de la Convención,  en  la</w:t>
        <w:br/>
        <w:t>determinación de los derechos y  obligaciones  de  las  personas,  de  orden</w:t>
        <w:br/>
        <w:t>penal, civil, laboral,  fiscal  o  de  cualquier  otro  carácter,  se  deben</w:t>
        <w:br/>
        <w:t>observar “las debidas garantías” que aseguren,  según  el  procedimiento  de</w:t>
        <w:br/>
        <w:t>que se trate, el derecho al debido proceso[95].  El  incumplimiento  de  una</w:t>
        <w:br/>
        <w:t>de esas garantías conlleva una violación de dicha disposición convencional.</w:t>
        <w:br/>
        <w:br/>
        <w:t>118.  El artículo 8.1 de la Convención no se aplica  solamente  a  jueces  y</w:t>
        <w:br/>
        <w:t>tribunales judiciales.  Las garantías que establece  esta  norma  deben  ser</w:t>
        <w:br/>
        <w:t>observadas en los distintos procedimientos  en  que  los  órganos  estatales</w:t>
        <w:br/>
        <w:t>adoptan decisiones sobre la determinación de los derechos de  las  personas,</w:t>
        <w:br/>
        <w:t>ya que el Estado también otorga a autoridades administrativas, colegiadas  o</w:t>
        <w:br/>
        <w:t>unipersonales, la función de adoptar decisiones que determinan derechos.</w:t>
        <w:br/>
        <w:br/>
        <w:t>119.  De esta forma, las garantías contempladas en el  artículo  8.1  de  la</w:t>
        <w:br/>
        <w:t>Convención son también  aplicables  al  supuesto  en  que  alguna  autoridad</w:t>
        <w:br/>
        <w:t>pública adopte decisiones que  determinen  tales  derechos[96],  tomando  en</w:t>
        <w:br/>
        <w:t>cuenta  que  no  le  son   exigibles   aquellas   propias   de   un   órgano</w:t>
        <w:br/>
        <w:t>jurisdiccional, pero sí debe cumplir con  aquellas  garantías  destinadas  a</w:t>
        <w:br/>
        <w:t>asegurar que la decisión no sea arbitraria.</w:t>
        <w:br/>
        <w:br/>
        <w:t>120.  La Corte ha establecido que las decisiones  que  adopten  los  órganos</w:t>
        <w:br/>
        <w:t>internos  que  puedan  afectar  derechos  humanos  deben  estar  debidamente</w:t>
        <w:br/>
        <w:t>fundamentadas, pues de lo contrario serían decisiones arbitrarias[97].</w:t>
        <w:br/>
        <w:br/>
        <w:t>121.  Como ha quedado probado (supra párr. 57.17), frente a la solicitud  de</w:t>
        <w:br/>
        <w:t>información bajo control del Estado planteada por los señores  Claude  Reyes</w:t>
        <w:br/>
        <w:t>y Longton Guerrero, el Vicepresidente Ejecutivo del  Comité  de  Inversiones</w:t>
        <w:br/>
        <w:t>Extranjeras decidió negar  una  parte  de  la  información.   Como  ha  sido</w:t>
        <w:br/>
        <w:t>analizado por este Tribunal (supra párrs. 88 a 103),  la  referida  decisión</w:t>
        <w:br/>
        <w:t>que adoptó dicho funcionario afectó negativamente el ejercicio  del  derecho</w:t>
        <w:br/>
        <w:t>a la libertad de pensamiento y de expresión de  los  señores  Marcel  Claude</w:t>
        <w:br/>
        <w:t>Reyes y Arturo Longton Guerrero.</w:t>
        <w:br/>
        <w:br/>
        <w:t>122.  En el presente caso la autoridad estatal administrativa  encargada  de</w:t>
        <w:br/>
        <w:t>resolver  la  solicitud  de  información  no  adoptó  una  decisión  escrita</w:t>
        <w:br/>
        <w:t>debidamente fundamentada, que pudiera permitir  conocer  cuáles  fueron  los</w:t>
        <w:br/>
        <w:t>motivos y normas en que se basó para no entregar parte de la información  en</w:t>
        <w:br/>
        <w:t>el caso concreto y determinar si tal  restricción  era  compatible  con  los</w:t>
        <w:br/>
        <w:t>parámetros dispuestos en la Convención,  con  lo  cual  dicha  decisión  fue</w:t>
        <w:br/>
        <w:t>arbitraria  y  no  cumplió  con  la  garantía  de  encontrarse   debidamente</w:t>
        <w:br/>
        <w:t>fundamentada protegida en el artículo 8.1 de la Convención.</w:t>
        <w:br/>
        <w:br/>
        <w:t>123.  Por lo anteriormente indicado,  la  Corte  concluye  que  la  referida</w:t>
        <w:br/>
        <w:t>decisión de la autoridad administrativa violó el  derecho  a  las  garantías</w:t>
        <w:br/>
        <w:t>judiciales consagrado en el artículo 8.1 de la Convención, en  relación  con</w:t>
        <w:br/>
        <w:t>el artículo 1.1 de dicho tratado, en perjuicio de los señores Marcel  Claude</w:t>
        <w:br/>
        <w:t>Reyes y Arturo Longton Guerrero.</w:t>
        <w:br/>
        <w:br/>
        <w:br/>
        <w:t>2)    Aplicación del artículo 8.1 de la Convención respecto de  la  decisión</w:t>
        <w:br/>
        <w:t>de la Corte de Apelaciones de Santiago y Derecho a  un  recurso  sencillo  y</w:t>
        <w:br/>
        <w:t>rápido o a cualquier otro recurso efectivo consagrado en  el  artículo  25.1</w:t>
        <w:br/>
        <w:t>de la Convención</w:t>
        <w:br/>
        <w:br/>
        <w:t>124.  El artículo 25.1 de la Convención señala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 por  la  Constitución,  la  ley  o  la  […]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>125.  El artículo 2 establece que</w:t>
        <w:br/>
        <w:br/>
        <w:t xml:space="preserve">      [s]i el ejercicio de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126.  La Corte ha establecido que todos los órganos  que  ejerzan  funciones</w:t>
        <w:br/>
        <w:t>de naturaleza  materialmente  jurisdiccional  tienen  el  deber  de  adoptar</w:t>
        <w:br/>
        <w:t>decisiones justas basadas en el respeto pleno a  las  garantías  del  debido</w:t>
        <w:br/>
        <w:t>proceso establecidas en el artículo 8.1 de la Convención Americana[98].</w:t>
        <w:br/>
        <w:br/>
        <w:t>127.  El Tribunal ha señalado que el recurso efectivo del artículo 25 de  la</w:t>
        <w:br/>
        <w:t>Convención  debe  tramitarse  conforme  a  las  normas  del  debido  proceso</w:t>
        <w:br/>
        <w:t>establecidas en el artículo  8.1  de  la  misma,  todo  ello  dentro  de  la</w:t>
        <w:br/>
        <w:t>obligación general, a cargo de los mismos Estados, de garantizar el libre  y</w:t>
        <w:br/>
        <w:t>pleno ejercicio de  los  derechos  reconocidos  por  la  Convención  a  toda</w:t>
        <w:br/>
        <w:t>persona que se encuentre  bajo  su  jurisdicción  (artículo  1.1)[99].   Por</w:t>
        <w:br/>
        <w:t>ello, el recurso de protección de  garantías  planteado  ante  la  Corte  de</w:t>
        <w:br/>
        <w:t>Apelaciones  de  Santiago  debió   tramitarse   respetando   las   garantías</w:t>
        <w:br/>
        <w:t>protegidas en el artículo 8.1 de la Convención.</w:t>
        <w:br/>
        <w:br/>
        <w:t>128.  El  artículo  25.1  de  la  Convención  ha  establecido,  en  términos</w:t>
        <w:br/>
        <w:t>amplios, la obligación a cargo de  los  Estados  de  ofrecer,  a  todas  las</w:t>
        <w:br/>
        <w:t>personas sometidas a su jurisdicción, un recurso  judicial  efectivo  contra</w:t>
        <w:br/>
        <w:t>actos violatorios de sus derechos fundamentales.  Dispone,  además,  que  la</w:t>
        <w:br/>
        <w:t>garantía allí  consagrada  se  aplica  no  sólo  respecto  de  los  derechos</w:t>
        <w:br/>
        <w:t>contenidos en la Convención, sino también de aquéllos que estén  reconocidos</w:t>
        <w:br/>
        <w:t>por la Constitución o por la ley[100].</w:t>
        <w:br/>
        <w:br/>
        <w:t>129.  La salvaguarda de la persona frente al ejercicio arbitrario del  poder</w:t>
        <w:br/>
        <w:t>público es el objetivo primordial de  la  protección  internacional  de  los</w:t>
        <w:br/>
        <w:t>derechos humanos[101].   La  inexistencia  de  recursos  internos  efectivos</w:t>
        <w:br/>
        <w:t>coloca a las personas en estado de indefensión[102].</w:t>
        <w:br/>
        <w:br/>
        <w:t>130.  La inexistencia de un recurso efectivo contra las violaciones  de  los</w:t>
        <w:br/>
        <w:t>derechos reconocidos por la Convención constituye  una  transgresión  de  la</w:t>
        <w:br/>
        <w:t>misma por el Estado Parte[103]. Los Estados Partes en la  Convención  tienen</w:t>
        <w:br/>
        <w:t>la responsabilidad de consagrar  normativamente  y  de  asegurar  la  debida</w:t>
        <w:br/>
        <w:t>aplicación de dicho recurso efectivo.</w:t>
        <w:br/>
        <w:br/>
        <w:t>131.  Para que el Estado cumpla  lo  dispuesto  en  el  artículo  25  de  la</w:t>
        <w:br/>
        <w:t>Convención no basta con que los recursos existan formalmente, sino  que  los</w:t>
        <w:br/>
        <w:t>mismos deben tener efectividad[104], en los términos de aquél precepto.   La</w:t>
        <w:br/>
        <w:t>existencia de esta garantía “constituye uno de los pilares básicos, no  sólo</w:t>
        <w:br/>
        <w:t>de la Convención Americana,  sino  del  propio  Estado  de  Derecho  en  una</w:t>
        <w:br/>
        <w:t>sociedad democrática en el sentido de la  Convención”[105].  Esta  Corte  ha</w:t>
        <w:br/>
        <w:t>reiterado que dicha obligación  implica  que  el  recurso  sea  idóneo  para</w:t>
        <w:br/>
        <w:t>combatir la violación, y que sea efectiva su  aplicación  por  la  autoridad</w:t>
        <w:br/>
        <w:t>competente[106].</w:t>
        <w:br/>
        <w:br/>
        <w:t>132.  En el presente caso los señores Marcel Claude  Reyes,  Arturo  Longton</w:t>
        <w:br/>
        <w:t>Guerrero y Sebastián Cox Urrejola interpusieron  un  recurso  de  protección</w:t>
        <w:br/>
        <w:t>ante la Corte de Apelaciones de Santiago el  27  de  julio  de  1998  (supra</w:t>
        <w:br/>
        <w:t>párr. 57.23), con fundamento, inter alia, en que “la  conducta  omisiva  del</w:t>
        <w:br/>
        <w:t>Comité de  Inversiones  Extranjeras”  afectaba  la  garantía  constitucional</w:t>
        <w:br/>
        <w:t>contemplada en el artículo 19 Nº  12  (“libertad  de  emitir  opinión  y  de</w:t>
        <w:br/>
        <w:t>informar”) de la Constitución Política, “en  relación  con  el  artículo  5º</w:t>
        <w:br/>
        <w:t>inciso 2 de la misma[[107]] y los artículos 13.1 de la Convención  Americana</w:t>
        <w:br/>
        <w:t>sobre Derechos Humanos y 19.2 del Pacto Internacional de Derechos Civiles  y</w:t>
        <w:br/>
        <w:t>Políticos, toda vez que por  su  intermedio  se  configura[ba]  una  omisión</w:t>
        <w:br/>
        <w:t>arbitraria  en  el  acceso  a  información  pública,  no  permitida  por  el</w:t>
        <w:br/>
        <w:t>ordenamiento jurídico que inhabilita a los recurrentes […] a  efecto[s  d]el</w:t>
        <w:br/>
        <w:t>control social sobre los órganos de la Administración del Estado”.</w:t>
        <w:br/>
        <w:br/>
        <w:t>133.  El referido recurso de  protección  se  encuentra  contemplado  en  el</w:t>
        <w:br/>
        <w:t>artículo 20 de la Constitución Política, el cual puede ser  interpuesto  por</w:t>
        <w:br/>
        <w:t>una persona “por sí  o  por  cualquiera  a  su  nombre”  ante  la  Corte  de</w:t>
        <w:br/>
        <w:t>Apelaciones respectiva, cuando por “causa de actos u  omisiones  arbitrarios</w:t>
        <w:br/>
        <w:t>o  ilegales,  sufra  privación,  perturbación  o  amenaza  en  el   legítimo</w:t>
        <w:br/>
        <w:t>ejercicio  de  los  derechos  y  garantías”  establecidos  en   determinados</w:t>
        <w:br/>
        <w:t>numerales del artículo 19 de la Constitución (supra párr. 57.24).</w:t>
        <w:br/>
        <w:br/>
        <w:t>134.  Al pronunciarse sobre  dicho  recurso,  la  Corte  de  Apelaciones  de</w:t>
        <w:br/>
        <w:t>Santiago  no  resolvió  la  controversia  suscitada  por  la  actuación  del</w:t>
        <w:br/>
        <w:t>Vicepresidente del Comité de Inversiones Extranjeras,  pronunciándose  sobre</w:t>
        <w:br/>
        <w:t>la existencia o  no  en  el  caso  concreto  del  derecho  de  acceso  a  la</w:t>
        <w:br/>
        <w:t>información  solicitada,  ya  que  la   decisión   judicial   fue   declarar</w:t>
        <w:br/>
        <w:t>inadmisible el recurso de protección interpuesto (supra párr. 57.25).</w:t>
        <w:br/>
        <w:br/>
        <w:t>135.  En primer término, este Tribunal encuentra que esa  decisión  judicial</w:t>
        <w:br/>
        <w:t>careció de fundamentación adecuada.  La Corte  de  Apelaciones  de  Santiago</w:t>
        <w:br/>
        <w:t>únicamente señaló que adoptaba tal decisión con base en que de  “los  hechos</w:t>
        <w:br/>
        <w:t>descritos […] y de los antecedentes aparejados al recurso, se desprende  que</w:t>
        <w:br/>
        <w:t>éste adolece de manifiesta  falta  de  fundamento”.   Además,  la  Corte  de</w:t>
        <w:br/>
        <w:t>Apelaciones señaló que tenía presente que “el recurso  de  protección  tiene</w:t>
        <w:br/>
        <w:t>por  objeto  restablecer  el  imperio  del  derecho  cuando  éste  ha   sido</w:t>
        <w:br/>
        <w:t>quebrantado por actos u  omisiones  arbitrarias  o  ilegales  que  amenazan,</w:t>
        <w:br/>
        <w:t>perturban o privan  del  ejercicio  legítimo  de  alguna  de  las  garantías</w:t>
        <w:br/>
        <w:t>taxativamente numeradas en el artículo 20 de la Constitución Política de  la</w:t>
        <w:br/>
        <w:t>República, dejando a salvo las  demás  acciones  legales”,  sin  desarrollar</w:t>
        <w:br/>
        <w:t>ninguna consideración al respecto.</w:t>
        <w:br/>
        <w:br/>
        <w:t>136.  La referida resolución judicial no contiene  otra  fundamentación  que</w:t>
        <w:br/>
        <w:t>la señalada anteriormente.  La Corte de Apelaciones de Santiago  no  realizó</w:t>
        <w:br/>
        <w:t>ni la más  mínima  indicación  respecto  de  las  razones  por  las  que  se</w:t>
        <w:br/>
        <w:t>“desprend[ía]” de los “hechos” y “antecedentes” del recurso  su  “manifiesta</w:t>
        <w:br/>
        <w:t>falta de fundamento”.  Tampoco realizó una  evaluación  respecto  de  si  la</w:t>
        <w:br/>
        <w:t>actuación de la autoridad administrativa, al no entregar  una  parte  de  la</w:t>
        <w:br/>
        <w:t>información solicitada, guardaba relación con alguna de  las  garantías  que</w:t>
        <w:br/>
        <w:t>pueden ser objeto del recurso  de  protección,  o  si  procedía  algún  otro</w:t>
        <w:br/>
        <w:t>recurso ante los tribunales ordinarios.</w:t>
        <w:br/>
        <w:br/>
        <w:t>137.  El Estado debe garantizar que,  ante  la  denegatoria  de  información</w:t>
        <w:br/>
        <w:t>bajo el control estatal, exista  un  recurso  judicial  sencillo,  rápido  y</w:t>
        <w:br/>
        <w:t>efectivo que permita que se determine si  se  produjo  una  vulneración  del</w:t>
        <w:br/>
        <w:t>derecho del solicitante de información y, en su caso, se  ordene  al  órgano</w:t>
        <w:br/>
        <w:t>correspondiente la entrega de la información. En este ámbito, dicho  recurso</w:t>
        <w:br/>
        <w:t>debe ser sencillo y rápido,  tomando  en  cuenta  que  la  celeridad  en  la</w:t>
        <w:br/>
        <w:t>entrega de la información es indispensable en esta materia. De acuerdo a  lo</w:t>
        <w:br/>
        <w:t>dispuesto en los artículos 2 y 25.2.b) de la Convención si el  Estado  Parte</w:t>
        <w:br/>
        <w:t>en la Convención no tiene un recurso judicial  para  proteger  efectivamente</w:t>
        <w:br/>
        <w:t>el derecho tiene que crearlo.</w:t>
        <w:br/>
        <w:br/>
        <w:t>138.  Respecto de la alegada violación del artículo  25  de  la  Convención,</w:t>
        <w:br/>
        <w:t>Chile se limitó a señalar que “los peticionarios ejercieron  el  recurso  de</w:t>
        <w:br/>
        <w:t>protección de las garantías  constitucionales  sin  obtener  los  resultados</w:t>
        <w:br/>
        <w:t>apropiados a sus pretensiones”, y explicó las reformas realizadas  a  partir</w:t>
        <w:br/>
        <w:t>de noviembre de 1999 que, inter alia, establecieron un  “recurso  [judicial]</w:t>
        <w:br/>
        <w:t>específico en materia de acceso a la información”.</w:t>
        <w:br/>
        <w:br/>
        <w:t>139.  La Corte considera que en  el  presente  caso  Chile  no  cumplió  con</w:t>
        <w:br/>
        <w:t>garantizar un recurso judicial efectivo que fuera  resuelto  de  conformidad</w:t>
        <w:br/>
        <w:t>con el artículo 8.1 de la Convención y que permitiera que se  resolviera  el</w:t>
        <w:br/>
        <w:t>fondo de la controversia sobre la solicitud de información bajo  el  control</w:t>
        <w:br/>
        <w:t>del Estado, es decir,  que  se  determinara  si  el  Comité  de  Inversiones</w:t>
        <w:br/>
        <w:t>Extranjeras debía o no dar acceso a la información solicitada.</w:t>
        <w:br/>
        <w:br/>
        <w:t>140.  La Corte valora los esfuerzos realizados por Chile en  1999  al  crear</w:t>
        <w:br/>
        <w:t>un recurso judicial  especial  para  amparar  el  acceso  a  la  información</w:t>
        <w:br/>
        <w:t>pública.  Sin  embargo,  es  preciso  indicar  que  las  violaciones  en  el</w:t>
        <w:br/>
        <w:t>presente caso ocurrieron antes de que el Estado realizara tal avance  en  su</w:t>
        <w:br/>
        <w:t>legislación, por lo que no es de recibo el argumento del Estado de  que  las</w:t>
        <w:br/>
        <w:t>presuntas víctimas de este caso “pudieron haberlo interpuesto”,  ya  que  no</w:t>
        <w:br/>
        <w:t>se encontraba consagrado en la época de los hechos de este caso.</w:t>
        <w:br/>
        <w:br/>
        <w:t>141.   La  Corte  considera  como  víctimas  a   las   tres   personas   que</w:t>
        <w:br/>
        <w:t>interpusieron el recurso judicial ante la Corte de Apelaciones de  Santiago,</w:t>
        <w:br/>
        <w:t>quienes son los señores Marcel  Claude  Reyes,  Arturo  Longton  Guerrero  y</w:t>
        <w:br/>
        <w:t>Sebastián Cox Urrejola, ya que no obstante este Tribunal ha determinado  que</w:t>
        <w:br/>
        <w:t>se violó el derecho a la libertad de pensamiento y  de  expresión  solamente</w:t>
        <w:br/>
        <w:t>de Marcel Claude Reyes y Arturo  Longton  Guerrero  (supra  párrs.  69-71  y</w:t>
        <w:br/>
        <w:t>103), correspondía al órgano judicial chileno pronunciarse en  caso  de  que</w:t>
        <w:br/>
        <w:t>no hubiere lugar al recurso  respecto  de  alguno  de  los  recurrentes  por</w:t>
        <w:br/>
        <w:t>motivos de legitimación activa.</w:t>
        <w:br/>
        <w:br/>
        <w:t>142.  Con base en lo expuesto, el Tribunal concluye que el Estado  violó  el</w:t>
        <w:br/>
        <w:t>derecho a la protección judicial  consagrado  en  el  artículo  25.1  de  la</w:t>
        <w:br/>
        <w:t>Convención Americana, en relación con el  artículo  1.1   de  la  misma,  en</w:t>
        <w:br/>
        <w:t>perjuicio de Marcel Claude Reyes, Arturo Longton Guerrero  y  Sebastián  Cox</w:t>
        <w:br/>
        <w:t>Urrejola, al no garantizarles un recurso sencillo,  rápido  y  efectivo  que</w:t>
        <w:br/>
        <w:t>les amparara ante actuaciones estatales que alegaban como violatorias de  su</w:t>
        <w:br/>
        <w:t>derecho de acceso a la información bajo el control del Estado.</w:t>
        <w:br/>
        <w:br/>
        <w:t>143.  Asimismo, la Corte concluye que la referida decisión de  la  Corte  de</w:t>
        <w:br/>
        <w:t>Apelaciones de Santiago que declaró inadmisible el recurso de protección  no</w:t>
        <w:br/>
        <w:t>cumplió con la garantía de encontrarse debidamente fundamentada, por lo  que</w:t>
        <w:br/>
        <w:t>el Estado violó el derecho a  las  garantías  judiciales  consagrado  en  el</w:t>
        <w:br/>
        <w:t>artículo 8.1 de la Convención, en relación con  el  artículo  1.1  de  dicho</w:t>
        <w:br/>
        <w:t>tratado, en perjuicio de Marcel Claude  Reyes,  Arturo  Longton  Guerrero  y</w:t>
        <w:br/>
        <w:t>Sebastián Cox Urrejola.</w:t>
        <w:br/>
        <w:br/>
        <w:t>144.  La pretendida violación a los  artículos  8  y  25  de  la  Convención</w:t>
        <w:br/>
        <w:t>respecto de la  regulación  del  procedimiento  formal  de  tramitación  del</w:t>
        <w:br/>
        <w:t>recurso judicial para la protección de  los  derechos  fundamentales  (supra</w:t>
        <w:br/>
        <w:t>párr. 109.b), no fue alegada por el representante en su  debida  oportunidad</w:t>
        <w:br/>
        <w:t>procesal. Sin embargo, la Corte estima necesario recordar que la  regulación</w:t>
        <w:br/>
        <w:t>de la tramitación del recurso  a  que  se  refiere  el  artículo  25  de  la</w:t>
        <w:br/>
        <w:t>Convención debe ser compatible con dicho tratado.</w:t>
        <w:br/>
        <w:br/>
        <w:t xml:space="preserve">                                      X</w:t>
        <w:br/>
        <w:t xml:space="preserve">                                Reparaciones</w:t>
        <w:br/>
        <w:t xml:space="preserve">                Aplicación del artículo 63.1 de la Convención</w:t>
        <w:br/>
        <w:br/>
        <w:t xml:space="preserve">                            Obligación de Reparar</w:t>
        <w:br/>
        <w:br/>
        <w:br/>
        <w:t>Alegatos de la Comisión</w:t>
        <w:br/>
        <w:br/>
        <w:br/>
        <w:t>145.  Solicitó a la Corte que ordene al Estado que:</w:t>
        <w:br/>
        <w:br/>
        <w:br/>
        <w:t xml:space="preserve">      a)    otorgue “reparaciones adecuadas a Marcel Claude Reyes, Sebastián</w:t>
        <w:br/>
        <w:t xml:space="preserve">      Cox Urrejola y Arturo Longton Guerrero  por  las  violaciones  de  sus</w:t>
        <w:br/>
        <w:t xml:space="preserve">      derechos, incluido el suministro de la información solicitada”. Aún si</w:t>
        <w:br/>
        <w:t xml:space="preserve">      el Estado argumenta que todos estos puntos  resultan  ahora  inválidos</w:t>
        <w:br/>
        <w:t xml:space="preserve">      porque el proyecto Río Cóndor nunca se ejecutó, tal  información  “era</w:t>
        <w:br/>
        <w:t xml:space="preserve">      relevante para evaluar el funcionamiento  del  Comité  de  Inversiones</w:t>
        <w:br/>
        <w:t xml:space="preserve">      Extranjeras, y no simplemente un proyecto particular”. “Compete a  las</w:t>
        <w:br/>
        <w:t xml:space="preserve">      [presuntas] víctimas y no al Estado, decidir si la  información  sigue</w:t>
        <w:br/>
        <w:t xml:space="preserve">      siendo de interés para ellas”;</w:t>
        <w:br/>
        <w:br/>
        <w:br/>
        <w:t xml:space="preserve">      b)    en cuanto a las  medidas  de  satisfacción  y  garantías  de  no</w:t>
        <w:br/>
        <w:t xml:space="preserve">      repetición, “reconozca que retuvo erróneamente información  solicitada</w:t>
        <w:br/>
        <w:t xml:space="preserve">      por  las  víctimas  e  inmediatamente  [les]  otorg[ue]  acceso  a  la</w:t>
        <w:br/>
        <w:t xml:space="preserve">      información que procuraban del Comité de Inversiones  Extranjeras”;  y</w:t>
        <w:br/>
        <w:t xml:space="preserve">      que “adopte leyes y prácticas que  garanticen  el  efectivo  acceso  a</w:t>
        <w:br/>
        <w:t xml:space="preserve">      información en poder  de  órganos  del  Estado,  de  acuerdo  con  los</w:t>
        <w:br/>
        <w:t xml:space="preserve">      términos  del  Artículo  13  de  la  Convención”,  pues  “la  Comisión</w:t>
        <w:br/>
        <w:t xml:space="preserve">      considera que la legislación chilena actualmente vigente no basta para</w:t>
        <w:br/>
        <w:t xml:space="preserve">      garantizar el acceso a información en poder del Estado”; y</w:t>
        <w:br/>
        <w:br/>
        <w:br/>
        <w:t xml:space="preserve">      c)    en cuanto a las costas y gastos, pague las costas  originadas  a</w:t>
        <w:br/>
        <w:t xml:space="preserve">      nivel nacional en la tramitación de los procesos  judiciales  seguidos</w:t>
        <w:br/>
        <w:t xml:space="preserve">      por las víctimas en el fuero interno, así como las originadas a  nivel</w:t>
        <w:br/>
        <w:t xml:space="preserve">      internacional en la tramitación del caso ante la Comisión y las que se</w:t>
        <w:br/>
        <w:t xml:space="preserve">      originaren como consecuencia de la tramitación ante la Corte.</w:t>
        <w:br/>
        <w:br/>
        <w:t>Alegatos del representante</w:t>
        <w:br/>
        <w:br/>
        <w:br/>
        <w:t>146.  Solicitó a la Corte que ordene al Estado que:</w:t>
        <w:br/>
        <w:br/>
        <w:br/>
        <w:t xml:space="preserve">      a)     “ajus[te]   la   legislación   interna,   gener[e]   mecanismos</w:t>
        <w:br/>
        <w:t xml:space="preserve">      independientes autónomos de  supervisión  y  control  y  adopt[e]  las</w:t>
        <w:br/>
        <w:t xml:space="preserve">      medidas necesarias para el desarrollo de prácticas  que  garanticen  a</w:t>
        <w:br/>
        <w:t xml:space="preserve">      los individuos el acceso efectivo a la información  pública  [y  a  la</w:t>
        <w:br/>
        <w:t xml:space="preserve">      participación directa en la gestión de los asuntos públicos], incluida</w:t>
        <w:br/>
        <w:t xml:space="preserve">      la generación de información relacionada con asuntos que involucren el</w:t>
        <w:br/>
        <w:t xml:space="preserve">      bienestar social como la protección de los derechos humanos, el  medio</w:t>
        <w:br/>
        <w:t xml:space="preserve">      ambiente, la salud y la seguridad pública”;</w:t>
        <w:br/>
        <w:br/>
        <w:br/>
        <w:t xml:space="preserve">      b)    “dispon[ga] la entrega de la información en poder del Comité  de</w:t>
        <w:br/>
        <w:t xml:space="preserve">      In[versiones] referida al Inversionista Forestal Trillium Ltda”;</w:t>
        <w:br/>
        <w:br/>
        <w:t xml:space="preserve">      c)    “pida excusas públicas a las víctimas a  través  del  Comité  de</w:t>
        <w:br/>
        <w:t xml:space="preserve">      Inversiones Extranjeras, como medida de reparación moral”;</w:t>
        <w:br/>
        <w:br/>
        <w:t xml:space="preserve">      d)    “publi[que] copia íntegra de los puntos resolutivos  de  la  […]</w:t>
        <w:br/>
        <w:t xml:space="preserve">      sentencia en los medios de  circulación  nacional,  [y]  difund[a]  su</w:t>
        <w:br/>
        <w:t xml:space="preserve">      contenido y las excusas públicas”;</w:t>
        <w:br/>
        <w:br/>
        <w:t xml:space="preserve">      e)    en sus alegatos finales solicitó  que  se  ordene  a  Chile  que</w:t>
        <w:br/>
        <w:t xml:space="preserve">      “adopt[e] medidas legislativas destinadas a conferir  marco  legal  al</w:t>
        <w:br/>
        <w:t xml:space="preserve">      procedimiento de tramitación del recurso de protección  consagrado  en</w:t>
        <w:br/>
        <w:t xml:space="preserve">      el artículo 20 de la Constitución Política”;  y</w:t>
        <w:br/>
        <w:br/>
        <w:t xml:space="preserve">      f)    en cuanto a las costas y gastos, reembolse los gastos  y  costas</w:t>
        <w:br/>
        <w:t xml:space="preserve">      que ha significado para las víctimas y sus representantes el ejercicio</w:t>
        <w:br/>
        <w:t xml:space="preserve">      de las acciones en el derecho interno y en el sistema  interamericano.</w:t>
        <w:br/>
        <w:t xml:space="preserve">      Por  concepto  de  honorarios  profesionales   ante   los   tribunales</w:t>
        <w:br/>
        <w:t xml:space="preserve">      nacionales y ante el sistema  interamericano  solicitó  US$  50.000,00</w:t>
        <w:br/>
        <w:t xml:space="preserve">      (cincuenta mil dólares de los Estados Unidos de América); por concepto</w:t>
        <w:br/>
        <w:t xml:space="preserve">      de “gastos de operación y gestión” solicitó US$ 4.000,00  (cuatro  mil</w:t>
        <w:br/>
        <w:t xml:space="preserve">      dólares  de  los  Estados  Unidos  de  América)  y  por  concepto   de</w:t>
        <w:br/>
        <w:t xml:space="preserve">      “comparecencia de los representantes de las víctimas ante la  Comisión</w:t>
        <w:br/>
        <w:t xml:space="preserve">      y ante la Corte” solicitó  US$  6.000,00  (seis  mil  dólares  de  los</w:t>
        <w:br/>
        <w:t xml:space="preserve">      Estados Unidos de América).</w:t>
        <w:br/>
        <w:br/>
        <w:br/>
        <w:br/>
        <w:t xml:space="preserve"> Alegatos del Estado</w:t>
        <w:br/>
        <w:br/>
        <w:br/>
        <w:t>147.  En cuanto a las reparaciones Chile señaló que:</w:t>
        <w:br/>
        <w:br/>
        <w:br/>
        <w:t xml:space="preserve">      a)    “[l]as peticiones de la demanda  adolecen  de  objeto,  pues  la</w:t>
        <w:br/>
        <w:t xml:space="preserve">      información solicitada ya fue entregada y las garantías solicitadas se</w:t>
        <w:br/>
        <w:t xml:space="preserve">      encuentran en la nueva legislación  chilena  sobre  el  derecho  a  la</w:t>
        <w:br/>
        <w:t xml:space="preserve">      información”.  “[D]e  acreditarse  responsabilidad  internacional  del</w:t>
        <w:br/>
        <w:t xml:space="preserve">      Estado en las supuestas  violaciones,  no  ha  existido  un  daño  que</w:t>
        <w:br/>
        <w:t xml:space="preserve">      justifique la reparación”; y</w:t>
        <w:br/>
        <w:br/>
        <w:t xml:space="preserve">     b)    “partiendo de la base que en su informe de  Fondo,  la  Comisión</w:t>
        <w:br/>
        <w:t xml:space="preserve">     concluyó que el Estado había vulnerado los derechos consagrados en los</w:t>
        <w:br/>
        <w:t xml:space="preserve">     artículos 13 y 25  de  la  Convención  Americana,  se  informó  [a  la</w:t>
        <w:br/>
        <w:t xml:space="preserve">     Comisión] que se estaba analizando  […]  una  reparación  de  carácter</w:t>
        <w:br/>
        <w:t xml:space="preserve">     simbólic[o] que pu[diera]  recoger  la  situación  de  vulneración  de</w:t>
        <w:br/>
        <w:t xml:space="preserve">     derechos de que fueron víctimas los Sres. Claude, Cox y Longton,  como</w:t>
        <w:br/>
        <w:t xml:space="preserve">     así mismo publicitar los  avances  que  en  materia  de  acceso  a  la</w:t>
        <w:br/>
        <w:t xml:space="preserve">     información puede exhibir [Chile]”.</w:t>
        <w:br/>
        <w:br/>
        <w:br/>
        <w:t>Consideraciones de la Corte</w:t>
        <w:br/>
        <w:br/>
        <w:t>148.  De acuerdo con lo expuesto  en  los  capítulos  anteriores,  la  Corte</w:t>
        <w:br/>
        <w:t>decidió que el Estado es responsable por la violación del artículo 13 de  la</w:t>
        <w:br/>
        <w:t>Convención Americana en relación con los artículos 1.1. y 2 de la misma,  en</w:t>
        <w:br/>
        <w:t>perjuicio de los señores Marcel Claude Reyes y Arturo  Longton  Guerrero,  y</w:t>
        <w:br/>
        <w:t>de los artículos 8.1 y 25 de la Convención, en relación con el artículo  1.1</w:t>
        <w:br/>
        <w:t>de la misma, en  perjuicio  de  los  señores  Marcel  Claude  Reyes,  Arturo</w:t>
        <w:br/>
        <w:t>Longton Guerrero y Sebastián Cox Urrejola.</w:t>
        <w:br/>
        <w:br/>
        <w:t>149.   En  su  jurisprudencia,  este  Tribunal  ha  establecido  que  es  un</w:t>
        <w:br/>
        <w:t>principio de Derecho Internacional que  toda  violación  de  una  obligación</w:t>
        <w:br/>
        <w:t>internacional que haya producido un daño  comporta  el  deber  de  repararlo</w:t>
        <w:br/>
        <w:t>adecuadamente[108].  A tales efectos, la Corte se ha basado en  el  artículo</w:t>
        <w:br/>
        <w:t>63.1 de la Convención Americana, según el cual,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br/>
        <w:t>Por consiguiente, el Tribunal pasa a considerar las medidas necesarias  para</w:t>
        <w:br/>
        <w:t>reparar los daños  causados  a  los  señores  Marcel  Claude  Reyes,  Arturo</w:t>
        <w:br/>
        <w:t>Longton Guerrero y Sebastián Cox  Urrejola,  por  dichas  violaciones  a  la</w:t>
        <w:br/>
        <w:t>Convención.</w:t>
        <w:br/>
        <w:br/>
        <w:t>150.  El  artículo  63.1  de  la  Convención  Americana  refleja  una  norma</w:t>
        <w:br/>
        <w:t>consuetudinaria que constituye  uno  de  los  principios  fundamentales  del</w:t>
        <w:br/>
        <w:t>Derecho  Internacional  contemporáneo  sobre  la  responsabilidad   de   los</w:t>
        <w:br/>
        <w:t>Estados. Al producirse un hecho ilícito  imputable  a  un  Estado  surge  de</w:t>
        <w:br/>
        <w:t>inmediato la responsabilidad internacional de éste por la violación  de  una</w:t>
        <w:br/>
        <w:t>norma internacional, con el consecuente deber de reparar y  de  hacer  cesar</w:t>
        <w:br/>
        <w:t>las consecuencias de la violación[109].</w:t>
        <w:br/>
        <w:br/>
        <w:t>151.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 a la violación. De no serlo, el Tribunal debe  determinar</w:t>
        <w:br/>
        <w:t>medidas  que   garanticen   los   derechos   conculcados   y   reparen   las</w:t>
        <w:br/>
        <w:t>consecuencias que las infracciones  produjeron[110].   Es  necesario  añadir</w:t>
        <w:br/>
        <w:t>las medidas de carácter positivo que el Estado debe  adoptar  para  asegurar</w:t>
        <w:br/>
        <w:t>que no  se  repitan  hechos  lesivos  como  los  ocurridos  en  el  presente</w:t>
        <w:br/>
        <w:t>caso[111]. La obligación de reparar, que se regula  en  todos  los  aspectos</w:t>
        <w:br/>
        <w:t>(alcance, naturaleza, modalidades y determinación de los beneficiarios)  por</w:t>
        <w:br/>
        <w:t>el Derecho Internacional, no  puede  ser  modificada  o  incumplida  por  el</w:t>
        <w:br/>
        <w:t>Estado obligado invocando disposiciones de su derecho interno[112].</w:t>
        <w:br/>
        <w:br/>
        <w:t>152.  Las reparaciones, como el término lo indica, consisten en las  medidas</w:t>
        <w:br/>
        <w:t>que tienden a hacer desaparecer los efectos de  las  violaciones  cometidas.</w:t>
        <w:br/>
        <w:t>En este sentido, las reparaciones que se establezcan deben guardar  relación</w:t>
        <w:br/>
        <w:t>con  las  violaciones  declaradas  en  los  capítulos  anteriores  en   esta</w:t>
        <w:br/>
        <w:t>Sentencia[113].</w:t>
        <w:br/>
        <w:br/>
        <w:t>153.  De conformidad con los  elementos  probatorios  recogidos  durante  el</w:t>
        <w:br/>
        <w:t>proceso, y a la  luz  de  los  anteriores  criterios,  la  Corte  procede  a</w:t>
        <w:br/>
        <w:t>analizar las pretensiones presentadas por la  Comisión  y  el  representante</w:t>
        <w:br/>
        <w:t>respecto a las reparaciones, costas y gastos con el  objeto  de  determinar,</w:t>
        <w:br/>
        <w:t>en primer lugar, quiénes son los beneficiarios  de  las  reparaciones,  para</w:t>
        <w:br/>
        <w:t>luego disponer las medidas de reparación pertinentes y las costas y gastos.</w:t>
        <w:br/>
        <w:br/>
        <w:br/>
        <w:t xml:space="preserve">                              A)  Beneficiarios</w:t>
        <w:br/>
        <w:br/>
        <w:t>154.   La  Corte  ha  determinado  que  los   hechos   del   presente   caso</w:t>
        <w:br/>
        <w:t>constituyeron una violación del artículo 13 de la  Convención  Americana  en</w:t>
        <w:br/>
        <w:t>relación con los artículos 1.1. y 2 de la  misma,  en  perjuicio  de  Marcel</w:t>
        <w:br/>
        <w:t>Claude Reyes y Arturo Longton Guerrero, y de los artículos 8.1 y  25  de  la</w:t>
        <w:br/>
        <w:t>Convención, en relación con el artículo 1.1 de la  misma,  en  perjuicio  de</w:t>
        <w:br/>
        <w:t>Marcel Claude Reyes, Arturo  Longton  Guerrero  y  Sebastián  Cox  Urrejola,</w:t>
        <w:br/>
        <w:t>quienes, en su carácter de víctimas  de  las  mencionadas  violaciones,  son</w:t>
        <w:br/>
        <w:t>acreedores de las reparaciones que fije el Tribunal.</w:t>
        <w:br/>
        <w:br/>
        <w:t xml:space="preserve">                             B)    Daño material</w:t>
        <w:br/>
        <w:br/>
        <w:t>155.  En el presente caso  el  representante  de  las  víctimas  no  realizó</w:t>
        <w:br/>
        <w:t>ningún planteamiento ni solicitud en cuanto a un eventual daño  material,  y</w:t>
        <w:br/>
        <w:t>la Corte ha constatado  que  de  las  violaciones  declaradas  y  la  prueba</w:t>
        <w:br/>
        <w:t>aportada no deriva un daño de este tipo que requiera  que  se  disponga  una</w:t>
        <w:br/>
        <w:t>reparación.</w:t>
        <w:br/>
        <w:br/>
        <w:t xml:space="preserve">                             C)  Daño Inmaterial</w:t>
        <w:br/>
        <w:br/>
        <w:t>156.  El Tribunal estima que la presente Sentencia constituye, per  se,  una</w:t>
        <w:br/>
        <w:t>forma de reparación y satisfacción  moral  de  significación  e  importancia</w:t>
        <w:br/>
        <w:t>para las víctimas[114]. Sin embargo, para efectos de la reparación del  daño</w:t>
        <w:br/>
        <w:t>inmaterial en  este  caso,  el  Tribunal  determinará  aquellas  medidas  de</w:t>
        <w:br/>
        <w:t>satisfacción y garantías de no repetición que no tienen alcance  pecuniario,</w:t>
        <w:br/>
        <w:t>sino que tienen una repercusión pública[115].</w:t>
        <w:br/>
        <w:br/>
        <w:br/>
        <w:t>Medidas de satisfacción y garantías de no repetición</w:t>
        <w:br/>
        <w:br/>
        <w:t>C.1)  Solicitud de información bajo el control del Estado</w:t>
        <w:br/>
        <w:br/>
        <w:t>157.  En cuanto al argumento sostenido por Chile ante este  Tribunal  en  el</w:t>
        <w:br/>
        <w:t>sentido de que ya no existe interés en la entrega  de  la  información  dado</w:t>
        <w:br/>
        <w:t>que el Proyecto “Río Cóndor” no  se  realizó,  es  preciso  señalar  que  el</w:t>
        <w:br/>
        <w:t>control social que se buscaba  con  el  acceso  a  la  información  bajo  el</w:t>
        <w:br/>
        <w:t>control del Estado y el carácter de la información  solicitada  son  motivos</w:t>
        <w:br/>
        <w:t>suficientes para atender al  requerimiento  de  información,  sin  que  deba</w:t>
        <w:br/>
        <w:t>exigirse al requirente que acredite una  afectación  directa  o  un  interés</w:t>
        <w:br/>
        <w:t>específico.</w:t>
        <w:br/>
        <w:br/>
        <w:t>158.  Por lo tanto, debido a que en este caso el Estado no ha entregado  una</w:t>
        <w:br/>
        <w:t>parte de la  información  solicitada  y  tampoco  ha  emitido  una  decisión</w:t>
        <w:br/>
        <w:t>fundamentada respecto de la petición de información, la Corte considera  que</w:t>
        <w:br/>
        <w:t>el Estado,  a  través  de  la  entidad  correspondiente,  debe  entregar  la</w:t>
        <w:br/>
        <w:t>información solicitada por las víctimas, en su caso, o adoptar una  decisión</w:t>
        <w:br/>
        <w:t>fundamentada al respecto.</w:t>
        <w:br/>
        <w:br/>
        <w:t>159.  Si el Estado considera que no correspondía al  Comité  de  Inversiones</w:t>
        <w:br/>
        <w:t>Extranjeras procurar una parte de la información que fue solicitada por  las</w:t>
        <w:br/>
        <w:t>víctimas de este caso, deberá explicar fundamentadamente por qué no  dio  la</w:t>
        <w:br/>
        <w:t>información.</w:t>
        <w:br/>
        <w:br/>
        <w:t>C.2)  Publicación de las partes pertinentes de la presente Sentencia</w:t>
        <w:br/>
        <w:br/>
        <w:t>160.   Como   lo   ha   dispuesto   en   otros   casos,   como   medida   de</w:t>
        <w:br/>
        <w:t>satisfacción[116], el Estado deberá publicar en el Diario Oficial y en  otro</w:t>
        <w:br/>
        <w:t>diario de amplia  circulación  nacional,  por  una  sola  vez,  el  capítulo</w:t>
        <w:br/>
        <w:t>relativo a los Hechos Probados de esta Sentencia, los párrafos 69 a 71,  73,</w:t>
        <w:br/>
        <w:t>74, 77, 88 a 103, 117 a  123,  132  a  137  y  139  a  143  de  la  presente</w:t>
        <w:br/>
        <w:t>Sentencia,  que  corresponden  a  los  capítulos  VII  y  VIII   sobre   las</w:t>
        <w:br/>
        <w:t>violaciones declaradas por  la  Corte,  sin  las  notas  al  pie  de  página</w:t>
        <w:br/>
        <w:t>correspondientes, y la parte resolutiva de la misma. Para  esta  publicación</w:t>
        <w:br/>
        <w:t>se fija el plazo de seis meses, a partir de la notificación de  la  presente</w:t>
        <w:br/>
        <w:t>Sentencia.</w:t>
        <w:br/>
        <w:br/>
        <w:t>C.3)  Adopción de las medidas  necesarias  para  garantizar  el  derecho  de</w:t>
        <w:br/>
        <w:t>acceso a la información bajo el control del Estado</w:t>
        <w:br/>
        <w:br/>
        <w:t>161.  La  Corte  también  estima  importante  recordar  al  Estado  que,  de</w:t>
        <w:br/>
        <w:t>conformidad con lo dispuesto en el  artículo  2  de  la  Convención,  si  el</w:t>
        <w:br/>
        <w:t>ejercicio de los derechos y  libertades  protegidos  por  dicho  tratado  no</w:t>
        <w:br/>
        <w:t>estuviere ya  garantizado,  tiene  la  obligación  de  adoptar  las  medidas</w:t>
        <w:br/>
        <w:t>legislativas o de otro carácter que fueren necesarias para  hacer  efectivos</w:t>
        <w:br/>
        <w:t>tales derechos y libertades.</w:t>
        <w:br/>
        <w:br/>
        <w:t>162.  La Corte valora  los  importantes  avances  normativos  que  Chile  ha</w:t>
        <w:br/>
        <w:t>emprendido en materia de acceso a información bajo el  control  del  Estado,</w:t>
        <w:br/>
        <w:t>que se encuentra en trámite un proyecto de Ley de Acceso  a  la  Información</w:t>
        <w:br/>
        <w:t>Pública, así como los esfuerzos realizados  al  crear  un  recurso  judicial</w:t>
        <w:br/>
        <w:t>especial para amparar el  acceso  a  la  información  pública  (supra  párr.</w:t>
        <w:br/>
        <w:t>57.35).</w:t>
        <w:br/>
        <w:br/>
        <w:t>163.  Sin embargo, el Tribunal considera necesario  reiterar  que  el  deber</w:t>
        <w:br/>
        <w:t>general comprendido en el artículo 2 de la Convención implica  la  supresión</w:t>
        <w:br/>
        <w:t>tanto de las normas como  de  las  prácticas  de  cualquier  naturaleza  que</w:t>
        <w:br/>
        <w:t>entrañen violaciones a las garantías previstas en la  Convención,  así  como</w:t>
        <w:br/>
        <w:t>la expedición de normas y  el  desarrollo  de  prácticas  conducentes  a  la</w:t>
        <w:br/>
        <w:t>efectiva observancia de dichas garantías (supra párr. 64).  Por ello,  Chile</w:t>
        <w:br/>
        <w:t>debe adoptar  las  medidas  necesarias  para  garantizar  la  protección  al</w:t>
        <w:br/>
        <w:t>derecho de acceso a la información bajo el control  del  Estado,  dentro  de</w:t>
        <w:br/>
        <w:t>las  cuales   debe   garantizar   la   efectividad   de   un   procedimiento</w:t>
        <w:br/>
        <w:t>administrativo adecuado para la tramitación y resolución de las  solicitudes</w:t>
        <w:br/>
        <w:t>de información, que fije plazos para resolver y entregar la  información,  y</w:t>
        <w:br/>
        <w:t>que  se  encuentre  bajo  la  responsabilidad  de  funcionarios  debidamente</w:t>
        <w:br/>
        <w:t>capacitados.</w:t>
        <w:br/>
        <w:br/>
        <w:t>C.4)   Realizar  la  capacitación  a  los  órganos,  autoridades  y  agentes</w:t>
        <w:br/>
        <w:t>públicos sobre el derecho de acceso a la información  bajo  el  control  del</w:t>
        <w:br/>
        <w:t>Estado</w:t>
        <w:br/>
        <w:br/>
        <w:t>164.  En el presente caso la autoridad administrativa encargada de  resolver</w:t>
        <w:br/>
        <w:t>la solicitud de información de los señores Claude Reyes y  Longton  Guerrero</w:t>
        <w:br/>
        <w:t>observó una actitud vulneratoria del derecho  de  acceso  a  la  información</w:t>
        <w:br/>
        <w:t>bajo el  control  del  Estado.   Al  respecto,  este  Tribunal  observa  con</w:t>
        <w:br/>
        <w:t>preocupación que diversos elementos probatorios aportados al  expediente  de</w:t>
        <w:br/>
        <w:t>este caso coinciden en afirmar que los funcionarios  públicos  no  responden</w:t>
        <w:br/>
        <w:t>efectivamente a solicitudes de información.</w:t>
        <w:br/>
        <w:br/>
        <w:t>165.   La  Corte  considera  que  el  Estado  debe  realizar,  en  un  plazo</w:t>
        <w:br/>
        <w:t>razonable, la capacitación a los órganos,  autoridades  y  agentes  públicos</w:t>
        <w:br/>
        <w:t>encargados de atender las solicitudes de acceso a información  bajo  control</w:t>
        <w:br/>
        <w:t>del Estado sobre la normativa que  rige  este  derecho,  que  incorpore  los</w:t>
        <w:br/>
        <w:t>parámetros convencionales que deben respetarse en materia  de  restricciones</w:t>
        <w:br/>
        <w:t>al acceso a dicha información (supra párrs. 77 y 88 a 101).</w:t>
        <w:br/>
        <w:br/>
        <w:t xml:space="preserve">                            D)    Costas y Gastos</w:t>
        <w:br/>
        <w:br/>
        <w:t>166.   Como  ya  lo  ha  señalado  la  Corte,  las  costas  y  gastos  están</w:t>
        <w:br/>
        <w:t>comprendidos dentro del concepto de reparación  consagrado  en  el  artículo</w:t>
        <w:br/>
        <w:t>63.1 de la Convención Americana, puesto que la actividad desplegada  por  la</w:t>
        <w:br/>
        <w:t>víctima con el  fin  de  obtener  justicia,  tanto  a  nivel  nacional  como</w:t>
        <w:br/>
        <w:t>internacional, implica erogaciones  que  deben  ser  compensadas  cuando  la</w:t>
        <w:br/>
        <w:t>responsabilidad  internacional  del  Estado  es   declarada   mediante   una</w:t>
        <w:br/>
        <w:t>sentencia condenatoria. En cuanto a su reembolso,  corresponde  al  Tribunal</w:t>
        <w:br/>
        <w:t>apreciar prudentemente su alcance, el cual comprende  los  gastos  generados</w:t>
        <w:br/>
        <w:t>ante las autoridades de la jurisdicción interna, así como los  generados  en</w:t>
        <w:br/>
        <w:t>el curso del proceso ante el sistema interamericano, teniendo en cuenta  las</w:t>
        <w:br/>
        <w:t>circunstancias  del  caso  concreto  y  la  naturaleza  de  la  jurisdicción</w:t>
        <w:br/>
        <w:t>internacional de la protección de los derechos  humanos.   Esta  apreciación</w:t>
        <w:br/>
        <w:t>puede ser realizada con base en el principio de equidad y tomando en  cuenta</w:t>
        <w:br/>
        <w:t>los  gastos  señalados  por   la   Comisión   Interamericana   y   por   los</w:t>
        <w:br/>
        <w:t>representantes, siempre que su quantum sea razonable[117].</w:t>
        <w:br/>
        <w:br/>
        <w:t>167.  La Corte toma  en  cuenta  que  las  víctimas  incurrieron  en  gastos</w:t>
        <w:br/>
        <w:t>durante las gestiones realizadas en el ámbito judicial interno,  y  actuaron</w:t>
        <w:br/>
        <w:t>representados a través de un abogado representante en ese ámbito y  ante  la</w:t>
        <w:br/>
        <w:t>Comisión y esta Corte en el proceso internacional. Al no contar  con  prueba</w:t>
        <w:br/>
        <w:t>documental que acredite  los  gastos  en  que  se  incurrió  en  el  proceso</w:t>
        <w:br/>
        <w:t>internacional ni en el ámbito interno, este Tribunal  establece  en  equidad</w:t>
        <w:br/>
        <w:t>la cantidad total de US$ 10.000,00 (diez mil dólares de los  Estados  Unidos</w:t>
        <w:br/>
        <w:t>de América) o su equivalente en moneda chilena, que deberá ser entregada  en</w:t>
        <w:br/>
        <w:t>partes iguales a los señores Marcel Claude Reyes, Arturo Longton Guerrero  y</w:t>
        <w:br/>
        <w:t>Sebastián Cox Urrejola por concepto de costas y gastos, en el  plazo  de  un</w:t>
        <w:br/>
        <w:t>año. Éstos entregarán a su representante legal la cantidad que  corresponda,</w:t>
        <w:br/>
        <w:t>conforme a la asistencia que les hubiese prestado.</w:t>
        <w:br/>
        <w:br/>
        <w:br/>
        <w:br/>
        <w:t xml:space="preserve">                       E)    Modalidad de Cumplimiento</w:t>
        <w:br/>
        <w:br/>
        <w:br/>
        <w:br/>
        <w:t>168.  El Estado debe cumplir las medidas de reparación establecidas  en  los</w:t>
        <w:br/>
        <w:t>párrafos 158, 159 y 160 de esta Sentencia en el plazo de seis meses;  y  las</w:t>
        <w:br/>
        <w:t>medidas establecidas en los párrafos  163  y  165  en  un  plazo  razonable.</w:t>
        <w:br/>
        <w:t>Dichos plazos se deben contar a partir de la  notificación  de  la  presente</w:t>
        <w:br/>
        <w:t>Sentencia.</w:t>
        <w:br/>
        <w:br/>
        <w:t>169.  El Estado deberá pagar  la  cantidad  fijada  como  reintegro  de  las</w:t>
        <w:br/>
        <w:t>costas y gastos en el plazo de un año, en la forma señalada  en  el  párrafo</w:t>
        <w:br/>
        <w:t>167 de la presente Sentencia.</w:t>
        <w:br/>
        <w:br/>
        <w:t>170.   El  Estado  deberá  cumplir  su  obligación  de  carácter  pecuniario</w:t>
        <w:br/>
        <w:t>mediante el pago en dólares de los  Estados  Unidos  de  América  o  en  una</w:t>
        <w:br/>
        <w:t>cantidad  equivalente  en  moneda  chilena,  utilizando  para   el   cálculo</w:t>
        <w:br/>
        <w:t>respectivo el tipo de cambio entre ambas monedas  que  esté  vigente  en  la</w:t>
        <w:br/>
        <w:t>plaza de Nueva York, Estados Unidos de América, el día anterior al pago.</w:t>
        <w:br/>
        <w:br/>
        <w:t>171.  La cantidad asignada en la presente Sentencia por reintegro de  costas</w:t>
        <w:br/>
        <w:t>y gastos  no  podrá  ser  afectada,  reducida  o  condicionada  por  motivos</w:t>
        <w:br/>
        <w:t>fiscales actuales o futuros.  En consecuencia, deberá ser  entregada  a  las</w:t>
        <w:br/>
        <w:t>víctimas en forma íntegra conforme a lo establecido en la Sentencia.</w:t>
        <w:br/>
        <w:br/>
        <w:t>172.  En caso de que el Estado incurriese en mora, deberá pagar  un  interés</w:t>
        <w:br/>
        <w:t>sobre la cantidad adeudada, correspondiente al  interés  bancario  moratorio</w:t>
        <w:br/>
        <w:t>en Chile.</w:t>
        <w:br/>
        <w:br/>
        <w:t>173.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cumplimiento a lo dispuesto en el  presente  fallo.   Dentro</w:t>
        <w:br/>
        <w:t>del plazo de un año, contado a partir de la notificación de esta  Sentencia,</w:t>
        <w:br/>
        <w:t>Chile deberá rendir a la Corte un informe sobre las medidas  adoptadas  para</w:t>
        <w:br/>
        <w:t>dar cumplimiento a la misma.</w:t>
        <w:br/>
        <w:br/>
        <w:br/>
        <w:br/>
        <w:t xml:space="preserve">                                     XI</w:t>
        <w:br/>
        <w:t xml:space="preserve">                             Puntos Resolutivos</w:t>
        <w:br/>
        <w:br/>
        <w:br/>
        <w:t>174.  Por tanto,</w:t>
        <w:br/>
        <w:br/>
        <w:t xml:space="preserve">      LA CORTE</w:t>
        <w:br/>
        <w:br/>
        <w:br/>
        <w:t>DECLARA,</w:t>
        <w:br/>
        <w:br/>
        <w:br/>
        <w:t>Por unanimidad, que:</w:t>
        <w:br/>
        <w:br/>
        <w:t>1.    El Estado  violó  el  derecho  a  la  libertad  de  pensamiento  y  de</w:t>
        <w:br/>
        <w:t>expresión consagrado en el artículo 13  de  la  Convención  Americana  sobre</w:t>
        <w:br/>
        <w:t>Derechos Humanos, en perjuicio de los señores Marcel Claude Reyes  y  Arturo</w:t>
        <w:br/>
        <w:t>Longton Guerrero, en relación con las obligaciones generales de  respetar  y</w:t>
        <w:br/>
        <w:t>garantizar los derechos y libertades y de adoptar disposiciones  de  derecho</w:t>
        <w:br/>
        <w:t>interno establecidas en los artículos 1.1 y  2  de  dicho  tratado,  en  los</w:t>
        <w:br/>
        <w:t>términos de los párrafos 61 a 103 de la presente Sentencia.</w:t>
        <w:br/>
        <w:br/>
        <w:t>Por cuatro votos contra dos, que:</w:t>
        <w:br/>
        <w:br/>
        <w:t>2.    El Estado violó el derecho a las garantías  judiciales  consagrado  en</w:t>
        <w:br/>
        <w:t>el artículo 8.1 de  la  Convención  Americana  sobre  Derechos  Humanos,  en</w:t>
        <w:br/>
        <w:t>perjuicio de los señores Marcel Claude Reyes y Arturo Longton Guerrero,  con</w:t>
        <w:br/>
        <w:t>respecto a la  decisión  de  la  autoridad  administrativa  de  no  entregar</w:t>
        <w:br/>
        <w:t>información, en relación con la obligación general de respetar y  garantizar</w:t>
        <w:br/>
        <w:t>los derechos y libertades establecida en el artículo 1.1 de  dicho  tratado,</w:t>
        <w:br/>
        <w:t>en los términos de los párrafos 114 a 123 de la presente Sentencia.</w:t>
        <w:br/>
        <w:t>Disienten el Juez Abreu Burelli y la Jueza Medina Quiroga.</w:t>
        <w:br/>
        <w:br/>
        <w:t>Por unanimidad, que:</w:t>
        <w:br/>
        <w:br/>
        <w:t>3.    El Estado violó los  derechos  a  las  garantías  judiciales  y  a  la</w:t>
        <w:br/>
        <w:t>protección judicial consagrados en los artículos 8.1 y 25 de  la  Convención</w:t>
        <w:br/>
        <w:t>Americana sobre Derechos Humanos, en perjuicio de los señores Marcel  Claude</w:t>
        <w:br/>
        <w:t>Reyes, Arturo Longton Guerrero y Sebastián Cox Urrejola, con respecto  a  la</w:t>
        <w:br/>
        <w:t>decisión judicial del recurso de protección, en relación con  la  obligación</w:t>
        <w:br/>
        <w:t>general de respetar y garantizar los derechos y  libertades  establecida  en</w:t>
        <w:br/>
        <w:t>el artículo 1.1  de dicho tratado, en los términos de  los  párrafos  124  a</w:t>
        <w:br/>
        <w:t>144 de la presente Sentencia.</w:t>
        <w:br/>
        <w:br/>
        <w:t>Por unanimidad, que:</w:t>
        <w:br/>
        <w:br/>
        <w:t>4.    Esta Sentencia constituye per se  una  forma  de  reparación,  en  los</w:t>
        <w:br/>
        <w:t>términos del párrafo 156 de la misma.</w:t>
        <w:br/>
        <w:br/>
        <w:t>Y DECIDE,</w:t>
        <w:br/>
        <w:br/>
        <w:t>Por unanimidad, que:</w:t>
        <w:br/>
        <w:br/>
        <w:t>5.    El Estado debe, a través de la entidad correspondiente y en  el  plazo</w:t>
        <w:br/>
        <w:t>de seis meses, entregar la información solicitada por las  víctimas,  en  su</w:t>
        <w:br/>
        <w:t>caso, o adoptar una decisión fundamentada al respecto, en  los  términos  de</w:t>
        <w:br/>
        <w:t>los párrafos 157 a 159 y 168 de la presente Sentencia.</w:t>
        <w:br/>
        <w:br/>
        <w:t>6.    El Estado debe publicar, en el plazo  de  seis  meses,  en  el  Diario</w:t>
        <w:br/>
        <w:t>Oficial y en otro diario de amplia circulación nacional, por una  sola  vez,</w:t>
        <w:br/>
        <w:t>el capítulo relativo a los Hechos Probados de esta Sentencia,  los  párrafos</w:t>
        <w:br/>
        <w:t>69 a 71, 73, 74, 77, 88 a 103, 117 a 123, 132 a  137  y  139  a  143  de  la</w:t>
        <w:br/>
        <w:t>presente Sentencia, que corresponden a los capítulos VII y  VIII  sobre  las</w:t>
        <w:br/>
        <w:t>violaciones declaradas por  la  Corte,  sin  las  notas  al  pie  de  página</w:t>
        <w:br/>
        <w:t>correspondientes, y la parte resolutiva de la misma, en los términos de  los</w:t>
        <w:br/>
        <w:t>párrafos 160 y 168 de la presente Sentencia.</w:t>
        <w:br/>
        <w:br/>
        <w:t>7.    El Estado debe adoptar, en un plazo razonable, las medidas  necesarias</w:t>
        <w:br/>
        <w:t>para garantizar el derecho de acceso a la información bajo  el  control  del</w:t>
        <w:br/>
        <w:t>Estado, de acuerdo al deber general  de  adoptar  disposiciones  de  derecho</w:t>
        <w:br/>
        <w:t>interno establecido en el  artículo  2  de  la  Convención  Americana  sobre</w:t>
        <w:br/>
        <w:t>Derechos Humanos, en los términos de los párrafos 161 a  163  y  168  de  la</w:t>
        <w:br/>
        <w:t>presente Sentencia.</w:t>
        <w:br/>
        <w:br/>
        <w:t>8.    El Estado debe realizar, en un plazo razonable, la capacitación a  los</w:t>
        <w:br/>
        <w:t>órganos,  autoridades  y  agentes  públicos  encargados   de   atender   las</w:t>
        <w:br/>
        <w:t>solicitudes de acceso a información bajo el  control  del  Estado  sobre  la</w:t>
        <w:br/>
        <w:t>normativa  que   rige   este   derecho,   que   incorpore   los   parámetros</w:t>
        <w:br/>
        <w:t>convencionales que deben respetarse en materia de restricciones al acceso  a</w:t>
        <w:br/>
        <w:t>dicha información, en los términos de los párrafos 164,  165  y  168  de  la</w:t>
        <w:br/>
        <w:t>presente Sentencia.</w:t>
        <w:br/>
        <w:br/>
        <w:t>9.    El Estado debe  pagar  a  los  señores  Marcel  Claude  Reyes,  Arturo</w:t>
        <w:br/>
        <w:t>Longton Guerrero y Sebastián Cox Urrejola,  en  el  plazo  de  un  año,  por</w:t>
        <w:br/>
        <w:t>concepto de costas y gastos, la cantidad fijada en  el  párrafo  167  de  la</w:t>
        <w:br/>
        <w:t>presente Sentencia, en los términos de los párrafos 167 y 169 a 172.</w:t>
        <w:br/>
        <w:br/>
        <w:t>10.   Supervisará el cumplimiento íntegro de  esta  Sentencia,  y  dará  por</w:t>
        <w:br/>
        <w:t>concluido  el  presente  caso  una  vez  que  el  Estado  haya  dado   cabal</w:t>
        <w:br/>
        <w:t>cumplimiento a lo dispuesto en  la  misma.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cumplimiento, en los términos del párrafo 173 de la presente Sentencia.</w:t>
        <w:br/>
        <w:br/>
        <w:t>El Juez Abreu Burelli y la Jueza Medina Quiroga hicieron conocer a la  Corte</w:t>
        <w:br/>
        <w:t>su Voto Disidente conjunto sobre  el  punto  resolutivo  segundo.   El  Juez</w:t>
        <w:br/>
        <w:t>García Ramírez hizo conocer a la Corte su Voto  Concurrente  Razonado  sobre</w:t>
        <w:br/>
        <w:t>el punto resolutivo segundo. Dichos votos acompañan esta Sentencia.</w:t>
        <w:br/>
        <w:br/>
        <w:br/>
        <w:br/>
        <w:t>Redactada en español e inglés, haciendo fe  el  texto  en  español,  en  San</w:t>
        <w:br/>
        <w:t>José, Costa Rica, el 19 de septiembre de 2006.</w:t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|Antônio A. Cançado Trindade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|Cecilia Medina Quiroga            |Manuel E. Ventura Robles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br/>
        <w:br/>
        <w:br/>
        <w:t xml:space="preserve">                             Diego García-Sayán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br/>
        <w:br/>
        <w:br/>
        <w:t xml:space="preserve">                        VOTO DISIDENTE DE LOS JUECES</w:t>
        <w:br/>
        <w:t xml:space="preserve">                ALIRIO ABREU BURELLI Y CECILIA MEDINA QUIROGA</w:t>
        <w:br/>
        <w:br/>
        <w:br/>
        <w:t xml:space="preserve">   1. Lamentamos disentir de la decisión de la Corte de aplicar el  artículo</w:t>
        <w:br/>
        <w:t xml:space="preserve">      8.1 a  la  decisión  del  Vicepresidente  del  Comité  de  Inversiones</w:t>
        <w:br/>
        <w:t xml:space="preserve">      Extranjeras de negar una información a las víctimas de este caso  (ver</w:t>
        <w:br/>
        <w:t xml:space="preserve">      párrafos 115 a 123 de la sentencia).   El  artículo  8.1  consagra  el</w:t>
        <w:br/>
        <w:t xml:space="preserve">      derecho a ser oído “con las debidas garantías y  dentro  de  un  plazo</w:t>
        <w:br/>
        <w:t xml:space="preserve">      razonable, por un juez  o  un  tribunal  competente,  independiente  e</w:t>
        <w:br/>
        <w:t xml:space="preserve">      imparcial…para la determinación de  sus  derechos  y  obligaciones  de</w:t>
        <w:br/>
        <w:t xml:space="preserve">      orden civil, laboral, fiscal, o  de  cualquier  otro  carácter”.  Esta</w:t>
        <w:br/>
        <w:t xml:space="preserve">      disposición busca proteger el derecho  de  los  individuos  a  que  se</w:t>
        <w:br/>
        <w:t xml:space="preserve">      resuelvan con la máxima justicia posible,  las  controversias  que  se</w:t>
        <w:br/>
        <w:t xml:space="preserve">      susciten entre dos partes,  sean  ellas  particulares  u  órganos  del</w:t>
        <w:br/>
        <w:t xml:space="preserve">      Estado y se refieran ellas a materias que estén o no en el  ámbito  de</w:t>
        <w:br/>
        <w:t xml:space="preserve">      los derechos humanos. Esta disposición es, por excelencia, la garantía</w:t>
        <w:br/>
        <w:t xml:space="preserve">      de todos los derechos humanos y un requisito  sine  qua  non  para  la</w:t>
        <w:br/>
        <w:t xml:space="preserve">      existencia de un Estado de derecho. Estimamos que  su  importancia  no</w:t>
        <w:br/>
        <w:t xml:space="preserve">      puede ser trivializada  aplicándola  a  situaciones  que,  en  nuestra</w:t>
        <w:br/>
        <w:t xml:space="preserve">      opinión, no pueden ser objeto de esta regulación.</w:t>
        <w:br/>
        <w:br/>
        <w:br/>
        <w:t xml:space="preserve">   2. Es presupuesto  para  la  aplicación  de  este  derecho  que  se  haya</w:t>
        <w:br/>
        <w:t xml:space="preserve">      producido un desconocimiento por parte del Estado de algún  derecho  o</w:t>
        <w:br/>
        <w:t xml:space="preserve">      que éste  no  haya  amparado  el  desconocimiento  del  mismo  por  un</w:t>
        <w:br/>
        <w:t xml:space="preserve">      particular. Producida la negación de un derecho la Convención  crea  a</w:t>
        <w:br/>
        <w:t xml:space="preserve">      través del artículo 8 el derecho para las personas de  que  un  órgano</w:t>
        <w:br/>
        <w:t xml:space="preserve">      con las características  que  dicha  disposición  señala  resuelva  la</w:t>
        <w:br/>
        <w:t xml:space="preserve">      controversia, es decir, el derecho a que se inicie un  proceso,  donde</w:t>
        <w:br/>
        <w:t xml:space="preserve">      las partes que discrepan puedan, inter alia, argumentar en  su  favor,</w:t>
        <w:br/>
        <w:t xml:space="preserve">      presentar pruebas, objetar al contrario.</w:t>
        <w:br/>
        <w:br/>
        <w:t xml:space="preserve">   3. Es claro que el caso que se examina en esta sentencia no constituye un</w:t>
        <w:br/>
        <w:t xml:space="preserve">      proceso. Una  petición  de  acceso  a  información  y  la  negativa  a</w:t>
        <w:br/>
        <w:t xml:space="preserve">      otorgarlo no son un fenómeno jurídico en que  un  órgano  del  Estado,</w:t>
        <w:br/>
        <w:t xml:space="preserve">      habilitado para ello, determina  la  aplicación  del  derecho  en  una</w:t>
        <w:br/>
        <w:t xml:space="preserve">      situación concreta en la cual la norma que consagra el derecho ha sido</w:t>
        <w:br/>
        <w:t xml:space="preserve">      controvertida o violada. Por el  contrario,  el  acto  de  denegar  el</w:t>
        <w:br/>
        <w:t xml:space="preserve">      acceso a la información, crea la controversia  y  de  allí  emerge  el</w:t>
        <w:br/>
        <w:t xml:space="preserve">      derecho para los afectados de  poder  recurrir  a  un  órgano  que  la</w:t>
        <w:br/>
        <w:t xml:space="preserve">      decida, que resuelva el  conflicto  en  razón  de  su  jurisdicción  y</w:t>
        <w:br/>
        <w:t xml:space="preserve">      competencia.  Este órgano en el ordenamiento jurídico del Estado es la</w:t>
        <w:br/>
        <w:t xml:space="preserve">      Corte de Apelaciones respectiva a través del proceso que se inicia con</w:t>
        <w:br/>
        <w:t xml:space="preserve">      la interposición de un recurso de protección. Transformar la secuencia</w:t>
        <w:br/>
        <w:t xml:space="preserve">      “petición-negativa”  en  un  proceso,  exigiendo  la  aplicación   del</w:t>
        <w:br/>
        <w:t xml:space="preserve">      artículo 8 para tramitar la petición,  implicaría  sostener  que  esta</w:t>
        <w:br/>
        <w:t xml:space="preserve">      petición debe ser recibida y decidida por un  órgano  independiente  e</w:t>
        <w:br/>
        <w:t xml:space="preserve">      imparcial y con todas las garantías  que  esta  disposición  establece</w:t>
        <w:br/>
        <w:t xml:space="preserve">      (inter  alia,  el  respeto  a  los  principios  de   igualdad   y   de</w:t>
        <w:br/>
        <w:t xml:space="preserve">      contradicción), puesto que  el  artículo  8.1  debe  aplicarse  en  su</w:t>
        <w:br/>
        <w:t xml:space="preserve">      integridad y cualquier elemento que se infrinja de él constituirá  una</w:t>
        <w:br/>
        <w:t xml:space="preserve">      violación del mismo. Esto traería consecuencias que no son quizás  las</w:t>
        <w:br/>
        <w:t xml:space="preserve">      más favorables</w:t>
        <w:br/>
        <w:br/>
        <w:br/>
        <w:br/>
        <w:br/>
        <w:t xml:space="preserve">      para  el  peticionario  en  términos   de   dificultades   y   plazos.</w:t>
        <w:br/>
        <w:t xml:space="preserve">      Significaría, a su vez, exigir para casos no penales la obligación  de</w:t>
        <w:br/>
        <w:t xml:space="preserve">      dos procedimientos jurisdiccionales, uno que regule la petición de  la</w:t>
        <w:br/>
        <w:t xml:space="preserve">      información y otro  que  revise  su  denegación,  lo  que  no  es  una</w:t>
        <w:br/>
        <w:t xml:space="preserve">      obligación de los Estados que emane de la Convención.</w:t>
        <w:br/>
        <w:br/>
        <w:br/>
        <w:t xml:space="preserve">   4. El hecho de  que  el  artículo  8.1  se  aplica  a  los  procesos  que</w:t>
        <w:br/>
        <w:t xml:space="preserve">      determinan (y no que afectan) derechos u obligaciones y  que  se  abre</w:t>
        <w:br/>
        <w:t xml:space="preserve">      cuando un acto del Estado ha afectado un derecho,  aparece  claramente</w:t>
        <w:br/>
        <w:t xml:space="preserve">      establecido por la Corte en los precedentes que cita en este fallo. En</w:t>
        <w:br/>
        <w:t xml:space="preserve">      el caso del  Tribunal  Constitucional,  en  el  que  se  examinaba  la</w:t>
        <w:br/>
        <w:t xml:space="preserve">      aplicación de una sanción de destitución  de  las  tres  víctimas  por</w:t>
        <w:br/>
        <w:t xml:space="preserve">      parte del Poder Legislativo (párr.  67),  parte  por  sostener  en  su</w:t>
        <w:br/>
        <w:t xml:space="preserve">      considerando 69 que, a pesar de que se titula “Garantías  Judiciales”,</w:t>
        <w:br/>
        <w:t xml:space="preserve">      la aplicación del artículo 8.1 no se limita a los recursos  judiciales</w:t>
        <w:br/>
        <w:t xml:space="preserve">      en sentido estricto, sino que constituye “el  conjunto  de  requisitos</w:t>
        <w:br/>
        <w:t xml:space="preserve">      que deben observarse en las instancias procesales a efecto de que  las</w:t>
        <w:br/>
        <w:t xml:space="preserve">      personas puedan defenderse adecuadamente ante cualquier tipo  de  acto</w:t>
        <w:br/>
        <w:t xml:space="preserve">      emanado del Estado que pueda afectar  sus  derechos”.  Agrega  que  el</w:t>
        <w:br/>
        <w:t xml:space="preserve">      ejercicio del poder sancionatorio del Estado  “no  sólo  presupone  la</w:t>
        <w:br/>
        <w:t xml:space="preserve">      actuación de las autoridades con un total  apego  al  orden  jurídico,</w:t>
        <w:br/>
        <w:t xml:space="preserve">      sino implica además la concesión de las garantías mínimas  del  debido</w:t>
        <w:br/>
        <w:t xml:space="preserve">      proceso  a  todas  las  personas  que  se  encuentran  sujetas  a   su</w:t>
        <w:br/>
        <w:t xml:space="preserve">      jurisdicción, bajo las exigencias establecidas en la Convención (párr.</w:t>
        <w:br/>
        <w:t xml:space="preserve">      68).  En  el  considerando  71  enfatiza  que  “si  bien  la   función</w:t>
        <w:br/>
        <w:t xml:space="preserve">      jurisdiccional compete eminentemente al Poder Judicial, otros  órganos</w:t>
        <w:br/>
        <w:t xml:space="preserve">      o autoridades públicas  pueden  ejercer  funciones  del  mismo  tipo”,</w:t>
        <w:br/>
        <w:t xml:space="preserve">      agregando  que,  en  consecuencia,  la  expresión  “juez  o   tribunal</w:t>
        <w:br/>
        <w:t xml:space="preserve">      competente” exigible para la “determinación” de derechos,  se  refiere</w:t>
        <w:br/>
        <w:t xml:space="preserve">      “a cualquier autoridad  pública,  sea  administrativa,  legislativa  o</w:t>
        <w:br/>
        <w:t xml:space="preserve">      judicial, que a  través  de  sus  resoluciones  determine  derechos  y</w:t>
        <w:br/>
        <w:t xml:space="preserve">      obligaciones de las personas”. La  Corte  concluye  este  razonamiento</w:t>
        <w:br/>
        <w:t xml:space="preserve">      sosteniendo que “cualquier órgano del Estado que ejerza  funciones  de</w:t>
        <w:br/>
        <w:t xml:space="preserve">      carácter materialmente jurisdiccional, tiene la obligación de  adoptar</w:t>
        <w:br/>
        <w:t xml:space="preserve">      resoluciones apegadas a las garantías del debido proceso legal en  los</w:t>
        <w:br/>
        <w:t xml:space="preserve">      términos del artículo 8 de la Convención Americana”.</w:t>
        <w:br/>
        <w:t xml:space="preserve">         Esto significa que el artículo 8 se aplica cuando  un  órgano  del</w:t>
        <w:br/>
        <w:t xml:space="preserve">      Estado está ejerciendo facultades jurisdiccionales, lo que  no  parece</w:t>
        <w:br/>
        <w:t xml:space="preserve">      posible argüir respecto de la negativa de un  funcionario  de  proveer</w:t>
        <w:br/>
        <w:t xml:space="preserve">      información a un particular. Acorde con su posición, la Corte,  en  el</w:t>
        <w:br/>
        <w:t xml:space="preserve">      caso  del  Tribunal  Constitucional,   procede  a   examinar   si   la</w:t>
        <w:br/>
        <w:t xml:space="preserve">      destitución de los jueces, presuntas víctimas en el caso, cumplió  con</w:t>
        <w:br/>
        <w:t xml:space="preserve">      todos y cada uno de los requisitos que este artículo exige, tales como</w:t>
        <w:br/>
        <w:t xml:space="preserve">      la imparcialidad, independencia  y  competencia  del  órgano  como  el</w:t>
        <w:br/>
        <w:t xml:space="preserve">      derecho de defensa del afectado (considerandos 74, 77, 81-84).</w:t>
        <w:br/>
        <w:br/>
        <w:br/>
        <w:t xml:space="preserve">   5. En el caso Baena, la  Corte  tiene  esta  misma  posición,  siendo  la</w:t>
        <w:br/>
        <w:t xml:space="preserve">      naturaleza del asunto semejante, pues se trataba también del ejercicio</w:t>
        <w:br/>
        <w:t xml:space="preserve">      del poder sancionatorio del Estado (ver considerandos 124 y  131).  En</w:t>
        <w:br/>
        <w:t xml:space="preserve">      el caso Bronstein, el considerando 105 repite el  párrafo  171  de  la</w:t>
        <w:br/>
        <w:t xml:space="preserve">      sentencia del Tribunal Constitucional y establece como  fundamento  de</w:t>
        <w:br/>
        <w:t xml:space="preserve">      la violación del artículo 8, los impedimentos que se le habían  puesto</w:t>
        <w:br/>
        <w:t xml:space="preserve">      a la víctima para defenderse, tales como no informarle de  la  pérdida</w:t>
        <w:br/>
        <w:t xml:space="preserve">      de su expediente, no  permitirle  reconstruirlo,  no  comunicarle  los</w:t>
        <w:br/>
        <w:t xml:space="preserve">      cargos de que se le acusaba  ni  permitirle  que  presentara  testigos</w:t>
        <w:br/>
        <w:t xml:space="preserve">      (considerando 106). En el caso Yatama, la</w:t>
        <w:br/>
        <w:br/>
        <w:br/>
        <w:br/>
        <w:br/>
        <w:br/>
        <w:t xml:space="preserve">      Corte repite su posición  de  que  el  artículo  8  se  aplica  a  las</w:t>
        <w:br/>
        <w:t xml:space="preserve">      “instancias procesales” (párrafo 147); sostiene  que  en  el  caso  el</w:t>
        <w:br/>
        <w:t xml:space="preserve">      Consejo Supremo Electoral ejercía funciones jurisdiccionales, no  sólo</w:t>
        <w:br/>
        <w:t xml:space="preserve">      por las actuaciones que realizó en ese  caso  sino  porque  la  propia</w:t>
        <w:br/>
        <w:t xml:space="preserve">      normativa nicaragüense describía esas funciones como  jurisdiccionales</w:t>
        <w:br/>
        <w:t xml:space="preserve">      (párrafo 151).</w:t>
        <w:br/>
        <w:br/>
        <w:br/>
        <w:t xml:space="preserve">   6. Nada de esto corresponde al caso que se examina. El acto que afectó el</w:t>
        <w:br/>
        <w:t xml:space="preserve">      derecho del  señor  Claude  Reyes  y  otros  fue  la  negativa  de  un</w:t>
        <w:br/>
        <w:t xml:space="preserve">      funcionario de permitir a un particular el acceso a  una  información;</w:t>
        <w:br/>
        <w:t xml:space="preserve">      el proceso mediante el cual se reclamó de esta  negativa  fue  el  del</w:t>
        <w:br/>
        <w:t xml:space="preserve">      recurso de protección y es por eso que hemos concurrido con la Corte a</w:t>
        <w:br/>
        <w:t xml:space="preserve">      encontrar una violación del artículo 25, puesto  que  el  tribunal  de</w:t>
        <w:br/>
        <w:t xml:space="preserve">      apelación chileno no cumplió con la norma mínima  de  toda  resolución</w:t>
        <w:br/>
        <w:t xml:space="preserve">      judicial, la de ser fundamentada.</w:t>
        <w:br/>
        <w:br/>
        <w:br/>
        <w:t xml:space="preserve">   7. Esta conclusión, sin embargo, no implica dejar el derecho de solicitar</w:t>
        <w:br/>
        <w:t xml:space="preserve">      el acceso a una información al libre arbitrio del Estado.  El  derecho</w:t>
        <w:br/>
        <w:t xml:space="preserve">      de petición a la  autoridad,  consagrado  de  manera  general  en  los</w:t>
        <w:br/>
        <w:t xml:space="preserve">      ordenamientos jurídicos de los países de la región  y  ciertamente  en</w:t>
        <w:br/>
        <w:t xml:space="preserve">      Chile (artículo 19, No. 14 de la Constitución Política de Chile) exige</w:t>
        <w:br/>
        <w:t xml:space="preserve">      una respuesta del Estado, que debe ser, en las palabras  de  la  Corte</w:t>
        <w:br/>
        <w:t xml:space="preserve">      Constitucional de Colombia, “clara, pronta y sustancial”</w:t>
        <w:br/>
        <w:t xml:space="preserve">   8. [118]. El derecho de petición no tendría sentido ni efecto útil si  no</w:t>
        <w:br/>
        <w:t xml:space="preserve">      exigiera esto del Estado. La falta de esta respuesta al  señor  Claude</w:t>
        <w:br/>
        <w:t xml:space="preserve">      Reyes y otros ha constituido, en nuestra  opinión,  una  violación  al</w:t>
        <w:br/>
        <w:t xml:space="preserve">      derecho constitucional de petición y, como esta  petición  era  la  de</w:t>
        <w:br/>
        <w:t xml:space="preserve">      acceder a una información, reconocida en la Convención Americana  como</w:t>
        <w:br/>
        <w:t xml:space="preserve">      parte del derecho a la libertad de expresión, viola a ésta.</w:t>
        <w:br/>
        <w:br/>
        <w:br/>
        <w:br/>
        <w:br/>
        <w:br/>
        <w:br/>
        <w:t xml:space="preserve">           Alirio Abreu Burelli                    Cecilia Medina Quiroga</w:t>
        <w:br/>
        <w:t xml:space="preserve">                 Juez                              Jueza</w:t>
        <w:br/>
        <w:br/>
        <w:br/>
        <w:br/>
        <w:br/>
        <w:br/>
        <w:br/>
        <w:br/>
        <w:t xml:space="preserve">      Pablo Saavedra Alessandri</w:t>
        <w:br/>
        <w:t xml:space="preserve">            Secretario</w:t>
        <w:br/>
        <w:br/>
        <w:br/>
        <w:br/>
        <w:br/>
        <w:t xml:space="preserve">                VOTO RAZONADO DEL JUEZ SERGIO GARCÍA RAMÍREZ</w:t>
        <w:br/>
        <w:t xml:space="preserve">                      PARA LA SENTENCIA DICTADA POR LA</w:t>
        <w:br/>
        <w:t xml:space="preserve">                  CORTE INTERAMERICANA DE DERECHOS HUMANOS</w:t>
        <w:br/>
        <w:t xml:space="preserve">                  EN EL CASO CLAUDE REYES Y OTROS VS. CHILE</w:t>
        <w:br/>
        <w:t xml:space="preserve">                        DEL 19 DE SEPTIEMBRE DE 2006</w:t>
        <w:br/>
        <w:br/>
        <w:br/>
        <w:t>1.    En un cuarto de siglo, la jurisprudencia de  la  Corte  Interamericana</w:t>
        <w:br/>
        <w:t>ha debido explorar el sentido y alcance de numerosos derechos  y  libertades</w:t>
        <w:br/>
        <w:t>contenidos en la  Convención  Americana.  Esta  relectura  del  ordenamiento</w:t>
        <w:br/>
        <w:t>internacional, a la luz del objeto y fin del tratado --que se concentran  en</w:t>
        <w:br/>
        <w:t>la tutela más amplia  de  los  derechos  humanos--  y  bajo  el  apremio  de</w:t>
        <w:br/>
        <w:t>circunstancias  renovadas,  ha  llevado   a   precisar   evolutivamente   el</w:t>
        <w:br/>
        <w:t>significado de los preceptos convencionales sin extraviar  el  rumbo  de  la</w:t>
        <w:br/>
        <w:t>Convención ni alterar su signo fundamental. Por el contrario, éstos  se  han</w:t>
        <w:br/>
        <w:t>afirmado y fortalecido. La relectura de los textos --característica  de  los</w:t>
        <w:br/>
        <w:t>tribunales constitucionales en el  sistema  nacional  y  de  los  tribunales</w:t>
        <w:br/>
        <w:t>convencionales en el internacional-- permite mantener al día  la  tutela  de</w:t>
        <w:br/>
        <w:t>los derechos y responder a las novedades que aporta  el  desarrollo  en  las</w:t>
        <w:br/>
        <w:t>relaciones entre el individuo y el poder público.</w:t>
        <w:br/>
        <w:br/>
        <w:t>2.    Así adquiere vigencia el concepto sustentado por la Corte</w:t>
        <w:br/>
        <w:t>Interamericana, informada en este extremo por la jurisprudencia europea,</w:t>
        <w:br/>
        <w:t>cuando afirma que “los tratados de derechos humanos son instrumentos vivos</w:t>
        <w:br/>
        <w:t>cuya interpretación tiene que acompañar la evolución de los tiempos y las</w:t>
        <w:br/>
        <w:t>condiciones de vida actuales. Tal interpretación evolutiva es consecuente</w:t>
        <w:br/>
        <w:t>con las reglas generales de interpretación consagradas en el (…) artículo</w:t>
        <w:br/>
        <w:t>29 (de la Convención Americana), así como las establecidas en la Convención</w:t>
        <w:br/>
        <w:t>de Viena sobre el Derecho de los Tratados”.</w:t>
        <w:br/>
        <w:br/>
        <w:t>3.    Desde luego, nada de esto implica que el tribunal ponga en  movimiento</w:t>
        <w:br/>
        <w:t>su imaginación y altere los lineamientos de la  Convención,  sin  pasar  por</w:t>
        <w:br/>
        <w:t>las instancias normativas formales. No se trata, en suma, de  “reformar”  el</w:t>
        <w:br/>
        <w:t>texto  de  aquélla,  sino  de  desarrollar  las  decisiones  jurídicas   del</w:t>
        <w:br/>
        <w:t>ordenamiento  para  que  mantenga  su  “capacidad  de  respuesta”  frente  a</w:t>
        <w:br/>
        <w:t>situaciones que los autores del instrumento no tuvieron  a  la  vista,  pero</w:t>
        <w:br/>
        <w:t>que implican cuestiones esencialmente iguales  a  las  consideradas  en  esa</w:t>
        <w:br/>
        <w:t>normativa, y que traen consigo problemas específicos y requieren  soluciones</w:t>
        <w:br/>
        <w:t>puntuales, extraídas, por supuesto, de los valores, principios y  normas  en</w:t>
        <w:br/>
        <w:t>vigor. En esta  dirección  ha  marchado  la  jurisprudencia  interamericana,</w:t>
        <w:br/>
        <w:t>gobernada por las disposiciones suscritas en 1969,  en  las  que  ha  sabido</w:t>
        <w:br/>
        <w:t>encontrar, generalmente, el significado actual y pertinente  para  enfrentar</w:t>
        <w:br/>
        <w:t>y resolver las condiciones de cada nueva  etapa.  Abundan  los  ejemplos  de</w:t>
        <w:br/>
        <w:t>este desarrollo.</w:t>
        <w:br/>
        <w:br/>
        <w:t>4.    Entre los temas examinados con mayor frecuencia por la Corte</w:t>
        <w:br/>
        <w:t>Interamericana se halla el llamado debido proceso legal, concepto</w:t>
        <w:br/>
        <w:t>desenvuelto por la regulación y la jurisprudencia angloamericana. El Pacto</w:t>
        <w:br/>
        <w:t>de San José no invoca, literalmente, el “debido proceso”. Con otras</w:t>
        <w:br/>
        <w:t>palabras, sin embargo, organiza el sistema de audiencia, defensa y decisión</w:t>
        <w:br/>
        <w:t>entrañado en aquel concepto. Cumple esta misión --esencial para la tutela</w:t>
        <w:br/>
        <w:t>de los derechos humanos-- con diversas expresiones y en distintos</w:t>
        <w:br/>
        <w:t>preceptos, entre ellos el artículo 8º, que figura bajo el rubro de</w:t>
        <w:br/>
        <w:t>“Garantías judiciales”. Lo que se pretende con ello es asegurar al</w:t>
        <w:br/>
        <w:t>individuo que los órganos del Estado llamados a determinar sus derechos y</w:t>
        <w:br/>
        <w:t>deberes --en múltiples vertientes-- lo harán a través de un procedimiento</w:t>
        <w:br/>
        <w:t>que provea a la persona con los medios necesarios para defender sus</w:t>
        <w:br/>
        <w:t>intereses legítimos y obtener pronunciamientos debidamente motivados y</w:t>
        <w:br/>
        <w:t>fundados, de manera que se halle bajo el amparo de la ley y al abrigo del</w:t>
        <w:br/>
        <w:t>arbitrio.</w:t>
        <w:br/>
        <w:br/>
        <w:t>5.    Si el destinatario de la tutela que ofrece la Convención y el</w:t>
        <w:br/>
        <w:t>aplicador de ésta se detienen en la letra de las expresiones, conforme</w:t>
        <w:br/>
        <w:t>fueron escritas hace varias décadas, limitará la expectativa de protección</w:t>
        <w:br/>
        <w:t>--aquél-- y la posibilidad de otorgarla  --éste-- a los supuestos de juicio</w:t>
        <w:br/>
        <w:t>formal seguido ante los órganos judiciales. En efecto, el artículo 8º alude</w:t>
        <w:br/>
        <w:t>a garantías “judiciales”, y en seguida se refiere a un “juez o tribunal”.</w:t>
        <w:br/>
        <w:t>Sin embargo, este alcance limitado sería notoriamente insuficiente, hoy</w:t>
        <w:br/>
        <w:t>día, para alcanzar los objetivos que se ha propuesto el sistema</w:t>
        <w:br/>
        <w:t>internacional de protección de los derechos humanos. Si las garantías</w:t>
        <w:br/>
        <w:t>provistas por el artículo 8º, que gobierna los más relevantes asuntos de la</w:t>
        <w:br/>
        <w:t>tutela procesal, se contrajeran al desempeño de los órganos judiciales,</w:t>
        <w:br/>
        <w:t>quedaría en desamparo la definición de derechos y libertades que se realiza</w:t>
        <w:br/>
        <w:t>por otras vías, formalmente distintas de la judicial, pero materialmente</w:t>
        <w:br/>
        <w:t>cercanas a ésta en cuanto sirven al mismo fin: definir derechos y fijar</w:t>
        <w:br/>
        <w:t>deberes.</w:t>
        <w:br/>
        <w:br/>
        <w:t>6.    Por ejemplo, en diversos países la solución de las controversias</w:t>
        <w:br/>
        <w:t>entre la Administración Pública y el ciudadano se encomienda a los órganos</w:t>
        <w:br/>
        <w:t>judiciales; en otros, se entrega a órganos localizados fuera del Poder</w:t>
        <w:br/>
        <w:t>Judicial, bajo rubros jurisdiccionales o administrativos. En algunos</w:t>
        <w:br/>
        <w:t>Estados, la investigación de los delitos y la decisión sobre el empleo de</w:t>
        <w:br/>
        <w:t>la vía penal, una vez establecidos ciertos datos de hecho y derecho, queda</w:t>
        <w:br/>
        <w:t>en manos de una autoridad administrativa, el Ministerio Público --que</w:t>
        <w:br/>
        <w:t>ciertamente no es juez o tribunal--, mientras en otros se confía a jueces</w:t>
        <w:br/>
        <w:t>de instrucción, que tienen aquella naturaleza formal y material. Algunas</w:t>
        <w:br/>
        <w:t>decisiones trascendentales sobre afectación de propiedades, definición de</w:t>
        <w:br/>
        <w:t>derechos entre miembros de distintos sectores sociales, responsabilidad de</w:t>
        <w:br/>
        <w:t>servidores públicos y medidas de protección de niños y adolescentes</w:t>
        <w:br/>
        <w:t>(diferentes de las que son consecuencia de la violación de la ley penal) se</w:t>
        <w:br/>
        <w:t>han depositado en instancias judiciales, pero otras --que implican</w:t>
        <w:br/>
        <w:t>privación de derechos y sujeción a deberes-- quedan a cargo de instancias</w:t>
        <w:br/>
        <w:t>de carácter diferente. Las experiencias nacionales históricas y</w:t>
        <w:br/>
        <w:t>contemporáneas permitirían agregar nuevos y abundantes ejemplos.</w:t>
        <w:br/>
        <w:br/>
        <w:t>7.    La jurisprudencia de la Corte Interamericana a propósito del debido</w:t>
        <w:br/>
        <w:t>proceso, la tutela judicial, las garantías procesales o la preparación y el</w:t>
        <w:br/>
        <w:t>ejercicio de la defensa de los particulares --expresiones que coinciden en</w:t>
        <w:br/>
        <w:t>una sola preocupación--  ha desarrollado en sentido progresivo --</w:t>
        <w:br/>
        <w:t>invariablemente garantista-- los datos del debido proceso. Esa</w:t>
        <w:br/>
        <w:t>jurisprudencia ha establecido, de esta forma, lo que denominé la “frontera</w:t>
        <w:br/>
        <w:t>actual del procedimiento” (Voto razonado a la Opinión Consultiva OC-16),</w:t>
        <w:br/>
        <w:t>que se mueve como resulta necesario, sin capricho ni aventura, para ajustar</w:t>
        <w:br/>
        <w:t>la defensa de los seres humanos frente a requerimientos emergentes.</w:t>
        <w:br/>
        <w:br/>
        <w:t>8.    Así, la Corte ha establecido que el derecho del detenido extranjero a</w:t>
        <w:br/>
        <w:t>ser informado acerca de la asistencia consular que puede recibir –un</w:t>
        <w:br/>
        <w:t>derecho que no se plantea frente a órganos judiciales-- constituye un</w:t>
        <w:br/>
        <w:t>derecho dentro del marco del debido proceso; que las garantías previstas en</w:t>
        <w:br/>
        <w:t>el proceso penal --contempladas en el párrafo 2 del artículo 8º-- son</w:t>
        <w:br/>
        <w:t>igualmente aplicables al procedimiento administrativo, en tanto éste</w:t>
        <w:br/>
        <w:t>implica, como aquél, una expresión del poder sancionador del Estado; que</w:t>
        <w:br/>
        <w:t>los derechos estatuidos en favor del inculpado en el ámbito penal deben ser</w:t>
        <w:br/>
        <w:t>atraídos, igualmente, a otros órdenes del procedimiento, en cuanto resulte</w:t>
        <w:br/>
        <w:t>aplicable a éstos, etcétera.</w:t>
        <w:br/>
        <w:br/>
        <w:t>9.    Todo ello --y desde luego me percato de que se trata de hipótesis de</w:t>
        <w:br/>
        <w:t>distinto signo, pero vinculadas por  un mismo hilo conductor-- pone de</w:t>
        <w:br/>
        <w:t>manifiesto una sola orientación tutelar que se identifica por el propósito</w:t>
        <w:br/>
        <w:t>de que las decisiones de las autoridades que definen derechos y deberes</w:t>
        <w:br/>
        <w:t>individuales, cualesquiera que aquéllas y éstos sean, satisfagan</w:t>
        <w:br/>
        <w:t>condiciones mínimas de objetividad, racionalidad y legalidad.</w:t>
        <w:br/>
        <w:br/>
        <w:t>10.   En el Caso Claude Reyes he sostenido que la decisión del órgano</w:t>
        <w:br/>
        <w:t>administrativo que dispuso la información a la que tendrían acceso los</w:t>
        <w:br/>
        <w:t>solicitantes y aquella otra que no podrían recibir, constituyó un acto de</w:t>
        <w:br/>
        <w:t>definición de derechos --en la especie, el derecho de buscar y recibir</w:t>
        <w:br/>
        <w:t>determinada información, en los términos del artículo 13 del Pacto de San</w:t>
        <w:br/>
        <w:t>José-- en cuya emisión no se observaron ciertas garantías previstas en el</w:t>
        <w:br/>
        <w:t>artículo 8º de la misma Convención. Esta inobservancia determinó que además</w:t>
        <w:br/>
        <w:t>de la afectación del artículo 13, sobre libertad de pensamiento y</w:t>
        <w:br/>
        <w:t>expresión, declarada por unanimidad de los integrantes de la Corte</w:t>
        <w:br/>
        <w:t>Interamericana, se presentase una vulneración del artículo 8º, a juicio de</w:t>
        <w:br/>
        <w:t>la mayoría, no seguido por dos integrantes de la Corte, por cuyo parecer</w:t>
        <w:br/>
        <w:t>tengo el mayor aprecio. De ahí que me permita expresar, en consecuencia de</w:t>
        <w:br/>
        <w:t>ese aprecio que me merecen mis colegas --lo mismo cuando coinciden que</w:t>
        <w:br/>
        <w:t>cuando difieren--, mis puntos de vista personales en un cotejo de opiniones</w:t>
        <w:br/>
        <w:t>legítimo y constructivo.</w:t>
        <w:br/>
        <w:br/>
        <w:t>11.   Obviamente, en la etapa administrativa de sus gestiones, los</w:t>
        <w:br/>
        <w:t>solicitantes de información no se encontraban dentro de un proceso judicial</w:t>
        <w:br/>
        <w:t>seguido ante un juez o tribunal, sino intervenían en un procedimiento</w:t>
        <w:br/>
        <w:t>administrativo desarrollado ante una autoridad de esta naturaleza. Sin</w:t>
        <w:br/>
        <w:t>embargo, ésta se hallaba obligada --en mi concepto-- a actuar dentro del</w:t>
        <w:br/>
        <w:t>mismo cauce previsto por el artículo 8º, en todo lo que resultase</w:t>
        <w:br/>
        <w:t>pertinente y aplicable, en la medida en que su decisión definiría el</w:t>
        <w:br/>
        <w:t>derecho de los solicitantes.</w:t>
        <w:br/>
        <w:br/>
        <w:t>12.   La necesidad de atender las exigencias del artículo 8º no deriva, a</w:t>
        <w:br/>
        <w:t>mi entender, del carácter de la autoridad dentro de la estructura del</w:t>
        <w:br/>
        <w:t>Estado, sino de la naturaleza de la función que ésta ejerce en el caso</w:t>
        <w:br/>
        <w:t>concreto y de la trascendencia que dicho ejercicio puede tener en relación</w:t>
        <w:br/>
        <w:t>con los derechos y los deberes del ciudadano que comparece ante ella,</w:t>
        <w:br/>
        <w:t>esgrimiendo el derecho que considera tener y aguardando la decisión fundada</w:t>
        <w:br/>
        <w:t>que debe recaer a la pretensión que manifiesta.</w:t>
        <w:br/>
        <w:br/>
        <w:t>13.   La decisión de aquella autoridad administrativa podía ser combatida</w:t>
        <w:br/>
        <w:t>ante un órgano judicial --como en efecto se intentó-- para que éste</w:t>
        <w:br/>
        <w:t>dispusiera en definitiva, y la garantía del artículo 8.1 de la Convención</w:t>
        <w:br/>
        <w:t>era claramente aplicable al mencionado órgano judicial. Sin embargo,</w:t>
        <w:br/>
        <w:t>también es cierto que la existencia de un medio de control de la legalidad,</w:t>
        <w:br/>
        <w:t>por vía judicial, no implica que el primer tramo en el ejercicio del poder</w:t>
        <w:br/>
        <w:t>de decisión sobre derechos y deberes individuales quede sustraído a las</w:t>
        <w:br/>
        <w:t>garantías del procedimiento, a cambio de que éstas existan cuando se</w:t>
        <w:br/>
        <w:t>ingresa al segundo tramo de aquel ejercicio, una vez abierto un proceso</w:t>
        <w:br/>
        <w:t>ante la autoridad judicial. En rigor, es preciso observar las garantías en</w:t>
        <w:br/>
        <w:t>todas las etapas, cada una de las cuales lleva, de manera provisional o</w:t>
        <w:br/>
        <w:t>definitiva, a la determinación de los derechos. El control que la última</w:t>
        <w:br/>
        <w:t>etapa promete al particular, no justifica que en la primera -- cualquiera</w:t>
        <w:br/>
        <w:t>que sea, técnicamente, su encadenamiento-- se dejen de lado esas garantías</w:t>
        <w:br/>
        <w:t>con la expectativa de recibirlas posteriormente.</w:t>
        <w:br/>
        <w:br/>
        <w:t>14.   Considero, en fin, que las garantías del artículo 8º, en el sentido</w:t>
        <w:br/>
        <w:t>que encuentra en ellas la actual jurisprudencia de la Corte, no se aplican</w:t>
        <w:br/>
        <w:t>solamente al juicio o proceso, sino al procedimiento del que depende, como</w:t>
        <w:br/>
        <w:t>he señalado reiteradamente, la definición de derechos y deberes. De nuevo</w:t>
        <w:br/>
        <w:t>subrayo que esa aplicabilidad tiene el alcance que en cada caso permiten</w:t>
        <w:br/>
        <w:t>las características del procedimiento correspondiente. Por ello me refiero</w:t>
        <w:br/>
        <w:t>al deber de fundamentación y no a todos y cada uno de los deberes abarcados</w:t>
        <w:br/>
        <w:t>en el artículo 8º, tanto literalmente como a través de los renovados</w:t>
        <w:br/>
        <w:t>alcances que ha establecido la jurisprudencia interamericana.</w:t>
        <w:br/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  Secretario</w:t>
        <w:br/>
        <w:br/>
        <w:br/>
        <w:br/>
        <w:t>-----------------------</w:t>
        <w:br/>
        <w:t>*     El Juez Oliver Jackman no participó en la deliberación y firma  de  la</w:t>
        <w:br/>
        <w:t>presente Sentencia, ya que informó que, por  motivos  de  fuerza  mayor,  no</w:t>
        <w:br/>
        <w:t>podría participar en el LXXII Período Ordinario de Sesiones del Tribunal.</w:t>
        <w:br/>
        <w:t>[1]   El 8 de julio de 2005 Chile, a través de su Embajada  en  Costa  Rica,</w:t>
        <w:br/>
        <w:t>presentó en la Secretaría de la Corte copia de una comunicación de  fecha  8</w:t>
        <w:br/>
        <w:t>de julio de 2005 dirigida por el Estado a la Comisión Interamericana  en  la</w:t>
        <w:br/>
        <w:t>cual,  inter  alia,  “reiter[ó]  su  voluntad  de  dar  cumplimiento  a  las</w:t>
        <w:br/>
        <w:t>recomendaciones contenidas en el Informe Nº 31/05 de 7 de marzo de 2005  […]</w:t>
        <w:br/>
        <w:t>y de adoptar las medidas necesarias al efecto, coordinando  el  accionar  de</w:t>
        <w:br/>
        <w:t>los organismos de la Administración estatal que corresponda”.</w:t>
        <w:br/>
        <w:br/>
        <w:br/>
        <w:t>[2]   Cfr. Caso Ximenes Lopes. Sentencia de 4 de julio de 2006. Serie C  No.</w:t>
        <w:br/>
        <w:t>149, párr. 48; Caso de las Masacres de Ituango. Sentencia de 1 de  julio  de</w:t>
        <w:br/>
        <w:t>2006. Serie C No. 148, párr. 112; y Caso Baldeón García. Sentencia de  6  de</w:t>
        <w:br/>
        <w:t>abril de 2006. Serie C No. 147, párr. 65.</w:t>
        <w:br/>
        <w:br/>
        <w:t>[3]   Cfr. Caso Ximenes Lopes, supra nota 2, párr. 52; Caso de las  Masacres</w:t>
        <w:br/>
        <w:t>de Ituango, supra nota 2, párr. 114; y Caso Baldeón García,  supra  nota  2,</w:t>
        <w:br/>
        <w:t>párr. 66.</w:t>
        <w:br/>
        <w:br/>
        <w:t>[4]         Cfr. Caso Ximenes Lopes, supra nota 2, párr.  56;  Caso  de  las</w:t>
        <w:br/>
        <w:t>Masacres de Ituango, supra nota 2, párr. 124; y Caso Baldeón  García,  supra</w:t>
        <w:br/>
        <w:t>nota 2, párr. 66.</w:t>
        <w:br/>
        <w:br/>
        <w:t>[5]   Cfr.  artículo  1  del  Decreto  Ley  Nº  600  sobre  el  Estatuto  de</w:t>
        <w:br/>
        <w:t>Inversiones Extranjeras publicado el 16 de diciembre de 1993 (expediente  de</w:t>
        <w:br/>
        <w:t>anexos al escrito de solicitudes  y  argumentos,  anexo  6,  folios  1199  a</w:t>
        <w:br/>
        <w:t>1212).</w:t>
        <w:br/>
        <w:br/>
        <w:t>[6]   Cfr. decreto Ley Nº 600 sobre el Estatuto de  Inversiones  Extranjeras</w:t>
        <w:br/>
        <w:t>publicado el 16 de diciembre de 1993  (expediente de anexos  al  escrito  de</w:t>
        <w:br/>
        <w:t>solicitudes y argumentos, anexo 6, folios 1199 a 1212).</w:t>
        <w:br/>
        <w:br/>
        <w:t>[7]   Cfr. artículo 13  del  Decreto  Ley  No.  600  sobre  el  Estatuto  de</w:t>
        <w:br/>
        <w:t>Inversiones Extranjeras publicado el 16 de diciembre de 1993 (expediente  de</w:t>
        <w:br/>
        <w:t>anexos al escrito de solicitudes  y  argumentos,  tomo  I,  anexo  6,  folio</w:t>
        <w:br/>
        <w:t>1208).</w:t>
        <w:br/>
        <w:br/>
        <w:t>[8]   Cfr. artículo 12  del  Decreto  Ley  No.  600  sobre  el  Estatuto  de</w:t>
        <w:br/>
        <w:t>Inversiones Extranjeras publicado el 16 de diciembre de 1993 (expediente  de</w:t>
        <w:br/>
        <w:t>anexos al escrito de solicitudes  y  argumentos,  tomo  I,  anexo  6,  folio</w:t>
        <w:br/>
        <w:t>1207).</w:t>
        <w:br/>
        <w:br/>
        <w:t>[9]   Cfr. artículo 15  del  Decreto  Ley  No.  600  sobre  el  Estatuto  de</w:t>
        <w:br/>
        <w:t>Inversiones Extranjeras publicado el 16 de diciembre de 1993 (expediente  de</w:t>
        <w:br/>
        <w:t>anexos al escrito de solicitudes  y  argumentos,  tomo  I,  anexo  6,  folio</w:t>
        <w:br/>
        <w:t>1208);  y  declaración  escrita  rendida  por  el  testigo   Andrés   Emilio</w:t>
        <w:br/>
        <w:t>Culagovski Rubio rendida el 10 de marzo de 2006 (expediente de  fondo,  tomo</w:t>
        <w:br/>
        <w:t>III, folio 815).</w:t>
        <w:br/>
        <w:br/>
        <w:t>[10]  Cfr. formulario de solicitud de inversión  extranjera  (expediente  de</w:t>
        <w:br/>
        <w:t>fondo, tomo III, anexo a  la  declaración  escrita  rendida  por  el  perito</w:t>
        <w:br/>
        <w:t>Claudio Francisco Castillo Castillo el 13 de marzo de  2006,  folios  897  a</w:t>
        <w:br/>
        <w:t>901).</w:t>
        <w:br/>
        <w:br/>
        <w:t>[11]  Cfr. contrato de Inversión Extranjera  de  24  de  diciembre  de  1991</w:t>
        <w:br/>
        <w:t>(expediente de  anexos  al  escrito  de  contestación  a  la  demanda  y  de</w:t>
        <w:br/>
        <w:t>observaciones al escrito de solicitudes y argumentos, anexo 2, folio 2045).</w:t>
        <w:br/>
        <w:br/>
        <w:t>[12]  Cfr. contrato de Inversión Extranjera  de  24  de  diciembre  de  1991</w:t>
        <w:br/>
        <w:t>(expediente de  anexos  al  escrito  de  contestación  a  la  demanda  y  de</w:t>
        <w:br/>
        <w:t>observaciones al escrito de solicitudes y argumentos, anexo 2, folio 2046).</w:t>
        <w:br/>
        <w:br/>
        <w:t>[13]  Cfr. declaración testimonial rendida por el señor Marcel Claude  Reyes</w:t>
        <w:br/>
        <w:t>ante la Corte Interamericana durante la audiencia pública celebrada el 3  de</w:t>
        <w:br/>
        <w:t>abril de 2006; y  declaración  testimonial  rendida  por  el  señor  Eduardo</w:t>
        <w:br/>
        <w:t>Moyano Berríos ante la Corte Interamericana  durante  la  audiencia  pública</w:t>
        <w:br/>
        <w:t>celebrada el 3 de abril de 2006.</w:t>
        <w:br/>
        <w:br/>
        <w:t>[14]  Cfr. declaración testimonial  rendida  por  el  señor  Eduardo  Moyano</w:t>
        <w:br/>
        <w:t>Berríos ante la Corte Interamericana durante la audiencia pública  celebrada</w:t>
        <w:br/>
        <w:t>el 3 de abril de 2006; declaración escrita rendida  por  el  testigo  Andrés</w:t>
        <w:br/>
        <w:t>Emilio Culagovski Rubio el 10 de marzo de 2006  (expediente  sobre  fondo  y</w:t>
        <w:br/>
        <w:t>eventuales reparaciones y costas, tomo III, folio 817); declaración  escrita</w:t>
        <w:br/>
        <w:t>rendida por la testigo Liliana Guiditta Macchiavello Martini el 10 de  marzo</w:t>
        <w:br/>
        <w:t>de 2006 (expediente sobre fondo y eventuales  reparaciones  y  costas,  tomo</w:t>
        <w:br/>
        <w:t>III, folio 826); y dictamen pericial rendido por el  señor  Roberto  Mayorga</w:t>
        <w:br/>
        <w:t>Lorca ante la Corte Interamericana durante la  audiencia  pública  celebrada</w:t>
        <w:br/>
        <w:t>el 3 de abril de 2006.</w:t>
        <w:br/>
        <w:br/>
        <w:t>[15]  Cfr. informe de la señora Karen  Poniachik,  Vicepresidenta  Ejecutiva</w:t>
        <w:br/>
        <w:t>del Comité de Inversiones Extranjeras, de 20 de junio  de  2005  (expediente</w:t>
        <w:br/>
        <w:t>de anexos al escrito de contestación a la  demanda  y  de  observaciones  al</w:t>
        <w:br/>
        <w:t>escrito de solicitudes y argumentos, anexo 1, folio 2041).</w:t>
        <w:br/>
        <w:br/>
        <w:t>[16]  Cfr. contrato de cesión de derechos de Inversión Extranjera  de  Cetec</w:t>
        <w:br/>
        <w:t>Engineering Company Inc. y Sentarn Enterprises Ltd. a Zuñirse  Holding  Ltd.</w:t>
        <w:br/>
        <w:t>de 12 de abril de 1993 (expediente de anexos al escrito  de  contestación  a</w:t>
        <w:br/>
        <w:t>la demanda y de observaciones al escrito de solicitudes y argumentos,  anexo</w:t>
        <w:br/>
        <w:t>2, folios 2099 a 2105).</w:t>
        <w:br/>
        <w:br/>
        <w:t>[17]  Cfr. informe de la señora Karen  Poniachik,  Vicepresidenta  Ejecutiva</w:t>
        <w:br/>
        <w:t>del Comité de Inversiones Extranjeras, de 20 de junio  de  2005  (expediente</w:t>
        <w:br/>
        <w:t>de anexos al escrito de contestación a la  demanda  y  de  observaciones  al</w:t>
        <w:br/>
        <w:t>escrito de solicitudes y argumentos, anexo 1, folio 2041); y repertorio  No.</w:t>
        <w:br/>
        <w:t>787/99 sobre modificación de sociedad (expediente de anexos  al  escrito  de</w:t>
        <w:br/>
        <w:t>contestación a la demanda y de observaciones al  escrito  de  solicitudes  y</w:t>
        <w:br/>
        <w:t>argumentos, anexo 2, folio 2109).</w:t>
        <w:br/>
        <w:br/>
        <w:t>[18]  Cfr. contratos de Inversión Extranjera de 28 de agosto de  2002  y  de</w:t>
        <w:br/>
        <w:t>10 de octubre de 2003 (expediente de anexos al escrito de contestación a  la</w:t>
        <w:br/>
        <w:t>demanda y de observaciones al escrito de solicitudes y argumentos, anexo  2,</w:t>
        <w:br/>
        <w:t>folios 2115 y 2120).</w:t>
        <w:br/>
        <w:br/>
        <w:t>[19]  Cfr.  artículo  periodístico  titulado  “Victoria  Parcial  Contra  el</w:t>
        <w:br/>
        <w:t>Secretismo” publicado en el diario “El Mercurio” el  10  de  julio  de  2005</w:t>
        <w:br/>
        <w:t>(expediente de anexos al escrito de  solicitudes  y  argumentos,  anexo  10,</w:t>
        <w:br/>
        <w:t>folios  1637  y  1638);  escrito  de  contestación  a  la   demanda   y   de</w:t>
        <w:br/>
        <w:t>observaciones  al  escrito  de  solicitudes  y  argumentos,  y  escrito   de</w:t>
        <w:br/>
        <w:t>solicitudes  y  argumentos  (expediente  sobre   el   fondo   y   eventuales</w:t>
        <w:br/>
        <w:t>reparaciones y costas, tomo  I,  folios  130,  197  y  198);  y  declaración</w:t>
        <w:br/>
        <w:t>testimonial  rendida  por  el  señor  Marcel  Claude  Reyes  ante  la  Corte</w:t>
        <w:br/>
        <w:t>Interamericana durante la audiencia pública  celebrada  el  3  de  abril  de</w:t>
        <w:br/>
        <w:t>2006.</w:t>
        <w:br/>
        <w:br/>
        <w:t>[20]  Cfr. comunicación de 7 de mayo  de  1998  dirigida  al  Vicepresidente</w:t>
        <w:br/>
        <w:t>Ejecutivo del Comité de Inversiones Extranjeras por  el  Director  Ejecutivo</w:t>
        <w:br/>
        <w:t>de la Fundación Terram (expediente  de  anexos  a  la  demanda,  anexo  1.1,</w:t>
        <w:br/>
        <w:t>folios 40 y 41); declaración testimonial rendida por el señor Marcel  Claude</w:t>
        <w:br/>
        <w:t>Reyes ante la Corte Interamericana durante la  audiencia  pública  celebrada</w:t>
        <w:br/>
        <w:t>el 3 de abril de 2006; e impresión de algunos enlaces de la  página  web  de</w:t>
        <w:br/>
        <w:t>la Fundación Terram de 9 de agosto de 2000  (expediente  ante  la  Comisión,</w:t>
        <w:br/>
        <w:t>tomo II, folio 429).</w:t>
        <w:br/>
        <w:br/>
        <w:t>[21]  Cfr. comunicación de 7 de mayo  de  1998  dirigida  al  Vicepresidente</w:t>
        <w:br/>
        <w:t>Ejecutivo del Comité de Inversiones Extranjeras por  el  Director  Ejecutivo</w:t>
        <w:br/>
        <w:t>de la Fundación Terram (expediente  de  anexos  a  la  demanda,  anexo  1.1,</w:t>
        <w:br/>
        <w:t>folios 40 y 41); y declaración  testimonial  rendida  por  el  señor  Marcel</w:t>
        <w:br/>
        <w:t>Claude Reyes ante la  Corte  Interamericana  durante  la  audiencia  pública</w:t>
        <w:br/>
        <w:t>celebrada el 3 de abril de 2006.</w:t>
        <w:br/>
        <w:br/>
        <w:t>[22]  Cfr. comunicación de 7 de mayo  de  1998  dirigida  al  Vicepresidente</w:t>
        <w:br/>
        <w:t>Ejecutivo del Comité de Inversiones Extranjeras por  el  Director  Ejecutivo</w:t>
        <w:br/>
        <w:t>de la  Fundación Terram (expediente de  anexos  a  la  demanda,  anexo  1.1,</w:t>
        <w:br/>
        <w:t>folios 40 y 41).</w:t>
        <w:br/>
        <w:br/>
        <w:t>[23]  Cfr. solicitud de información  de  7  de  mayo  de  1998  dirigida  al</w:t>
        <w:br/>
        <w:t>Vicepresidente Ejecutivo del Comité de Inversión Extranjera por el  Director</w:t>
        <w:br/>
        <w:t>Ejecutivo de la  Fundación Terram (expediente de anexos a la demanda,  anexo</w:t>
        <w:br/>
        <w:t>1.1, folios 40 y 41).</w:t>
        <w:br/>
        <w:br/>
        <w:t>[24]  Cfr. declaración testimonial rendida por el señor Marcel Claude  Reyes</w:t>
        <w:br/>
        <w:t>ante la Corte Interamericana durante la audiencia pública celebrada el 3  de</w:t>
        <w:br/>
        <w:t>abril de 2006; declaración testimonial rendida por el señor  Eduardo  Moyano</w:t>
        <w:br/>
        <w:t>Berríos ante la Corte Interamericana durante la audiencia pública  celebrada</w:t>
        <w:br/>
        <w:t>el 3 de abril de 2006; y declaración escrita rendida por el  testigo  Arturo</w:t>
        <w:br/>
        <w:t>Longton Guerrero de marzo de 2006 (expediente sobre el  fondo  y  eventuales</w:t>
        <w:br/>
        <w:t>reparaciones y costas, tomo III, folio 915).</w:t>
        <w:br/>
        <w:br/>
        <w:t>[25]  Cfr. declaración testimonial rendida por el señor Marcel Claude  Reyes</w:t>
        <w:br/>
        <w:t>ante la Corte Interamericana durante la audiencia pública celebrada el 3  de</w:t>
        <w:br/>
        <w:t>abril de 2006.</w:t>
        <w:br/>
        <w:br/>
        <w:t>[26]  Cfr. declaración escrita  rendida  por  la  testigo  Liliana  Guiditta</w:t>
        <w:br/>
        <w:t>Macchiavello Martini el 10 de marzo de 2006 (expediente de fondo, tomo  III,</w:t>
        <w:br/>
        <w:t>folio 828); y declaración testimonial rendida por el  señor  Eduardo  Moyano</w:t>
        <w:br/>
        <w:t>Berríos ante la Corte Interamericana durante la audiencia pública  celebrada</w:t>
        <w:br/>
        <w:t>el 3 de abril de 2006.</w:t>
        <w:br/>
        <w:br/>
        <w:t>[27]  Cfr. copia de la  comunicación  facsimilar  de  19  de  mayo  de  1998</w:t>
        <w:br/>
        <w:t>dirigida  por  el  Vicepresidente  Ejecutivo  del  Comité   de   Inversiones</w:t>
        <w:br/>
        <w:t>Extranjeras al  señor  Marcel  Claude  Reyes  (expediente  de  anexos  a  la</w:t>
        <w:br/>
        <w:t>demanda, anexo 2, folio 48); y declaración testimonial rendida por el  señor</w:t>
        <w:br/>
        <w:t>Marcel Claude Reyes  ante  la  Corte  Interamericana  durante  la  audiencia</w:t>
        <w:br/>
        <w:t>pública celebrada el 3 de abril de 2006.</w:t>
        <w:br/>
        <w:br/>
        <w:t>[28]  Cfr. comunicaciones de 3 de junio y 2 de julio de 1998  dirigidas  por</w:t>
        <w:br/>
        <w:t>el señor Marcel Claude Reyes  al  Vicepresidente  Ejecutivo  del  Comité  de</w:t>
        <w:br/>
        <w:t>Inversiones Extranjeras (anexos a la demanda, anexos 1.2 y 1.3, folios 43  y</w:t>
        <w:br/>
        <w:t>46); declaración testimonial rendida por el señor Marcel Claude  Reyes  ante</w:t>
        <w:br/>
        <w:t>la Corte Interamericana durante la  audiencia  pública  celebrada  el  3  de</w:t>
        <w:br/>
        <w:t>abril de 2006; y  declaración  testimonial  rendida  por  el  señor  Eduardo</w:t>
        <w:br/>
        <w:t>Moyano Berríos ante la Corte Interamericana  durante  la  audiencia  pública</w:t>
        <w:br/>
        <w:t>celebrada el 3 de abril de 2006.</w:t>
        <w:br/>
        <w:br/>
        <w:t>[29]  Cfr. declaración testimonial rendida por el señor Marcel Claude  Reyes</w:t>
        <w:br/>
        <w:t>ante la Corte Interamericana durante la audiencia pública celebrada el 3  de</w:t>
        <w:br/>
        <w:t>abril de 2006; declaración testimonial rendida por el señor  Eduardo  Moyano</w:t>
        <w:br/>
        <w:t>Berríos ante la Corte Interamericana durante la audiencia pública  celebrada</w:t>
        <w:br/>
        <w:t>el 3 de abril de 2006; y escrito de 13 de agosto de 1999 presentado  por  el</w:t>
        <w:br/>
        <w:t>Estado de Chile durante el procedimiento ante la Comisión Interamericana  de</w:t>
        <w:br/>
        <w:t>Derechos Humanos (expediente ante la  Comisión  Interamericana  de  Derechos</w:t>
        <w:br/>
        <w:t>Humanos, tomo II, folios 908 a 910).</w:t>
        <w:br/>
        <w:br/>
        <w:t>[30]  Cfr. informe presentado por el Estado ante la Comisión  Interamericana</w:t>
        <w:br/>
        <w:t>el 30 de junio de 2005 (expediente ante la Comisión, tomo I, folio  221);  y</w:t>
        <w:br/>
        <w:t>escrito de alegatos finales presentado por el Estado ante la Corte el 18  de</w:t>
        <w:br/>
        <w:t>mayo de 2006 (expediente sobre el fondo y eventuales reparaciones y  costas,</w:t>
        <w:br/>
        <w:t>tomo IV, folio 1264).</w:t>
        <w:br/>
        <w:br/>
        <w:t>[31]  Cfr. comunicación facsimilar de 19 de mayo de  1998  dirigida  por  el</w:t>
        <w:br/>
        <w:t>Vicepresidente Ejecutivo del Comité  de  Inversiones  Extranjeras  al  señor</w:t>
        <w:br/>
        <w:t>Marcel Claude Reyes (expediente de anexos a la demanda, anexo 2, folio  48);</w:t>
        <w:br/>
        <w:t>declaración testimonial rendida por el señor Marcel  Claude  Reyes  ante  la</w:t>
        <w:br/>
        <w:t>Corte Interamericana durante la audiencia pública celebrada el  3  de  abril</w:t>
        <w:br/>
        <w:t>de 2006;  declaración  testimonial  rendida  por  el  señor  Eduardo  Moyano</w:t>
        <w:br/>
        <w:t>Berríos ante la Corte Interamericana durante la audiencia pública  celebrada</w:t>
        <w:br/>
        <w:t>el 3 de abril de 2006; y escrito  de  demanda  presentado  por  la  Comisión</w:t>
        <w:br/>
        <w:t>Interamericana (expediente sobre fondo y eventuales reparaciones  y  costas,</w:t>
        <w:br/>
        <w:t>tomo I, folio 54).</w:t>
        <w:br/>
        <w:br/>
        <w:t>[32]  Cfr. declaración testimonial  rendida  por  el  señor  Eduardo  Moyano</w:t>
        <w:br/>
        <w:t>Berríos ante la Corte Interamericana durante la audiencia pública  celebrada</w:t>
        <w:br/>
        <w:t>el 3 de abril de 2006.</w:t>
        <w:br/>
        <w:br/>
        <w:t>[33]  Cfr. declaración testimonial  rendida  por  el  señor  Eduardo  Moyano</w:t>
        <w:br/>
        <w:t>Berríos ante la Corte Interamericana durante la audiencia pública  celebrada</w:t>
        <w:br/>
        <w:t>el  3  de  abril  de  2006;  e  informe  de  la  señora   Karen   Poniachik,</w:t>
        <w:br/>
        <w:t>Vicepresidenta Ejecutiva del Comité de  Inversiones  Extranjeras  de  20  de</w:t>
        <w:br/>
        <w:t>junio de 2005 (expediente de anexos al escrito de contestación a la  demanda</w:t>
        <w:br/>
        <w:t>y de observaciones al escrito de solicitudes y argumentos,  anexo  1,  folio</w:t>
        <w:br/>
        <w:t>2041).</w:t>
        <w:br/>
        <w:br/>
        <w:t>[34]  Cfr. informe de la señora Karen  Poniachik,  Vicepresidenta  Ejecutiva</w:t>
        <w:br/>
        <w:t>del Comité de Inversiones Extranjeras, de 20 de junio  de  2005  (expediente</w:t>
        <w:br/>
        <w:t>de anexos al escrito de contestación a la  demanda  y  de  observaciones  al</w:t>
        <w:br/>
        <w:t>escrito de solicitudes y argumentos, anexo 1, folio 2042).</w:t>
        <w:br/>
        <w:br/>
        <w:t>[35]  Cfr. resolución exenta Nº 113 del Ministerio de  Economía,  Fomento  y</w:t>
        <w:br/>
        <w:t>Reconstrucción, publicada el  24 de marzo  de  2003  en  el  Diario  Oficial</w:t>
        <w:br/>
        <w:t>(expediente de anexos al escrito  de  solicitudes  y  argumentos,  anexo  6,</w:t>
        <w:br/>
        <w:t>folio 1270).</w:t>
        <w:br/>
        <w:br/>
        <w:t>[36]  Cfr.  recurso  de  protección  presentado  por  Marcel  Claude  Reyes,</w:t>
        <w:br/>
        <w:t>Sebastián  Cox  Urrejola  y  Arturo  Longton  Guerrero  ante  la  Corte   de</w:t>
        <w:br/>
        <w:t>Apelaciones de Santiago el 27 de julio de 1998 (expediente de  anexos  a  la</w:t>
        <w:br/>
        <w:t>demanda, anexo 3, folios 51 y 52).</w:t>
        <w:br/>
        <w:br/>
        <w:t>[37]  Cfr. Constitución Política de la República de Chile de 8 de agosto  de</w:t>
        <w:br/>
        <w:t>1980 (prueba para mejor resolver incorporada por  la  Corte  Interamericana,</w:t>
        <w:br/>
        <w:t>disponible                                                                en</w:t>
        <w:br/>
        <w:t>http:/www.bcn.cl/pags/legislación/leyes/constitución_politica.htm).</w:t>
        <w:br/>
        <w:br/>
        <w:t>[38]  Cfr. resolución emitida por la Corte de Apelaciones de Santiago el  29</w:t>
        <w:br/>
        <w:t>de julio de 1998 (expediente de anexos a la demanda, anexo 4, folio 73).</w:t>
        <w:br/>
        <w:br/>
        <w:t>[39]  Cfr. auto acordado de la Corte Suprema  de  Chile  “sobre  Tramitación</w:t>
        <w:br/>
        <w:t>del Recurso de Protección de Garantías Constitucionales” emitido  el  24  de</w:t>
        <w:br/>
        <w:t>junio de 1992;  y  auto  acordado  de  la  Corte  Suprema  de  Chile  “sobre</w:t>
        <w:br/>
        <w:t>Tramitación y Fallo del Recurso de Protección” emitido el 4 de mayo de  1998</w:t>
        <w:br/>
        <w:t>(expediente ante la Comisión, Tomo II, folios 1039 a 1050).</w:t>
        <w:br/>
        <w:br/>
        <w:t>[40]  Cfr. recurso de reposición interpuesto el 31 de julio de 1998  por  el</w:t>
        <w:br/>
        <w:t>abogado de las presuntas víctimas ante la Corte de Apelaciones  de  Santiago</w:t>
        <w:br/>
        <w:t>(expediente de anexos a la demanda, anexo 5, folio 76).</w:t>
        <w:br/>
        <w:br/>
        <w:t>[41]  Cfr. recurso de queja interpuesto por  el  abogado  de  las  presuntas</w:t>
        <w:br/>
        <w:t>víctimas ante la Corte Suprema de Chile el 31 de julio de  1998  (expediente</w:t>
        <w:br/>
        <w:t>de anexos a la demanda, anexo 7, folio 94).</w:t>
        <w:br/>
        <w:br/>
        <w:t>[42]  Cfr. artículo 545 del Código Orgánico de Tribunales  (expediente  ante</w:t>
        <w:br/>
        <w:t>la Comisión, tomo II, folio 1054).</w:t>
        <w:br/>
        <w:br/>
        <w:t>[43]  Cfr. resolución de la Corte de Apelaciones de Santiago de 6 de  agosto</w:t>
        <w:br/>
        <w:t>de 1998 (expediente de anexos a la demanda, anexo 6, folio 89).</w:t>
        <w:br/>
        <w:br/>
        <w:t>[44]  Cfr. sentencia emitida por la Corte Suprema de Chile el 18  de  agosto</w:t>
        <w:br/>
        <w:t>de 1998 (expediente de anexos a la demanda, anexo 8, folio 109).</w:t>
        <w:br/>
        <w:br/>
        <w:t>[45]  Cfr. artículo 19 número 12 de la Constitución Política de Chile,</w:t>
        <w:br/>
        <w:t>supra nota 36.</w:t>
        <w:br/>
        <w:br/>
        <w:t>[46]  Cfr. artículo 19 número 14 de la Constitución Política de Chile,</w:t>
        <w:br/>
        <w:t>supra nota 36.</w:t>
        <w:br/>
        <w:br/>
        <w:t>[47]   Cfr.  ley  Orgánica  Constitucional  de   Bases   Generales   de   la</w:t>
        <w:br/>
        <w:t>Administración del Estado Nº 18.575 publicada en el Diario Oficial el  5  de</w:t>
        <w:br/>
        <w:t>diciembre de 1986 (expediente de anexos al  escrito  de  contestación  a  la</w:t>
        <w:br/>
        <w:t>demanda y de observaciones al escrito de solicitudes y argumentos, anexo  3,</w:t>
        <w:br/>
        <w:t>folio 2025 a 2134).</w:t>
        <w:br/>
        <w:br/>
        <w:t>[48]  Cfr. decreto Nº 423 emitido el 5 de abril de 1994  por  el  Ministerio</w:t>
        <w:br/>
        <w:t>del  Interior  (prueba  para  mejor  resolver  incorporada  por   la   Corte</w:t>
        <w:br/>
        <w:t>Interamericana,                        disponible                         en</w:t>
        <w:br/>
        <w:t>http://www.chiletransparente.cl/home/doc/DS423_1994.pdf).</w:t>
        <w:br/>
        <w:br/>
        <w:t>[49]  Cfr. ley Nº 19.653 “Probidad administrativa aplicable  a  los  órganos</w:t>
        <w:br/>
        <w:t>de la administración del Estado” (expediente de anexos a la  demanda,  anexo</w:t>
        <w:br/>
        <w:t>9, folio 113).</w:t>
        <w:br/>
        <w:br/>
        <w:t>[50]  Cfr. decreto con  fuerza  de  Ley  No.  1/19.653  que  fija  el  texto</w:t>
        <w:br/>
        <w:t>refundido y sistematizado de la Ley No. 18.575, Ley Orgánica  Constitucional</w:t>
        <w:br/>
        <w:t>de Bases Generales de la Administración del Estado (expediente de anexos  al</w:t>
        <w:br/>
        <w:t>escrito de solicitudes y argumentos, anexo 2, folios 1128 a 1157).</w:t>
        <w:br/>
        <w:br/>
        <w:t>[51]  Cfr. artículo 2 del Reglamento sobre  el  Secreto  o  Reserva  de  los</w:t>
        <w:br/>
        <w:t>Actos y Documentos de la Administración del Estado (expediente de anexos  al</w:t>
        <w:br/>
        <w:t>escrito de solicitudes y argumentos, tomo I, anexo 3, folio 1159).</w:t>
        <w:br/>
        <w:br/>
        <w:t>[52]  Cfr. artículo 3 letras d) y e)  del  Reglamento  sobre  el  Secreto  o</w:t>
        <w:br/>
        <w:t>Reserva  de  los  Actos  y  Documentos  de  la  Administración  del   Estado</w:t>
        <w:br/>
        <w:t>(expediente de anexos al escrito de solicitudes y argumentos, tomo I,  anexo</w:t>
        <w:br/>
        <w:t>3, folios 1159 a 1163).</w:t>
        <w:br/>
        <w:br/>
        <w:t>[53]  Cfr. artículo 2 del Reglamento sobre  el  Secreto  o  Reserva  de  los</w:t>
        <w:br/>
        <w:t>Actos y Documentos de la Administración del Estado (expediente de anexos  al</w:t>
        <w:br/>
        <w:t>escrito de solicitudes y argumentos, tomo I, anexo 3, folios 1159 a 1163).</w:t>
        <w:br/>
        <w:br/>
        <w:t>[54]  Cfr. artículo 3 letra f) del Reglamento sobre el Secreto o Reserva  de</w:t>
        <w:br/>
        <w:t>los Actos y Documentos  de  la  Administración  del  Estado  (expediente  de</w:t>
        <w:br/>
        <w:t>anexos al escrito de solicitudes y argumentos, tomo I, anexo 3, folios  1159</w:t>
        <w:br/>
        <w:t>a 1163).</w:t>
        <w:br/>
        <w:br/>
        <w:t>[55]  Cfr. artículo 9 del Reglamento sobre  el  Secreto  o  Reserva  de  los</w:t>
        <w:br/>
        <w:t>Actos y Documentos de la Administración del Estado (expediente de anexos  al</w:t>
        <w:br/>
        <w:t>escrito de solicitudes y argumentos, tomo I, anexo 3, folio 1962).</w:t>
        <w:br/>
        <w:br/>
        <w:t>[56]  Cfr. artículo 7 del Reglamento sobre  el  Secreto  o  Reserva  de  los</w:t>
        <w:br/>
        <w:t>Actos y Documentos de la Administración del Estado (expediente de anexos  al</w:t>
        <w:br/>
        <w:t>escrito de solicitudes y argumentos, tomo I, anexo 3, folio 1961).</w:t>
        <w:br/>
        <w:br/>
        <w:t>[57]  Cfr. artículo 8 del Reglamento sobre  el  Secreto  o  Reserva  de  los</w:t>
        <w:br/>
        <w:t>Actos y Documentos de la Administración del Estado (expediente de anexos  al</w:t>
        <w:br/>
        <w:t>escrito de solicitudes y argumentos, tomo I, anexo 3, folio 1961).</w:t>
        <w:br/>
        <w:br/>
        <w:t>[58]  Cfr. artículo 9 del Reglamento sobre  el  Secreto  o  Reserva  de  los</w:t>
        <w:br/>
        <w:t>Actos y Documentos de la Administración del Estado (expediente de anexos  al</w:t>
        <w:br/>
        <w:t>escrito de solicitudes y argumentos, tomo I, anexo 3, folio 1962).</w:t>
        <w:br/>
        <w:br/>
        <w:t>[59]  Cfr. artículo 10 e) del Reglamento sobre el Secreto o Reserva  de  los</w:t>
        <w:br/>
        <w:t>Actos y Documentos de la Administración del Estado (expediente de anexos  al</w:t>
        <w:br/>
        <w:t>escrito de solicitudes y argumentos, tomo I, anexo 3, folio 1963).</w:t>
        <w:br/>
        <w:br/>
        <w:t>[60]  Cfr. resoluciones administrativas de diversos órganos del  Estado  que</w:t>
        <w:br/>
        <w:t>califican como reservado o secreto  información  (expediente  de  anexos  al</w:t>
        <w:br/>
        <w:t>escrito de solicitudes y argumentos, tomo I,  anexo  4,  folios  1164-1184);</w:t>
        <w:br/>
        <w:t>Open Society Institute and PARTICIPA, Chilean Report “Monitoring the  Access</w:t>
        <w:br/>
        <w:t>to Public Information”, Noviembre 2004 (expediente de anexos al  escrito  de</w:t>
        <w:br/>
        <w:t>solicitudes y argumentos, anexo 9, folios 1615 a 1634); y dictamen  pericial</w:t>
        <w:br/>
        <w:t>rendido por el señor Carlos Carmona Santander ante la  Corte  Interamericana</w:t>
        <w:br/>
        <w:t>durante la audiencia pública celebrada el 3 de abril de 2006.</w:t>
        <w:br/>
        <w:br/>
        <w:t>[61]  Cfr. ley No. 19.980 publicada en el Diario Oficial el 29  de  mayo  de</w:t>
        <w:br/>
        <w:t>2003 (prueba para mejor resolver incorporada por  la  Corte  Interamericana,</w:t>
        <w:br/>
        <w:t>disponible en http://www.conicyt.cl/directorio/legislacion/ley19980.html).</w:t>
        <w:br/>
        <w:br/>
        <w:t>[62]  Cfr. dictamen Nº 49.883 de 4 de octubre de 2004 (expediente de  anexos</w:t>
        <w:br/>
        <w:t>al escrito de solicitudes y argumentos, tomo  I,  anexo  5,  folios  1186  a</w:t>
        <w:br/>
        <w:t>1196).</w:t>
        <w:br/>
        <w:br/>
        <w:t>[63]  Cfr. proyecto de Ley Nº 3773-06 de Acceso  a  la  Información  Pública</w:t>
        <w:br/>
        <w:t>(expediente de  anexos  al  escrito  de  contestación  a  la  demanda  y  de</w:t>
        <w:br/>
        <w:t>observaciones al escrito de solicitudes y argumentos, anexo 7,  folios  2261</w:t>
        <w:br/>
        <w:t>a 2270); y Proyecto de Ley Nº 3773-06 de Acceso  a  la  Información  Pública</w:t>
        <w:br/>
        <w:t>(prueba  para  mejor  resolver  incorporada  por  la  Corte  Interamericana,</w:t>
        <w:br/>
        <w:t>disponible en http://sil.senado.cl/pags/index.html).</w:t>
        <w:br/>
        <w:br/>
        <w:t>[64]  Cfr. ley No. 20.050 publicada en el Diario Oficial el 26 de agosto  de</w:t>
        <w:br/>
        <w:t>2005 (expediente de anexos al escrito de solicitudes y argumentos, anexo  I,</w:t>
        <w:br/>
        <w:t>folios 1088 a 1107).</w:t>
        <w:br/>
        <w:br/>
        <w:t>[65]  Cfr. quinta Disposición Transitoria de la Constitución Política de</w:t>
        <w:br/>
        <w:t>Chile, supra nota 36.</w:t>
        <w:br/>
        <w:br/>
        <w:t>[66]  Cfr. proyecto de Ley Nº 3773-06 de Acceso  a  la  Información  Pública</w:t>
        <w:br/>
        <w:t>(expediente de  anexos  al  escrito  de  contestación  a  la  demanda  y  de</w:t>
        <w:br/>
        <w:t>observaciones al escrito de solicitudes y argumentos, anexo 7,  folios  2261</w:t>
        <w:br/>
        <w:t>a 2270); y Proyecto de Ley Nº 3773-06 de Acceso  a  la  Información  Pública</w:t>
        <w:br/>
        <w:t>(prueba  para  mejor  resolver  incorporada  por  la  Corte  Interamericana,</w:t>
        <w:br/>
        <w:t>disponible en http://sil.senado.cl/pags/index.html).</w:t>
        <w:br/>
        <w:br/>
        <w:t>[67]  Cfr. decreto Nº 134  emitido  el  12  de  diciembre  de  2005  por  el</w:t>
        <w:br/>
        <w:t>Ministerio Secretaría General de la Presidencia (expediente sobre  el  fondo</w:t>
        <w:br/>
        <w:t>y eventuales reparaciones y costas, tomo II, folio 539).</w:t>
        <w:br/>
        <w:br/>
        <w:t>[68]  Cfr. oficio sin fecha firmado por el Ministro  Secretario  General  de</w:t>
        <w:br/>
        <w:t>la Presidencia (expediente  sobre  el  fondo  y  eventuales  reparaciones  y</w:t>
        <w:br/>
        <w:t>costas, tomo II, folio 541).</w:t>
        <w:br/>
        <w:br/>
        <w:t>[69]  Cfr. decreto Supremo Nº 65 de  11  de  mayo  de  2001  (expediente  de</w:t>
        <w:br/>
        <w:t>anexos al escrito de solicitudes  y  argumentos,  anexo  I,  folios  1088  a</w:t>
        <w:br/>
        <w:t>1107); e informe emitido el 15 de febrero de 2006 por el  Presidente  de  la</w:t>
        <w:br/>
        <w:t>Comisión Asesora Presidencial para la Protección  de  los  Derechos  de  las</w:t>
        <w:br/>
        <w:t>Personas (expediente sobre fondo y eventuales reparaciones  y  costas,  tomo</w:t>
        <w:br/>
        <w:t>II, folios 554 y 556).</w:t>
        <w:br/>
        <w:br/>
        <w:t>[70]  Cfr. informe emitido el 15 de febrero de 2006 por el Presidente de  la</w:t>
        <w:br/>
        <w:t>Comisión Asesora Presidencial para la Protección  de  los  Derechos  de  las</w:t>
        <w:br/>
        <w:t>Personas (expediente sobre fondo y eventuales reparaciones  y  costas,  tomo</w:t>
        <w:br/>
        <w:t>II, folios 554 y 556); y declaración escrita rendida  por  el  perito  Davor</w:t>
        <w:br/>
        <w:t>Harasic el  7  de  marzo  de  2006  (expediente  sobre  fondo  y  eventuales</w:t>
        <w:br/>
        <w:t>reparaciones y costas, tomo II, folios 509 a 518).</w:t>
        <w:br/>
        <w:br/>
        <w:t>[71]  Cfr. Caso Ximenes Lopes, supra nota 2, párr. 83; Caso Gómez  Palomino.</w:t>
        <w:br/>
        <w:t>Sentencia de 22 de noviembre de 2005. Serie C No. 136, párr. 91; Caso de  la</w:t>
        <w:br/>
        <w:t>“Masacre de Mapiripán”. Sentencia de 15 de septiembre de 2005. Serie  C  No.</w:t>
        <w:br/>
        <w:t>134,  párr.  109;  y  Condición  Jurídica  y  Derechos  de   los   Migrantes</w:t>
        <w:br/>
        <w:t>Indocumentados. Opinión Consultiva OC-18/03 de 17 de  septiembre   de  2003.</w:t>
        <w:br/>
        <w:t>Serie A No. 18, párr. 78.</w:t>
        <w:br/>
        <w:br/>
        <w:br/>
        <w:t>[72]  Cfr. Caso López Álvarez. Sentencia de 1 de febrero de  2006.  Serie  C</w:t>
        <w:br/>
        <w:t>No. 141, párr. 163; Caso Palamara Iribarne. Sentencia de 22 de noviembre  de</w:t>
        <w:br/>
        <w:t>2005. Serie C No. 135, párr. 69; Caso Ricardo Canese.  Sentencia  de  31  de</w:t>
        <w:br/>
        <w:t>agosto de  2004.  Serie  C  No.  111,  párrs.  77-80;  Caso  Herrera  Ulloa.</w:t>
        <w:br/>
        <w:t>Sentencia de 2 de julio de 2004. Serie  C  No.  107,  párrs.  108-111;  Caso</w:t>
        <w:br/>
        <w:t>Ivcher Bronstein. Sentencia de 6 de febrero de 2001. Serie C No. 74,  párrs.</w:t>
        <w:br/>
        <w:t>146–149; Caso “La Última Tentación  de  Cristo”  (Olmedo  Bustos  y  otros).</w:t>
        <w:br/>
        <w:t>Sentencia de 5 de febrero de 2001. Serie C  No.  73,  párrs.  64-67;   y  La</w:t>
        <w:br/>
        <w:t>Colegiación Obligatoria de Periodistas (Arts. 13 y 29  Convención  Americana</w:t>
        <w:br/>
        <w:t>sobre Derechos Humanos). Opinión Consultiva OC-5/85 del 13 de  noviembre  de</w:t>
        <w:br/>
        <w:t>1985. Serie A No. 5, párrs. 30-33 y 43.</w:t>
        <w:br/>
        <w:br/>
        <w:t>[73]  Cfr. Caso López Álvarez,  supra  nota  72,  párr.  163;  Caso  Ricardo</w:t>
        <w:br/>
        <w:t>Canese, supra nota 72, párr. 77; y Caso Herrera Ulloa, supra nota 72,  párr.</w:t>
        <w:br/>
        <w:t>108.</w:t>
        <w:br/>
        <w:br/>
        <w:t>[74]  Cfr. Caso López Álvarez,  supra  nota  72,  párr.  163;  Caso  Ricardo</w:t>
        <w:br/>
        <w:t>Canese, supra nota 72, párr. 80;  y  Caso  Herrera  Ulloa,  supra  nota  72,</w:t>
        <w:br/>
        <w:t>párrs. 108-111.</w:t>
        <w:br/>
        <w:br/>
        <w:t>[75]  Cfr. Resolución AG/RES. 1932 (XXXIII-O/03) de  10  de  junio  de  2003</w:t>
        <w:br/>
        <w:t>sobre “Acceso a la Información Pública: Fortalecimiento de  la  Democracia”;</w:t>
        <w:br/>
        <w:t>Resolución AG/RES. (XXXIV-O/04) de 8 de junio de 2004  sobre  “Acceso  a  la</w:t>
        <w:br/>
        <w:t>Información Pública: Fortalecimiento de la Democracia”;  Resolución  AG/RES.</w:t>
        <w:br/>
        <w:t>2121 (XXXV-O/05) de 7 de junio  de  2005  sobre  “Acceso  a  la  Información</w:t>
        <w:br/>
        <w:t>Pública: Fortalecimiento de la Democracia”; y AG/RES. 2252  (XXXVI-O/06)  de</w:t>
        <w:br/>
        <w:t>6 de junio de 2006 sobre “Acceso a la Información  Pública:  Fortalecimiento</w:t>
        <w:br/>
        <w:t>de la Democracia”.</w:t>
        <w:br/>
        <w:br/>
        <w:t>[76]  Cfr. Resolución AG/RES. 2252 (XXXVI-O/06) de 6 de junio de 2006  sobre</w:t>
        <w:br/>
        <w:t>“Acceso a la Información Pública: Fortalecimiento de la  Democracia”,  punto</w:t>
        <w:br/>
        <w:t>resolutivo 2.</w:t>
        <w:br/>
        <w:br/>
        <w:t>[77]   Cfr.  Carta  Democrática  Interamericana  aprobada  por  la  Asamblea</w:t>
        <w:br/>
        <w:t>General de la OEA el 11 de septiembre de 2001 en el Vigésimo Octavo  Período</w:t>
        <w:br/>
        <w:t>Extraordinario de Sesiones celebrado en Lima, Perú.</w:t>
        <w:br/>
        <w:br/>
        <w:t>[78]  Cfr. Declaración de Nuevo León, aprobada el 13 de enero  de  2004  por</w:t>
        <w:br/>
        <w:t>los  Jefes  de  Estado  y  de  Gobierno  de  las  Américas,  en  la   Cumbre</w:t>
        <w:br/>
        <w:t>Extraordinaria de las Américas, celebrada en la ciudad de Monterrey,  Estado</w:t>
        <w:br/>
        <w:t>de Nuevo León, México.</w:t>
        <w:br/>
        <w:br/>
        <w:t>[79]  Cfr. artículos 10 y 13 de la Convención de las Naciones Unidas  contra</w:t>
        <w:br/>
        <w:t>la Corrupción, adoptada mediante Resolución de la Asamblea  General  de  las</w:t>
        <w:br/>
        <w:t>Naciones Unidas 58/4 de 31 de octubre de 2003.</w:t>
        <w:br/>
        <w:br/>
        <w:t>[80]  Cfr. principio 10 de la Declaración de Río sobre el Medio  Ambiente  y</w:t>
        <w:br/>
        <w:t>el Desarrollo, aprobada en la Conferencia de las Naciones  Unidas  sobre  el</w:t>
        <w:br/>
        <w:t>Medio Ambiente y el Desarrollo realizada del 3 al 14 de junio de  1992.</w:t>
        <w:br/>
        <w:br/>
        <w:t>[81]  Cfr. Recomendación Nº 582 adoptada el 23  de  enero  de  1970  por  la</w:t>
        <w:br/>
        <w:t>Asamblea Parlamentaria del Consejo de Europa. Recomendó instruir  al  Comité</w:t>
        <w:br/>
        <w:t>de Expertos en Derechos Humanos a que considerara e hiciera  recomendaciones</w:t>
        <w:br/>
        <w:t>sobre:</w:t>
        <w:br/>
        <w:br/>
        <w:t xml:space="preserve">      (i) la ampliación del derecho a la libertad de información establecido</w:t>
        <w:br/>
        <w:t xml:space="preserve">      en el artículo 10 de la Convención  Europea  de  Derechos  Humanos,  a</w:t>
        <w:br/>
        <w:t xml:space="preserve">      través de la adopción de un protocolo o de otra manera, de  forma  tal</w:t>
        <w:br/>
        <w:t xml:space="preserve">      que se incluya  la  libertad  de  buscar  información  (la  cual  está</w:t>
        <w:br/>
        <w:t xml:space="preserve">      incluida en el artículo  19.2  del  Pacto  Internacional  de  Derechos</w:t>
        <w:br/>
        <w:t xml:space="preserve">      Civiles y Políticos); y debe existir el correspondiente deber  de  las</w:t>
        <w:br/>
        <w:t xml:space="preserve">      autoridades públicas de hacer accesible la información  sobre  asuntos</w:t>
        <w:br/>
        <w:t xml:space="preserve">      de interés público, sujeta a las limitaciones apropiadas;</w:t>
        <w:br/>
        <w:t xml:space="preserve">      […] (traducción no oficial)</w:t>
        <w:br/>
        <w:br/>
        <w:br/>
        <w:t>[82]  Cfr. Resolución Nº 428  adoptada  el  23  de  enero  de  1970  por  la</w:t>
        <w:br/>
        <w:t>Asamblea Parlamentaria del Consejo de Europa.</w:t>
        <w:br/>
        <w:br/>
        <w:t>[83]  Cfr. Resolución Nº 854 adoptada  el  1  de  febrero  de  1979  por  la</w:t>
        <w:br/>
        <w:t>Asamblea Parlamentaria del Consejo  de  Europa,  en  la  cual  recomendó  al</w:t>
        <w:br/>
        <w:t>Comité de Ministros “invitar a los Estados  Miembros,  que  no  lo  hubieren</w:t>
        <w:br/>
        <w:t>hecho, a introducir un sistema de libertad de  información”  (traducción  no</w:t>
        <w:br/>
        <w:t>oficial), que incluyera el derecho a buscar y  recibir  información  de  las</w:t>
        <w:br/>
        <w:t>agencias  y  departamentos  gubernamentales;  y  Directiva   2003/4/CE   del</w:t>
        <w:br/>
        <w:t>Parlamento Europeo y del Consejo de 28 de enero de 2003 relativa  al  acceso</w:t>
        <w:br/>
        <w:t>del público a la información medioambiental.</w:t>
        <w:br/>
        <w:br/>
        <w:t>[84]  Declaración sobre libertad de expresión e  información,  adoptada  por</w:t>
        <w:br/>
        <w:t>el Comité de Ministros el 29 de abril de 1982.</w:t>
        <w:br/>
        <w:br/>
        <w:t>[85]  Cfr. Recomendación Nº R (2002)2, adoptada el 21 de febrero de 2002.</w:t>
        <w:br/>
        <w:br/>
        <w:t>[86]  Cfr. Caso YATAMA. Sentencia de 23 de junio de 2005. Serie C  No.  127,</w:t>
        <w:br/>
        <w:t>párr. 192; y La Expresión  "Leyes"  en  el  Artículo  30  de  la  Convención</w:t>
        <w:br/>
        <w:t>Americana sobre Derechos Humanos. Opinión Consultiva OC-6/86 del 9  de  mayo</w:t>
        <w:br/>
        <w:t>de 1986. Serie A No. 6, párr. 34.</w:t>
        <w:br/>
        <w:br/>
        <w:t>[87]  Cfr. supra nota 75.</w:t>
        <w:br/>
        <w:br/>
        <w:t>[88]  Cfr. Caso Ricardo Canese,  supra  nota  72,  párr.  82;  Caso  Herrera</w:t>
        <w:br/>
        <w:t>Ulloa, supra nota 72, párr. 112; y Opinión Consultiva  OC-5/85,  supra  nota</w:t>
        <w:br/>
        <w:t>72, párr. 70.</w:t>
        <w:br/>
        <w:br/>
        <w:t>[89]  Cfr. Caso Palamara Iribarne, supra nota 72,  párr.  83;  Caso  Ricardo</w:t>
        <w:br/>
        <w:t>Canese, supra nota 72, párr. 97; y Caso Herrera Ulloa, supra nota 72,  párr.</w:t>
        <w:br/>
        <w:t>127. En el mismo sentido, cfr. Feldek v. Slovakia, no. 29032/95, § 83,  ECHR</w:t>
        <w:br/>
        <w:t xml:space="preserve"> 2001-VIII; y Surek and Ozdemir v. Turkey, nos.  23927/94  and  24277/94,  §</w:t>
        <w:br/>
        <w:t>60, ECHR Judgment of 8 July, 1999.</w:t>
        <w:br/>
        <w:br/>
        <w:t>[90]  Cfr. Caso López Álvarez, supra  nota  72,  párr.  165;  Caso  Palamara</w:t>
        <w:br/>
        <w:t>Iribarne, supra nota 72, párr. 85;  Caso  Ricardo  Canese,  supra  nota  72,</w:t>
        <w:br/>
        <w:t>párr. 95; y Caso Herrera Ulloa, supra nota 72, párrs. 120-123.</w:t>
        <w:br/>
        <w:br/>
        <w:t>[91]  Cfr. Opinión Consultiva. OC-6/86, supra nota 86, párrs. 26-29.</w:t>
        <w:br/>
        <w:br/>
        <w:t>[92]  Cfr. Caso Palamara Iribarne, supra nota 72,  párr.  85;  Caso  Ricardo</w:t>
        <w:br/>
        <w:t>Canese, supra nota 72, párr. 96; Caso Herrera Ulloa, supra nota  72,  párrs.</w:t>
        <w:br/>
        <w:t>121 y 123; y Opinión Consultiva OC-5/85, supra nota 72, párr. 46.</w:t>
        <w:br/>
        <w:br/>
        <w:t>[93]  Cfr. Caso Acevedo Jaramillo y otros. Sentencia  de  7  de  febrero  de</w:t>
        <w:br/>
        <w:t>2006. Serie C No. 144, párr. 280; Caso López Álvarez, supra nota  72,  párr.</w:t>
        <w:br/>
        <w:t>82; y Caso de la Masacre de Pueblo Bello. Sentencia de 31 de enero de  2006.</w:t>
        <w:br/>
        <w:t>Serie C No. 140, párr. 54.</w:t>
        <w:br/>
        <w:br/>
        <w:t>[94]  Cfr. Caso YATAMA, supra nota 86, párr.  147;  Caso  Ivcher  Bronstein,</w:t>
        <w:br/>
        <w:t>supra nota 72, párr. 102; Caso Baena Ricardo y  otros.  Sentencia  de  2  de</w:t>
        <w:br/>
        <w:t>febrero  de  2001.  Serie  C  No.  72,  párr.  124;  y  Caso  del   Tribunal</w:t>
        <w:br/>
        <w:t>Constitucional. Sentencia de 31 de enero de 2001. Serie C No. 71, párr. 69.</w:t>
        <w:br/>
        <w:br/>
        <w:t>[95]  Cfr. Caso YATAMA, supra nota 86, párrs. 148-164; y Caso Baena  Ricardo</w:t>
        <w:br/>
        <w:t>y otros, supra nota 94, párrs. 127-134.</w:t>
        <w:br/>
        <w:br/>
        <w:t>[96]  Cfr. Caso YATAMA, supra nota 86, párr.  149;  Caso  Ivcher  Bronstein,</w:t>
        <w:br/>
        <w:t>supra nota 72, párr. 105; y Caso Baena  Ricardo  y  otros,  supra  nota  94,</w:t>
        <w:br/>
        <w:t>párr. 124.</w:t>
        <w:br/>
        <w:br/>
        <w:t>[97]  Cfr. Caso Palamara Iribarne, supra nota 72, párr. 216; y Caso  YATAMA,</w:t>
        <w:br/>
        <w:t>supra nota 86, párr. 152. Asimismo, cfr. García  Ruiz  v.  Spain  [GC],  no.</w:t>
        <w:br/>
        <w:t>30544/96, § 26, ECHR 1999-I; y Eur. Court  H.R.,  Case  of  H.  v.  Belgium,</w:t>
        <w:br/>
        <w:t>Judgment of 30 November 1987, Series A no. 127-B, para. 53.</w:t>
        <w:br/>
        <w:br/>
        <w:t>[98]  Cfr. Caso Palamara Iribarne, supra nota 72, párr.  164;  Caso  YATAMA,</w:t>
        <w:br/>
        <w:t>supra nota 86, párr. 149; y Caso Ivcher  Bronstein,  supra  nota  72,  párr.</w:t>
        <w:br/>
        <w:t>104.</w:t>
        <w:br/>
        <w:br/>
        <w:t>[99]  Cfr. Caso Ximenes Lopes,  supra  nota  2,  párr.  193;  Caso  Palamara</w:t>
        <w:br/>
        <w:t>Iribarne, supra nota  72,  párr.  163;  y  Caso  de  la  Comunidad  Moiwana.</w:t>
        <w:br/>
        <w:t>Sentencia de 15 de junio de 2005. Serie C No. 124, párr. 142.</w:t>
        <w:br/>
        <w:br/>
        <w:t>[100]       Cfr. Caso  YATAMA,  supra  nota  86,  párr.  167;  Caso  Cantos.</w:t>
        <w:br/>
        <w:t>Sentencia de 28 de noviembre de 2002. Serie C No. 97, párr. 52; Caso  de  la</w:t>
        <w:br/>
        <w:t>Comunidad Mayagna (Sumo) Awas Tingni. Sentencia de 31  de  agosto  de  2001.</w:t>
        <w:br/>
        <w:t>Serie C No. 79, párr. 111; y Garantías Judiciales en Estados  de  Emergencia</w:t>
        <w:br/>
        <w:t>(arts. 27.2, 25 y 8 Convención Americana sobre  Derechos  Humanos).  Opinión</w:t>
        <w:br/>
        <w:t>Consultiva OC-9/87 del 6 de octubre de 1987. Serie A No. 9, párr. 23.</w:t>
        <w:br/>
        <w:br/>
        <w:t>[101]       Cfr. Caso Acevedo Jaramillo y otros, supra nota 93,  párr.  213;</w:t>
        <w:br/>
        <w:t>Caso García Asto y Ramírez Rojas. Sentencia de  25  de  noviembre  de  2005.</w:t>
        <w:br/>
        <w:t>Serie C No. 137, párr. 113; y Caso Palamara Iribarne, supra nota  72,  párr.</w:t>
        <w:br/>
        <w:t>183.</w:t>
        <w:br/>
        <w:br/>
        <w:t>[102]       Cfr. Caso García Asto y Ramírez Rojas,  supra  nota  101,  párr.</w:t>
        <w:br/>
        <w:t>113;  Caso  Palamara  Iribarne,  supra  nota  72,  párr.  183;  Caso  Acosta</w:t>
        <w:br/>
        <w:t>Calderón. Sentencia de 24 de junio de 2005. Serie  C  No.  129,  párr.92;  y</w:t>
        <w:br/>
        <w:t>Opinión Consultiva OC-9/87, supra nota 100, párr. 23.</w:t>
        <w:br/>
        <w:br/>
        <w:t>[103]       Cfr.  Caso  YATAMA,  supra  nota  86,  párr.  168;  Caso  de  la</w:t>
        <w:br/>
        <w:t>Comunidad Indígena Yakye Axa. Sentencia de 17 de junio de 2005. Serie C  No.</w:t>
        <w:br/>
        <w:t>125, párr. 61; y Caso “Cinco Pensionistas”. Sentencia de 28  de  febrero  de</w:t>
        <w:br/>
        <w:t>2003. Serie C No. 98, párr. 136.</w:t>
        <w:br/>
        <w:br/>
        <w:t>[104]       Cfr. Caso Ximenes Lopes, supra nota 2, párr. 192;  Caso  Baldeón</w:t>
        <w:br/>
        <w:t>García, supra nota 2, párr. 144; y Caso Acevedo  Jaramillo  y  otros,  supra</w:t>
        <w:br/>
        <w:t>nota 93, párr. 213.</w:t>
        <w:br/>
        <w:br/>
        <w:t>[105]       Cfr. Caso Caso Ximenes Lopes, supra  nota  2,  párr.  192;  Caso</w:t>
        <w:br/>
        <w:t>Baldeón García, supra nota 2, párr. 144; y Caso López  Álvarez,  supra  nota</w:t>
        <w:br/>
        <w:t>72, párr. 138.</w:t>
        <w:br/>
        <w:br/>
        <w:t>[106] Cfr. Caso López Álvarez, supra  nota  72,  párr.  139;  Caso  Palamara</w:t>
        <w:br/>
        <w:t>Iribarne, supra nota 72, párr. 184; y Caso Acosta Calderón, supra nota  102,</w:t>
        <w:br/>
        <w:t>párr. 93.</w:t>
        <w:br/>
        <w:br/>
        <w:t>[107]       El cual dispone que “el ejercicio de la soberanía reconoce  como</w:t>
        <w:br/>
        <w:t>limitación el respeto a los derechos esenciales que emanan de la  naturaleza</w:t>
        <w:br/>
        <w:t>humana.  Es deber de los  órganos  del  Estado  respetar  y  promover  tales</w:t>
        <w:br/>
        <w:t>derechos, garantizados por esta Constitución,  así  como  por  los  tratados</w:t>
        <w:br/>
        <w:t>internacionales ratificados por Chile y que se encuentren vigentes”.</w:t>
        <w:br/>
        <w:br/>
        <w:t>[108]       Cfr. Caso Baldeón García, supra nota 2, párr. 174; Caso  Acevedo</w:t>
        <w:br/>
        <w:t>Jaramillo y otros, supra nota 93, párr. 294; y  Caso  López  Álvarez,  supra</w:t>
        <w:br/>
        <w:t>nota 72, párr. 179.</w:t>
        <w:br/>
        <w:br/>
        <w:t>[109] Cfr. Caso Montero Aranguren y otros (Retén de Catia). Sentencia  de  5</w:t>
        <w:br/>
        <w:t>de julio de 2006. Serie C No. 150, párr.  116;  Caso  Ximenes  Lopes,  supra</w:t>
        <w:br/>
        <w:t>nota 2, párr. 208; y Caso de las Masacres de Ituango, supra  nota  2,  párr.</w:t>
        <w:br/>
        <w:t>346.</w:t>
        <w:br/>
        <w:br/>
        <w:t>[110] Cfr. Caso Montero Aranguren y otros (Retén de Catia), supra nota  109,</w:t>
        <w:br/>
        <w:t>párr. 117; Caso Ximenes Lopes, supra nota  2,  párr.  209;  y  Caso  de  las</w:t>
        <w:br/>
        <w:t>Masacres de Ituango, supra nota 2, párr. 347.</w:t>
        <w:br/>
        <w:br/>
        <w:t>[111] Cfr. Caso Montero Aranguren y otros (Retén de Catia), supra nota  109,</w:t>
        <w:br/>
        <w:t>párr. 117; Caso Baldeón García,  supra  nota  2,  párr. 176;  y  Caso  López</w:t>
        <w:br/>
        <w:t>Álvarez, supra nota 72, párr. 182.</w:t>
        <w:br/>
        <w:br/>
        <w:t>[112] Cfr. Caso Montero Aranguren y otros (Retén de Catia), supra nota  109,</w:t>
        <w:br/>
        <w:t>párr. 117; Caso Ximenes Lopes, supra nota  2,  párr.  209;  y  Caso  de  las</w:t>
        <w:br/>
        <w:t>Masacres de Ituango, supra nota 2, párr. 347.</w:t>
        <w:br/>
        <w:br/>
        <w:t>[113]       Cfr. Caso Baldeón García, supra nota 2, párr. 177; Caso  Acevedo</w:t>
        <w:br/>
        <w:t>Jaramillo y otros, supra nota 93, párr. 297; y  Caso  López  Álvarez,  supra</w:t>
        <w:br/>
        <w:t>nota 72, párr. 181.</w:t>
        <w:br/>
        <w:br/>
        <w:t>[114] Cfr. Caso Montero Aranguren y otros (Retén de Catia), supra nota  109,</w:t>
        <w:br/>
        <w:t>párr. 131; Caso de las Masacres de Ituango, supra nota 2, párr. 387; y  Caso</w:t>
        <w:br/>
        <w:t>Baldeón García, supra nota 2, párr. 189.</w:t>
        <w:br/>
        <w:br/>
        <w:t>[115] Cfr. Caso Palamara Iribarne, supra nota 72, párr.  249;  Caso  de  las</w:t>
        <w:br/>
        <w:t>Niñas Yean y Bosico. Sentencia de 8 de septiembre de 2005. Serie C No.  130,</w:t>
        <w:br/>
        <w:t>párr. 229; y Caso Ricardo Canese, supra nota 72, párr. 208.</w:t>
        <w:br/>
        <w:br/>
        <w:t>[116]       Cfr. Caso Montero Aranguren y  otros  (Retén  de  Catia),  supra</w:t>
        <w:br/>
        <w:t>nota 109, párr. 151; Caso Ximenes Lopes, supra nota 2,  párr.  249;  y  Caso</w:t>
        <w:br/>
        <w:t>Baldeón García, supra nota 2, párr. 194.</w:t>
        <w:br/>
        <w:br/>
        <w:t>[117] Cfr. Caso Montero Aranguren y otros (Retén de Catia), supra nota  109,</w:t>
        <w:br/>
        <w:t>párr. 152; Caso de las Masacres de Ituango, supra nota 2, párr. 414; y  Caso</w:t>
        <w:br/>
        <w:t>Baldeón García, supra nota 2, párr. 208.</w:t>
        <w:br/>
        <w:br/>
        <w:br/>
        <w:t>[118] Sentencia T-281 de 1998. Magistrado  Ponente  Dr.  Alejandro  Martínez</w:t>
        <w:br/>
        <w:t>Caballero, Corte Constitucional Colombia.</w:t>
        <w:br/>
        <w:t>Reproducida                                       enwww.ramajudicial.gov.co,</w:t>
        <w:br/>
        <w:t>http://200.21.19.133/sentencias/programas/relatoria.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