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Caso Servellón García y otros vs. Honduras</w:t>
        <w:br/>
        <w:br/>
        <w:br/>
        <w:br/>
        <w:t xml:space="preserve">                    Sentencia de 21 de septiembre de 2006</w:t>
        <w:br/>
        <w:br/>
        <w:br/>
        <w:br/>
        <w:br/>
        <w:br/>
        <w:t>En el caso Servellón García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2 de febrero de 2005,  de  conformidad  con  lo  dispuesto  en  los</w:t>
        <w:br/>
        <w:t>artículos 51 y 61 de la Convención Americana, la Comisión Interamericana  de</w:t>
        <w:br/>
        <w:t>Derechos Humanos (en adelante “la Comisión Interamericana” o “la  Comisión”)</w:t>
        <w:br/>
        <w:t>sometió ante la Corte una  demanda  contra  la  República  de  Honduras  (en</w:t>
        <w:br/>
        <w:t>adelante “el Estado” u “Honduras”), la cual se originó en  la  denuncia  No.</w:t>
        <w:br/>
        <w:t>12.331, recibida en la Secretaría de la Comisión el 11 de octubre de 2000.</w:t>
        <w:br/>
        <w:br/>
        <w:t>2.    La Comisión presentó la demanda en este caso con el objeto de  que  la</w:t>
        <w:br/>
        <w:t>Corte decidiera si el Estado violó los artículos 4 (Derecho a  la  Vida),  5</w:t>
        <w:br/>
        <w:t>(Derecho a la Integridad Personal), 7 (Derecho a la  Libertad  Personal),  8</w:t>
        <w:br/>
        <w:t>(Garantías  Judiciales)  y  25  (Protección  Judicial)  de   la   Convención</w:t>
        <w:br/>
        <w:t>Americana, en conexión con el  artículo  1.1  (Obligación  de  Respetar  los</w:t>
        <w:br/>
        <w:t>Derechos) de la misma, en perjuicio de Marco Antonio  Servellón  García  (16</w:t>
        <w:br/>
        <w:t>años de edad), Rony Alexis Betancourth Vásquez (17 años de  edad),  Diomedes</w:t>
        <w:br/>
        <w:t>Obed García Sánchez (19 años de edad) y Orlando Álvarez  Ríos  (32  años  de</w:t>
        <w:br/>
        <w:t>edad).  Asimismo, solicitó a la Corte que se pronunciara sobre la  violación</w:t>
        <w:br/>
        <w:t>del Estado de los artículos 5.5 (Derecho  a  la  Integridad  Personal),  7.5</w:t>
        <w:br/>
        <w:t>(Derecho a la Libertad Personal) y 19 (Derechos del Niño) de la  Convención,</w:t>
        <w:br/>
        <w:t>en relación con el artículo 1.1 (Obligación de  Respetar  los  Derechos)  de</w:t>
        <w:br/>
        <w:t>ese tratado, en perjuicio de los niños  Marco  Antonio  Servellón  García  y</w:t>
        <w:br/>
        <w:t>Rony Alexis Betancourth  Vásquez,  y  de  los  artículos  5  (Derecho  a  la</w:t>
        <w:br/>
        <w:t>Integridad Personal), 8 (Garantías Judiciales) y  25  (Protección  Judicial)</w:t>
        <w:br/>
        <w:t>de la Convención, en conexión con el artículo 1.1  (Obligación  de  Respetar</w:t>
        <w:br/>
        <w:t>los Derechos) del referido tratado, en perjuicio de los  familiares  de  las</w:t>
        <w:br/>
        <w:t>presuntas víctimas.  La  Comisión  señaló  que  sometió  ante  la  Corte  la</w:t>
        <w:br/>
        <w:t>demanda por las supuestas condiciones inhumanas y degradantes  de  detención</w:t>
        <w:br/>
        <w:t>de las presuntas víctimas por parte del Estado; los golpes y ataques  contra</w:t>
        <w:br/>
        <w:t>la integridad personal de los que se indica fueron  víctimas  por  parte  de</w:t>
        <w:br/>
        <w:t>los agentes policiales; su alegada muerte mientras se encontraban  detenidos</w:t>
        <w:br/>
        <w:t>bajo la custodia de agentes  policiales;  así  como  la  supuesta  falta  de</w:t>
        <w:br/>
        <w:t>investigación y garantías judiciales que caracterizan sus casos, los  cuales</w:t>
        <w:br/>
        <w:t>se encuentran en la impunidad después de más de “nueve”  años  de  ocurridos</w:t>
        <w:br/>
        <w:t>los  hechos.   Marco  Antonio  Servellón  García,  Rony  Alexis  Betancourth</w:t>
        <w:br/>
        <w:t>Vásquez, Orlando Álvarez Ríos y Diomedes Obed García Sánchez, entre el 15  y</w:t>
        <w:br/>
        <w:t>16 de  septiembre  de  1995,  fueron  supuestamente  detenidos  durante  una</w:t>
        <w:br/>
        <w:t>detención preventiva  u  operativo  realizado  por  la  entonces  Fuerza  de</w:t>
        <w:br/>
        <w:t>Seguridad Pública (en  adelante  “FUSEP”)[1].   Los  cuatro  jóvenes  fueron</w:t>
        <w:br/>
        <w:t>supuestamente ejecutados extrajudicialmente por agentes del Estado y  el  17</w:t>
        <w:br/>
        <w:t>de septiembre de 1995 sus cadáveres fueron encontrados, a la intemperie,  en</w:t>
        <w:br/>
        <w:t>diferentes lugares de la ciudad de Tegucigalpa, Honduras.</w:t>
        <w:br/>
        <w:br/>
        <w:t>3.    La Comisión solicitó a la Corte que, de conformidad  con  el  artículo</w:t>
        <w:br/>
        <w:t>63.1 de la Convención, ordenara al Estado adoptar  determinadas  medidas  de</w:t>
        <w:br/>
        <w:t>reparación indicadas en la demanda.  Por último, solicitó  a  la  Corte  que</w:t>
        <w:br/>
        <w:t>ordene al Estado el pago de las costas y gastos generados en la  tramitación</w:t>
        <w:br/>
        <w:t>del caso  en  la  jurisdicción  interna  y  ante  los  órganos  del  Sistema</w:t>
        <w:br/>
        <w:t>Interamericano.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Interamericana es competente para conocer el  presente  caso,</w:t>
        <w:br/>
        <w:t>en los términos de los artículos 62 y 63.1 de la  Convención,  en  razón  de</w:t>
        <w:br/>
        <w:t>que Honduras  es  Estado  Parte  en  la  Convención  Americana  desde  el  8</w:t>
        <w:br/>
        <w:t>septiembre de 1977 y reconoció la competencia contenciosa de la Corte  el  9</w:t>
        <w:br/>
        <w:t>septiembre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5.    El 11 de octubre de 2000 el  Centro  por  la  Justicia  y  el  Derecho</w:t>
        <w:br/>
        <w:t>Internacional y la Asociación Casa Alianza América Latina (en adelante  “los</w:t>
        <w:br/>
        <w:t>peticionarios”) presentaron una denuncia ante la Comisión Interamericana,  a</w:t>
        <w:br/>
        <w:t>la cual se dio trámite bajo el número 12.331.</w:t>
        <w:br/>
        <w:br/>
        <w:t>6.    El 27 de febrero de 2002 la Comisión Interamericana aprobó el  Informe</w:t>
        <w:br/>
        <w:t>de Admisibilidad No. 16/02, mediante el cual declaró admisible el caso.</w:t>
        <w:br/>
        <w:br/>
        <w:t>7.    El 19 de  octubre  de  2004  la  Comisión,  durante  su  121(  Período</w:t>
        <w:br/>
        <w:t>Ordinario de Sesiones, aprobó el Informe de Fondo No. 74/04, de  conformidad</w:t>
        <w:br/>
        <w:t>con el artículo 50 de la  Convención,  mediante  el  cual  concluyó  que  el</w:t>
        <w:br/>
        <w:t>Estado es responsable por la violación de los derechos  consagrados  en  los</w:t>
        <w:br/>
        <w:t>artículos 4.1 (Derecho a la Vida),  5.1  y  5.2  (Derecho  a  la  Integridad</w:t>
        <w:br/>
        <w:t>Personal), 7 (Derecho a la Libertad Personal), 8.1 (Garantías Judiciales)  y</w:t>
        <w:br/>
        <w:t>25 (Protección Judicial) de la Convención  Americana,  en  conexión  con  el</w:t>
        <w:br/>
        <w:t>artículo 1.1 (Obligación de Respetar los  Derechos)  de  dicho  tratado,  en</w:t>
        <w:br/>
        <w:t>perjuicio  de  Marco  Antonio  Servellón  García,  Rony  Alexis  Betancourth</w:t>
        <w:br/>
        <w:t>Vásquez, Orlando  Álvarez  Ríos  y  Diomedes  Obed  García  Sánchez,  y  los</w:t>
        <w:br/>
        <w:t>artículos 5.5 (Derecho a la Integridad Personal) y 19  (Derechos  del  Niño)</w:t>
        <w:br/>
        <w:t>de la Convención, en perjuicio de las presuntas víctimas  menores  de  edad.</w:t>
        <w:br/>
        <w:t>Además, el Estado es  responsable  por  la  violación  de  los  artículos  5</w:t>
        <w:br/>
        <w:t>(Derecho  a  la  Integridad  Personal),  8.1  (Garantías  Judiciales)  y  25</w:t>
        <w:br/>
        <w:t>(Protección Judicial) de la Convención, en  conexión  con  el  artículo  1.1</w:t>
        <w:br/>
        <w:t>(Obligación de Respetar los Derechos) de dicho instrumento, en perjuicio  de</w:t>
        <w:br/>
        <w:t>los familiares de las presuntas víctimas.  A su vez, la  Comisión  recomendó</w:t>
        <w:br/>
        <w:t>al Estado la adopción de una serie de medidas para subsanar las  mencionadas</w:t>
        <w:br/>
        <w:t>violaciones.</w:t>
        <w:br/>
        <w:br/>
        <w:br/>
        <w:t>8.    El 2 de noviembre de 2004 la  Comisión  Interamericana  transmitió  el</w:t>
        <w:br/>
        <w:t>Informe de Fondo No. 74/04 al Estado y le otorgó un plazo de dos meses  para</w:t>
        <w:br/>
        <w:t>que informara sobre las medidas adoptadas para cumplir  las  recomendaciones</w:t>
        <w:br/>
        <w:t>formuladas.  En la misma fecha, la Comisión comunicó a los peticionarios  la</w:t>
        <w:br/>
        <w:t>adopción del informe y su transmisión al Estado y les solicitó  su  posición</w:t>
        <w:br/>
        <w:t>respecto del eventual sometimiento del caso a la Corte  Interamericana.   El</w:t>
        <w:br/>
        <w:t>2 de diciembre de 2004 los  peticionarios  solicitaron  que  el  caso  fuera</w:t>
        <w:br/>
        <w:t>sometido a la Corte.</w:t>
        <w:br/>
        <w:br/>
        <w:t>9.    El 13 de enero de 2005 el Estado presentó información, en la  cual  se</w:t>
        <w:br/>
        <w:t>refirió a las medidas adoptadas en  relación  con  las  recomendaciones  del</w:t>
        <w:br/>
        <w:t>Informe de Fondo No. 74/04.</w:t>
        <w:br/>
        <w:br/>
        <w:t>10.   El 1 de febrero de 2005 la Comisión decidió someter el  presente  caso</w:t>
        <w:br/>
        <w:t>a la jurisdicción de este Tribunal.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El 2 de febrero de 2005  la  Comisión  presentó  la  demanda  ante  la</w:t>
        <w:br/>
        <w:t>Corte, adjuntó prueba documental y ofreció prueba  testimonial  y  pericial.</w:t>
        <w:br/>
        <w:t>La Comisión designó delegados a  Evelio  Fernández  Arévalo  y  Santiago  A.</w:t>
        <w:br/>
        <w:t>Canton, y asesores legales a Ariel Dulitzky, Martha Braga,  Víctor  Madrigal</w:t>
        <w:br/>
        <w:t>Borloz y Manuela Cuvi Rodríguez.</w:t>
        <w:br/>
        <w:br/>
        <w:t>12.   El 2 de marzo de 2005 la Secretaría  de  la  Corte  (en  adelante  “la</w:t>
        <w:br/>
        <w:t>Secretaría”), previo examen  preliminar  de  la  demanda  realizado  por  el</w:t>
        <w:br/>
        <w:t>Presidente de la Corte (en  adelante  “el  Presidente”),  notificó  ésta  al</w:t>
        <w:br/>
        <w:t>Estado  y  le  informó  sobre  los  plazos  para  contestarla   y   designar</w:t>
        <w:br/>
        <w:t>representación   en   el   proceso.    Además   la   Secretaría,   siguiendo</w:t>
        <w:br/>
        <w:t>instrucciones del Presidente, informó al Estado de su derecho a designar  un</w:t>
        <w:br/>
        <w:t>juez ad hoc para la consideración del caso.</w:t>
        <w:br/>
        <w:br/>
        <w:t>13.   Ese mismo día, de conformidad con lo dispuesto en el  artículo  35.1.d</w:t>
        <w:br/>
        <w:t>y 35.1.e del Reglamento, la Secretaría notificó la demanda al Centro por  la</w:t>
        <w:br/>
        <w:t>Justicia y el Derecho Internacional (en adelante “CEJIL”) y a la  Asociación</w:t>
        <w:br/>
        <w:t>Casa Alianza América Latina (en adelante “Casa Alianza”), designados  en  la</w:t>
        <w:br/>
        <w:t>demanda como representantes de las presuntas víctimas y sus  familiares  (en</w:t>
        <w:br/>
        <w:t>adelante “los representantes”) y les informó que contaban con  un  plazo  de</w:t>
        <w:br/>
        <w:t>dos meses para presentar su escrito de  solicitudes,  argumentos  y  pruebas</w:t>
        <w:br/>
        <w:t>(en adelante “escrito de solicitudes y argumentos”).</w:t>
        <w:br/>
        <w:br/>
        <w:t>14.   El 29 de abril de 2005 el Estado comunicó  la  designación  del  señor</w:t>
        <w:br/>
        <w:t>Álvaro Agüero Lacayo, Embajador ante el Gobierno de Costa Rica, como  Agente</w:t>
        <w:br/>
        <w:t>y de la señora Argentina Wellerman, como agente alterna[2].</w:t>
        <w:br/>
        <w:br/>
        <w:t>15.   El 2 de mayo de 2005 los  representantes  presentaron  su  escrito  de</w:t>
        <w:br/>
        <w:t>solicitudes  y  argumentos,  al  cual  acompañaron   prueba   documental   y</w:t>
        <w:br/>
        <w:t>ofrecieron prueba testimonial y pericial.  Los representantes solicitaron  a</w:t>
        <w:br/>
        <w:t>la Corte que concluya que el Estado es responsable por la violación  de  los</w:t>
        <w:br/>
        <w:t>artículos 4.1 (Derecho a la Vida); 5 (Derecho a la Integridad  Personal);  7</w:t>
        <w:br/>
        <w:t>(Derecho  a  la  Libertad  Personal);  8.1  (Garantías  Judiciales)   y   25</w:t>
        <w:br/>
        <w:t>(Protección Judicial) de la Convención, en  relación  con  el  artículo  1.1</w:t>
        <w:br/>
        <w:t>(Obligación de Respetar los Derechos) del mismo  tratado,  en  perjuicio  de</w:t>
        <w:br/>
        <w:t>las presuntas víctimas, y por la violación de los artículos 5.5  (Derecho  a</w:t>
        <w:br/>
        <w:t>la Integridad Personal) y 19 (Derechos del Niño) de la  Convención  respecto</w:t>
        <w:br/>
        <w:t>a  Marco  Antonio  Servellón  García  y  Rony  Alexis  Betancourth  Vásquez.</w:t>
        <w:br/>
        <w:t>Asimismo, los representantes  alegaron  la  violación  de  los  artículos  5</w:t>
        <w:br/>
        <w:t>(Derecho  a  la  Integridad  Personal),  8.1  (Garantías  Judiciales)  y  25</w:t>
        <w:br/>
        <w:t>(Protección Judicial) de la Convención, en  relación  con  el  artículo  1.1</w:t>
        <w:br/>
        <w:t>(Obligación  de  Respetar  los  Derechos)  de  la  misma,  respecto  a   los</w:t>
        <w:br/>
        <w:t>familiares de las presuntas víctimas.  Asimismo, solicitaron  que  la  Corte</w:t>
        <w:br/>
        <w:t>declare la violación del derecho de la  verdad  de  los  familiares  de  las</w:t>
        <w:br/>
        <w:t>presuntas víctimas y de la sociedad hondureña en  general,  conforme  a  los</w:t>
        <w:br/>
        <w:t>artículos 8, 13, 25 y 1.1 de la Convención.  Por último,  solicitaron  a  la</w:t>
        <w:br/>
        <w:t>Corte determinadas medidas de reparación a favor de las  presuntas  víctimas</w:t>
        <w:br/>
        <w:t>y sus familiares, así como el pago de costas y gastos.</w:t>
        <w:br/>
        <w:br/>
        <w:t>16.   Los días 4 y 12 de julio de 2005 el  Estado  presentó  el  escrito  de</w:t>
        <w:br/>
        <w:t>contestación de la demanda y  observaciones  al  escrito  de  solicitudes  y</w:t>
        <w:br/>
        <w:t>argumentos (en adelante “escrito de  contestación  de  la  demanda”)  y  sus</w:t>
        <w:br/>
        <w:t>anexos, respectivamente, mediante el cual comunicó  su  allanamiento  a  los</w:t>
        <w:br/>
        <w:t>hechos contenidos en los párrafos 27 al 106 de la demanda presentada por  la</w:t>
        <w:br/>
        <w:t>Comisión  Interamericana,  y  contestó  los  hechos  relativos  al  supuesto</w:t>
        <w:br/>
        <w:t>contexto en el que  éstos  se  dieron,  rechazando  de  este  modo  que  las</w:t>
        <w:br/>
        <w:t>violaciones se hayan dado dentro de un contexto de violación sistemática  de</w:t>
        <w:br/>
        <w:t>los derechos humanos tolerada  por  el  Estado.   A  su  vez,  reconoció  su</w:t>
        <w:br/>
        <w:t>responsabilidad internacional por la violación de los  derechos  consagrados</w:t>
        <w:br/>
        <w:t>en los artículos 4, 5, 7, 8  y  25  de  la  Convención  Americana,  haciendo</w:t>
        <w:br/>
        <w:t>diversas consideraciones al respecto (infra  párrs.  54  y  55).   En  dicho</w:t>
        <w:br/>
        <w:t>escrito comunicó la designación del señor Sergio  Zavala  Leiva,  Procurador</w:t>
        <w:br/>
        <w:t>General de la República de Honduras, como agente en el presente caso.</w:t>
        <w:br/>
        <w:br/>
        <w:t>17.    El  16  de  agosto  de  2005  la  Comisión   Interamericana   y   los</w:t>
        <w:br/>
        <w:t>representantes   remitieron,   respectivamente,   sus    observaciones    al</w:t>
        <w:br/>
        <w:t>allanamiento efectuado por el Estado en su escrito  de  contestación  de  la</w:t>
        <w:br/>
        <w:t>demanda.</w:t>
        <w:br/>
        <w:br/>
        <w:t>18.   El 4 de octubre  de  2005  la  Secretaría  informó  a  las  partes  la</w:t>
        <w:br/>
        <w:t>decisión de la Corte de no convocar a una audiencia pública en  el  presente</w:t>
        <w:br/>
        <w:t>caso.  En su lugar, la Secretaría,  siguiendo instrucciones del  Presidente,</w:t>
        <w:br/>
        <w:t>solicitó la remisión de la lista de testigos y peritos  propuestos  por  las</w:t>
        <w:br/>
        <w:t>partes, con el objeto de  que  el  Presidente  evaluara  la  pertinencia  de</w:t>
        <w:br/>
        <w:t>ordenar que los mismos rindieran declaración jurada ante  fedatario  público</w:t>
        <w:br/>
        <w:t>(affidávit).</w:t>
        <w:br/>
        <w:br/>
        <w:t>19.    El  8  de  noviembre  de  2005  los  representantes  y  la   Comisión</w:t>
        <w:br/>
        <w:t>presentaron sus observaciones a la lista definitiva  de  peritos  propuestos</w:t>
        <w:br/>
        <w:t>por el Estado.  En sus observaciones, la Comisión y  los  representantes  se</w:t>
        <w:br/>
        <w:t>refirieron a los señores Ramón Antonio Romero Cantarero  y  Ricardo  Rolando</w:t>
        <w:br/>
        <w:t>Díaz Martínez, y los representantes mencionaron también  a  la  señora  Nora</w:t>
        <w:br/>
        <w:t>Suyapa  Urbina  Pineda,  indicando  que  dichas   personas   podrían   haber</w:t>
        <w:br/>
        <w:t>participado en la tramitación del caso en la jurisdicción  interna,  por  lo</w:t>
        <w:br/>
        <w:t>que podrían estar comprendidas en alguna de las  causales  descritas  en  el</w:t>
        <w:br/>
        <w:t>artículo 50 del Reglamento en relación con el artículo  19.1  del  Estatuto.</w:t>
        <w:br/>
        <w:t>El 9 de noviembre  de  2005,  la  Secretaría,  siguiendo  instrucciones  del</w:t>
        <w:br/>
        <w:t>Presidente, solicitó a los señores Romero Cantarero y Díaz Martínez y  a  la</w:t>
        <w:br/>
        <w:t>señora Urbina Pineda, que se refirieran, a más tardar  13  de  noviembre  de</w:t>
        <w:br/>
        <w:t>2005, por intermedio del Estado, a las observaciones de la  Comisión  y  los</w:t>
        <w:br/>
        <w:t>representantes.  Los días 16 y 21 de noviembre 2005, la  Secretaría  reiteró</w:t>
        <w:br/>
        <w:t>al Estado que las  indicadas  personas  remitieran  por  su  intermedio  las</w:t>
        <w:br/>
        <w:t>observaciones a  lo  manifestado  por  la  Comisión  y  los  representantes.</w:t>
        <w:br/>
        <w:t>Dichas personas no presentaron las mencionadas observaciones.</w:t>
        <w:br/>
        <w:br/>
        <w:t>20.   El 24 de noviembre de 2005 la Corte dictó una Resolución, mediante  la</w:t>
        <w:br/>
        <w:t>cual requirió que el señor Leo Valladares Lanza, propuesto como  perito  por</w:t>
        <w:br/>
        <w:t>la Comisión Interamericana; la señora Reina Auxiliadora  Rivera  Joya  y  el</w:t>
        <w:br/>
        <w:t>señor  Carlos  Tiffer   Sotomayor,   propuestos   como   peritos   por   los</w:t>
        <w:br/>
        <w:t>representantes, y los señoras Lolis María Salas Montes y Nora Suyapa  Urbina</w:t>
        <w:br/>
        <w:t>Pineda y los señores Ramón Antonio Romero Cantarero y Ricardo  Rolando  Díaz</w:t>
        <w:br/>
        <w:t>Martínez, propuestos como peritos por el Estado,  prestaran  su  dictamen  a</w:t>
        <w:br/>
        <w:t>través de declaración rendida ante fedatario  público  (affidávit).   Dichos</w:t>
        <w:br/>
        <w:t>dictámenes debían ser presentados a más tardar el 19 de diciembre  de  2005.</w:t>
        <w:br/>
        <w:t>Además, en la referida Resolución el  Tribunal  informó  a  las  partes  que</w:t>
        <w:br/>
        <w:t>contaban con plazo hasta el 23 de enero de 2006 para presentar sus  alegatos</w:t>
        <w:br/>
        <w:t>finales escritos en relación con el fondo, y las eventuales  reparaciones  y</w:t>
        <w:br/>
        <w:t>costas.</w:t>
        <w:br/>
        <w:br/>
        <w:t>21.   El  19  de  diciembre  de  2005  los  representantes  presentaron  los</w:t>
        <w:br/>
        <w:t>dictámenes autenticados de la señora Reina Auxiliadora  Rivera  Joya  y  del</w:t>
        <w:br/>
        <w:t>señor Carlos Tiffer Sotomayor.</w:t>
        <w:br/>
        <w:br/>
        <w:t>22.    El  19  de  diciembre  de  2005  la  Comisión  presentó  el  dictamen</w:t>
        <w:br/>
        <w:t>autenticado del señor Leo Valladares Lanza, y los anexos adjuntos a éste.</w:t>
        <w:br/>
        <w:br/>
        <w:t>23.   Los días 20  y  22  de  diciembre  de  2005  el  Estado  presentó  los</w:t>
        <w:br/>
        <w:t>dictámenes rendidos ante notario público de  la  señora  Lolis  María  Salas</w:t>
        <w:br/>
        <w:t>Montes y de los señores  Ricardo  Rolando  Díaz  Martínez  y  Ramón  Antonio</w:t>
        <w:br/>
        <w:t>Romero Cantarero.  El 16 de enero 2006 el  Estado,  luego  de  una  prórroga</w:t>
        <w:br/>
        <w:t>concedida hasta el 5  de  enero  de  2006,  presentó  extemporáneamente,  el</w:t>
        <w:br/>
        <w:t>dictamen de la señora Nora Suyapa Urbina Pineda.</w:t>
        <w:br/>
        <w:br/>
        <w:t>24.   El 23 de enero de 2006 la Comisión remitió  sus  observaciones  a  los</w:t>
        <w:br/>
        <w:t>peritajes presentados por las partes (supra párrs. 21 y 23).   El  Estado  y</w:t>
        <w:br/>
        <w:t>los representantes no presentaron observaciones.</w:t>
        <w:br/>
        <w:br/>
        <w:t>25.   El 23 de enero de 2006 la Comisión y  los  representantes  presentaron</w:t>
        <w:br/>
        <w:t>sus alegatos finales escritos. Los representantes adjuntaron  varios  anexos</w:t>
        <w:br/>
        <w:t>a dichos alegatos.</w:t>
        <w:br/>
        <w:br/>
        <w:t>26.   El 24 de febrero de 2006 el Estado presentó  su  escrito  de  alegatos</w:t>
        <w:br/>
        <w:t>finales y varios anexos.  Esta presentación  fue  extemporánea,  ya  que  el</w:t>
        <w:br/>
        <w:t>plazo para hacerlo había expirado el 23 de enero de 2006.</w:t>
        <w:br/>
        <w:br/>
        <w:t>27.   El 8 de marzo de 2006 el Estado informó que designaba,  a  partir  del</w:t>
        <w:br/>
        <w:t>27 de enero de 2006, a la señora Rosa América Miranda de  Galo,  Procuradora</w:t>
        <w:br/>
        <w:t>General de la República de Honduras, como agente  en  el  presente  caso  en</w:t>
        <w:br/>
        <w:t>sustitución del señor Sergio Zavala Leiva.  El 7 de abril de 2006 el  Estado</w:t>
        <w:br/>
        <w:t>informó que designaba a partir de esa fecha al señor David  Reyes  Paz,  Sub</w:t>
        <w:br/>
        <w:t>Procurador General de la República, como  agente  en  el  presente  caso  en</w:t>
        <w:br/>
        <w:t>sustitución de la señora Rosa América Miranda de Galo.</w:t>
        <w:br/>
        <w:br/>
        <w:t>28.   El 25 de abril de 2006  la  Secretaría,  siguiendo  instrucciones  del</w:t>
        <w:br/>
        <w:t>Presidente, solicitó a la Comisión, a los  representantes  y  al  Estado  la</w:t>
        <w:br/>
        <w:t>remisión, a más tardar el 26 de mayo de 2006, de determinada  información  y</w:t>
        <w:br/>
        <w:t>documentación como prueba para mejor resolver.</w:t>
        <w:br/>
        <w:br/>
        <w:t>29.   El 26 de mayo de 2006  los  representantes  presentaron  parte  de  la</w:t>
        <w:br/>
        <w:t>documentación como prueba para mejor resolver, en respuesta a  lo  requerido</w:t>
        <w:br/>
        <w:t>por el Presidente en la nota de 25 de abril de 2006.  El 14 de  junio  y  24</w:t>
        <w:br/>
        <w:t>de julio de 2006 los  representantes  informaron  que  habían  localizado  a</w:t>
        <w:br/>
        <w:t>algunos familiares de Diomedes Obed García Sánchez.  Los días  25  y  31  de</w:t>
        <w:br/>
        <w:t>mayo y el 23 de junio de 2006 el Estado presentó parte de  la  documentación</w:t>
        <w:br/>
        <w:t>solicitada como prueba para mejor resolver.</w:t>
        <w:br/>
        <w:br/>
        <w:t>30.   El 25 de agosto de 2006 la Secretaría solicitó  a  los  representantes</w:t>
        <w:br/>
        <w:t>la remisión, a más tardar  el  4  de  septiembre  de  2006,  de  determinada</w:t>
        <w:br/>
        <w:t>información y documentación como prueba para mejor resolver.</w:t>
        <w:br/>
        <w:br/>
        <w:t>31.   El 4 de septiembre de 2006 los representantes  presentaron  la  prueba</w:t>
        <w:br/>
        <w:t>para mejor resolver, en respuesta a lo requerido por  el  Presidente  en  la</w:t>
        <w:br/>
        <w:t>nota de 25 de agosto de 2006. El 6  de  septiembre  de  2006  la  Secretaría</w:t>
        <w:br/>
        <w:t>otorgó a la Comisión y al Estado un  plazo  improrrogable  hasta  el  12  de</w:t>
        <w:br/>
        <w:t>septiembre de 2006 para que, si lo  estimaran  pertinente,  presentaran  las</w:t>
        <w:br/>
        <w:t>observaciones a la declaración jurada  de  la  señora  Dilcia  Álvarez  Ríos</w:t>
        <w:br/>
        <w:t>remitida por los representantes como prueba para mejor resolver.  El  11  de</w:t>
        <w:br/>
        <w:t>septiembre de 2006 la  Comisión  informó  que  no  tenía  observaciones  que</w:t>
        <w:br/>
        <w:t>formular a dicha prueba.  El 13 de septiembre de  2006  el  Estado  presentó</w:t>
        <w:br/>
        <w:t>sus observaciones a la indicada  declaración  jurada  de  la  señora  Dilcia</w:t>
        <w:br/>
        <w:t>Álvarez Ríos.</w:t>
        <w:br/>
        <w:br/>
        <w:br/>
        <w:t xml:space="preserve">                                      V</w:t>
        <w:br/>
        <w:t xml:space="preserve">                                   Prueba</w:t>
        <w:br/>
        <w:br/>
        <w:t>32.   Antes de examinar las pruebas ofrecidas, la Corte formulará,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33.   En materia probatoria rige el principio del  contradictorio,  el  cual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partes[3].</w:t>
        <w:br/>
        <w:br/>
        <w:t>34.   Según la práctica del Tribunal, al inicio de cada etapa en la  primera</w:t>
        <w:br/>
        <w:t>oportunidad que se les concede para pronunciarse  por  escrito,  las  partes</w:t>
        <w:br/>
        <w:t>deben  señalar  qué  pruebas  ofrecerán.   Además,  en  ejercicio   de 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expresamente[4].</w:t>
        <w:br/>
        <w:br/>
        <w:t>35.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adoptado una rígida determinación del quantum de la  prueba  necesaria  para</w:t>
        <w:br/>
        <w:t>fundar  un  fallo.   Este   criterio   es   válido   para   los 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experiencia[5].</w:t>
        <w:br/>
        <w:br/>
        <w:t>36.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solicitada por el Tribunal o  por  su</w:t>
        <w:br/>
        <w:t>Presidente, todo lo cual conforma el acervo probatorio  del  presente  caso.</w:t>
        <w:br/>
        <w:t>Para ello, el Tribunal se atendrá a  los  principios  de  la  sana  crítica,</w:t>
        <w:br/>
        <w:t>dentro del marco legal correspondiente.</w:t>
        <w:br/>
        <w:br/>
        <w:t xml:space="preserve">                            A) Prueba documental</w:t>
        <w:br/>
        <w:br/>
        <w:t>37.    La  Comisión,  los  representantes  y  el  Estado   presentaron   los</w:t>
        <w:br/>
        <w:t>dictámenes autenticados o rendidos ante notario público, en respuesta  a  lo</w:t>
        <w:br/>
        <w:t>dispuesto por la Corte en su Resolución de 24 de noviembre  de  2005  (supra</w:t>
        <w:br/>
        <w:t>párr. 20).  Dichos dictámenes se resumen a continuación.</w:t>
        <w:br/>
        <w:t>1.    Perito propuesto por la Comisión Interamericana</w:t>
        <w:br/>
        <w:br/>
        <w:t xml:space="preserve">     a)    Leo  Valladares  Lanza,  ex  Comisionado  Nacional  de  Derechos</w:t>
        <w:br/>
        <w:t xml:space="preserve">     Humanos de Honduras</w:t>
        <w:br/>
        <w:br/>
        <w:t>Fue el Comisionado Nacional de los Derechos Humanos desde  octubre  de  1992</w:t>
        <w:br/>
        <w:t>hasta el 5 de marzo de 2002.  El 21 de enero de  2002  publicó  el  “Informe</w:t>
        <w:br/>
        <w:t>Especial  sobre  Muertes  Violentas  de  Niños,  Niñas  y  Adolescentes   en</w:t>
        <w:br/>
        <w:t>Honduras”, donde hace un resumen de los hallazgos y  formula  una  serie  de</w:t>
        <w:br/>
        <w:t>conclusiones y recomendaciones al Estado, el cual adjuntó al dictamen.</w:t>
        <w:br/>
        <w:br/>
        <w:t>El Estado ha adoptado medidas tendientes  a  mejorar  la  situación  de  los</w:t>
        <w:br/>
        <w:t>niños, pero todavía persiste un elevado  número  de  muertes  de  jóvenes  y</w:t>
        <w:br/>
        <w:t>persiste la casi total ineficacia en las investigaciones, así como la  falta</w:t>
        <w:br/>
        <w:t>de sanciones a los responsables.  Se  han  llevado  ante  los  tribunales  a</w:t>
        <w:br/>
        <w:t>miembros de la policía sindicados  de  abusos  a  los  derechos  humanos  de</w:t>
        <w:br/>
        <w:t>niños, niñas y adolescentes, pero  es  escasa  la  relación  con  los  casos</w:t>
        <w:br/>
        <w:t>denunciados.  El Estado ha aumentado las medidas  represivas  en  contra  de</w:t>
        <w:br/>
        <w:t>los jóvenes.  Por un lado, no existe una política  criminal  que  evite  los</w:t>
        <w:br/>
        <w:t>excesos en contra de los jóvenes y, por otro lado,  los  esfuerzos  por  las</w:t>
        <w:br/>
        <w:t>medidas de prevención y protección son débiles.  El Instituto  Hondureño  de</w:t>
        <w:br/>
        <w:t>la Niñez y de la  Familia  (en  adelante  “IHNFA”)  se  caracteriza  por  su</w:t>
        <w:br/>
        <w:t>burocracia, que lo hace ineficaz.  Igualmente, el Código de la  Niñez  y  la</w:t>
        <w:br/>
        <w:t>Adolescencia, a pesar de una  década  de  vigencia,  no  ha   tenido  eficaz</w:t>
        <w:br/>
        <w:t>aplicación y falta la debida formación de los jueces.  Honduras es  un  país</w:t>
        <w:br/>
        <w:t>con unos de los niveles de pobreza más elevado del hemisferio, pero  eso  no</w:t>
        <w:br/>
        <w:t>justifica que se desatiendan los problemas prioritarios, y uno de  ellos  es</w:t>
        <w:br/>
        <w:t>la situación de los niños, niñas y adolescentes.</w:t>
        <w:br/>
        <w:br/>
        <w:t>De su Informe como Comisionado Nacional de los Derechos  Humanos  y  de  las</w:t>
        <w:br/>
        <w:t>observaciones de la situación actual,  el  perito  concluye  que  existe  un</w:t>
        <w:br/>
        <w:t>contexto de violencia respecto de niños, niñas y adolescentes  en  Honduras,</w:t>
        <w:br/>
        <w:t>que persiste la impunidad y que no se brinda un adecuado tratamiento  a  los</w:t>
        <w:br/>
        <w:t>privados de libertad.</w:t>
        <w:br/>
        <w:br/>
        <w:br/>
        <w:t>2.    Peritos propuestos por los representantes</w:t>
        <w:br/>
        <w:br/>
        <w:br/>
        <w:t xml:space="preserve">     a)    Reina Auxiliadora Rivera Joya, actual directora ejecutiva de  la</w:t>
        <w:br/>
        <w:t xml:space="preserve">     organización no gubernamental, Centro de Investigación y Promoción  de</w:t>
        <w:br/>
        <w:t xml:space="preserve">     los Derechos Humanos, ex jueza de Letras de lo Criminal  y  ex  fiscal</w:t>
        <w:br/>
        <w:t xml:space="preserve">     auxiliar de la Fiscalía de Derechos Humanos.</w:t>
        <w:br/>
        <w:br/>
        <w:br/>
        <w:t>Durante las décadas de los ochenta y noventa e inicios del siglo  veintiuno,</w:t>
        <w:br/>
        <w:t>el Estado ha transitado de una preocupación por la seguridad nacional  y  el</w:t>
        <w:br/>
        <w:t>conflicto armado  regional  a  un  temor  por  la  seguridad  ciudadana,  en</w:t>
        <w:br/>
        <w:t>particular  por  el  incremento  del  crimen  organizado  y   la   violencia</w:t>
        <w:br/>
        <w:t>callejera.</w:t>
        <w:br/>
        <w:br/>
        <w:t>Ante el aumento del número de homicidios a partir del año 1992, los  órganos</w:t>
        <w:br/>
        <w:t>policiales empezaron a dar prioridad a la delincuencia común y a  tratar  de</w:t>
        <w:br/>
        <w:t>cumplir su rol de órganos auxiliares del  Ministerio  Público  y  del  Poder</w:t>
        <w:br/>
        <w:t>Judicial.  En 1998 desapareció la Fuerza de Seguridad Pública (FUSEP)  y  se</w:t>
        <w:br/>
        <w:t>crearon los cuerpos especiales de  Policía  adscritos  a  la  Secretaría  de</w:t>
        <w:br/>
        <w:t>Seguridad.  No  obstante  el  cambio  de  enfoque  respecto  de  las  nuevas</w:t>
        <w:br/>
        <w:t>amenazas a la seguridad, el  personal  y  la  formación  profesional  de  la</w:t>
        <w:br/>
        <w:t>policía permaneció  bajo  la  coordinación  de  las  Fuerzas  Armadas  hasta</w:t>
        <w:br/>
        <w:t>finales del año 1998, por lo que fueron  un  constante  en  esa  década  las</w:t>
        <w:br/>
        <w:t>denuncias sobre violaciones a derechos humanos que se alegan cometieron  los</w:t>
        <w:br/>
        <w:t>cuerpos de seguridad.  Dicha situación  se  mantiene  hasta  la  actualidad,</w:t>
        <w:br/>
        <w:t>pese a la transición al mando civil.  Existe un  alto  número  de  denuncias</w:t>
        <w:br/>
        <w:t>contra diferentes autoridades y contra las Fuerzas  Armadas  por  abusos  de</w:t>
        <w:br/>
        <w:t>autoridad, uso  excesivo  de  la  fuerza,  agresiones  físicas,  detenciones</w:t>
        <w:br/>
        <w:t>ilegales, así como por homicidios.</w:t>
        <w:br/>
        <w:br/>
        <w:t>En el año 2002 el Comisionado de Derechos  Humanos,  Leo  Valladares  Lanza,</w:t>
        <w:br/>
        <w:t>presentó un informe que acusa al Estado  y  en  particular,  a  las  fuerzas</w:t>
        <w:br/>
        <w:t>policiales  de  organizar  y/o  tolerar  “escuadrones  de  la  muerte”  bajo</w:t>
        <w:br/>
        <w:t>esquemas similares a los aplicados durante  las  desapariciones  forzadas  y</w:t>
        <w:br/>
        <w:t>ejecuciones extrajudiciales en los años ochenta, por existir una campaña  de</w:t>
        <w:br/>
        <w:t>“limpieza social” o “profilaxis social”.  En el año 2003 la Jefa de  Asuntos</w:t>
        <w:br/>
        <w:t>de la  Secretaría  de  Seguridad,  sorprendió  a  todos  los  hondureños  al</w:t>
        <w:br/>
        <w:t>denunciar  públicamente  que  oficiales  y  agentes  de   policía   estarían</w:t>
        <w:br/>
        <w:t>involucrados en actividades del crimen organizado como  robo  de  vehículos,</w:t>
        <w:br/>
        <w:t>narcotráfico y particularmente en la  detención  ilegal,  tortura  y  muerte</w:t>
        <w:br/>
        <w:t>extrajudicial de adultos “delincuentes” y de cientos de niños  y  jóvenes  a</w:t>
        <w:br/>
        <w:t>los que se les vinculaba a actividades delictivas  y  de  pertenecer  a  una</w:t>
        <w:br/>
        <w:t>mara o pandilla juvenil.  En los últimos tiempos es claro el  fomento  (caso</w:t>
        <w:br/>
        <w:t>de Comités de Seguridad Ciudadana y de  legislaciones  como  la  reforma  al</w:t>
        <w:br/>
        <w:t>artículo  332  mal  llamada  ley  “antimaras”)  y  la  tolerancia  (policías</w:t>
        <w:br/>
        <w:t>involucrados en ejecuciones extrajudiciales  y  la  alta  impunidad  de  las</w:t>
        <w:br/>
        <w:t>investigaciones) a la existencia de patrones de  “limpieza  social”,  siendo</w:t>
        <w:br/>
        <w:t>ahora sus principales víctimas los adolescentes y jóvenes pandilleros.</w:t>
        <w:br/>
        <w:br/>
        <w:t>Los jóvenes suelen ser,  en  forma  cotidiana,  víctimas  y  victimarios  de</w:t>
        <w:br/>
        <w:t>hechos violentos que desencadenan en lesiones y muertes.  La delincuencia  y</w:t>
        <w:br/>
        <w:t>la violencia se han  convertido  en  fenómenos  prácticamente  inseparables,</w:t>
        <w:br/>
        <w:t>sean las causas que fueren, se  ha  comprobado  que  la  mayor  cantidad  de</w:t>
        <w:br/>
        <w:t>muertes violentas son de adolescentes y  jóvenes.   Los  datos  en  general,</w:t>
        <w:br/>
        <w:t>señalan que en Honduras en  los  últimos  tres  años  han  perdido  la  vida</w:t>
        <w:br/>
        <w:t>violentamente casi 14,000 personas.  Las estadísticas informan  que  en  una</w:t>
        <w:br/>
        <w:t>gran proporción de las víctimas de violencia son hombres jóvenes de 16 a  35</w:t>
        <w:br/>
        <w:t>años de  edad.   Los  agresores  también  son  mayormente  hombres  jóvenes.</w:t>
        <w:br/>
        <w:t>Estudios afirman que la participación de niños en actividades delictivas  no</w:t>
        <w:br/>
        <w:t>es mayor del 18% en más de dos décadas.</w:t>
        <w:br/>
        <w:br/>
        <w:t>Las violaciones al derecho a la vida de niños y jóvenes en  Honduras  tienen</w:t>
        <w:br/>
        <w:t>su máxima expresión en las ejecuciones sumarias que vienen ocurriendo en  el</w:t>
        <w:br/>
        <w:t>país desde inicios de los años noventa, pero que comenzaron a  atraer  mayor</w:t>
        <w:br/>
        <w:t>atención  pública  a  finales  de  esa  década.   La  niñez  y  la  juventud</w:t>
        <w:br/>
        <w:t>hondureña, especialmente la pobre,  vive  en  contextos  violentos,  en  que</w:t>
        <w:br/>
        <w:t>ellos y  ellas  son  las  principales  víctimas  de  una  guerra  donde  las</w:t>
        <w:br/>
        <w:t>autoridades, los adultos, la sociedad en general y  la  misma  juventud  son</w:t>
        <w:br/>
        <w:t>protagonistas activos del exterminio de cientos  de  niños,  adolescentes  y</w:t>
        <w:br/>
        <w:t>jóvenes asesinados como consecuencia de la estigmatización  de  ser  miembro</w:t>
        <w:br/>
        <w:t>de una mara o pandilla.  Datos de la oficina  del  Comisionado  Nacional  de</w:t>
        <w:br/>
        <w:t>los Derechos Humanos señalan que de las muertes  contabilizadas  en  el  año</w:t>
        <w:br/>
        <w:t>2001, en el 54.9% de los  casos  no  se  conocen  los  autores,  número  que</w:t>
        <w:br/>
        <w:t>permite inferir  que  las  mismas  son  planeadas  y  llevadas  a  cabo  con</w:t>
        <w:br/>
        <w:t>premeditación y en un ambiente de encubrimiento de los autores.</w:t>
        <w:br/>
        <w:br/>
        <w:t>Las maras o pandillas no son un  fenómeno  nuevo  en  Honduras.   Las  maras</w:t>
        <w:br/>
        <w:t>están más conectadas  con  el  crimen  organizado,  porque  la  política  de</w:t>
        <w:br/>
        <w:t>limpiar las calles ha llevado a muchos miembros a unirse  a  traficantes  de</w:t>
        <w:br/>
        <w:t>drogas por protección.  Las pandillas son  calificadas  como  una  respuesta</w:t>
        <w:br/>
        <w:t>violenta a la violencia estatal de  que  han  sido  objeto  sus  miembros  a</w:t>
        <w:br/>
        <w:t>través de la exclusión y del abandono.</w:t>
        <w:br/>
        <w:br/>
        <w:t>Las principales providencias adoptadas  por  el  Estado  para  enfrentar  el</w:t>
        <w:br/>
        <w:t>problema de la delincuencia juvenil estereotipada en las pandillas  o  maras</w:t>
        <w:br/>
        <w:t>han sido el incremento de aprehensiones  administrativas  a  partir  de  los</w:t>
        <w:br/>
        <w:t>años noventa, lo que ha generado la segregación de los niños  y  jóvenes  en</w:t>
        <w:br/>
        <w:t>situación de calle y  “bajo  sospecha”  de  pertenecer  a  una  mara,  y  la</w:t>
        <w:br/>
        <w:t>política de “cero tolerancia” del Estado, entre otras.</w:t>
        <w:br/>
        <w:br/>
        <w:t>Según datos de 2003, en Honduras el 50.4% de la población era  menor  de  18</w:t>
        <w:br/>
        <w:t>años de edad.  El 66% de niños y  niñas  entre  0  y  14  años  de  edad  se</w:t>
        <w:br/>
        <w:t>encuentran bajo la línea de pobreza.  Pese al importante andamiaje  jurídico</w:t>
        <w:br/>
        <w:t>con que cuenta el Estado, en el que reconoce el interés superior  del  niño,</w:t>
        <w:br/>
        <w:t>no se ha logrado en la práctica mejorar la situación general de la  infancia</w:t>
        <w:br/>
        <w:t>y la juventud hondureña, ya que se carece de políticas y planes rectores  en</w:t>
        <w:br/>
        <w:t>la materia.</w:t>
        <w:br/>
        <w:br/>
        <w:t xml:space="preserve">     b)    Carlos Tiffer-Sotomayor, abogado</w:t>
        <w:br/>
        <w:br/>
        <w:t>La violencia actual en  Centroamérica  es  resultado  de  un  largo  proceso</w:t>
        <w:br/>
        <w:t>estructural vinculado con problemas de índole social, económico y  político-</w:t>
        <w:br/>
        <w:t>militar.  En los últimos años se  ha  expandido  un  fenómeno  de  violencia</w:t>
        <w:br/>
        <w:t>juvenil, que en el caso de Honduras  ha  alcanzado  el  nivel  de  pandillas</w:t>
        <w:br/>
        <w:t>juveniles.   Dichas  pandillas  con  frecuencia  se  ven   involucradas   en</w:t>
        <w:br/>
        <w:t>actividades ilegales como consumo de drogas, actos de  violencia  con  otras</w:t>
        <w:br/>
        <w:t>pandillas y comisión de delitos contra la propiedad, como robos y hurtos,  y</w:t>
        <w:br/>
        <w:t>en algunos casos una delincuencia relacionada con delitos  contra  la  vida,</w:t>
        <w:br/>
        <w:t>la libertad sexual,  el  narcotráfico  o  los  secuestros  extorsivos.   Sin</w:t>
        <w:br/>
        <w:t>embargo, no es cierto que el factor  de  la  niñez  y  adolescencia  sea  el</w:t>
        <w:br/>
        <w:t>determinante en un fenómeno de inseguridad.  Además, habría que  agregar  la</w:t>
        <w:br/>
        <w:t>importante  diferencia  entre  la  verdadera  cifra  de  criminalidad  y  el</w:t>
        <w:br/>
        <w:t>fenómeno de la percepción de la  ciudadanía  sobre  el  crimen  y  sobre  la</w:t>
        <w:br/>
        <w:t>seguridad o inseguridad en una sociedad.  Esta diferencia  entre  percepción</w:t>
        <w:br/>
        <w:t>y realidad se encuentra generada por  algunos  medios  de  comunicación  que</w:t>
        <w:br/>
        <w:t>exacerban los temores de la  población,  en  cuanto  a  la  violencia  y  la</w:t>
        <w:br/>
        <w:t>inseguridad que generan las llamadas pandillas juveniles.</w:t>
        <w:br/>
        <w:br/>
        <w:t>En Honduras la respuesta estatal tiene una acentuación en la  represión,  no</w:t>
        <w:br/>
        <w:t>sólo institucional sino incluso privada, que  busca  eliminar  la  violencia</w:t>
        <w:br/>
        <w:t>con  más  violencia,  configurando  una   política   pública   completamente</w:t>
        <w:br/>
        <w:t>equivocada.  La verdadera  seguridad  ciudadana  se  logra  con  una  sólida</w:t>
        <w:br/>
        <w:t>seguridad social.  La violencia tiene una  estructura  social  en  forma  de</w:t>
        <w:br/>
        <w:t>espiral, es decir, si  ante  una  reacción  violenta  se  responde  con  más</w:t>
        <w:br/>
        <w:t>violencia, es seguro y probable que se tenga una  violencia  mayor.   Cuando</w:t>
        <w:br/>
        <w:t>esta represión va enfocada hacia niños y adolescentes, la problemática y  la</w:t>
        <w:br/>
        <w:t>dimensión de la respuesta violenta son mayores,  pues  ellos  incorporan  la</w:t>
        <w:br/>
        <w:t>violencia como  patrones  culturales,  por  lo  que  serán  adultos  también</w:t>
        <w:br/>
        <w:t>violentos.   Las  políticas  públicas  debían  ser  orientadas  a  políticas</w:t>
        <w:br/>
        <w:t>sociales  y,  especialmente,  educativas.   A  su  vez,  la  mejor  política</w:t>
        <w:br/>
        <w:t>criminal debe de ser una buena política social,  especialmente  al  tratarse</w:t>
        <w:br/>
        <w:t>de las pandillas juveniles o maras.  La política criminal orientada  sólo  a</w:t>
        <w:br/>
        <w:t>la represión está condenada al fracaso.</w:t>
        <w:br/>
        <w:br/>
        <w:t>La estigmatización que sufren los niños y  adolescentes  los  convierten  de</w:t>
        <w:br/>
        <w:t>victimarios a víctimas, y produce un fenómeno de exclusión tanto  por  parte</w:t>
        <w:br/>
        <w:t>de la población como mediante una auto exclusión.  Al  ser  percibidos  como</w:t>
        <w:br/>
        <w:t>los responsables de la inseguridad ciudadana, ellos mismos  incorporan  esta</w:t>
        <w:br/>
        <w:t>percepción y se consideran  fuera  de  la  sociedad.  Dicha  estigmatización</w:t>
        <w:br/>
        <w:t>acentuará la estratificación y las diferencias de clases sociales.</w:t>
        <w:br/>
        <w:br/>
        <w:t>Es necesaria la elaboración de una política pública de niñez y  adolescencia</w:t>
        <w:br/>
        <w:t>que considere la prevención, antes que la represión, y un preponderante  fin</w:t>
        <w:br/>
        <w:t>educativo,  que  minimice  la  intervención  estatal  y  que  flexibilice  y</w:t>
        <w:br/>
        <w:t>diversifique la reacción penal, y que ofrezca mayor reflexión y un  análisis</w:t>
        <w:br/>
        <w:t>multidisciplinario.  Medidas concretas son necesarias, tales como  priorizar</w:t>
        <w:br/>
        <w:t>la  política  social  junto  con  estudios  de  costos  de   la   violencia,</w:t>
        <w:br/>
        <w:t>redistribución de la riqueza y ofrecer a todos  un  mejor  nivel  laboral  y</w:t>
        <w:br/>
        <w:t>facilidad de recreación sana para los jóvenes.</w:t>
        <w:br/>
        <w:br/>
        <w:t>3)    Peritos propuestos por el Estado</w:t>
        <w:br/>
        <w:br/>
        <w:t xml:space="preserve">     a)    Lolis María Salas Montes, abogada</w:t>
        <w:br/>
        <w:br/>
        <w:t>El Estado lleva a cabo un proceso interinstitucional de grandes  dimensiones</w:t>
        <w:br/>
        <w:t>que busca profundizar la legislación atinente a  la  materia  de  familia  y</w:t>
        <w:br/>
        <w:t>niñez, con el objetivo de superar los vacíos, lagunas, contradicciones y  la</w:t>
        <w:br/>
        <w:t>dispersión  legislativa  en  esta  materia.   Busca  también   adecuar   tal</w:t>
        <w:br/>
        <w:t>legislación a los instrumentos internacionales de  los  cuales  Honduras  es</w:t>
        <w:br/>
        <w:t>signatario.  Entre los actores que integran esa iniciativa  están  la  Corte</w:t>
        <w:br/>
        <w:t>Suprema de Justicia,  el  Congreso  Nacional,  el  Comisionado  Nacional  de</w:t>
        <w:br/>
        <w:t>Derechos Humanos y la Secretaría de Estado en los Despachos  de  Gobernación</w:t>
        <w:br/>
        <w:t>y Justicia.</w:t>
        <w:br/>
        <w:br/>
        <w:t>Se construye un Plan Nacional de Atención a  la  Niñez  y  la  Adolescencia,</w:t>
        <w:br/>
        <w:t>programado a ser  ejecutado  en  el  período  de  2002-2010.   Recientemente</w:t>
        <w:br/>
        <w:t>fueron  convocados   sectores   gubernamentales,   la   sociedad   civil   y</w:t>
        <w:br/>
        <w:t>organizaciones no gubernamentales a efecto de revisar  el  referido  Plan  y</w:t>
        <w:br/>
        <w:t>mejorar la elaboración de las acciones que se llevan a cabo  en  el  país  a</w:t>
        <w:br/>
        <w:t>favor del sector de  la  niñez  y  la  adolescencia.   Una  de  las  grandes</w:t>
        <w:br/>
        <w:t>recomendaciones va dirigida a la inclusión de un  nuevo  capítulo  sobre  la</w:t>
        <w:br/>
        <w:t>violencia contra los niños, niñas y adolescentes, en el cual  se  incorporan</w:t>
        <w:br/>
        <w:t>apartados de maltrato infantil, abuso sexual, y sobre maras o pandillas.</w:t>
        <w:br/>
        <w:br/>
        <w:t>Otro esfuerzo del Estado fue la intervención del Instituto Hondureño  de  la</w:t>
        <w:br/>
        <w:t>Niñez y la Familia  (IHNFA) que  motivó  la  conformación  de  una  Comisión</w:t>
        <w:br/>
        <w:t>Interventora para diagnosticar la realidad de este Instituto, de la cual  la</w:t>
        <w:br/>
        <w:t>perito fue parte desde agosto  de  2003  hasta  septiembre  de  2004.   Esta</w:t>
        <w:br/>
        <w:t>Comisión Interventora elaboró el Diagnóstico Situacional sobre el  escenario</w:t>
        <w:br/>
        <w:t>institucional del  IHNFA  y  sugirió  estrategias  para  lograr  el  respeto</w:t>
        <w:br/>
        <w:t>absoluto al interés superior del niño y la niña.  Como resultado, el  Estado</w:t>
        <w:br/>
        <w:t>amplió el período de nombramiento de la Comisión Interventora, tiempo en  el</w:t>
        <w:br/>
        <w:t>cual se ejecutaron una serie de acciones para asegurar la protección de  los</w:t>
        <w:br/>
        <w:t>menores en situación de riesgo social y en conflicto con la  ley,  con  base</w:t>
        <w:br/>
        <w:t>en la legislación nacional y los instrumentos internacionales en materia  de</w:t>
        <w:br/>
        <w:t>niñez y adolescencia.  Asimismo, se logró  establecer  un  acercamiento  con</w:t>
        <w:br/>
        <w:t>todos los sectores de la sociedad civil y organizaciones no  gubernamentales</w:t>
        <w:br/>
        <w:t>para analizar la situación  del  IHNFA  y  para  conocer  tanto  el  trabajo</w:t>
        <w:br/>
        <w:t>realizado por el Estado como por estos sectores.</w:t>
        <w:br/>
        <w:br/>
        <w:t>El Estado demuestra voluntad en  readecuar  los  presupuestos  nacionales  a</w:t>
        <w:br/>
        <w:t>efecto  de  que  se  asignen  los  recursos  suficientes  para  atender  las</w:t>
        <w:br/>
        <w:t>necesidades  de  la  población  infantil  y  adolescente  en  condición   de</w:t>
        <w:br/>
        <w:t>vulnerabilidad.   Las  instituciones  con  responsabilidad  de  dirigir   la</w:t>
        <w:br/>
        <w:t>materia deben  ser  ubicadas  en  el  nivel  que  les  corresponde  dada  su</w:t>
        <w:br/>
        <w:t>fundamental  importancia  y  ser  beneficiarias  de  los  presupuestos   que</w:t>
        <w:br/>
        <w:t>demandan.</w:t>
        <w:br/>
        <w:br/>
        <w:t xml:space="preserve">     b)    Ramón Antonio Romero Cantarero, asesor Presidencial  en  materia</w:t>
        <w:br/>
        <w:t xml:space="preserve">     de Seguridad,  ex  Consultor  de  la  Comisión  Interinstitucional  de</w:t>
        <w:br/>
        <w:t xml:space="preserve">     Protección a la Integridad Moral y Física de la Niñez</w:t>
        <w:br/>
        <w:br/>
        <w:t>El fenómeno de la muerte violenta de niños y niñas tiene  múltiples  causas,</w:t>
        <w:br/>
        <w:t>pudiendo señalarse, con base en resultados  de  las  investigaciones  de  la</w:t>
        <w:br/>
        <w:t>Unidad  Especial  de  Investigación  de  Muertes  de  Menores:  las  muertes</w:t>
        <w:br/>
        <w:t>ocurridas al interior de las pandillas; las producidas en  conflictos  entre</w:t>
        <w:br/>
        <w:t>pandillas rivales; las producidas por enfrentamiento con la autoridad o  con</w:t>
        <w:br/>
        <w:t>ciudadanos al momento en que los pandilleros están cometiendo  delitos;  las</w:t>
        <w:br/>
        <w:t>que   se   producen   por   ajusticiamientos   ordenados   por   grupos   de</w:t>
        <w:br/>
        <w:t>narcotraficantes y  el  crimen  organizado,  y  las  producidas  por  grupos</w:t>
        <w:br/>
        <w:t>clandestinos,  los  cuales  han  sido  caracterizados  por  el   propio   ex</w:t>
        <w:br/>
        <w:t>Comisionado Nacional de Derechos Humanos, Leo Valladares Lanza, como  grupos</w:t>
        <w:br/>
        <w:t>de limpieza social financiados por  sectores  nacionales  no  identificados,</w:t>
        <w:br/>
        <w:t>presumiblemente  formados   por   delincuentes,   militares,   ex-militares,</w:t>
        <w:br/>
        <w:t>policías y ex–policías.</w:t>
        <w:br/>
        <w:br/>
        <w:t>Desde  1986  hasta  2002  murieron  violentamente  y   en   condiciones   no</w:t>
        <w:br/>
        <w:t>esclarecidas aproximadamente 700 niños y niñas,  conclusión  basada  en  las</w:t>
        <w:br/>
        <w:t>hojas de levantamiento de cadáveres del  Departamento  de  Medicina  Forense</w:t>
        <w:br/>
        <w:t>del Ministerio Público  y  de  la  DGIC,  que  brindan  la  información  más</w:t>
        <w:br/>
        <w:t>fidedigna.  Lo anterior explica la diferencia entre las  cifras  del  Estado</w:t>
        <w:br/>
        <w:t>en  comparación  con  los  números   presentados   por   organizaciones   no</w:t>
        <w:br/>
        <w:t>gubernamentales que tienen como fuente la  imprecisa  información  publicada</w:t>
        <w:br/>
        <w:t>en  los  diarios  nacionales.   Las   muertes   interpandillas   constituyen</w:t>
        <w:br/>
        <w:t>aproximadamente el 60% de los casos; la acción del crimen  organizado  y  el</w:t>
        <w:br/>
        <w:t>narcotráfico ocasiona más del 30% de dichas muertes y un 8% es  atribuido  a</w:t>
        <w:br/>
        <w:t>grupos particulares clandestinos de “limpieza social”.  Las  investigaciones</w:t>
        <w:br/>
        <w:t>también han establecido que entre los presuntos culpables  figuran  policías</w:t>
        <w:br/>
        <w:t>vinculados a  grupos  particulares  y  clandestinos  de  “limpieza  social”,</w:t>
        <w:br/>
        <w:t>procediéndose de inmediato a su enjuiciamiento  penal.   Los  resultados  de</w:t>
        <w:br/>
        <w:t>las distintas acciones tienden a ser evidentes y decisivos en el  mediano  y</w:t>
        <w:br/>
        <w:t>largo plazo, aunque ya existen valiosos resultados de corto plazo.</w:t>
        <w:br/>
        <w:br/>
        <w:t>Ha sido una preocupación del  Estado  investigar  los  casos  de  muerte  de</w:t>
        <w:br/>
        <w:t>menores y acabar con cualquier forma de  impunidad.   El  Presidente  de  la</w:t>
        <w:br/>
        <w:t>República ha reconocido ante la comunidad nacional e  internacional  que  en</w:t>
        <w:br/>
        <w:t>Honduras está sucediendo el fenómeno de muerte violenta de  jóvenes,  muchos</w:t>
        <w:br/>
        <w:t>de  ellos  vinculados  a  pandillas,  así  como   su   compromiso   con   la</w:t>
        <w:br/>
        <w:t>investigación.</w:t>
        <w:br/>
        <w:br/>
        <w:t>El Estado ha adoptado diversas medidas para la prevención de  la  muerte  de</w:t>
        <w:br/>
        <w:t>menores y la violencia  relacionada  con  las  pandillas:  la  creación  del</w:t>
        <w:br/>
        <w:t>Programa Nacional de Prevención,  Rehabilitación  y  Reinserción  Social  de</w:t>
        <w:br/>
        <w:t>personas vinculadas a pandillas;  la  intervención  y  reestructuración  del</w:t>
        <w:br/>
        <w:t>IHNFA;  la  gestión  de  cooperación  internacional  para  la  ejecución  de</w:t>
        <w:br/>
        <w:t>proyectos de readecuación metodológica y de infraestructura  social  de  los</w:t>
        <w:br/>
        <w:t>centros de internamiento de  niños  y  niñas  bajo  la  responsabilidad  del</w:t>
        <w:br/>
        <w:t>IHNFA; el ofrecimiento de oportunidades a más de 600 niños  y  niñas  de  la</w:t>
        <w:br/>
        <w:t>calle o en situación de  riesgo  para  ser  atendidos  en  instituciones  de</w:t>
        <w:br/>
        <w:t>España y un número mayor que es atendido nacionalmente, así como  a  más  de</w:t>
        <w:br/>
        <w:t>un millón de niños beneficiados por el  Programa  de  Merienda  Escolar;  la</w:t>
        <w:br/>
        <w:t>readecuación de la infraestructura de los centros penales,  y  la  ejecución</w:t>
        <w:br/>
        <w:t>de programas de  rehabilitación  y  remoción  de  tatuajes  en  las  granjas</w:t>
        <w:br/>
        <w:t>penales y en algunos centros penitenciarios.</w:t>
        <w:br/>
        <w:br/>
        <w:t xml:space="preserve">     c)     Ricardo  Rolando  Díaz  Martínez,  supervisor  general  de   la</w:t>
        <w:br/>
        <w:t xml:space="preserve">     Secretaría de Seguridad, asignado a cargo de  la  Unidad  Especial  de</w:t>
        <w:br/>
        <w:t xml:space="preserve">     Investigación de Muerte de Menores</w:t>
        <w:br/>
        <w:br/>
        <w:t>La Unidad Especial de Investigación de Muertes de Menores tiene por  función</w:t>
        <w:br/>
        <w:t>investigar todos los casos de muertes de personas  menores  de  21  años  de</w:t>
        <w:br/>
        <w:t>edad con características  o  patrones  considerados  como  ejecuciones.   El</w:t>
        <w:br/>
        <w:t>equipo  tiene  a  cargo  alrededor  de  1,016   expedientes   asignados   de</w:t>
        <w:br/>
        <w:t>homicidios, dentro de los cuales un promedio de 186  han  sido  remitidos  a</w:t>
        <w:br/>
        <w:t>los Fiscales del Ministerio Público.</w:t>
        <w:br/>
        <w:br/>
        <w:t>Informes mensuales con los resultados de las actividades investigativas  son</w:t>
        <w:br/>
        <w:t>rendidos a la Comisión Interinstitucional de Protección  a  la  Niñez  y  la</w:t>
        <w:br/>
        <w:t>Infancia, órgano superior a la Unidad Especial. Mediante la cooperación  con</w:t>
        <w:br/>
        <w:t>organizaciones no-gubernamentales se ha logrado  establecer  algún  tipo  de</w:t>
        <w:br/>
        <w:t>protección  testifical  a  declarantes  o  personal  conocedores  de  hechos</w:t>
        <w:br/>
        <w:t>violentos. Asimismo, se ha logrado establecer  mecanismos  transparentes  de</w:t>
        <w:br/>
        <w:t>información referente a las actividades investigativas que se realizan.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38.    En  este  caso,  como  en  otros[6],  el  Tribunal  admite  el  valor</w:t>
        <w:br/>
        <w:t>probatorio de los documentos presentados  oportunamente  por  las  partes  o</w:t>
        <w:br/>
        <w:t>solicitadas como prueba para mejor resolver de conformidad con  el  artículo</w:t>
        <w:br/>
        <w:t>45 de su Reglamento, que no  fueron  controvertidos  ni  objetados,  y  cuya</w:t>
        <w:br/>
        <w:t>autenticidad no fue puesta en duda.</w:t>
        <w:br/>
        <w:br/>
        <w:t>39.   La Corte agrega al acervo probatorio, de conformidad con  el  artículo</w:t>
        <w:br/>
        <w:t>45.1 del Reglamento y por estimarlos útiles para  resolver  este  caso,  los</w:t>
        <w:br/>
        <w:t>documentos aportados por los  representantes  como  anexos  a  sus  alegatos</w:t>
        <w:br/>
        <w:t>finales escritos (supra párr. 25), y los documentos aportados por el  perito</w:t>
        <w:br/>
        <w:t>Leo Valladares Lanza como anexos a su dictamen (supra párr. 22).</w:t>
        <w:br/>
        <w:br/>
        <w:br/>
        <w:t>40.   En aplicación de lo dispuesto en el artículo 45.1 del  Reglamento,  la</w:t>
        <w:br/>
        <w:t>Corte incorpora al acervo probatorio del  caso  los  documentos  presentados</w:t>
        <w:br/>
        <w:t>por  los  representantes  que  corresponden  a  parte  de   los   documentos</w:t>
        <w:br/>
        <w:t>requeridos por el Tribunal como prueba para mejor resolver (supra párrs.  29</w:t>
        <w:br/>
        <w:t>y 31).  El Estado presentó también parte de la prueba  para  mejor  resolver</w:t>
        <w:br/>
        <w:t>solicitada (supra párr. 29).</w:t>
        <w:br/>
        <w:br/>
        <w:t>41.   La Corte agrega los siguientes documentos  al  acervo  probatorio,  en</w:t>
        <w:br/>
        <w:t>aplicación del artículo 45.1 del Reglamento, por considerarlos  útiles  para</w:t>
        <w:br/>
        <w:t>la  resolución  de  este  caso  se  agregan  al  acervo  probatorio  algunos</w:t>
        <w:br/>
        <w:t>documentos que no fueron presentados por los representantes  en  el  momento</w:t>
        <w:br/>
        <w:t>procesal oportuno, a  saber:  parte  del  expediente  judicial  interno  que</w:t>
        <w:br/>
        <w:t>corresponde a los folios 502 a 569; oficio del Juzgado de  Letras  Penal  de</w:t>
        <w:br/>
        <w:t>la Sección Judicial  de  Tegucigalpa,  Departamento  de  Francisco  Morazán,</w:t>
        <w:br/>
        <w:t>dirigido a  la  señora  Presidenta  de  la  Corte  Suprema  de  Justicia  de</w:t>
        <w:br/>
        <w:t>Honduras, de 26 de mayo de 2006; certificación  de  acta  de  nacimiento  de</w:t>
        <w:br/>
        <w:t>Diomedes Tito Casildo García, No. 0201-1940-00277, emitida por  el  Registro</w:t>
        <w:br/>
        <w:t>Nacional de las Personas, Registro Civil Municipal, el 19 de junio de  2006;</w:t>
        <w:br/>
        <w:t>certificación de acta de nacimiento de Andrea Sánchez Loredo, No. 0201-1935-</w:t>
        <w:br/>
        <w:t>00149, emitida por el Registro Nacional  de  las  Personas,  Registro  Civil</w:t>
        <w:br/>
        <w:t>Municipal, el 19 de junio de 2006; certificación de  acta  de  defunción  de</w:t>
        <w:br/>
        <w:t>Andrea  Sánchez  Loredo,  No.  0107-1985-00206,  emitida  por  el   Registro</w:t>
        <w:br/>
        <w:t>Nacional de las Personas, Registro Civil Municipal el 20 de junio  de  2006;</w:t>
        <w:br/>
        <w:t>certificación de acta de nacimiento de Ester Patricia  García  Sánchez,  No.</w:t>
        <w:br/>
        <w:t>0801-1979-08582, emitida por el Registro Nacional de las Personas,  Registro</w:t>
        <w:br/>
        <w:t>Civil  Municipal,  el  19  de  junio  de  2006;  certificación  de  acta  de</w:t>
        <w:br/>
        <w:t>nacimiento de Jorge Moisés García Sánchez, No. 0801-1976-09742, emitida  por</w:t>
        <w:br/>
        <w:t>el Registro Nacional de las Personas, Registro Civil  Municipal,  el  19  de</w:t>
        <w:br/>
        <w:t>junio de 2006; y certificación de  acta  de  nacimiento  de  Fidelia  Sarahí</w:t>
        <w:br/>
        <w:t>García Sánchez, No. 0801-1977-07721, emitida por  el  Registro  Nacional  de</w:t>
        <w:br/>
        <w:t>las Personas, Registro Civil Municipal, el 19 de junio de  2006.   Asimismo,</w:t>
        <w:br/>
        <w:t>de conformidad con lo dispuesto en  el  artículo  45.1  del  Reglamento,  la</w:t>
        <w:br/>
        <w:t>Corte agrega al acervo probatorio algunos documentos  que,  si  bien  fueron</w:t>
        <w:br/>
        <w:t>presentados extemporáneamente por el Estado como  anexos  a  su  escrito  de</w:t>
        <w:br/>
        <w:t>alegatos finales (supra párr. 26 e infra párr. 49),  el  Tribunal  considera</w:t>
        <w:br/>
        <w:t>que aportan elementos y son útiles para la resolución del presente  caso,  a</w:t>
        <w:br/>
        <w:t>saber: Diagnóstico de  la  Criminalidad  en  Honduras  (Resumen  Ejecutivo),</w:t>
        <w:br/>
        <w:t>Comisionado Nacional de los Derechos Humanos de  Honduras,  UNDP;  Compendio</w:t>
        <w:br/>
        <w:t>de  acuerdos  2000-2003,  Comisión  Interinstitucional  de  Justicia   Penal</w:t>
        <w:br/>
        <w:t>(CIJP), Agencia Española de Cooperación Internacional  (AECI),  Proyecto  de</w:t>
        <w:br/>
        <w:t>Fortalecimiento  del  Poder  Judicial  de  Honduras.   Tegucigalpa   M.D.C.,</w:t>
        <w:br/>
        <w:t>Honduras. Mayo  2004;  Informe  sobre  los  avances  en  los  procedimientos</w:t>
        <w:br/>
        <w:t>legales y de investigación de muertes de niños y jóvenes en Honduras  de  25</w:t>
        <w:br/>
        <w:t>de agosto de 2003. Secretaría de Estado en los Despachos  de  Gobernación  y</w:t>
        <w:br/>
        <w:t>Justicia, Tegucigalpa M.D.C., Honduras; Informe sobre  los  avances  en  los</w:t>
        <w:br/>
        <w:t>procedimientos legales y de investigación de muertes de niños y  jóvenes  en</w:t>
        <w:br/>
        <w:t>Honduras de 25 de febrero de 2004, Secretaría de Estado en los Despachos  de</w:t>
        <w:br/>
        <w:t>Gobernación y Justicia,  Tegucigalpa  M.D.C,  Honduras;  Informe  sobre  los</w:t>
        <w:br/>
        <w:t>avances en los procedimientos legales  y  de  investigación  de  muertes  de</w:t>
        <w:br/>
        <w:t>niños y jóvenes en Honduras de 25 de agosto de 2003,  Secretaría  de  Estado</w:t>
        <w:br/>
        <w:t>en los Despachos de Gobernación y  Justicia,  Tegucigalpa  M.D.C,  Honduras;</w:t>
        <w:br/>
        <w:t>Estadísticas a nivel nacional.  Publicado entre julio de 2003 y  octubre  de</w:t>
        <w:br/>
        <w:t>2005 y Estadísticas a nivel nacional.   Publicado  entre  julio  de  2003  y</w:t>
        <w:br/>
        <w:t>enero de 2006. Unidad Especial  de  Investigación  de  Muertes  de  Menores;</w:t>
        <w:br/>
        <w:t>Informe de sentencias condenatorias en muertes violentas de niños  y  niñas.</w:t>
        <w:br/>
        <w:t>Ministerio Público; Listados de participantes y materiales  de  capacitación</w:t>
        <w:br/>
        <w:t>de Talleres de identificación de maras y tatuajes; y  Estadísticas  a  nivel</w:t>
        <w:br/>
        <w:t>nacional  junio  de  2003  hasta  enero  del  2006.   Unidad   Especial   de</w:t>
        <w:br/>
        <w:t>Investigación de Muertes de Menores.  Por  último,  de  conformidad  con  lo</w:t>
        <w:br/>
        <w:t>dispuesto en el artículo 45.1 del Reglamento, la Corte  agrega  como  prueba</w:t>
        <w:br/>
        <w:t>para mejor resolver el documento  “Los  derechos  civiles  y  políticos,  en</w:t>
        <w:br/>
        <w:t>particular  las  cuestiones  relacionadas  con  las  desapariciones  y   las</w:t>
        <w:br/>
        <w:t>ejecuciones sumarias. Ejecuciones extrajudiciales, sumarias o  arbitrarias”.</w:t>
        <w:br/>
        <w:t>Informe  de  la  Relatora  Especial,  Sra.  Asma  Jahangir,  presentado   en</w:t>
        <w:br/>
        <w:t>cumplimiento de la Resolución 2002/36 de la Comisión  de  Derechos  Humanos.</w:t>
        <w:br/>
        <w:t>Adición. Misión a Honduras. E/CN.4/2003/3/Add.2. 14 de junio de 2002.</w:t>
        <w:br/>
        <w:t>42.    Respecto  de  las  declaraciones  rendidas   ante   notario   público</w:t>
        <w:br/>
        <w:t>(affidávit) por los peritos Ramón Antonio Romero Cantarero, Ricardo  Rolando</w:t>
        <w:br/>
        <w:t>Díaz Martínez y Nora Suyapa Urbina Pineda  (supra  párr.  23),  la  Comisión</w:t>
        <w:br/>
        <w:t>indicó que concuerda  con  la  observación  hecha  en  su  momento  por  los</w:t>
        <w:br/>
        <w:t>representantes, en el sentido  de  que  dichas  personas  eran  funcionarios</w:t>
        <w:br/>
        <w:t>públicos, y que por razón de su  puesto  podían  tener  una  motivación  que</w:t>
        <w:br/>
        <w:t>permite cuestionar  su  caracterización  como  peritos.   En  cuanto  a  las</w:t>
        <w:br/>
        <w:t>observaciones específicas, la Comisión señaló que el señor  Ricardo  Rolando</w:t>
        <w:br/>
        <w:t>Díaz Martínez, Supervisor General de la Secretaría de Seguridad, asignado  a</w:t>
        <w:br/>
        <w:t>cargo de la Unidad Especial de Investigación de  Muertes  de  Menores  desde</w:t>
        <w:br/>
        <w:t>mayo de 2003, rindió su declaración “desde el  punto  de  vista  de  persona</w:t>
        <w:br/>
        <w:t>interesada en probar la efectividad  de  medidas  adoptadas  por  el  Estado</w:t>
        <w:br/>
        <w:t>respecto de algunos elementos sustantivos”.  Igualmente,  manifestó  que  el</w:t>
        <w:br/>
        <w:t>señor Romero Cantarero rindió declaración respecto a “asuntos que estaban  a</w:t>
        <w:br/>
        <w:t>su cargo [como Consultor o Asesor Presidencial]”  y  que  la  señora  Urbina</w:t>
        <w:br/>
        <w:t>Pineda rindió declaración sobre “el descargo de su labor de Fiscal  Especial</w:t>
        <w:br/>
        <w:t>de  la  Niñez”.   En  consecuencia,  la  Comisión  concluyó  que  las   tres</w:t>
        <w:br/>
        <w:t>declaraciones “carecen de  las  características  de  imparcialidad  que  son</w:t>
        <w:br/>
        <w:t>necesarias para fundamentar la  recepción  de  una  opinión  en  calidad  de</w:t>
        <w:br/>
        <w:t>pericia”.</w:t>
        <w:br/>
        <w:br/>
        <w:t>43.   Al respecto, en primer lugar, la Corte observa  que,  pese  a  que  se</w:t>
        <w:br/>
        <w:t>requirió reiteradamente a Ramón Antonio Romero  Cantarero,  Ricardo  Rolando</w:t>
        <w:br/>
        <w:t>Díaz Martínez y Nora Suyapa Urbina Pineda, por  intermedio  del  Estado,  la</w:t>
        <w:br/>
        <w:t>presentación de información de si se encontraban comprendidos en  alguna  de</w:t>
        <w:br/>
        <w:t>las causales descritas en el artículo 50 del Reglamento en relación  con  el</w:t>
        <w:br/>
        <w:t>artículo 19.1 del Estatuto y  si  tuvieron  participación  directa  en  este</w:t>
        <w:br/>
        <w:t>caso, ésta no fue presentada.   En  ese  sentido,  este  Tribunal  llama  la</w:t>
        <w:br/>
        <w:t>atención al Estado que al haber propuesto a dichas  personas  como  peritos,</w:t>
        <w:br/>
        <w:t>quienes por su intermedio debían remitir  la  información  requerida,  debió</w:t>
        <w:br/>
        <w:t>hacer  las  diligencias  pertinentes  para  allegar   a   la   Corte   dicha</w:t>
        <w:br/>
        <w:t>información, para que el Tribunal pudiera contar con ésta[7].</w:t>
        <w:br/>
        <w:br/>
        <w:t>44.    En  segundo  lugar,  en  lo  que  se  refiere   propiamente   a   las</w:t>
        <w:br/>
        <w:t>declaraciones rendidas ante notario público por los  peritos  Ramón  Antonio</w:t>
        <w:br/>
        <w:t>Romero Cantarero (supra  párr.  37.3.b)  y  Ricardo  Rolando  Díaz  Martínez</w:t>
        <w:br/>
        <w:t>(supra párr. 37.3.c), tomando en cuenta las observaciones  de  la  Comisión,</w:t>
        <w:br/>
        <w:t>esta Corte las admite dentro del conjunto del acervo probatorio, de  acuerdo</w:t>
        <w:br/>
        <w:t>a los principios de la sana crítica.</w:t>
        <w:br/>
        <w:br/>
        <w:t>45.   En lo que se refiere a la declaración  rendida  ante  notario  público</w:t>
        <w:br/>
        <w:t>por  la  señora  Nora  Suyapa  Urbina  Pineda,  la  misma   fue   presentada</w:t>
        <w:br/>
        <w:t>extemporáneamente, el 16 de enero de 2006 (supra párr. 23), es  decir,  once</w:t>
        <w:br/>
        <w:t>días después del plazo fijado para hacerlo, por lo que este Tribunal  no  la</w:t>
        <w:br/>
        <w:t>admite dentro del acervo probatorio.</w:t>
        <w:br/>
        <w:br/>
        <w:t>46.   En lo que se refiere a las  declaraciones  autenticadas  rendidas  por</w:t>
        <w:br/>
        <w:t>los peritos Leo Valladares Lanza  (supra  párr.  37.1.a),  ofrecido  por  la</w:t>
        <w:br/>
        <w:t>Comisión; Reina Auxiliadora  Rivera  Joya  (supra  párr.  37.2.a)  y  Carlos</w:t>
        <w:br/>
        <w:t>Tiffer Sotomayor (supra párr. 37.2.b), ofrecidos por los  representantes,  y</w:t>
        <w:br/>
        <w:t>el dictamen rendido ante notario público (affidávit) por Lolis  María  Salas</w:t>
        <w:br/>
        <w:t>Montes (supra párr. 37.3.a), propuesta por el Estado, esta Corte admite  los</w:t>
        <w:br/>
        <w:t>peritajes, y los valora en el conjunto del acervo probatorio  de  acuerdo  a</w:t>
        <w:br/>
        <w:t>la sana crítica.  Cabe mencionar  que  el  Tribunal  ha  admitido  en  otras</w:t>
        <w:br/>
        <w:t>ocasiones declaraciones  juradas  que  no  fueron  rendidas  ante  fedatario</w:t>
        <w:br/>
        <w:t>público, cuando no se afecta la seguridad jurídica y el equilibrio  procesal</w:t>
        <w:br/>
        <w:t>entre las partes[8].</w:t>
        <w:br/>
        <w:br/>
        <w:t>47.   Por otra parte, mediante la Resolución de 24 de noviembre de 2005,  la</w:t>
        <w:br/>
        <w:t>Corte requirió a la Comisión  Interamericana,  a  los  representantes  y  al</w:t>
        <w:br/>
        <w:t>Estado la presentación de los alegatos finales escritos, a más tardar el  23</w:t>
        <w:br/>
        <w:t>de  enero  de  2006  (supra  párr.  20).   Tanto  la   Comisión   como   los</w:t>
        <w:br/>
        <w:t>representantes  remitieron  los  referidos  alegatos  finales  en  la  fecha</w:t>
        <w:br/>
        <w:t>indicada (supra párr. 25).   El Estado, por su parte,  presentó  su  escrito</w:t>
        <w:br/>
        <w:t>de alegatos finales junto con sus anexos el 24 de  febrero  de  2006  (supra</w:t>
        <w:br/>
        <w:t>párr. 26).</w:t>
        <w:br/>
        <w:br/>
        <w:t>48.   Al respecto, el 13 de marzo de 2006 la Comisión y  los  representantes</w:t>
        <w:br/>
        <w:t>presentaron sus observaciones en  relación  con  la  presentación  de  dicho</w:t>
        <w:br/>
        <w:t>escrito del Estado.  La Comisión indicó que  la  remisión  de  los  alegatos</w:t>
        <w:br/>
        <w:t>finales del  Estado  y  sus  anexos  fue  extemporánea  y  que  su  admisión</w:t>
        <w:br/>
        <w:t>atentaría contra la igualdad entre las partes en el  procedimiento  ante  la</w:t>
        <w:br/>
        <w:t>Corte.  Por su parte, los representantes solicitaron  a  la  Corte  que  “no</w:t>
        <w:br/>
        <w:t>admita los alegatos finales presentados por el […]  Estado  […],  por  haber</w:t>
        <w:br/>
        <w:t>sido presentados de forma extemporánea  y  haberse  afectado  el  equilibrio</w:t>
        <w:br/>
        <w:t>procesal” de las partes.  Sin embargo, también indicaron que en  la  sección</w:t>
        <w:br/>
        <w:t>titulada  “Contenido  y  alcances  del  Allanamiento  Parcial  del  Estado”,</w:t>
        <w:br/>
        <w:t>Honduras  brinda  “luces  acerca   del   alcance   de   la   aceptación   de</w:t>
        <w:br/>
        <w:t>responsabilidad internacional del Estado, que hasta  el  momento  no  estaba</w:t>
        <w:br/>
        <w:t>claro[, y que] pareciera indicar que su allanamiento abarca  todos  aquellos</w:t>
        <w:br/>
        <w:t>puntos de este litigio que no se refieren a la existencia de  un  patrón  de</w:t>
        <w:br/>
        <w:t>ejecuciones extrajudiciales  de  niños,  niñas  y  adolescentes  tolerado  o</w:t>
        <w:br/>
        <w:t>fomentado  por  el  Estado”,  y  solicitaron  que  la  Corte  “se  pronuncie</w:t>
        <w:br/>
        <w:t>favorablemente al allanamiento presentado [por el Estado]  en  los  términos</w:t>
        <w:br/>
        <w:t>descritos”.</w:t>
        <w:br/>
        <w:br/>
        <w:t>49.   Dado que el Estado presentó su escrito de alegatos finales  junto  con</w:t>
        <w:br/>
        <w:t>sus anexos extemporáneamente, este Tribunal no  los  admite.   No  obstante,</w:t>
        <w:br/>
        <w:t>esta Corte no puede dejar de  observar  que  en  el  mencionado  escrito  el</w:t>
        <w:br/>
        <w:t>Estado  se  manifestó   sobre   el   alcance   de   su   reconocimiento   de</w:t>
        <w:br/>
        <w:t>responsabilidad, al ampliar y precisar los términos de éste en relación  con</w:t>
        <w:br/>
        <w:t>las violaciones alegadas por la  Comisión  y  los  representantes.   A  este</w:t>
        <w:br/>
        <w:t>respecto, dado  que  el  Estado  puede  allanarse  en  cualquier  etapa  del</w:t>
        <w:br/>
        <w:t>procedimiento[9], este Tribunal considera que no puede excluir o limitar  el</w:t>
        <w:br/>
        <w:t>efecto de lo manifestado por el  Estado  respecto  a  su  allanamiento.   En</w:t>
        <w:br/>
        <w:t>consecuencia, esta Corte considerará lo expresado  por  el  Estado  respecto</w:t>
        <w:br/>
        <w:t>del allanamiento en el escrito de referencia.</w:t>
        <w:br/>
        <w:br/>
        <w:t>50.   En cuanto a los documentos de prensa presentados por las partes,  este</w:t>
        <w:br/>
        <w:t>Tribunal  considera  que  podrían  ser  apreciados  cuando  recojan   hechos</w:t>
        <w:br/>
        <w:t>públicos y notorios o declaraciones de funcionarios  del  Estado,  o  cuando</w:t>
        <w:br/>
        <w:t>corroboren aspectos relacionados con el caso[10].</w:t>
        <w:br/>
        <w:br/>
        <w:br/>
        <w:t xml:space="preserve">                                     VI</w:t>
        <w:br/>
        <w:t xml:space="preserve">               Reconocimiento de Responsabilidad Internacional</w:t>
        <w:br/>
        <w:br/>
        <w:t>51.   El artículo 53.2 del Reglamento establece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52.   La Corte Interamericana,  en  ejercicio  de  su  función  contenciosa,</w:t>
        <w:br/>
        <w:t>aplica e interpreta la Convención Americana y, cuando un  caso  ya  ha  sido</w:t>
        <w:br/>
        <w:t>sometido  a  su   jurisdicción,   es   la   facultada   para   declarar   la</w:t>
        <w:br/>
        <w:t>responsabilidad internacional de  un  Estado  Parte  en  la  Convención  por</w:t>
        <w:br/>
        <w:t>violación a sus disposiciones[11].</w:t>
        <w:br/>
        <w:br/>
        <w:t>53.   El Tribunal, en el uso de sus  funciones  jurisdiccionales  de  tutela</w:t>
        <w:br/>
        <w:t>internacional  de   los   derechos   humanos,   podrá   determinar   si 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 Para estos  efectos,</w:t>
        <w:br/>
        <w:t>la Corte analizará la situación planteada en cada caso concreto[12].</w:t>
        <w:br/>
        <w:br/>
        <w:t>54.   El Estado en la contestación de la demanda indicó que</w:t>
        <w:br/>
        <w:br/>
        <w:t xml:space="preserve">      no contiende los hechos relacionados en los párrafos 27 al 106  de  la</w:t>
        <w:br/>
        <w:t xml:space="preserve">      demanda [… de]  la  Comisión  Interamericana  […],  así  como  tampoco</w:t>
        <w:br/>
        <w:t xml:space="preserve">      contiende las alegaciones referentes a estos mismos hechos presentados</w:t>
        <w:br/>
        <w:t xml:space="preserve">      por [… los] representantes,  […  ya]  que  los  mismos  se  encuentran</w:t>
        <w:br/>
        <w:t xml:space="preserve">      debidamente fundamentados y comprobados.  Consecuentemente, el  Estado</w:t>
        <w:br/>
        <w:t xml:space="preserve">      […] acepta la comisión  de  actos  de  parte  de  individuos  que,  no</w:t>
        <w:br/>
        <w:t xml:space="preserve">      obstante desembocaron en las violaciones alegadas por la […]  Comisión</w:t>
        <w:br/>
        <w:t xml:space="preserve">      y […] [los representantes] en cuanto a las [presuntas] víctimas y  sus</w:t>
        <w:br/>
        <w:t xml:space="preserve">      familiares, pero rechaza que las mismas se hallan dado  dentro  de  un</w:t>
        <w:br/>
        <w:t xml:space="preserve">      contexto de violación sistemática de los derechos humanos tolerada por</w:t>
        <w:br/>
        <w:t xml:space="preserve">      el Estado.</w:t>
        <w:br/>
        <w:br/>
        <w:br/>
        <w:t xml:space="preserve">      […]</w:t>
        <w:br/>
        <w:br/>
        <w:br/>
        <w:t xml:space="preserve">      […E]l Estado […] se allana a las  partes  de  la  demanda  que  tienen</w:t>
        <w:br/>
        <w:t xml:space="preserve">      relación con  estos  lamentables  hechos,  aceptando  las  medidas  de</w:t>
        <w:br/>
        <w:t xml:space="preserve">      reparación propuestas por los demandantes y comprometiéndose  a  darle</w:t>
        <w:br/>
        <w:t xml:space="preserve">      cumplimiento en el menor tiempo posible a lo que esa […] Corte tenga a</w:t>
        <w:br/>
        <w:t xml:space="preserve">      bien ordenar sobre este aspecto.  El Estado […] NO  se  allana  a  las</w:t>
        <w:br/>
        <w:t xml:space="preserve">      partes contenidas en los alegatos de la  […]  Comisión  […]  y  […los]</w:t>
        <w:br/>
        <w:t xml:space="preserve">      representantes que señalan la existencia de un  contexto  de  supuesta</w:t>
        <w:br/>
        <w:t xml:space="preserve">      violación sistemática de los derechos humanos  tolerado  y  consentido</w:t>
        <w:br/>
        <w:t xml:space="preserve">      por el mismo.</w:t>
        <w:br/>
        <w:br/>
        <w:t>55.   Al referirse al reconocimiento de responsabilidad,  el  Estado,  inter</w:t>
        <w:br/>
        <w:t>alia:</w:t>
        <w:br/>
        <w:br/>
        <w:t xml:space="preserve">      a)    reconoció, en cuanto  a  la  violación  del  artículo  7  de  la</w:t>
        <w:br/>
        <w:t xml:space="preserve">      Convención, que:  i)  Marco  Antonio  Servellón  García,  Rony  Alexis</w:t>
        <w:br/>
        <w:t xml:space="preserve">      Betancourth Vásquez, Orlando  Álvarez  Ríos  y  Diomedes  Obed  García</w:t>
        <w:br/>
        <w:t xml:space="preserve">      Sánchez fueron detenidos sin orden de captura, y ninguno de ellos  fue</w:t>
        <w:br/>
        <w:t xml:space="preserve">      sorprendido in fraganti en la comisión de un delito,  por  lo  que  al</w:t>
        <w:br/>
        <w:t xml:space="preserve">      detenerlos con violencia excesiva y sin razón justificada se violó  el</w:t>
        <w:br/>
        <w:t xml:space="preserve">      artículo 7.2 y 7.3 de la Convención; ii) no informó a  los  padres  de</w:t>
        <w:br/>
        <w:t xml:space="preserve">      los menores Servellón García y Betancourth Vásquez sobre su detención,</w:t>
        <w:br/>
        <w:t xml:space="preserve">      pese a que existía  la  obligación  especial  de  hacerlo,  ni  a  los</w:t>
        <w:br/>
        <w:t xml:space="preserve">      familiares de Orlando Álvarez Ríos y Diomedes Obed García Sánchez,  en</w:t>
        <w:br/>
        <w:t xml:space="preserve">      violación del artículo  7.4  de  la  Convención;  iii)  las  presuntas</w:t>
        <w:br/>
        <w:t xml:space="preserve">      víctimas no fueron puestas en libertad a  pesar  de  que  la  Juez  de</w:t>
        <w:br/>
        <w:t xml:space="preserve">      Policía dictó una  resolución  que  lo  disponía,  quedando  detenidas</w:t>
        <w:br/>
        <w:t xml:space="preserve">      clandestinamente, ya que estas aparecían en el listado de las personas</w:t>
        <w:br/>
        <w:t xml:space="preserve">      liberadas el 16 de septiembre de 1995, y que  dicha  Juez  tampoco  se</w:t>
        <w:br/>
        <w:t xml:space="preserve">      aseguró que se hiciera efectiva la mencionada resolución, en violación</w:t>
        <w:br/>
        <w:t xml:space="preserve">      del artículo artículo 7.5 de la Convención; iv) los menores  Servellón</w:t>
        <w:br/>
        <w:t xml:space="preserve">      García y Betancourth Vásquez no fueron separados  de  los  adultos  al</w:t>
        <w:br/>
        <w:t xml:space="preserve">      momento de su detención y su permanencia en la celdas de  la  policía,</w:t>
        <w:br/>
        <w:t xml:space="preserve">      lo que los expuso a circunstancias perjudiciales para los  menores  de</w:t>
        <w:br/>
        <w:t xml:space="preserve">      edad, ni se adoptaron medidas para que los niños tuvieran contacto con</w:t>
        <w:br/>
        <w:t xml:space="preserve">      sus familiares o que un juez de menores revisara la  legalidad  de  su</w:t>
        <w:br/>
        <w:t xml:space="preserve">      detención, y v) al estar detenidas clandestinamente, a  las  presuntas</w:t>
        <w:br/>
        <w:t xml:space="preserve">      víctimas se les privó de  su  derecho  de  hacer  uso  de  un  recurso</w:t>
        <w:br/>
        <w:t xml:space="preserve">      sencillo y efectivo para garantizar su libertad  (hábeas  corpus),  en</w:t>
        <w:br/>
        <w:t xml:space="preserve">      violación del artículo 7.6 de la Convención;</w:t>
        <w:br/>
        <w:t xml:space="preserve">      b)    reconoció la violación del  artículo  4  de  la  Convención,  en</w:t>
        <w:br/>
        <w:t xml:space="preserve">      perjuicio de las cuatro presuntas víctimas,  ya  que  se  ocasionó  su</w:t>
        <w:br/>
        <w:t xml:space="preserve">      muerte y el hecho ocurrió mientras se encontraban bajo la custodia  de</w:t>
        <w:br/>
        <w:t xml:space="preserve">      agentes del Estado;</w:t>
        <w:br/>
        <w:t xml:space="preserve">      c)    reconoció la violación del  artículo  5  de  la  Convención,  en</w:t>
        <w:br/>
        <w:t xml:space="preserve">      perjuicio de las cuatro presuntas víctimas, por las torturas y  tratos</w:t>
        <w:br/>
        <w:t xml:space="preserve">      crueles, inhumanos y degradantes  a  que  fueron  sometidas,  como  lo</w:t>
        <w:br/>
        <w:t xml:space="preserve">      demostró la evidencia física al momento de hacer el  levantamiento  de</w:t>
        <w:br/>
        <w:t xml:space="preserve">      los cadáveres;</w:t>
        <w:br/>
        <w:t xml:space="preserve">      d)    reconoció la violación de los artículos 8 y 25 de la Convención,</w:t>
        <w:br/>
        <w:t xml:space="preserve">      ya que en la forma en que se desarrollaron los hechos no  fue  posible</w:t>
        <w:br/>
        <w:t xml:space="preserve">      permitir a  los  cuatro  detenidos  y  posteriormente  asesinados  una</w:t>
        <w:br/>
        <w:t xml:space="preserve">      protección efectiva a través del recurso de hábeas corpus.  En  cuanto</w:t>
        <w:br/>
        <w:t xml:space="preserve">      al “indulto” que supuestamente concedió  la  Juez  de  Policía  Roxana</w:t>
        <w:br/>
        <w:t xml:space="preserve">      Sierra, tal y como el Estado lo ha sostenido, lo  que  hubo  fue  “una</w:t>
        <w:br/>
        <w:t xml:space="preserve">      mala  utilización  del  término”  por  parte   de   los   funcionarios</w:t>
        <w:br/>
        <w:t xml:space="preserve">      policiales;</w:t>
        <w:br/>
        <w:t xml:space="preserve">      e)    reconoció que los resultados producidos en la  investigación  no</w:t>
        <w:br/>
        <w:t xml:space="preserve">      han sido hasta ahora adecuados y que, por lo tanto, se han violado por</w:t>
        <w:br/>
        <w:t xml:space="preserve">      omisión los artículos 8 y 25 de la Convención,  en  perjuicio  de  los</w:t>
        <w:br/>
        <w:t xml:space="preserve">      familiares de las presuntas víctimas, pero rechazó que no haya  habido</w:t>
        <w:br/>
        <w:t xml:space="preserve">      investigación de los hechos, y</w:t>
        <w:br/>
        <w:t xml:space="preserve">      f)    reconoció haber violado los derechos señalados, ya que  “aún  no</w:t>
        <w:br/>
        <w:t xml:space="preserve">      ha habido una sanción adecuada de los perpetradores [del] crimen”.</w:t>
        <w:br/>
        <w:br/>
        <w:t>56.   En sus observaciones al allanamiento del Estado, la  Comisión  indicó,</w:t>
        <w:br/>
        <w:t>inter alia, que</w:t>
        <w:br/>
        <w:br/>
        <w:t xml:space="preserve">      a)    ha cesado la controversia sobre  los  hechos  descritos  en  los</w:t>
        <w:br/>
        <w:t xml:space="preserve">      párrafos 27 a 106 de la demanda, así como sobre  las  alegaciones  que</w:t>
        <w:br/>
        <w:t xml:space="preserve">      respecto a éstos  realizaron  los  representantes  en  el  escrito  de</w:t>
        <w:br/>
        <w:t xml:space="preserve">      solicitudes y argumentos, con excepción del contexto en que los hechos</w:t>
        <w:br/>
        <w:t xml:space="preserve">      se produjeron descrito en los párrafos 23  a  26  de  la  demanda.  En</w:t>
        <w:br/>
        <w:t xml:space="preserve">      cuanto a los  hechos  no  reconocidos  por  el  Estado  referentes  al</w:t>
        <w:br/>
        <w:t xml:space="preserve">      supuesto contexto de violencia en que ocurrieron  éstos,  la  Comisión</w:t>
        <w:br/>
        <w:t xml:space="preserve">      señaló que la prueba que ofreció oportunamente demuestra  un  contexto</w:t>
        <w:br/>
        <w:t xml:space="preserve">      de violencia e impunidad,  y  que  la  verificación  del  contexto  es</w:t>
        <w:br/>
        <w:t xml:space="preserve">      fundamental para calificar las violaciones por las que  el  Estado  ha</w:t>
        <w:br/>
        <w:t xml:space="preserve">      asumido responsabilidad y, en especial, para definir las  reparaciones</w:t>
        <w:br/>
        <w:t xml:space="preserve">      cuya ejecución resulta imperativa para  garantizar  la  prevención  de</w:t>
        <w:br/>
        <w:t xml:space="preserve">      violaciones similares;</w:t>
        <w:br/>
        <w:br/>
        <w:br/>
        <w:t xml:space="preserve">      b)    el  Estado  reconoció  la  violación  de  los  artículos  de  la</w:t>
        <w:br/>
        <w:t xml:space="preserve">      Convención alegados por  la  Comisión  en  su  demanda,  pero  formuló</w:t>
        <w:br/>
        <w:t xml:space="preserve">      algunas consideraciones sobre el  modo  en  que,  en  su  opinión,  se</w:t>
        <w:br/>
        <w:t xml:space="preserve">      perpetraron dichas violaciones.  Por ello, la Comisión  considera  que</w:t>
        <w:br/>
        <w:t xml:space="preserve">      los hechos y razones en que el Estado funda  dicho  reconocimiento  no</w:t>
        <w:br/>
        <w:t xml:space="preserve">      corresponden íntegramente a los alegatos por ella expuestos.   En  ese</w:t>
        <w:br/>
        <w:t xml:space="preserve">      sentido, la Comisión señaló que en el presente caso se ha  configurado</w:t>
        <w:br/>
        <w:t xml:space="preserve">      una situación de impunidad, ya que a más de “nueve” años de  ocurridos</w:t>
        <w:br/>
        <w:t xml:space="preserve">      los hechos no se ha individualizado, ni sancionado mediante  sentencia</w:t>
        <w:br/>
        <w:t xml:space="preserve">      firme  y  ejecutoriada,  a  los  responsables   de   las   ejecuciones</w:t>
        <w:br/>
        <w:t xml:space="preserve">      extrajudiciales y torturas de  las  cuatro  presuntas  víctimas.   Sin</w:t>
        <w:br/>
        <w:t xml:space="preserve">      embargo, el Estado, al referirse al petitorio de  la  demanda,  indicó</w:t>
        <w:br/>
        <w:t xml:space="preserve">      que “no puede hablarse de impunidad  en  estos  casos,  de  una  forma</w:t>
        <w:br/>
        <w:t xml:space="preserve">      concluyente y definitiva”, por lo que la Comisión  considera  que  esa</w:t>
        <w:br/>
        <w:t xml:space="preserve">      afirmación “no se compadece con las realidades  probadas  en  el  caso</w:t>
        <w:br/>
        <w:t xml:space="preserve">      […]”.</w:t>
        <w:br/>
        <w:br/>
        <w:br/>
        <w:t xml:space="preserve">      c)     el  reconocimiento  de  responsabilidad  estatal  incluye   una</w:t>
        <w:br/>
        <w:t xml:space="preserve">      aceptación general de la obligación de reparar a la presuntas víctimas</w:t>
        <w:br/>
        <w:t xml:space="preserve">      y sus familiares, y</w:t>
        <w:br/>
        <w:br/>
        <w:br/>
        <w:t xml:space="preserve">      d)    valora el reconocimiento de responsabilidad parcial hecho por el</w:t>
        <w:br/>
        <w:t xml:space="preserve">      Estado.</w:t>
        <w:br/>
        <w:br/>
        <w:t>57.   Por último, la Comisión solicitó a la Corte que admita  la  aceptación</w:t>
        <w:br/>
        <w:t>de  hechos,  así  como  el   reconocimiento   parcial   de   responsabilidad</w:t>
        <w:br/>
        <w:t>internacional efectuada por el Estado,  y  que  en  la  sentencia  la  Corte</w:t>
        <w:br/>
        <w:t>detalle los hechos y  las  consideraciones  de  derecho  que  sustentan  las</w:t>
        <w:br/>
        <w:t>violaciones reconocidas por el Estado.</w:t>
        <w:br/>
        <w:br/>
        <w:t>58.   Por su parte en sus observaciones al  allanamiento  efectuado  por  el</w:t>
        <w:br/>
        <w:t>Estado, los representantes reconocieron “la buena voluntad  manifestada  por</w:t>
        <w:br/>
        <w:t>el Estado […] al no contender los hechos expuestos en la demanda  […]  y  en</w:t>
        <w:br/>
        <w:t>[el escrito de solicitudes y argumentos] ‘en virtud de  que  los  mismos  se</w:t>
        <w:br/>
        <w:t>encuentran  debidamente  fundamentados  y  comprobados´  y  al  aceptar  las</w:t>
        <w:br/>
        <w:t>medidas de reparación propuestas por ambas partes”.  Sin embargo,  señalaron</w:t>
        <w:br/>
        <w:t>que</w:t>
        <w:br/>
        <w:br/>
        <w:t xml:space="preserve">      los términos en los  que  [el  Estado]  […]  realiz[ó]  el  mencionado</w:t>
        <w:br/>
        <w:t xml:space="preserve">      allanamiento no son claros, pues parecen indicar que el Estado  acepta</w:t>
        <w:br/>
        <w:t xml:space="preserve">      su responsabilidad internacional por todas las violaciones alegadas  a</w:t>
        <w:br/>
        <w:t xml:space="preserve">      raíz de los hechos que acepta como  ciertos,  pero  […  del]  apartado</w:t>
        <w:br/>
        <w:t xml:space="preserve">      titulado “SOBRE LOS DERECHOS DE LA CONVENCION AMERICANA SOBRE DERECHOS</w:t>
        <w:br/>
        <w:t xml:space="preserve">      HUMANOS QUE LA COMISION Y LOS  PETICIONARIOS  CONSIDERAN  QUE  SE  HAN</w:t>
        <w:br/>
        <w:t xml:space="preserve">      VIOLENTADO EN EL PRESENTE CASO”, se desprende que el  Estado  no  está</w:t>
        <w:br/>
        <w:t xml:space="preserve">      aceptando todas las violaciones denunciadas.</w:t>
        <w:br/>
        <w:br/>
        <w:br/>
        <w:t xml:space="preserve">      Además, el Estado niega  la  existencia  de  un  patrón  de  “limpieza</w:t>
        <w:br/>
        <w:t xml:space="preserve">      social” en Honduras.</w:t>
        <w:br/>
        <w:br/>
        <w:t>59.   Adicionalmente, los  representantes  indicaron,  inter  alia,  que  el</w:t>
        <w:br/>
        <w:t>Estado: no se refirió a su responsabilidad por no  haber  notificado  a  las</w:t>
        <w:br/>
        <w:t>presuntas víctimas sobre las razones de su detención  (artículo  7.4  de  la</w:t>
        <w:br/>
        <w:t>Convención), y sólo se  refirió  a  la  violación  del  derecho  de  control</w:t>
        <w:br/>
        <w:t>judicial de las presuntas víctimas menores de edad, no así de  las  mayores,</w:t>
        <w:br/>
        <w:t>quienes no fueron remitidas ante un juez  imparcial  e  independiente,  sino</w:t>
        <w:br/>
        <w:t>ante un juez  de  policía  (artículo  7.5  de  la  Convención).   Según  los</w:t>
        <w:br/>
        <w:t>representantes,  el  Estado  tampoco  se  refirió  a  la  violación  de  los</w:t>
        <w:br/>
        <w:t>artículos 5.5 y 19 de la Convención, en perjuicio de las presuntas  víctimas</w:t>
        <w:br/>
        <w:t>menores de edad, por haber  sido  detenidas  junto  con  adultos  y  por  la</w:t>
        <w:br/>
        <w:t>omisión de adoptar medidas de protección especial en relación con  éstas,  y</w:t>
        <w:br/>
        <w:t>ni a la violación del artículo 5 de  la  Convención,  en  perjuicio  de  los</w:t>
        <w:br/>
        <w:t>familiares de las presuntas víctimas.  Los representantes  alegaron  que  el</w:t>
        <w:br/>
        <w:t>Estado no reconoció su responsabilidad por la violación del derecho  de  las</w:t>
        <w:br/>
        <w:t>presuntas víctimas a ser oídas en un plazo razonable  (artículo  8.1  de  la</w:t>
        <w:br/>
        <w:t>Convención), ni se refirió a la violación del  principio  de  presunción  de</w:t>
        <w:br/>
        <w:t>inocencia de  las  presuntas  víctimas  (artículo  8.2  de  la  Convención).</w:t>
        <w:br/>
        <w:t>Igualmente,  el  Estado  omitió  referirse  a  su  responsabilidad  por   la</w:t>
        <w:br/>
        <w:t>violación del derecho de la  verdad  de  los  familiares  de  las  presuntas</w:t>
        <w:br/>
        <w:t>víctimas y de la sociedad hondureña en general (artículos 8, 13,  25  y  1.1</w:t>
        <w:br/>
        <w:t>de la Convención).</w:t>
        <w:br/>
        <w:br/>
        <w:t>60.   Posteriormente, el Estado señaló que si bien el reconocimiento de  los</w:t>
        <w:br/>
        <w:t>hechos fue acompañado de  un  detalle  de  los  derechos  de  la  Convención</w:t>
        <w:br/>
        <w:t>Americana que reconoció que han sido violados en el  presente  caso,  debido</w:t>
        <w:br/>
        <w:t>al interés de los  demandantes  de  una  aclaración  sobre  el  alcance  del</w:t>
        <w:br/>
        <w:t>allanamiento, manifestó que reconoció:</w:t>
        <w:br/>
        <w:br/>
        <w:t xml:space="preserve">      a)    expresamente en la contestación de la demanda la  violación  del</w:t>
        <w:br/>
        <w:t xml:space="preserve">      artículo 7 incisos 1, 2, 3, 4, 5 y 6 (Derecho a la Libertad  Personal)</w:t>
        <w:br/>
        <w:t xml:space="preserve">      de  la  Convención,  y  aclaró  que  dicha  trasgresión  lo   era   en</w:t>
        <w:br/>
        <w:t xml:space="preserve">      concordancia con el artículo 1.1 de este tratado, y que  la  violación</w:t>
        <w:br/>
        <w:t xml:space="preserve">      del artículo 7.6 de la Convención lo era a su vez en relación con  los</w:t>
        <w:br/>
        <w:t xml:space="preserve">      artículos 25 y 1.1 de la misma;</w:t>
        <w:br/>
        <w:t xml:space="preserve">   b) expresamente la violación del artículo  5  (Derecho  a  la  Integridad</w:t>
        <w:br/>
        <w:t xml:space="preserve">      Personal) de la Convención, y aclaró que reconocía dicha violación  en</w:t>
        <w:br/>
        <w:t xml:space="preserve">      los términos de los incisos 1 y 2 del citado artículo,  y  siempre  en</w:t>
        <w:br/>
        <w:t xml:space="preserve">      relación con el artículo 1.1 de ese instrumento;</w:t>
        <w:br/>
        <w:t xml:space="preserve">   c) expresamente su  responsabilidad  por  la  violación  del  artículo  4</w:t>
        <w:br/>
        <w:t xml:space="preserve">      (Derecho a la Vida) de la Convención, y aclaró que este reconocimiento</w:t>
        <w:br/>
        <w:t xml:space="preserve">      se hacía en conexión con el artículo 1.1 de ese tratado;</w:t>
        <w:br/>
        <w:t xml:space="preserve">   d) expresamente en la contestación de la  demanda  la  violación  de  los</w:t>
        <w:br/>
        <w:t xml:space="preserve">      artículos 8 (Garantías Judiciales) y 25 (Protección  Judicial)  de  la</w:t>
        <w:br/>
        <w:t xml:space="preserve">      Convención respecto a Marco  Antonio  Servellón  García,  Rony  Alexis</w:t>
        <w:br/>
        <w:t xml:space="preserve">      Betancourt Vásquez, Diomedes Obed García  Sánchez  y  Orlando  Alvarez</w:t>
        <w:br/>
        <w:t xml:space="preserve">      Ríos, y aclaró que reconocía dicha violación en los  términos  de  los</w:t>
        <w:br/>
        <w:t xml:space="preserve">      incisos 1 y 2 del artículo 8 y el inciso  1  del  artículo  25  de  la</w:t>
        <w:br/>
        <w:t xml:space="preserve">      Convención, y en relación con el artículo 1.1 de ese tratado, y</w:t>
        <w:br/>
        <w:t xml:space="preserve">   e) su responsabilidad por la violación de los artículos 19 (Derechos  del</w:t>
        <w:br/>
        <w:t xml:space="preserve">      Niño), 5.5 y 7.5 de  la  Convención  Americana,  en  conexión  con  el</w:t>
        <w:br/>
        <w:t xml:space="preserve">      artículo 1.1 de la  misma,  respecto  de  los  menores  Marco  Antonio</w:t>
        <w:br/>
        <w:t xml:space="preserve">      Servellón García y Rony  Alexis  Betancourth  Vásquez,  ya  que  dicho</w:t>
        <w:br/>
        <w:t xml:space="preserve">      reconocimiento fue  omitido  en  su  escrito  de  contestación  de  la</w:t>
        <w:br/>
        <w:t xml:space="preserve">      demanda.</w:t>
        <w:br/>
        <w:br/>
        <w:t xml:space="preserve">                                      *</w:t>
        <w:br/>
        <w:t xml:space="preserve">                                   *     *</w:t>
        <w:br/>
        <w:br/>
        <w:t>61.   Con base en los hechos establecidos, las  pruebas  presentadas  en  el</w:t>
        <w:br/>
        <w:t>presente caso, así como lo alegado por las  partes,  la  Corte  procederá  a</w:t>
        <w:br/>
        <w:t>determinar  el  alcance  y   efectos   jurídicos   del   reconocimiento   de</w:t>
        <w:br/>
        <w:t>responsabilidad internacional efectuado por el Estado (supra párrs. 16,  54,</w:t>
        <w:br/>
        <w:t>55  y  60),  en  el  marco  de  la  responsabilidad  estatal  generada   por</w:t>
        <w:br/>
        <w:t>violaciones a la Convención Americana.  Para  dichos  efectos  analizará  el</w:t>
        <w:br/>
        <w:t>referido reconocimiento de responsabilidad bajo tres aspectos: 1) en  cuanto</w:t>
        <w:br/>
        <w:t>a los hechos; 2) en cuanto al derecho, y 3) en cuanto a las reparaciones.</w:t>
        <w:br/>
        <w:br/>
        <w:t>1)    En cuanto a los hechos</w:t>
        <w:br/>
        <w:br/>
        <w:t>62.   En atención al reconocimiento  de  responsabilidad  efectuado  por  el</w:t>
        <w:br/>
        <w:t>Estado, el Tribunal considera  que  ha  cesado  la  controversia  sobre  los</w:t>
        <w:br/>
        <w:t>hechos contenidos en los párrafos 27 a 106 de la demanda interpuesta por  la</w:t>
        <w:br/>
        <w:t>Comisión Interamericana en el presente caso (supra párr. 11).  Sin  embargo,</w:t>
        <w:br/>
        <w:t>el Estado señaló que no es cierto que no ha habido investigación  y  que  en</w:t>
        <w:br/>
        <w:t>el caso no se puede hablar de una impunidad concluyente y definitiva.</w:t>
        <w:br/>
        <w:br/>
        <w:t>63.   En consecuencia, la  Corte  considera  pertinente  abrir  un  capítulo</w:t>
        <w:br/>
        <w:t>acerca de los hechos  del  presente  caso,  que  abarque  tanto  los  hechos</w:t>
        <w:br/>
        <w:t>reconocidos por el Estado como los que resulten  probados  del  conjunto  de</w:t>
        <w:br/>
        <w:t>elementos que obran en el expediente.</w:t>
        <w:br/>
        <w:br/>
        <w:t>2)    En cuanto a las pretensiones de derecho</w:t>
        <w:br/>
        <w:br/>
        <w:t>64.   En atención al reconocimiento  de  responsabilidad  efectuado  por  el</w:t>
        <w:br/>
        <w:t>Estado (supra párrs. 16, 54, 55 y 60), la Corte ha tenido  por  establecidos</w:t>
        <w:br/>
        <w:t>los hechos que se refieren a los párrafos 79.1 a 79.60 de esta Sentencia  y,</w:t>
        <w:br/>
        <w:t>con base en ellos y  ponderando  las  circunstancias  del  caso,  procede  a</w:t>
        <w:br/>
        <w:t>precisar las distintas violaciones encontradas a los artículos alegados.</w:t>
        <w:br/>
        <w:br/>
        <w:t>65.   La Corte considera que es  pertinente  admitir  el  reconocimiento  de</w:t>
        <w:br/>
        <w:t>responsabilidad  internacional  efectuado  por  el  Estado  por  la  alegada</w:t>
        <w:br/>
        <w:t>violación de los derechos consagrados en los artículos  4.1  (Derecho  a  la</w:t>
        <w:br/>
        <w:t>Vida); 5.1 y 5.2 (Derecho a la Integridad Personal);  7.1,  7.2,  7.3,  7.4,</w:t>
        <w:br/>
        <w:t>7.5  y  7.6  (Derecho  a  la  Libertad  Personal),  8.1  y  8.2   (Garantías</w:t>
        <w:br/>
        <w:t>Judiciales) y 25.1 (Protección Judicial)  de  la  Convención  Americana,  en</w:t>
        <w:br/>
        <w:t>perjuicio  de  Marco  Antonio  Servellón  García,  Rony  Alexis  Betancourth</w:t>
        <w:br/>
        <w:t>Vásquez, Diomedes Obed García Sánchez y Orlando Álvarez Ríos,  así  como  la</w:t>
        <w:br/>
        <w:t>violación de los artículos 5.5  (Derecho  a  la  Integridad  Personal),  7.5</w:t>
        <w:br/>
        <w:t>(Derecho a la Libertad Personal) y 19 (Derechos del Niño) de la  Convención,</w:t>
        <w:br/>
        <w:t>en perjuicio de los menores Marco Antonio Servellón  García  y  Rony  Alexis</w:t>
        <w:br/>
        <w:t>Betancourth Vásquez.</w:t>
        <w:br/>
        <w:br/>
        <w:t>66.   Además, este Tribunal  admite  el  reconocimiento  de  responsabilidad</w:t>
        <w:br/>
        <w:t>internacional realizado por el Estado en relación con la  alegada  violación</w:t>
        <w:br/>
        <w:t>de los derechos consagrados en los artículos 8 (Garantías Judiciales)  y  25</w:t>
        <w:br/>
        <w:t>(Protección Judicial) de  la  Convención  Americana,  en  perjuicio  de  los</w:t>
        <w:br/>
        <w:t>familiares de  Marco  Antonio  Servellón  García,  Rony  Alexis  Betancourth</w:t>
        <w:br/>
        <w:t>Vásquez, Orlando Álvarez Ríos y Diomedes Obed García Sánchez.</w:t>
        <w:br/>
        <w:br/>
        <w:t>67.   No obstante, la Corte observa que  el  Estado  no  se  refirió  en  su</w:t>
        <w:br/>
        <w:t>allanamiento a la alegada violación del artículo  5  de  la  Convención,  en</w:t>
        <w:br/>
        <w:t>perjuicio de los familiares de las presuntas víctimas.</w:t>
        <w:br/>
        <w:br/>
        <w:t>3)    En cuanto a las reparaciones</w:t>
        <w:br/>
        <w:br/>
        <w:t>68.   En  la  contestación  de  la  demanda  el  Estado  manifestó  que  “se</w:t>
        <w:br/>
        <w:t>allana[ba] a las  partes  de  la  demanda  que  tienen  relación  con  estos</w:t>
        <w:br/>
        <w:t>lamentables hechos, aceptando las medidas de reparación propuestas  por  los</w:t>
        <w:br/>
        <w:t>demandantes y comprometiéndose a darle fiel cumplimiento en el menor  tiempo</w:t>
        <w:br/>
        <w:t>posible a lo que [la…] Corte tenga a bien ordenar sobre este  aspecto  […]”.</w:t>
        <w:br/>
        <w:t>Sin embargo, el  Estado  hizo  a  su  vez  consideraciones  respecto  de  la</w:t>
        <w:br/>
        <w:t>implementación de algunas de las medidas solicitadas por la Comisión  y  los</w:t>
        <w:br/>
        <w:t>representantes,  al  afirmar,  por  ejemplo,  que  “el  Ministerio   Público</w:t>
        <w:br/>
        <w:t>continua desarrollando esfuerzos importantes para la persecución  y  sanción</w:t>
        <w:br/>
        <w:t>de los autores materiales e intelectuales de la detención y muerte  [de  las</w:t>
        <w:br/>
        <w:t>presuntas víctimas]”, y que ha elaborado el Plan Nacional de Atención  a  la</w:t>
        <w:br/>
        <w:t>Niñez y la Adolescencia 2002-2010, el que deberá servir  como  un  documento</w:t>
        <w:br/>
        <w:t>marco para las políticas públicas en el Estado.</w:t>
        <w:br/>
        <w:br/>
        <w:t>69.   Al respecto, la Comisión Interamericana señaló que el  Estado  realiza</w:t>
        <w:br/>
        <w:t>varias afirmaciones, que “si bien demuestran  una  apreciable  manifestación</w:t>
        <w:br/>
        <w:t>de [éste] de reparar a  los  familiares  de  las  [presuntas]  víctimas,  no</w:t>
        <w:br/>
        <w:t>constituyen un allanamiento a las pretensiones por ellos  presentadas  a  la</w:t>
        <w:br/>
        <w:t>Corte” y señaló que “los familiares de las [presuntas] víctimas  concretaron</w:t>
        <w:br/>
        <w:t>en una forma muy detallada sus peticiones por diversos rubros en su  escrito</w:t>
        <w:br/>
        <w:t>de solicitudes [y] argumentos […]”.  Asimismo, la  Comisión  indicó  que  el</w:t>
        <w:br/>
        <w:t>Estado, cuando se refirió al petitorio de la  demanda,  “realizó  argumentos</w:t>
        <w:br/>
        <w:t>que parecen destinados a controvertir las medidas solicitadas, con  diversos</w:t>
        <w:br/>
        <w:t>matices.  Es por esta  razón  que  la  Comisión  consider[ó]  que  no  puede</w:t>
        <w:br/>
        <w:t>hablarse propiamente de allanamiento  en  el  presente  caso,  dado  que  el</w:t>
        <w:br/>
        <w:t>Estado ha aceptado sólo parcialmente las pretensiones de la  Comisión  y  de</w:t>
        <w:br/>
        <w:t>los representantes de las [presuntas] víctimas y sus familiares.”</w:t>
        <w:br/>
        <w:br/>
        <w:t>70.   Los representantes manifestaron que “si bien el Estado se ha  allanado</w:t>
        <w:br/>
        <w:t>a las reparaciones, es  importante  que  se  considere  que  los  argumentos</w:t>
        <w:br/>
        <w:t>esgrimidos en la materia no satisfacen  la  totalidad  de  las  reparaciones</w:t>
        <w:br/>
        <w:t>solicitadas.”  Agregaron que “las consideraciones hechas por el  […]  Estado</w:t>
        <w:br/>
        <w:t>en relación con las medidas por él adoptadas, se refieren sólo a algunas  de</w:t>
        <w:br/>
        <w:t>las reparaciones desarrolladas por la Comisión y por  [esa]  representación,</w:t>
        <w:br/>
        <w:t>pero que no agotan la totalidad de las reparaciones.”</w:t>
        <w:br/>
        <w:br/>
        <w:t>71.   De lo expuesto, la Corte entiende que las  observaciones  de  Honduras</w:t>
        <w:br/>
        <w:t>respecto a las medidas de no repetición o de  satisfacción  solicitadas  por</w:t>
        <w:br/>
        <w:t>la Comisión y los representantes, tienen por objeto demostrar que el  Estado</w:t>
        <w:br/>
        <w:t>está realizando esfuerzos para implementarlas, y que las  observaciones  son</w:t>
        <w:br/>
        <w:t>consecuentes con  lo  manifestado  por  el  Estado  en  el  sentido  de  que</w:t>
        <w:br/>
        <w:t>“acepta[ba] las medidas de reparación propuestas […]”.   Sin  embargo,  dado</w:t>
        <w:br/>
        <w:t>que tanto la Comisión como los representantes disienten en algunos  aspectos</w:t>
        <w:br/>
        <w:t>relativos a esas medidas, en particular, en relación con  su  implementación</w:t>
        <w:br/>
        <w:t>o efectividad, esta Corte considera pronunciarse  oportunamente  sobre  esta</w:t>
        <w:br/>
        <w:t>materia (infra párrs. 186 a 203).</w:t>
        <w:br/>
        <w:br/>
        <w:t>C)    La extensión de la controversia subsistente</w:t>
        <w:br/>
        <w:br/>
        <w:t>72.   El artículo 38.2 del Reglamento dispone que</w:t>
        <w:br/>
        <w:br/>
        <w:br/>
        <w:t xml:space="preserve">      [e]l demandado deberá declarar en su contestación si acepta los hechos</w:t>
        <w:br/>
        <w:t xml:space="preserve">      y las pretensiones o si los contradice, y la  Corte  podrá  considerar</w:t>
        <w:br/>
        <w:t xml:space="preserve">      como aceptados aquellos hechos que no hayan sido expresamente  negados</w:t>
        <w:br/>
        <w:t xml:space="preserve">      y las pretensiones que no hayan sido expresamente controvertidas.</w:t>
        <w:br/>
        <w:br/>
        <w:t>73.   El Tribunal ha señalado  anteriormente  que,  de  conformidad  con  el</w:t>
        <w:br/>
        <w:t>citado  artículo  38.2  del  Reglamento,  la  Corte  tiene  la  facultad  de</w:t>
        <w:br/>
        <w:t>considerar aceptados los hechos que no hayan  sido  expresamente  negados  y</w:t>
        <w:br/>
        <w:t>las  pretensiones  que  no  hayan  sido  expresamente  controvertidas.   Sin</w:t>
        <w:br/>
        <w:t>embargo, no es una obligación del Tribunal hacerlo en  todos  los  casos  en</w:t>
        <w:br/>
        <w:t>los cuales se presenta una situación similar.  Por ello, en ejercicio de  su</w:t>
        <w:br/>
        <w:t>responsabilidad de protección de los derechos humanos, la Corte  determinará</w:t>
        <w:br/>
        <w:t>en cada caso particular la necesidad de efectuar consideraciones de  derecho</w:t>
        <w:br/>
        <w:t>y de tener por establecidos los hechos, ya sea como fueron  presentados  por</w:t>
        <w:br/>
        <w:t>las partes, valorando los elementos del acervo probatorio, o como  mejor  se</w:t>
        <w:br/>
        <w:t>desprenda de dicho análisis[13].</w:t>
        <w:br/>
        <w:br/>
        <w:t>74.   Con base en  las  consideraciones  anteriores,  este  Tribunal  otorga</w:t>
        <w:br/>
        <w:t>plenos efectos al reconocimiento parcial de  responsabilidad  (supra  párrs.</w:t>
        <w:br/>
        <w:t>16, 54, 55  y  60).   No  obstante,  la  Corte  reconoce  que  subsiste  una</w:t>
        <w:br/>
        <w:t>controversia en relación a algunas de las violaciones alegadas.</w:t>
        <w:br/>
        <w:br/>
        <w:t>75.   Conforme a los términos en que  se  han  manifestado  las  partes,  la</w:t>
        <w:br/>
        <w:t>Corte considera que subsiste la controversia en cuanto a que:</w:t>
        <w:br/>
        <w:br/>
        <w:t xml:space="preserve">      a)    el Estado rechazó que no haya habido investigación y que  exista</w:t>
        <w:br/>
        <w:t xml:space="preserve">      impunidad en el presente caso, pese a que se allanó a la violación  de</w:t>
        <w:br/>
        <w:t xml:space="preserve">      los artículos 8.1 y 25.1 de la Convención, en relación con el artículo</w:t>
        <w:br/>
        <w:t xml:space="preserve">      1.1 de ese instrumento,  en  perjuicio  de  los  familiares  de  Marco</w:t>
        <w:br/>
        <w:t xml:space="preserve">      Antonio Servellón García, Rony Alexis  Betancourth  Vásquez,  Diomedes</w:t>
        <w:br/>
        <w:t xml:space="preserve">      Obed García Sánchez y  Orlando  Álvarez  Ríos.   En  relación  con  la</w:t>
        <w:br/>
        <w:t xml:space="preserve">      investigación, el Estado discrepa respecto a las razones alegadas  por</w:t>
        <w:br/>
        <w:t xml:space="preserve">      la  Comisión  y  los  representantes  para  fundamentar  la   referida</w:t>
        <w:br/>
        <w:t xml:space="preserve">      violación.  El Estado tampoco se pronunció sobre  el  alegado  retardo</w:t>
        <w:br/>
        <w:t xml:space="preserve">      injustificado de las investigaciones;</w:t>
        <w:br/>
        <w:br/>
        <w:br/>
        <w:t xml:space="preserve">      b)    la alegada violación del artículo 5  (Derecho  a  la  Integridad</w:t>
        <w:br/>
        <w:t xml:space="preserve">      Personal) de la Convención, en relación con el artículo 1.1 del  mismo</w:t>
        <w:br/>
        <w:t xml:space="preserve">      instrumento, en perjuicio de los familiares de Marco Antonio Servellón</w:t>
        <w:br/>
        <w:t xml:space="preserve">      García, Rony Alexis Betancourth Vásquez, Diomedes Obed García  Sánchez</w:t>
        <w:br/>
        <w:t xml:space="preserve">      y Orlando Álvarez Ríos, y</w:t>
        <w:br/>
        <w:br/>
        <w:br/>
        <w:t xml:space="preserve">      c)    lo referente a la determinación de las reparaciones y  costas  y</w:t>
        <w:br/>
        <w:t xml:space="preserve">      gastos (supra párr. 71).</w:t>
        <w:br/>
        <w:br/>
        <w:br/>
        <w:t>76.   Si bien el Estado no se pronunció en la  contestación  de  la  demanda</w:t>
        <w:br/>
        <w:t>sobre la presunta violación del derecho a la verdad, la Corte no estima  que</w:t>
        <w:br/>
        <w:t>éste sea un derecho autónomo consagrado en los artículos 8, 13, 25 y 1.1  de</w:t>
        <w:br/>
        <w:t>la Convención Americana, como fuera alegado por los  representantes,  y  por</w:t>
        <w:br/>
        <w:t>lo tanto, no se pronunciará sobre este punto.  La Corte ha señalado  que  el</w:t>
        <w:br/>
        <w:t>derecho a la verdad se encuentra subsumido en el derecho  de  la  víctima  o</w:t>
        <w:br/>
        <w:t>sus  familiares  a  obtener  de  los  órganos  competentes  del  Estado   el</w:t>
        <w:br/>
        <w:t>esclarecimiento  de  los  hechos   violatorios   y   las   responsabilidades</w:t>
        <w:br/>
        <w:t>correspondientes, a través de la investigación y el juzgamiento[14].</w:t>
        <w:br/>
        <w:br/>
        <w:t>77.   La Corte considera que  el  allanamiento  del  Estado  constituye  una</w:t>
        <w:br/>
        <w:t>contribución positiva al desarrollo de este proceso y a la vigencia  de  los</w:t>
        <w:br/>
        <w:t>principios que inspiran la Convención Americana[15] en Honduras.</w:t>
        <w:br/>
        <w:br/>
        <w:t>78.   Teniendo en cuenta las responsabilidades que le compete al  Estado  de</w:t>
        <w:br/>
        <w:t>proteger los derechos humanos y dada la naturaleza  del  presente  caso,  la</w:t>
        <w:br/>
        <w:t>Corte estima que la  emisión  de  la  presente  Sentencia,  en  la  cual  se</w:t>
        <w:br/>
        <w:t>determine la verdad de los hechos  y  todos  los  elementos  del  fondo  del</w:t>
        <w:br/>
        <w:t>asunto, así como las correspondientes consecuencias constituye una forma  de</w:t>
        <w:br/>
        <w:t>reparación[16],  a favor de Marco  Antonio  Servellón  García,  Rony  Alexis</w:t>
        <w:br/>
        <w:t>Betancourth Vásquez, Diomedes Obed García Sánchez y Orlando Álvarez Ríos.</w:t>
        <w:br/>
        <w:br/>
        <w:br/>
        <w:br/>
        <w:t xml:space="preserve">                                     VII</w:t>
        <w:br/>
        <w:t xml:space="preserve">                               Hechos Probados</w:t>
        <w:br/>
        <w:br/>
        <w:t>79.   Efectuado el examen de los elementos probatorios  que  constan  en  el</w:t>
        <w:br/>
        <w:t>expediente del presente caso, las manifestaciones de las  partes,  así  como</w:t>
        <w:br/>
        <w:t>el reconocimiento de responsabilidad internacional efectuado por el  Estado,</w:t>
        <w:br/>
        <w:t>la Corte considera probados los hechos que se detallan a  continuación.   La</w:t>
        <w:br/>
        <w:t>mayoría de los párrafos contenidos en esta sección son los hechos  que  este</w:t>
        <w:br/>
        <w:t>Tribunal  tiene  por  establecidos  con  base  en   el   reconocimiento   de</w:t>
        <w:br/>
        <w:t>responsabilidad efectuado por el Estado, y que  corresponden  a  los  hechos</w:t>
        <w:br/>
        <w:t>expuestos en los párrafos 27 a 106 de la demanda presentada por la  Comisión</w:t>
        <w:br/>
        <w:t>Interamericana (supra párr. 11).  Adicionalmente, la  Corte  ha  establecido</w:t>
        <w:br/>
        <w:t>como probados  una  serie  de  otros  hechos,  principalmente  relativos  al</w:t>
        <w:br/>
        <w:t>procedimiento penal,  de  conformidad  con  las  pruebas  aportadas  por  la</w:t>
        <w:br/>
        <w:t>Comisión, los representantes y el Estado.</w:t>
        <w:br/>
        <w:br/>
        <w:t>A)    Contexto de violencia en contra de los niños y  jóvenes  en  Honduras:</w:t>
        <w:br/>
        <w:t>ejecuciones extrajudiciales e impunidad</w:t>
        <w:br/>
        <w:br/>
        <w:t>79.1. A principios de los años 90, y en el marco de la respuesta estatal  de</w:t>
        <w:br/>
        <w:t>represión preventiva y armada a las pandillas juveniles, pasa a  existir  un</w:t>
        <w:br/>
        <w:t>contexto de violencia ahora marcado por la victimización de niños y  jóvenes</w:t>
        <w:br/>
        <w:t>en situación de riesgo social,  identificados  como  delincuentes  juveniles</w:t>
        <w:br/>
        <w:t>causantes del aumento de la inseguridad pública.   Las  muertes  de  jóvenes</w:t>
        <w:br/>
        <w:t>sindicados como involucrados con “maras” o pandillas juveniles  se  tornaron</w:t>
        <w:br/>
        <w:t>cada vez más frecuentes entre 1995 y 1997.   Así,  por  ejemplo,  entre  los</w:t>
        <w:br/>
        <w:t>años 1995 a 2002, murieron violentamente al menos 904 menores[17].</w:t>
        <w:br/>
        <w:br/>
        <w:t>79.2.  Ese  contexto  de  violencia  se  materializa  en   las   ejecuciones</w:t>
        <w:br/>
        <w:t>extrajudiciales de niños y jóvenes en situación de riesgo, por  parte  tanto</w:t>
        <w:br/>
        <w:t>de agentes estatales como de terceros particulares.  En ese último caso,  la</w:t>
        <w:br/>
        <w:t>violencia se da, entre otros, al  interior  de  las  pandillas  juveniles  o</w:t>
        <w:br/>
        <w:t>entre pandillas rivales o como consecuencia de  la  actuación  de  supuestos</w:t>
        <w:br/>
        <w:t>grupos clandestinos de limpieza social[18].</w:t>
        <w:br/>
        <w:br/>
        <w:t>79.3. La violencia ha obedecido a un patrón común en relación  con:  a)  las</w:t>
        <w:br/>
        <w:t>víctimas, que son niños y jóvenes en situación de riesgo;  b)  la  causa  de</w:t>
        <w:br/>
        <w:t>las muertes, que  son  ejecuciones  extrajudiciales  caracterizadas  por  la</w:t>
        <w:br/>
        <w:t>extrema violencia, producidas por armas de fuego y armas blancas,  y  c)  la</w:t>
        <w:br/>
        <w:t>publicidad de los crímenes, ya  que  los  cuerpos  de  las  víctimas  quedan</w:t>
        <w:br/>
        <w:t>expuestos a la población[19].</w:t>
        <w:br/>
        <w:br/>
        <w:t>79.4. Los responsables por los crímenes son reportados por la  policía  como</w:t>
        <w:br/>
        <w:t>desconocidos y las investigaciones que  se  producen  con  la  finalidad  de</w:t>
        <w:br/>
        <w:t>deducir responsabilidades no logran,  por  lo  general,  identificar  a  los</w:t>
        <w:br/>
        <w:t>autores de dichos delitos[20].</w:t>
        <w:br/>
        <w:br/>
        <w:t>B)    Aspectos generales de la detención de las víctimas</w:t>
        <w:br/>
        <w:br/>
        <w:t>79.5. El día 15 de  septiembre  de  1995  la  Fuerza  de  Seguridad  Pública</w:t>
        <w:br/>
        <w:t>(FUSEP) realizó detenciones colectivas, que comprendieron la captura de  128</w:t>
        <w:br/>
        <w:t>personas, en el marco de un operativo policial preventivo  e  indiscriminado</w:t>
        <w:br/>
        <w:t>llevado a cabo en las inmediaciones del  Estadio  Nacional  Tiburcio  Carias</w:t>
        <w:br/>
        <w:t>Andino, en la ciudad de Tegucigalpa, con  el  objeto  de  evitar  disturbios</w:t>
        <w:br/>
        <w:t>durante los  desfiles  que  se  realizarían  para  celebrar  el  Día  de  la</w:t>
        <w:br/>
        <w:t>Independencia Nacional de Honduras.</w:t>
        <w:br/>
        <w:br/>
        <w:t>79.6. El día 16 de septiembre de 1995 la  jueza  de  Policía  Roxana  Sierra</w:t>
        <w:br/>
        <w:t>Ramírez emitió una resolución de “indulto” a la que se  acompañó  una  lista</w:t>
        <w:br/>
        <w:t>con los nombres de 62 personas, entre los que se  incluía  a  Marco  Antonio</w:t>
        <w:br/>
        <w:t>Servellón García, Rony Alexis Betancourth Vásquez y  Orlando  Álvarez  Ríos.</w:t>
        <w:br/>
        <w:t>Ese mismo día, aunque la mayoría de los  detenidos  fueron  liberados,  ocho</w:t>
        <w:br/>
        <w:t>personas fueron llevadas al segundo piso del Séptimo Comando Regional de  la</w:t>
        <w:br/>
        <w:t>FUSEP  (en  adelante  “CORE  VII”)  para  tomar  sus  huellas  digitales,  y</w:t>
        <w:br/>
        <w:t>solamente cuatro de ellas regresaron a sus celdas y fueron liberadas.</w:t>
        <w:br/>
        <w:br/>
        <w:t>79.7. El Teniente José Alberto Alfaro Martínez  dio  la  orden  de  que  las</w:t>
        <w:br/>
        <w:t>cuatro víctimas del presente caso permanecieran en el segundo piso del  CORE</w:t>
        <w:br/>
        <w:t>VII, específicamente, “el teniente Alfaro […] dijo,  [‘]a  estos  déjenmelos</w:t>
        <w:br/>
        <w:t>aparte[´…,] los cuatro que aparecieron muertos el día domingo diecisiete  de</w:t>
        <w:br/>
        <w:t>[s]eptiembre de[1995]; y pud[o] observar que los amarró con unos  lazos  que</w:t>
        <w:br/>
        <w:t>éste tenía, y vi[ó] que DIOMEDES lloraba[. Estuvieron]  pegados  a  un  Pley</w:t>
        <w:br/>
        <w:t>wod [(sic)], viendo hacia la pared, […].  Ellos  estaban  nerviosos,  porque</w:t>
        <w:br/>
        <w:t>temían que los mataran, ya que les habían advertido y [se  les  había  dicho</w:t>
        <w:br/>
        <w:t>que] pertenecían a la MARA DE LOS [POISON] y que tenían clavo”[21].</w:t>
        <w:br/>
        <w:br/>
        <w:t>C)     Detención,  tortura  y  ejecución  extrajudicial  de  Marco   Antonio</w:t>
        <w:br/>
        <w:t>Servellón García</w:t>
        <w:br/>
        <w:br/>
        <w:t>79.8. Marco Antonio Servellón García nació el 3  de  mayo  de  1979,  en  el</w:t>
        <w:br/>
        <w:t>Distrito Central del departamento de Francisco Morazán.  Era hijo  de  Reyes</w:t>
        <w:br/>
        <w:t>Servellón Santos y Bricelda Aide  García  Lobo.   Vivía  en  la  Colonia  El</w:t>
        <w:br/>
        <w:t>Carrizal No. 2, Calle Principal, de la ciudad de Tegucigalpa, Honduras.   Se</w:t>
        <w:br/>
        <w:t>dedicaba a la venta de lotería  durante  el  día,  y  cursaba  sus  estudios</w:t>
        <w:br/>
        <w:t>primarios en la escuela  nocturna  para  adultos  Centroamérica  Oeste.   Al</w:t>
        <w:br/>
        <w:t>momento de su detención tenía 16 años de edad.</w:t>
        <w:br/>
        <w:br/>
        <w:t>79.9. Marco Antonio Servellón García fue detenido en la detención  colectiva</w:t>
        <w:br/>
        <w:t>del 15 de septiembre de 1995.  Fue obligado a  tirarse  al  suelo,  golpeado</w:t>
        <w:br/>
        <w:t>con una pistola en la cabeza y acusado de ladrón.  Seguidamente le  quitaron</w:t>
        <w:br/>
        <w:t>los cordones de los zapatos, lo amarraron  y  lo  condujeron  al  CORE  VII,</w:t>
        <w:br/>
        <w:t>ubicado en el suburbio de Tegucigalpa “Los Dolores”.  En el  trayecto  y  en</w:t>
        <w:br/>
        <w:t>las dependencias del CORE VII, los agentes de policía  lo  golpearon  en  la</w:t>
        <w:br/>
        <w:t>cara, lo mantuvieron aislado por una hora en  donde  lo  sujetaron  por  los</w:t>
        <w:br/>
        <w:t>pies, arrastraron y golpearon en la espalda, en el estómago y en el  rostro,</w:t>
        <w:br/>
        <w:t>y en una oportunidad le golpearon  con  una  cadena.   Estuvo  detenido  con</w:t>
        <w:br/>
        <w:t>adultos.</w:t>
        <w:br/>
        <w:br/>
        <w:t>79.10.       Marco  Antonio  Servellón  García  estuvo  aislado  del   mundo</w:t>
        <w:br/>
        <w:t>exterior, sin poder comunicarse con su familia y avisarles  del  tratamiento</w:t>
        <w:br/>
        <w:t>violento que estaba recibiendo por parte de agentes del CORE VII.   Si  bien</w:t>
        <w:br/>
        <w:t>su madre Bricelda Aide García Lobo visitó el CORE VII los días 15  y  16  de</w:t>
        <w:br/>
        <w:t>septiembre  de  1995,  preguntando  por  su  hijo,  se  le   impidió   tener</w:t>
        <w:br/>
        <w:t>comunicación con él.</w:t>
        <w:br/>
        <w:br/>
        <w:t>79.11.      Bricelda Aide García Lobo, vio por última  vez  con  vida  a  su</w:t>
        <w:br/>
        <w:t>hijo el 16 de septiembre de 1995, a la 1:00 de la tarde, hora en que lo  vio</w:t>
        <w:br/>
        <w:t>subir al segundo piso del CORE VII, cuando se encontraba  bajo  la  custodia</w:t>
        <w:br/>
        <w:t>de agentes del Estado.  El 17 de septiembre  de  1995  el  cuerpo  de  Marco</w:t>
        <w:br/>
        <w:t>Antonio Servellón García fue encontrado sin vida cerca de las  inmediaciones</w:t>
        <w:br/>
        <w:t>de un lugar conocido como “El Lolo”.</w:t>
        <w:br/>
        <w:br/>
        <w:t>79.12.      La autopsia practicada al cadáver  de  Marco  Antonio  Servellón</w:t>
        <w:br/>
        <w:t>García el 19 de septiembre de 1995 reveló que la víctima  presentaba  cuatro</w:t>
        <w:br/>
        <w:t>heridas por proyectil de arma de fuego cuyos orificios  de  entrada  fueron:</w:t>
        <w:br/>
        <w:t>uno a nivel de la región retroauricular derecha; uno a nivel  de  la  región</w:t>
        <w:br/>
        <w:t>occipital derecha; uno en el pómulo de la cara, y uno a nivel de  la  región</w:t>
        <w:br/>
        <w:t>occipital izquierda, es decir, los cuatro disparos  fueron  dirigidos  a  su</w:t>
        <w:br/>
        <w:t>rostro y cabeza.</w:t>
        <w:br/>
        <w:br/>
        <w:t>79.13.      La autopsia no hizo referencia al estado en  que  se  encontraba</w:t>
        <w:br/>
        <w:t>el cuerpo de Marco Antonio Servellón García, ni si  se  constataron  heridas</w:t>
        <w:br/>
        <w:t>de arma blanca, marcas de golpes, moretones o señales en  sus  muñecas.   El</w:t>
        <w:br/>
        <w:t>Ministerio Público,  en  su  Informe  de  Inspecciones  Oculares  de  17  de</w:t>
        <w:br/>
        <w:t>septiembre de 1995, señaló que la víctima “se encontró a  la  orilla  de  la</w:t>
        <w:br/>
        <w:t>calle, hacia [E]l [L]olo, tenía señas en las muñecas de las  manos  como  si</w:t>
        <w:br/>
        <w:t>hubiese [(sic)] estado amarrado, [y que] se le encontró un cordón blanco  de</w:t>
        <w:br/>
        <w:t>tenis al lado de la  mano  derecha”[22].   El  Ministerio  Público  no  tomó</w:t>
        <w:br/>
        <w:t>fotografías del cadáver, porque no había rollo.</w:t>
        <w:br/>
        <w:br/>
        <w:t>D)     Detención,  tortura  y  ejecución  extrajudicial   de   Rony   Alexis</w:t>
        <w:br/>
        <w:t>Betancourth Vásquez</w:t>
        <w:br/>
        <w:br/>
        <w:t>79.14.      Rony Alexis Betancourth Vásquez nació el 2 de noviembre de  1977</w:t>
        <w:br/>
        <w:t>en el Departamento de Choluteca, Honduras.  Era hijo de Manases  Betancourth</w:t>
        <w:br/>
        <w:t>Núñez y de Hilda Estebana  Hernández  López.   Vivía  en  la  Colonia  Nueva</w:t>
        <w:br/>
        <w:t>Suyapa y había terminado  el  tercer  grado  de  instrucción  primaria.   De</w:t>
        <w:br/>
        <w:t>acuerdo con la declaración del padre de  Rony  Alexis  Betancourth  Vásquez,</w:t>
        <w:br/>
        <w:t>éste había sido “pandillero” a los catorce años de edad, a raíz de  lo  cual</w:t>
        <w:br/>
        <w:t>el padre había denunciado a la pandilla con el objeto de rescatarlo.   Según</w:t>
        <w:br/>
        <w:t>el señor Betancourth Núñez la banda fue luego desmantelada.  Al  momento  de</w:t>
        <w:br/>
        <w:t>su detención Rony Alexis Betancourth Vásquez tenía 17 años de edad.</w:t>
        <w:br/>
        <w:br/>
        <w:t>79.15.      Rony Alexis Betancourth Vásquez fue  detenido  en  la  detención</w:t>
        <w:br/>
        <w:t>colectiva de 15 de septiembre de  1995.   Fue  golpeado  en  el  trayecto  y</w:t>
        <w:br/>
        <w:t>durante su permanencia en el CORE  VII.   Rony  Alexis  Betancourth  Vásquez</w:t>
        <w:br/>
        <w:t>indicó con señales a Carlos Yovanny Arguijo Hernández, quien  también  había</w:t>
        <w:br/>
        <w:t>sido detenido ese mismo día, que le iban a matar, “a dar  corte  de  cabeza,</w:t>
        <w:br/>
        <w:t>ya que [Rony] llevó una de sus manos al cuello, dándole  a  entender  […]  y</w:t>
        <w:br/>
        <w:t>que fue lo que escuch[ó] de éste ‘si me palman, me  palman…´  ya  que  [Rony</w:t>
        <w:br/>
        <w:t>le] dijo que decían que pertenecía a la mara  de  los  poison”[23].   Estuvo</w:t>
        <w:br/>
        <w:t>detenido con adultos.</w:t>
        <w:br/>
        <w:br/>
        <w:t>79.16.      Su detención se mantuvo en la clandestinidad, la víctima  estuvo</w:t>
        <w:br/>
        <w:t>aislada del mundo exterior y no se le permitió comunicarse con su familia  y</w:t>
        <w:br/>
        <w:t>amigos.  Su madre se enteró por una tercera persona al  final  de  la  tarde</w:t>
        <w:br/>
        <w:t>del 16 de septiembre de 1995 sobre la detención.  La compañera de  hogar  de</w:t>
        <w:br/>
        <w:t>la víctima, Ana Luisa Vargas Soto, fue informada por la Juez de Policía  que</w:t>
        <w:br/>
        <w:t>su compañero no sería liberado el 16 de septiembre de 1995 porque lo iban  a</w:t>
        <w:br/>
        <w:t>investigar, y por los guardias del CORE  VII  que  Rony  Alexis  Betancourth</w:t>
        <w:br/>
        <w:t>Vásquez no se encontraba en dicho Comando.</w:t>
        <w:br/>
        <w:br/>
        <w:t>79.17.      Rony Alexis Betancourth Vásquez no fue  liberado  ni  salió  del</w:t>
        <w:br/>
        <w:t>CORE VII a las 11:00 a.m. del 16 de septiembre de 1995, como fue  registrado</w:t>
        <w:br/>
        <w:t>por la juez, sino que siguió bajo custodia de agentes del Estado.  El 17  de</w:t>
        <w:br/>
        <w:t>septiembre de 1995, en  horas  de  la  mañana,  el  cuerpo  de  Rony  Alexis</w:t>
        <w:br/>
        <w:t>Betancourth Vásquez fue encontrado sin vida en la aldea Suyapa.</w:t>
        <w:br/>
        <w:br/>
        <w:t>79.18.      La necropsia practicada al cadáver de  Rony  Alexis  Betancourth</w:t>
        <w:br/>
        <w:t>Vásquez el 17 de septiembre de 1995 por el Ministerio Público reveló que  la</w:t>
        <w:br/>
        <w:t>víctima presentaba  dos  heridas  por  proyectil  de  arma  de  fuego  cuyos</w:t>
        <w:br/>
        <w:t>orificios de entrada fueron: uno en el pómulo de la cara, y uno a  nivel  de</w:t>
        <w:br/>
        <w:t>la  región  retroauricular  derecha;  y  cuatro  heridas  por  arma   blanca</w:t>
        <w:br/>
        <w:t>dispuestas de la siguiente manera: una  herida  punzocortante  a  nivel  del</w:t>
        <w:br/>
        <w:t>manubrio esternal y tres heridas punzantes penetradas por encima de la  mama</w:t>
        <w:br/>
        <w:t>izquierda.  Al igual que  el  cadáver  de  las  otras  tres  víctimas  tenía</w:t>
        <w:br/>
        <w:t>moretones y marcas de tortura.</w:t>
        <w:br/>
        <w:br/>
        <w:t>E)    Detención, tortura y ejecución extrajudicial de Orlando Álvarez Ríos</w:t>
        <w:br/>
        <w:br/>
        <w:t>79.19.      Orlando Álvarez Ríos nació el 22 de  noviembre  de  1962  en  la</w:t>
        <w:br/>
        <w:t>localidad de Santa Rita, Departamento  de  Yoro.   Era  hijo  de  Concepción</w:t>
        <w:br/>
        <w:t>Álvarez y de Antonia Ríos.  Se había  graduado  de  bachiller  industrial  y</w:t>
        <w:br/>
        <w:t>desde enero de 1995 trabajaba en la construcción de la casa de  su  hermana,</w:t>
        <w:br/>
        <w:t>Dilcia Álvarez Ríos.  Al momento de su detención Orlando Álvarez Ríos  tenía</w:t>
        <w:br/>
        <w:t>32 años de edad.</w:t>
        <w:br/>
        <w:br/>
        <w:t>79.20.      Fue detenido en la detención colectiva del 15 de  septiembre  de</w:t>
        <w:br/>
        <w:t>1995.  De las cuatro víctimas del  presente  caso  fue  el  único  que  pudo</w:t>
        <w:br/>
        <w:t>informar a un familiar que se encontraba detenido,  oportunidad  en  la  que</w:t>
        <w:br/>
        <w:t>manifestó a su hermana, Dilcia Álvarez Ríos, que no se preocupara ya que  le</w:t>
        <w:br/>
        <w:t>habían dicho que el día lunes 18 de  septiembre  de  1995  sería  puesto  en</w:t>
        <w:br/>
        <w:t>libertad.  La víctima permaneció bajo la custodia de agentes  del  CORE  VII</w:t>
        <w:br/>
        <w:t>aún después de que la juez de policía registró  su  liberación.   El  17  de</w:t>
        <w:br/>
        <w:t>septiembre de 1995, en horas de la mañana,  el  cuerpo  de  Orlando  Álvarez</w:t>
        <w:br/>
        <w:t>Ríos fue encontrado sin vida en la carretera del  Norte,  a  la  altura  del</w:t>
        <w:br/>
        <w:t>kilómetro 41 en las cercanías de la Comunidad de Las Moras, en Tegucigalpa.</w:t>
        <w:br/>
        <w:br/>
        <w:t>79.21.      Dilcia Álvarez Ríos se dirigió al CORE VII a  preguntar  por  su</w:t>
        <w:br/>
        <w:t>hermano el 19 de septiembre de 1995, ya que no  había  regresado  el  18  de</w:t>
        <w:br/>
        <w:t>septiembre, como le había informado.  En dicho  Comando  le  informaron  que</w:t>
        <w:br/>
        <w:t>“allí no había estado nadie con [el] nombre [de Orlando Álvarez Ríos] y  que</w:t>
        <w:br/>
        <w:t>si estuvo ya se había ido”.  Seguidamente  se  dirigió  a  la  Dirección  de</w:t>
        <w:br/>
        <w:t>Investigación Criminal donde tampoco su hermano aparecía en  las  listas  de</w:t>
        <w:br/>
        <w:t>los detenidos.  Finalmente, fue a la morgue, donde identificó el cadáver  de</w:t>
        <w:br/>
        <w:t>Orlando Álvarez Ríos.</w:t>
        <w:br/>
        <w:br/>
        <w:t>79.22.      La autopsia practicada al cadáver de Orlando Álvarez Ríos el  17</w:t>
        <w:br/>
        <w:t>de septiembre de 1995 por  el  Ministerio  Público  reveló  que  la  víctima</w:t>
        <w:br/>
        <w:t>presentaba dos heridas por proyectil de arma de  fuego  cuyos  orificios  de</w:t>
        <w:br/>
        <w:t>entrada fueron: uno detrás del oído derecho, y otra localizada  3  cms.  por</w:t>
        <w:br/>
        <w:t>debajo del oído derecho.  La autopsia  no  se  refiere  a  heridas  de  arma</w:t>
        <w:br/>
        <w:t>blanca, moretones u otras marcas que pudiera haber presentado el  cuerpo  de</w:t>
        <w:br/>
        <w:t>Orlando Álvarez Ríos.</w:t>
        <w:br/>
        <w:br/>
        <w:t>79.23.      El cuerpo de Orlando Álvarez Ríos fue encontrado con  signos  de</w:t>
        <w:br/>
        <w:t>haber sido objeto de violencia sexual.  El Estado no realizó  exámenes  para</w:t>
        <w:br/>
        <w:t>investigar si la víctima fue  abusada  sexualmente  antes  de  su  ejecución</w:t>
        <w:br/>
        <w:t>extrajudicial.</w:t>
        <w:br/>
        <w:br/>
        <w:t>F)    Detención, tortura y ejecución extrajudicial de Diomedes  Obed  García</w:t>
        <w:br/>
        <w:t>Sánchez</w:t>
        <w:br/>
        <w:br/>
        <w:t>79.24.      Diomedes Obed García Sánchez nació el 20 de agosto  de  1974  en</w:t>
        <w:br/>
        <w:t>Trujillo,  Departamento  de  Colón,  vivía  en  la  Colonia  San  Miguel  de</w:t>
        <w:br/>
        <w:t>Tegucigalpa.  Era hijo de Diomedes Tito García Casildo y de  Andrea  Sánchez</w:t>
        <w:br/>
        <w:t>Loredo. Residía en la casa “Nazaret”, coordinada por el señor  Carlos  Jorge</w:t>
        <w:br/>
        <w:t>Mahomar Marzuca,  dedicada  a  dar  albergue  a  jóvenes  con  problemas  de</w:t>
        <w:br/>
        <w:t>conducta y drogadicción.  Al momento de su detención tenía 19 años de edad.</w:t>
        <w:br/>
        <w:br/>
        <w:t>79.25.      Fue detenido entre el 15 y el 16 de septiembre de  1995  en  las</w:t>
        <w:br/>
        <w:t>inmediaciones de un local de juegos electrónicos localizado a un lado de  la</w:t>
        <w:br/>
        <w:t>Iglesia de la Merced de Tegucigalpa.  Posteriormente fue  trasladado  en  un</w:t>
        <w:br/>
        <w:t>vehículo de la  policía  al  CORE  VII.   Su  detención  no  consta  en  los</w:t>
        <w:br/>
        <w:t>registros respectivos, por lo que su nombre tampoco aparece en la  lista  de</w:t>
        <w:br/>
        <w:t>“indultados” del 16 de septiembre de 1995.</w:t>
        <w:br/>
        <w:br/>
        <w:t>79.26.      Diomedes Obed García Sánchez había sido anteriormente  amenazado</w:t>
        <w:br/>
        <w:t>por el teniente José Alberto Alfaro Martínez, cuando éste  le  habría  dicho</w:t>
        <w:br/>
        <w:t>que  “le  había  dado  cincuenta  lempiras  […]  para  que  se  perdiera  de</w:t>
        <w:br/>
        <w:t>Tegucigalpa; y esto fue antes de caer preso, como un día lunes; y,  le  dijo</w:t>
        <w:br/>
        <w:t>que si volvía a caer allí, ya  sabía  lo  que  le  tocaba,  que  lo  iban  a</w:t>
        <w:br/>
        <w:t>palmar”[24].</w:t>
        <w:br/>
        <w:br/>
        <w:t>79.27.      Marvin Rafael Díaz, en su declaración rendida ante  la  Fiscalía</w:t>
        <w:br/>
        <w:t>de Derechos Humanos el 20 de septiembre  de  1995,  manifestó  que  Diomedes</w:t>
        <w:br/>
        <w:t>Obed García Sánchez fue llevado al segundo  piso  del  CORE  VII  cuando  el</w:t>
        <w:br/>
        <w:t>Teniente Marco Tulio Regalado Hernández le amenazó diciendo: “ya ves que  te</w:t>
        <w:br/>
        <w:t>dije lo que te iba a pasar la próxima vez, que no te quería ver aquí”, a  lo</w:t>
        <w:br/>
        <w:t>que Diomedes contestó que “a él lo habían agarrado de puro gusto, que él  no</w:t>
        <w:br/>
        <w:t>andaba robando”.   En  el  CORE  VII  los  tenientes  Marco  Tulio  Regalado</w:t>
        <w:br/>
        <w:t>Hernández, José Alberto Alfaro Martínez, Hugo Antonio  Vivas,  José  Antonio</w:t>
        <w:br/>
        <w:t>Martínez Arrazola amenazaron de muerte a  Marlon  Antonio  Martínez  Pineda,</w:t>
        <w:br/>
        <w:t>conocido como “Pie Grande”, y a Diomedes Obed García Sánchez.</w:t>
        <w:br/>
        <w:br/>
        <w:t>79.28.      El 30  de  octubre  de  1995  Marlon  Antonio  Martínez  Pineda,</w:t>
        <w:br/>
        <w:t>conocido como “Pie Grande”,  y  otro  joven  llamado  Milton  Adaly  Sevilla</w:t>
        <w:br/>
        <w:t>Guardado fueron encontrados muertos de manera similar a la de  las  víctimas</w:t>
        <w:br/>
        <w:t>del presente caso.</w:t>
        <w:br/>
        <w:br/>
        <w:t>79.29.      Días antes de su muerte, Diomedes Obed García Sánchez dijo a  su</w:t>
        <w:br/>
        <w:t>novia que “ya le habían dicho que  lo  iban  a  matar”[25].   Asimismo,  con</w:t>
        <w:br/>
        <w:t>anterioridad al 15 de septiembre de 1995, Diomedes y un  amigo  habían  sido</w:t>
        <w:br/>
        <w:t>detenidos por encontrarse indocumentados y ese día “le  pegaron  una  paliza</w:t>
        <w:br/>
        <w:t>[a Diomedes] con tolete, los  puños,  lo  amarra[ron]  de  las  manos  y  lo</w:t>
        <w:br/>
        <w:t>tortura[ron] y […] a [su amigo] no [l]e [hicieron] nada”[26].</w:t>
        <w:br/>
        <w:br/>
        <w:t>79.30.      El 17 de septiembre de 1995, en horas de la  mañana,  el  cuerpo</w:t>
        <w:br/>
        <w:t>de Diomedes Obed García Sánchez fue encontrado sin vida en el kilómetro 8  y</w:t>
        <w:br/>
        <w:t>9 de la carretera de Olancho, en Tegucigalpa.</w:t>
        <w:br/>
        <w:br/>
        <w:t>79.31. La autopsia practicada al cadáver el 17 de septiembre de 1995 por  el</w:t>
        <w:br/>
        <w:t>Ministerio Público reveló que Diomedes Obed García Sánchez  presentaba  ocho</w:t>
        <w:br/>
        <w:t>heridas producidas por arma  de  fuego,  además  de  tres  heridas  de  arma</w:t>
        <w:br/>
        <w:t>blanca, una de las  cuales  fue  tan  profunda  que  “casi  le  cercenan  la</w:t>
        <w:br/>
        <w:t>cabeza”[27].  Los orificios de entrada de los proyectiles fueron: uno en  la</w:t>
        <w:br/>
        <w:t>región temporal izquierda, uno en la parte superior  del  pómulo  izquierdo,</w:t>
        <w:br/>
        <w:t>uno detrás del oído derecho, uno en la mejilla izquierda, uno en  la  región</w:t>
        <w:br/>
        <w:t>pectoral izquierda, y tres orificios de proyectil de arma  de  fuego  en  la</w:t>
        <w:br/>
        <w:t>mano izquierda.  Además, el cuerpo presentaba dos heridas contuso  cortantes</w:t>
        <w:br/>
        <w:t>producidas por machete, una en el lado derecho  del  cuello  y  otra  en  el</w:t>
        <w:br/>
        <w:t>brazo derecho, y una herida punzo cortante en el lado izquierdo del  cuello.</w:t>
        <w:br/>
        <w:t xml:space="preserve"> El Ministerio Público no  tomó  fotografías  del  cadáver,  “por  falta  de</w:t>
        <w:br/>
        <w:t>rollo”.</w:t>
        <w:br/>
        <w:br/>
        <w:t>G)     Similitud  entre  las  cuatro  detenciones   ilegales,   torturas   y</w:t>
        <w:br/>
        <w:t>ejecuciones extrajudiciales</w:t>
        <w:br/>
        <w:br/>
        <w:t>79.32.      Luego de haber sido detenidos y haber permanecido bajo  custodia</w:t>
        <w:br/>
        <w:t>del Estado desde el 15 ó 16 de septiembre de 1995, los  cadáveres  de  Marco</w:t>
        <w:br/>
        <w:t>Antonio Servellón García, Rony Alexis Betancourth Vásquez,  Orlando  Álvarez</w:t>
        <w:br/>
        <w:t>Ríos y Diomedes Obed García Sánchez fueron encontrados el 17  de  septiembre</w:t>
        <w:br/>
        <w:t>de 1995, después haber  sido  torturados  y  asesinados[28],  en  diferentes</w:t>
        <w:br/>
        <w:t>lugares de Tegucigalpa, Honduras.  Los puntos la ciudad en que  los  cuerpos</w:t>
        <w:br/>
        <w:t>fueron encontrados, unidos entre si cerraban un círculo, por lo que el  caso</w:t>
        <w:br/>
        <w:t>fue conocido localmente como “los cuatros puntos cardinales”.</w:t>
        <w:br/>
        <w:br/>
        <w:t>79.33.      Las muertes de  Marco  Antonio  Servellón  García,  Rony  Alexis</w:t>
        <w:br/>
        <w:t>Betancourth Vásquez, Orlando Álvarez Ríos y  Diomedes  Obed  García  Sánchez</w:t>
        <w:br/>
        <w:t>fueron “todas […] homicidas, [y] la relación entre  una  y  otra  manera  de</w:t>
        <w:br/>
        <w:t>muerte es similar a la luz  de  las  características  de  los  orificios  de</w:t>
        <w:br/>
        <w:t>entrada de los proyectiles[,…] por lo  que  podría  tratarse  de  una  misma</w:t>
        <w:br/>
        <w:t>arma[.  Las] lesiones encontradas, […] son compatibles  con  las  producidas</w:t>
        <w:br/>
        <w:t>por proyectiles de arma de fuego, con signos de haber sido producidas  desde</w:t>
        <w:br/>
        <w:t>corta y larga distancia.  Las heridas punzo cortantes  […]  son  compatibles</w:t>
        <w:br/>
        <w:t>con las producidas por un objeto metálico largo  con  filo  en  uno  de  sus</w:t>
        <w:br/>
        <w:t>lados, cuyas medidas son similares  y  el  mecanismo  de  producción  es  la</w:t>
        <w:br/>
        <w:t>presión que se ejerce venciendo la elasticidad de  los  tejidos  produciendo</w:t>
        <w:br/>
        <w:t>lesiones internas severas.  Las heridas contuso  cortantes  son  compatibles</w:t>
        <w:br/>
        <w:t>con las producidas por un instrumento metálico largo con filo en uno de  sus</w:t>
        <w:br/>
        <w:t>lados, que actúa por su peso y su filo (machete) […]”[29].</w:t>
        <w:br/>
        <w:br/>
        <w:t>79.34.      Los proyectiles  extraídos  de  los  cuerpos  de  Marco  Antonio</w:t>
        <w:br/>
        <w:t>Servellón García, Rony Alexis Betancourth Vásquez  y  Diomedes  Obed  García</w:t>
        <w:br/>
        <w:t>Sánchez fueron disparados por la  misma  arma  de  fuego.   El  calibre  del</w:t>
        <w:br/>
        <w:t>proyectil encontrado en el  cuerpo  de  Orlando  Álvarez  Ríos  no  se  pudo</w:t>
        <w:br/>
        <w:t>determinar  debido  a  la  deformación  que  presentaba.   El  inspector  de</w:t>
        <w:br/>
        <w:t>Derechos Humanos dependiente  de  la  Dirección  de  Investigación  Criminal</w:t>
        <w:br/>
        <w:t>expresó que su hipótesis era que las cuatro  muertes  estaban  relacionadas,</w:t>
        <w:br/>
        <w:t>por lo que decidió investigarlas en forma conjunta.</w:t>
        <w:br/>
        <w:br/>
        <w:t>79.35.      En los  asesinatos  de  Marco  Antonio  Servellón  García,  Rony</w:t>
        <w:br/>
        <w:t>Alexis Betancourth Vásquez, Orlando Álvarez  Ríos  y  Diomedes  Obed  García</w:t>
        <w:br/>
        <w:t>Sánchez se utilizó un modus operandi común entre si, y ellos  ocurrieron  en</w:t>
        <w:br/>
        <w:t>el contexto de ejecuciones extrajudiciales de niños y jóvenes  en  situación</w:t>
        <w:br/>
        <w:t>de riesgo, existente en la época de los hechos  en  Honduras  (supra  párrs.</w:t>
        <w:br/>
        <w:t>79.1, 79.2 y 79.3).</w:t>
        <w:br/>
        <w:br/>
        <w:t>H)    Sobre las investigaciones policiales y los procesos penales  iniciados</w:t>
        <w:br/>
        <w:t>a raíz  de  la  muerte  de  Marco  Antonio  Servellón  García,  Rony  Alexis</w:t>
        <w:br/>
        <w:t>Betancourth Vásquez, Orlando Álvarez Ríos y Diomedes Obed García Sánchez</w:t>
        <w:br/>
        <w:br/>
        <w:t>79.36.      Con posterioridad al 18 de septiembre de 1995 la Fiscal  Titular</w:t>
        <w:br/>
        <w:t>de la Fiscalía  de  Derechos  Humanos  recibió  del  Inspector  de  Derechos</w:t>
        <w:br/>
        <w:t>Humanos de la Dirección de  Investigación  Criminal,  un  informe  sobre  la</w:t>
        <w:br/>
        <w:t>denuncia realizada por la señora Marja Ibeth Castro García por la  detención</w:t>
        <w:br/>
        <w:t>ilegal de su hermano Marco Antonio Servellón García  y  las  investigaciones</w:t>
        <w:br/>
        <w:t>que habían sido realizadas por la Fiscalía de Derechos  Humanos  a  raíz  de</w:t>
        <w:br/>
        <w:t>dicha denuncia[30].</w:t>
        <w:br/>
        <w:br/>
        <w:t>79.37.      El 5 de octubre de  1995  la  Adjunta  Primera  del  Comisionado</w:t>
        <w:br/>
        <w:t>Nacional de los Derechos  Humanos  remitió  a  la  Fiscal  Especial  de  los</w:t>
        <w:br/>
        <w:t>Derechos Humanos la denuncia de Dilcia Álvarez Ríos, en la  cual  alegó  que</w:t>
        <w:br/>
        <w:t>su hermano Orlando  Álvarez  Ríos  había  sido  encontrado  muerto  con  dos</w:t>
        <w:br/>
        <w:t>disparos de arma de fuego en la cabeza.  La Adjunta Primera del  Comisionado</w:t>
        <w:br/>
        <w:t>Nacional de los Derechos Humanos solicitó que se procediera a  realizar  las</w:t>
        <w:br/>
        <w:t>investigaciones pertinentes sobre el caso[31].</w:t>
        <w:br/>
        <w:br/>
        <w:t>79.38.      El 5 de marzo de 1996 el señor Manases Betancourth Núñez,  padre</w:t>
        <w:br/>
        <w:t>del menor Rony Alexis  Betancourth  Vásquez,  interpuso  acusación  criminal</w:t>
        <w:br/>
        <w:t>“por los delitos de Abuso de Autoridad y Violación  a  los  Deberes  de  los</w:t>
        <w:br/>
        <w:t>Funcionarios,  Detención  Ilegal  y  Asesinato  en  contra  de  los  señores</w:t>
        <w:br/>
        <w:t>Teniente Coronel David Abraham Mendoza Comandante Regional de la FUSEP,  los</w:t>
        <w:br/>
        <w:t>Capitanes [Miguel Ángel] Villatoro  [Aguilar],  [Egberto]  Arias  [Aguilar],</w:t>
        <w:br/>
        <w:t>[Rodolfo]  Pagoada  [Medina],  [Juan  Ramón]  Ávila  [Meza],  los  Tenientes</w:t>
        <w:br/>
        <w:t>Efectivos  Marco  Tulio  Regalado  [Hernández],  [José  Francisco]  Valencia</w:t>
        <w:br/>
        <w:t>[Velásquez], [Edilberto] Brizuela [Reyes], los Sub-tenientes [José]  Alberto</w:t>
        <w:br/>
        <w:t>Alfaro [Martínez](, [Leonel] Matute Chávez, [Orlando] Mejía [Murcia],  [José</w:t>
        <w:br/>
        <w:t>Reinaldo] Servellón [Castillo] y [Osvaldo] López [Flores],  por  los  mismos</w:t>
        <w:br/>
        <w:t>delitos contra los Sargentos Núñez, Palacios, Adan,  Zambrano  y  Miranda  y</w:t>
        <w:br/>
        <w:t>Cano por los mismos  delitos  contra  los  agentes  Laínez,  [Hugo  Antonio]</w:t>
        <w:br/>
        <w:t>Vivas, [José Antonio] Martínez  [Arrazola]  y  Francisco  Morales  Suanzo  y</w:t>
        <w:br/>
        <w:t>contra la señora Jueza de Policía Roxana Sierra [Ramírez], por  los  delitos</w:t>
        <w:br/>
        <w:t>de Detención Ilegal, Abuso de Autoridad y Violación a  los  deberes  de  los</w:t>
        <w:br/>
        <w:t>Funcionarios  y  Encubrimiento,  en  perjuicio   del   menor   Rony   Alexis</w:t>
        <w:br/>
        <w:t>Betancourth [Vásquez]”[32].</w:t>
        <w:br/>
        <w:br/>
        <w:t>79.39.      El 5 de marzo de  1996  el  Juzgado  de  Letras  Primero  de  lo</w:t>
        <w:br/>
        <w:t>Criminal (en adelante “el Juzgado”) admitió la acusación, previo trámite  de</w:t>
        <w:br/>
        <w:t>rigor, y ordenó las medidas y averiguaciones que debían ser tomadas[33].</w:t>
        <w:br/>
        <w:br/>
        <w:t>79.40.      El 6 de mayo de 1996 la  representante  del  Ministerio  Público</w:t>
        <w:br/>
        <w:t>presentó acusación criminal ante el Juzgado  contra  “Marco  Tulio  Regalado</w:t>
        <w:br/>
        <w:t>Hernández, [José Alberto] Alfaro Martínez, Hugo Antonio Vivas, José  Antonio</w:t>
        <w:br/>
        <w:t>Martínez  Arrazola  [y]  Roxana  Sierra  Ramírez  […]  por  los  delitos  de</w:t>
        <w:br/>
        <w:t>asesinato consumados en perjuicio de los jóvenes Orlando Álvarez Ríos,  Rony</w:t>
        <w:br/>
        <w:t>Alexis Betancourth [Vásquez], Marco  Antonio  Servellón  García  y  Diomedes</w:t>
        <w:br/>
        <w:t>Obed García Sánchez, […] cometidos por [dichos] funcionarios en  contra  del</w:t>
        <w:br/>
        <w:t>ejercicio de los derechos garantizados por la Constitución, en perjuicio  de</w:t>
        <w:br/>
        <w:t>la existencia y la seguridad del Estado, y abuso de autoridad, en  perjuicio</w:t>
        <w:br/>
        <w:t>de la administración pública”.  En la acusación, se  solicitó,  entre  otros</w:t>
        <w:br/>
        <w:t>que: 1) se libraran las órdenes de captura correspondientes, y 2)  la  unión</w:t>
        <w:br/>
        <w:t>de la acusación a los autos de las diligencias iniciadas sobre estos  mismos</w:t>
        <w:br/>
        <w:t>hechos  mediante  acusación  presentada  ante  el  mismo  Juzgado   por   el</w:t>
        <w:br/>
        <w:t>Procurador del Comité para la Defensa de los Derechos  Humanos  en  Honduras</w:t>
        <w:br/>
        <w:t>(CODEH), así como los que radicaban ante los Juzgados Segundo de Paz  de  lo</w:t>
        <w:br/>
        <w:t>Criminal de Tegucigalpa y Juzgado de Paz de lo Criminal de Comayaguela[34].</w:t>
        <w:br/>
        <w:br/>
        <w:t>79.41.      El 6 de mayo de 1996 el Juzgado admitió la acusación  presentada</w:t>
        <w:br/>
        <w:t>por el Ministerio Público, y en consecuencia ordenó que  se  realizaran  las</w:t>
        <w:br/>
        <w:t>averiguaciones correspondientes, que  se  librara  comunicación  al  Juzgado</w:t>
        <w:br/>
        <w:t>Segundo de lo Criminal de Tegucigalpa y al Juzgado  Segundo  de  Paz  de  lo</w:t>
        <w:br/>
        <w:t>Criminal de Comayagüela, a fin de que se inhibieran de  conocer  las  causas</w:t>
        <w:br/>
        <w:t>instruidas para averiguar las muertes de  Marco  Antonio  Servellón  García,</w:t>
        <w:br/>
        <w:t>Orlando Álvarez Ríos,  Rony  Alexis  Betancourth  Vásquez  y  Diomedes  Obed</w:t>
        <w:br/>
        <w:t>García Sánchez y que fueran remitidas a dicho Juzgado para su  continuación.</w:t>
        <w:br/>
        <w:t xml:space="preserve"> Por último, el Juzgado rechazó el pedido de orden de captura  con  base  en</w:t>
        <w:br/>
        <w:t>que no existían méritos suficientes para librarla[35].</w:t>
        <w:br/>
        <w:br/>
        <w:t>79.42.      El 6 de agosto  de  1996  el  señor  Manases  Betancourth  Núñez</w:t>
        <w:br/>
        <w:t>solicitó al Juzgado que se  librara  orden  de  captura  en  contra  de  los</w:t>
        <w:br/>
        <w:t>señores Teniente Coronel David Abraham Mendoza; los Capitanes  Miguel  Angel</w:t>
        <w:br/>
        <w:t>Villatoro Aguilar, Egberto Arias Aguilar,  Rodolfo  Pagoada  Medina  y  Juan</w:t>
        <w:br/>
        <w:t>Ramón Avila Meza; los  Tenientes  Marco  Tulio  Regalado  [Hernández],  José</w:t>
        <w:br/>
        <w:t>Francisco Valencia Velásquez y Edilberto Brizuela Reyes;  los  Sub-tenientes</w:t>
        <w:br/>
        <w:t>José Alberto Alfaro Martínez, Leonel Matute Chavez,  Orlando  Mejía  Murcía,</w:t>
        <w:br/>
        <w:t>José Reinaldo Servellón Castillo y Osvaldo López Flores; los agentes  Núñez,</w:t>
        <w:br/>
        <w:t>Palacios, Cano, Laínez, Hugo Antonio Vivas y Francisco Morales Suazo,  y  la</w:t>
        <w:br/>
        <w:t>Jueza de Policía Roxana Sierra Ramírez, ya que de las  diligencias  sumarias</w:t>
        <w:br/>
        <w:t>presentadas, las personas mencionadas  habían  resultado  implicadas  en  la</w:t>
        <w:br/>
        <w:t>comisión de los delitos denunciados, en  perjuicio  del  menor  Rony  Alexis</w:t>
        <w:br/>
        <w:t>Betancourth Vásquez, además de  “haberse  reunido  en  autos  la  suficiente</w:t>
        <w:br/>
        <w:t>plena prueba acreditada mediante Dictámenes Periciales  y  Médicos  emitidos</w:t>
        <w:br/>
        <w:t>por la Dirección de Investigación Criminal y de  Medicina  Forense  […]  que</w:t>
        <w:br/>
        <w:t>producen indicios suficientes de su culpabilidad[36]”.</w:t>
        <w:br/>
        <w:br/>
        <w:t>79.43.      El mismo 6 de agosto de 1996 el Juzgado  rechazó  el  pedido  de</w:t>
        <w:br/>
        <w:t>orden de captura por no existir méritos suficientes para dictar un  auto  de</w:t>
        <w:br/>
        <w:t>prisión.   Los  representantes   del   señor   Manases   Betancourth   Núñez</w:t>
        <w:br/>
        <w:t>recurrieron de dicha resolución, y el 21 de enero de 1997 la  Corte  Primera</w:t>
        <w:br/>
        <w:t>de  Apelaciones  rechazó  el  recurso  interpuesto,  y  confirmó   el   auto</w:t>
        <w:br/>
        <w:t>apelado[37].</w:t>
        <w:br/>
        <w:br/>
        <w:t>79.44.      Desde marzo de 1996 hasta febrero de 2005  tanto  el  Ministerio</w:t>
        <w:br/>
        <w:t>Público como  la  autoridad  judicial  centraron  las  diligencias  sumarias</w:t>
        <w:br/>
        <w:t>fundamentalmente en cinco pedidos: a)  inspeccionar  las  instalaciones  del</w:t>
        <w:br/>
        <w:t>Séptimo Comando Regional (CORE VII) con el fin de constatar en el  Libro  de</w:t>
        <w:br/>
        <w:t>Registro de detenidos el día y hora de ingreso  y  supuesto  egreso  de  las</w:t>
        <w:br/>
        <w:t>víctimas; b)  constatar  en  la  hoja  de  servicios  policiales  el  nombre</w:t>
        <w:br/>
        <w:t>completo, asignación y grado de los acusados en  el  mes  de  septiembre  de</w:t>
        <w:br/>
        <w:t>1995, en particular  Marco  Tulio  Regalado  Hernández;  c)  determinar  del</w:t>
        <w:br/>
        <w:t>inventario de armas si las mismas fueron decomisadas y no devueltas  por  la</w:t>
        <w:br/>
        <w:t>Policía, los permisos de porte de armas que obran en esa  dependencia  y  si</w:t>
        <w:br/>
        <w:t>los sospechosos poseían armas personales asignadas en 1995; d) solicitar  al</w:t>
        <w:br/>
        <w:t>Laboratorio de Balística del Ministerio Público  los  dictámenes  periciales</w:t>
        <w:br/>
        <w:t>que contienen el resultado de los proyectiles encontrados en los cuerpos  de</w:t>
        <w:br/>
        <w:t>las víctimas y e) procurar la ampliación de la declaración testifical de  la</w:t>
        <w:br/>
        <w:t>señora Liliana Ortega Alvarado.  A principios del año  2005,  más  de  nueve</w:t>
        <w:br/>
        <w:t>años después de los hechos, el proceso penal seguía en la etapa de  sumario.</w:t>
        <w:br/>
        <w:br/>
        <w:br/>
        <w:br/>
        <w:t>79.45.      El 16 de mayo de 2002 la Corte Suprema de Honduras  solicitó  ad</w:t>
        <w:br/>
        <w:t>efectum videndi al Juzgado que remitiera la causa instruida  por  el  delito</w:t>
        <w:br/>
        <w:t>de homicidio en perjuicio de Marco Antonio  Servellón  García  y  otros,  en</w:t>
        <w:br/>
        <w:t>atención a la  solicitud  de  la  Secretaría  de  Relaciones  Exteriores  de</w:t>
        <w:br/>
        <w:t>Honduras para que la Corte  Suprema  emitiera  un  análisis  sobre  “retardo</w:t>
        <w:br/>
        <w:t>injustificado de justicia” en la referida causa[38].</w:t>
        <w:br/>
        <w:br/>
        <w:t>79.46.      El 12 de agosto de 2002 la Sala Penal de  la  Corte  Suprema  de</w:t>
        <w:br/>
        <w:t>Justicia constató que: “1. Las presentes  diligencias  de  investigación  se</w:t>
        <w:br/>
        <w:t>[encontraban]  todavía  en  etapa  sumarial  o  instrucción,  [la   que   de</w:t>
        <w:br/>
        <w:t>conformidad a la legislación] no [puede exceder] de  tres  meses.  2.  [Que]</w:t>
        <w:br/>
        <w:t>dentro  de  las  diligencias  ordenadas  por  el  Juez   instructor   están:</w:t>
        <w:br/>
        <w:t>identificación de  archivos,  nombramientos,  causa  de  altas  y  bajas  de</w:t>
        <w:br/>
        <w:t>algunos tenientes y agentes, sin que hayan  ejecutado  tales  requerimientos</w:t>
        <w:br/>
        <w:t>por  autoridad  responsable  obligada  a   suministrar   las   informaciones</w:t>
        <w:br/>
        <w:t>requeridas [y que al] Juez  responsable  de  la  investigación  no  puede[n]</w:t>
        <w:br/>
        <w:t>pasar  desapercibid[as]  tales  negligencias  [...].  3.  Los   niveles   de</w:t>
        <w:br/>
        <w:t>investigación hasta ahora practicadas [...] no han sido  efectivos,  ya  que</w:t>
        <w:br/>
        <w:t>no han  logrado  cumplir  con  el  objetivo  de  la  etapa  sumarial  en  el</w:t>
        <w:br/>
        <w:t>proceso[,] que es la práctica de diligencias con el objeto de  comprobar  el</w:t>
        <w:br/>
        <w:t>cuerpo del delito, descubrimiento a sus autores  o  partícipes,  conocer  su</w:t>
        <w:br/>
        <w:t>personalidad y averiguar [la] naturaleza y cuantía de los daños”[39].</w:t>
        <w:br/>
        <w:br/>
        <w:t>79.47.       El  14  de  enero  de  2005  el  Ministerio  Público   solicitó</w:t>
        <w:br/>
        <w:t>nuevamente que se  libraran  las  correspondientes  órdenes  de  captura  en</w:t>
        <w:br/>
        <w:t>contra de David  Abraham  Mendoza,  Marco  Tulio  Regalado  Hernández,  José</w:t>
        <w:br/>
        <w:t>Alberto Alfaro Martínez, José Antonio  Martínez  Arrazola  y  Roxana  Sierra</w:t>
        <w:br/>
        <w:t>Ramírez[40].  El 9 de febrero de 2005, más de  nueve  años  después  de  las</w:t>
        <w:br/>
        <w:t>ejecuciones extrajudiciales,  el  Juzgado  resolvió  “ordenar  la  inmediata</w:t>
        <w:br/>
        <w:t>captura de los señores José Alberto Alfaro  Martínez  y  Víctor  Hugo  Vivas</w:t>
        <w:br/>
        <w:t>Lozano, por  suponerlos  responsables  de  haber  cometido  los  delitos  de</w:t>
        <w:br/>
        <w:t>Tortura[…] y Asesinato, en perjuicio de Orlando Álvarez  Ríos,  Rony  Alexis</w:t>
        <w:br/>
        <w:t>Betancourth [Vásquez],  Marco  Antonio  Servellón  García  y  Diomedes  Obed</w:t>
        <w:br/>
        <w:t>García Sánchez y [...] la inmediata  captura  de  la  señora  Roxana  Sierra</w:t>
        <w:br/>
        <w:t>Ramírez, por suponerla responsable de haber cometido el delito de  Detención</w:t>
        <w:br/>
        <w:t>Ilegal [...]”[41].   El  Ministerio  Público  recurrió  de  dicha  decisión,</w:t>
        <w:br/>
        <w:t>porque ordenaba la captura sólo de algunos de los acusados por la muerte  de</w:t>
        <w:br/>
        <w:t>las víctimas[42].</w:t>
        <w:br/>
        <w:br/>
        <w:t>79.48.      El 15 de febrero de 2005 José  Alberto  Alfaro  Martínez  acudió</w:t>
        <w:br/>
        <w:t>ante el Juzgado a “present[arse] voluntariamente  […]  en  virtud  de  tener</w:t>
        <w:br/>
        <w:t>conocimiento que en  [su  contra]  se  instruy[ó]  proceso  por  suponer[lo]</w:t>
        <w:br/>
        <w:t>responsable de la  comisión  de  los  delitos  de  asesinato  y  tortura  en</w:t>
        <w:br/>
        <w:t>perjuicio de los señores Rony Alexis  Betancourt  [Vásquez],  Diomedes  Obed</w:t>
        <w:br/>
        <w:t>García Sánchez, Marco  Antonio  Servellón  García  y  Orlando  Álvarez  Ríos</w:t>
        <w:br/>
        <w:t>[...]”[43], y ese mismo día rindió su declaración  indagatoria[44].   El  20</w:t>
        <w:br/>
        <w:t>de febrero de 2005  el  señor  José  Alberto  Alfaro  Martínez  solicitó  al</w:t>
        <w:br/>
        <w:t>Juzgado el  sobreseimiento  definitivo,  dentro  del  término  de  ley  para</w:t>
        <w:br/>
        <w:t>inquirir, en virtud de haberse desvanecido los presupuestos  incriminatorios</w:t>
        <w:br/>
        <w:t>para decretar auto de prisión[45].</w:t>
        <w:br/>
        <w:br/>
        <w:t>79.49.      El 21 de febrero de 2005 el Juzgado decretó auto de  prisión  en</w:t>
        <w:br/>
        <w:t>contra de José Alberto Alfaro Martínez, declaró cerrado el sumario  y  elevó</w:t>
        <w:br/>
        <w:t>las diligencias a la etapa de plenario[46].  Al día siguiente, los  abogados</w:t>
        <w:br/>
        <w:t>defensores  de  José  Alberto   Alfaro   Martínez   recurrieron   de   dicha</w:t>
        <w:br/>
        <w:t>resolución[47].  El 22 de junio de 2005  la  Corte  Primera  de  Apelaciones</w:t>
        <w:br/>
        <w:t>declaró con lugar la apelación interpuesta, revocó el  auto  de  prisión  en</w:t>
        <w:br/>
        <w:t>contra del señor José Alberto Alfaro Martínez  y  sobreseyó  definitivamente</w:t>
        <w:br/>
        <w:t>las diligencias a su favor[48].</w:t>
        <w:br/>
        <w:br/>
        <w:t>79.50. El 22 de junio de 2005 la Corte Primera de  Apelaciones  declaró  sin</w:t>
        <w:br/>
        <w:t>lugar la apelación interpuesta contra el  auto  de  9  de  febrero  de  2005</w:t>
        <w:br/>
        <w:t>(supra párr. 79.47), por entender que “las órdenes de  captura  libradas  en</w:t>
        <w:br/>
        <w:t>su momento contra algunos  de  los  imputados  las  emitió  el  Juez  en  el</w:t>
        <w:br/>
        <w:t>ejercicio de sus facultades y suponiendo que existían méritos  para  hacerlo</w:t>
        <w:br/>
        <w:t>solo respecto de  los  mismos,  por  lo  que  la  providencia  recurrida  se</w:t>
        <w:br/>
        <w:t>enc[ontraba] apegada a derecho”[49].  El 2 de agosto de 2005  el  Ministerio</w:t>
        <w:br/>
        <w:t>Público interpuso un  recurso  de  amparo  contra  esta  decisión,  que  fue</w:t>
        <w:br/>
        <w:t>resuelto por la Corte Suprema de Justicia el 14 de  diciembre  de  2005,  la</w:t>
        <w:br/>
        <w:t>cual, en aplicación, entre otros, de los artículos 8 y 25 de  la  Convención</w:t>
        <w:br/>
        <w:t>Americana, otorgó el recurso de amparo, “a efecto de que  se  dict[ara]  una</w:t>
        <w:br/>
        <w:t>nueva resolución [que decidiera la apelación interpuesta por  el  Ministerio</w:t>
        <w:br/>
        <w:t>público contra el auto de  9  de  febrero  de  2005]  con  la  motivación  y</w:t>
        <w:br/>
        <w:t>fundamentación que ordena el debido proceso”[50] (supra párr. 79.47)</w:t>
        <w:br/>
        <w:br/>
        <w:t xml:space="preserve">                                      *</w:t>
        <w:br/>
        <w:t xml:space="preserve">                                   *     *</w:t>
        <w:br/>
        <w:br/>
        <w:t>79.51.      A la fecha de la presente Sentencia el  proceso  penal  continúa</w:t>
        <w:br/>
        <w:t>en trámite, el Juzgado ha dispuesto declarar cerrado  el  sumario  y  elevar</w:t>
        <w:br/>
        <w:t>las diligencias a la etapa de plenario, decisión que se encuentra  pendiente</w:t>
        <w:br/>
        <w:t>de recurso (supra párrs. 79.49 y 79.50).  Asimismo, el  Juzgado  ha  dictado</w:t>
        <w:br/>
        <w:t>órdenes de captura en contra de tres de los  acusados  señores  Víctor  Hugo</w:t>
        <w:br/>
        <w:t>Vivas  Lozano,  Roxana  Sierra  Ramírez  y  José  Alberto  Alfaro  Martínez.</w:t>
        <w:br/>
        <w:t>Respecto a los dos primeros dichas órdenes no se han  hecho  efectivas.   En</w:t>
        <w:br/>
        <w:t>lo que se refiere al señor José Alberto Alfaro Martínez,  que  había  estado</w:t>
        <w:br/>
        <w:t>bajo prisión  preventiva,  para  la  fecha  de  la  presente  Sentencia,  se</w:t>
        <w:br/>
        <w:t>encuentra en libertad, ya que la causa fue  sobreseída  a  su  favor  (supra</w:t>
        <w:br/>
        <w:t>párr. 79.49).</w:t>
        <w:br/>
        <w:br/>
        <w:t>I)    Sobre los familiares de las víctimas</w:t>
        <w:br/>
        <w:br/>
        <w:t>79.52.      Los familiares de  Marco  Antonio  Servellón  García  son  Reyes</w:t>
        <w:br/>
        <w:t>Servellón Santos, padre, quién falleció  con  posterioridad  a  los  hechos;</w:t>
        <w:br/>
        <w:t>Bricelda Aide García Lobo, madre; Marja Ibeth Castro García, hermana;  Pablo</w:t>
        <w:br/>
        <w:t>Servellón García, hermano, y Héctor Vicente Castro García, hermano.</w:t>
        <w:br/>
        <w:br/>
        <w:t>79.53.      Los familiares de Rony Alexis Betancourth  Vásquez  son  Manases</w:t>
        <w:br/>
        <w:t>Betancourth Núñez,  padre;  Hilda  Estebana  Hernández  López,  madre;  Juan</w:t>
        <w:br/>
        <w:t>Carlos Betancourth Hernández, hermano; Manaces Betancourt Aguilar,  hermano;</w:t>
        <w:br/>
        <w:t>Emma Aracely Betancourth Aguilar, hermana; Enma Aracely Betancourth  Abarca,</w:t>
        <w:br/>
        <w:t>hermana; Lilian María Betancourt Álvarez, hermana; Ana  Luisa  Vargas  Soto,</w:t>
        <w:br/>
        <w:t>compañera de hogar; Zara Beatris  Bustillo  Rivera,  hija,  y  Norma  Estela</w:t>
        <w:br/>
        <w:t>Bustillo Rivera, madre de Zara Beatriz.</w:t>
        <w:br/>
        <w:br/>
        <w:t>79.54.      Los familiares de Orlando Álvarez Ríos son  Concepción  Álvarez,</w:t>
        <w:br/>
        <w:t>padre, quién falleció el 15 de octubre  de  1982;  Antonia  Ríos,  madre,  y</w:t>
        <w:br/>
        <w:t>Dilcia Álvarez Ríos, hermana.</w:t>
        <w:br/>
        <w:br/>
        <w:t>79.55.      Los familiares de Diomedes  Obed  García  Sánchez  son  Diomedes</w:t>
        <w:br/>
        <w:t>Tito García Casildo, padre; Andrea Sánchez Loredo, madre, quien falleció  el</w:t>
        <w:br/>
        <w:t>25 de octubre de 1985; Esther Patricia García Sánchez, Jorge  Moisés  García</w:t>
        <w:br/>
        <w:t>Sánchez y Fidelia Sarahí García Sánchez, hermanos.</w:t>
        <w:br/>
        <w:br/>
        <w:t>79.56.      Los señores Reyes Servellón Santos y Bricelda Aide García  Lobo,</w:t>
        <w:br/>
        <w:t>padres de Marco Antonio Servellón García;  y  Manases  Betancourth  Núñez  e</w:t>
        <w:br/>
        <w:t>Hilda Estebana Hernández López, padres de Rony Alexis  Betancourth  Vásquez,</w:t>
        <w:br/>
        <w:t>sufrieron  al  conocer  la  forma  en  que  sus  hijos  fueron  detenidos  y</w:t>
        <w:br/>
        <w:t>mantenidos en detención ilegal, sometidos  a  tortura  y  tratos  crueles  e</w:t>
        <w:br/>
        <w:t>inhumanos y degradantes, y luego  ejecutados  extrajudicialmente,  así  como</w:t>
        <w:br/>
        <w:t>por la manera en que los cuerpos de  las  víctimas  fueron  encontrados,  en</w:t>
        <w:br/>
        <w:t>distintos lugares de la ciudad de Tegucigalpa, a la orilla de la calle.   La</w:t>
        <w:br/>
        <w:t>madre de Rony Alexis Betancourth Vásquez, sufrió, además, al  reconocer  los</w:t>
        <w:br/>
        <w:t>restos mortales de su hijo, ya que esperaba que él estuviese seguro bajo  la</w:t>
        <w:br/>
        <w:t>custodia del Estado.  Esos familiares han padecido un  profundo  sufrimiento</w:t>
        <w:br/>
        <w:t>y angustia en detrimento de su integridad psíquica y moral.</w:t>
        <w:br/>
        <w:br/>
        <w:t>79.57.      Dilcia  Álvarez  Ríos,  hermana  de  Orlando  Álvarez  Ríos,  ha</w:t>
        <w:br/>
        <w:t>sufrido a consecuencia de la muerte de su hermano,  con  quien  convivía  al</w:t>
        <w:br/>
        <w:t>momento de los hechos y con quien tenía un lazo afectivo estrecho y  padeció</w:t>
        <w:br/>
        <w:t>angustia y dolor al ver que su hermano no llegó  a  su  casa  como  éste  le</w:t>
        <w:br/>
        <w:t>había prometido.  El lunes 19 de septiembre de 1995, buscó a  su  hermano  y</w:t>
        <w:br/>
        <w:t>realizó diversas diligencias para encontrarlo.   Fue  informada  de  que  la</w:t>
        <w:br/>
        <w:t>víctima no se encontraba detenida en  el  CORE  VII,  hasta  que  finalmente</w:t>
        <w:br/>
        <w:t>encontró el cuerpo  de  su  hermano  en  la  morgue.   Ha  padecido  por  el</w:t>
        <w:br/>
        <w:t>sufrimiento en la búsqueda por  justicia  que  emprendió.   Asimismo,  Marja</w:t>
        <w:br/>
        <w:t>Ibeth Castro García, hermana de Marco Antonio Servellón García,  ha  sufrido</w:t>
        <w:br/>
        <w:t>por las  condiciones  de  detención  y  la  ejecución  extrajudicial  de  su</w:t>
        <w:br/>
        <w:t>hermano, cuando estaba bajo custodia de las autoridades estatales, y  en  el</w:t>
        <w:br/>
        <w:t>curso  de  las  diligencias  que   realizó   para   denunciar   los   hechos</w:t>
        <w:br/>
        <w:t>ocurridos[51].</w:t>
        <w:br/>
        <w:br/>
        <w:t>79.58.      Ana Luisa Vargas  Soto,  mantenía  un  vínculo  afectivo  y  era</w:t>
        <w:br/>
        <w:t>compañera de hogar de Rony Alexis Betancourth Vásquez[52].</w:t>
        <w:br/>
        <w:br/>
        <w:t>79.59.      La niña Zara Beatris Bustillo Rivera  es  hija  de  Rony  Alexis</w:t>
        <w:br/>
        <w:t>Betancourth Vásquez.</w:t>
        <w:br/>
        <w:br/>
        <w:t>J)    Costas y Gastos</w:t>
        <w:br/>
        <w:br/>
        <w:t>79.60.      Casa  Alianza  ha  incurrido  en  una  serie  de  gastos  en  la</w:t>
        <w:br/>
        <w:t>jurisdicción interna.  El Centro por la Justicia y el Derecho  Internacional</w:t>
        <w:br/>
        <w:t>(CEJIL) y la Casa Alianza  han  incurrido  en  gastos  relacionados  con  el</w:t>
        <w:br/>
        <w:t>trámite del presente caso ante los órganos  del  Sistema  Interamericano  de</w:t>
        <w:br/>
        <w:t>Protección de los Derechos Humanos, en  representación  de  algunos  de  los</w:t>
        <w:br/>
        <w:t>familiares de las víctimas[53].</w:t>
        <w:br/>
        <w:br/>
        <w:br/>
        <w:br/>
        <w:t xml:space="preserve">                                    VIII</w:t>
        <w:br/>
        <w:t xml:space="preserve"> Violación de los artículos 4.1, 5.1, 5.2 y 5.5, 7.1, 7.2, 7.3, 7.4 y 7.5, y</w:t>
        <w:br/>
        <w:t xml:space="preserve">                                     19,</w:t>
        <w:br/>
        <w:br/>
        <w:t xml:space="preserve">   de la Convención Americana, en relación con el artículo 1.1 de la misma</w:t>
        <w:br/>
        <w:br/>
        <w:t xml:space="preserve">    (Derecho a la Vida, a la Integridad Personal, a la Libertad Personal,</w:t>
        <w:br/>
        <w:t xml:space="preserve">          Derechos del Niño y Obligación de Respetar los Derechos)</w:t>
        <w:br/>
        <w:br/>
        <w:t>80.   La Corte en el  Capítulo  VI  concluyó  que  el  Estado  reconoció  su</w:t>
        <w:br/>
        <w:t>responsabilidad internacional por la violación de los artículos 4.1,  5.1  y</w:t>
        <w:br/>
        <w:t>5.2 y 7.1, 7.2, 7.3, 7.4 y 7.5 de la Convención Americana, en  relación  con</w:t>
        <w:br/>
        <w:t>el artículo  1.1  de  dicho  instrumento,  en  perjuicio  de  Marco  Antonio</w:t>
        <w:br/>
        <w:t>Servellón García, Rony Alexis Betancourth Vásquez, Orlando  Álvarez  Ríos  y</w:t>
        <w:br/>
        <w:t>Diomedes Obed García Sánchez, y los artículos 5.5 y 19 de la Convención,  en</w:t>
        <w:br/>
        <w:t>perjuicio de Marco  Antonio  Servellón  García  y  Rony  Alexis  Betancourth</w:t>
        <w:br/>
        <w:t>Vásquez.  En razón de  lo  anterior,  la  Corte  no  resumirá  los  alegatos</w:t>
        <w:br/>
        <w:t>presentados por la Comisión, los representantes y el Estado.</w:t>
        <w:br/>
        <w:br/>
        <w:t>Consideraciones de la Corte</w:t>
        <w:br/>
        <w:br/>
        <w:t>81. 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t xml:space="preserve">      […]</w:t>
        <w:br/>
        <w:br/>
        <w:t>82.   El artículo 5 de la Convención Americana establece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br/>
        <w:t xml:space="preserve">      5.    Cuando los menores puedan ser procesados, deben ser separados de</w:t>
        <w:br/>
        <w:t xml:space="preserve">      los adultos y llevados ante tribunales especializados,  con  la  mayor</w:t>
        <w:br/>
        <w:t xml:space="preserve">      celeridad posible, para su tratamiento.</w:t>
        <w:br/>
        <w:br/>
        <w:br/>
        <w:t xml:space="preserve">      […]</w:t>
        <w:br/>
        <w:br/>
        <w:t>83.   El artículo 4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br/>
        <w:t xml:space="preserve">      […]</w:t>
        <w:br/>
        <w:br/>
        <w:t>84.   El artículo 19 de la Convención establece que</w:t>
        <w:br/>
        <w:br/>
        <w:t xml:space="preserve">      [t]odo niño tiene derecho a las medidas de protección que su condición</w:t>
        <w:br/>
        <w:t xml:space="preserve">      de menor requieren por parte de su  familia,  de  la  sociedad  y  del</w:t>
        <w:br/>
        <w:t xml:space="preserve">      Estado.</w:t>
        <w:br/>
        <w:br/>
        <w:t>85.   El artículo 1.1 de la Convención Americana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86.   La Convención ha consagrado como principal garantía de la  libertad  y</w:t>
        <w:br/>
        <w:t>la seguridad individual la prohibición de  la  detención  o  encarcelamiento</w:t>
        <w:br/>
        <w:t>ilegal o arbitrario.  La Corte ha manifestado que  el  Estado,  en  relación</w:t>
        <w:br/>
        <w:t>con la detención ilegal, “si bien […] tiene el derecho y  la  obligación  de</w:t>
        <w:br/>
        <w:t>garantizar su seguridad  y  mantener  el  orden  público,  su  poder  no  es</w:t>
        <w:br/>
        <w:t>ilimitado, pues tiene el deber, en todo momento, de  aplicar  procedimientos</w:t>
        <w:br/>
        <w:t>conformes a Derecho y respetuosos de  los  derechos  fundamentales,  a  todo</w:t>
        <w:br/>
        <w:t>individuo que se encuentre bajo su jurisdicción”[54].</w:t>
        <w:br/>
        <w:br/>
        <w:t>87.   Así es que con la finalidad  de  mantener  la  seguridad  y  el  orden</w:t>
        <w:br/>
        <w:t>públicos,  el  Estado  legisla  y  adopta  diversas  medidas   de   distinta</w:t>
        <w:br/>
        <w:t>naturaleza para prevenir y regular las conductas de sus ciudadanos,  una  de</w:t>
        <w:br/>
        <w:t>las cuales es promover la presencia de  fuerzas  policiales  en  el  espacio</w:t>
        <w:br/>
        <w:t>público.  No obstante, la Corte observa que un  incorrecto  actuar  de  esos</w:t>
        <w:br/>
        <w:t>agentes estatales en  su  interacción  con  las  personas  a  quienes  deben</w:t>
        <w:br/>
        <w:t>proteger, representa una de las principales amenazas al derecho  a  libertad</w:t>
        <w:br/>
        <w:t>personal, el cual, cuando es vulnerado, genera un riesgo de que se  produzca</w:t>
        <w:br/>
        <w:t>la vulneración de otros derechos, como la integridad personal y, en  algunos</w:t>
        <w:br/>
        <w:t>casos, la vida.</w:t>
        <w:br/>
        <w:br/>
        <w:t>88.   El artículo 7 de la  Convención  consagra  garantías  que  representan</w:t>
        <w:br/>
        <w:t>límites al ejercicio de la autoridad por parte de agentes del Estado.   Esos</w:t>
        <w:br/>
        <w:t>límites se aplican a los instrumentos  de  control  estatales,  uno  de  los</w:t>
        <w:br/>
        <w:t>cuales es la  detención.   Dicha  medida  estará  en  concordancia  con  las</w:t>
        <w:br/>
        <w:t>garantías consagradas en la Convención siempre y cuando su aplicación  tenga</w:t>
        <w:br/>
        <w:t>un carácter excepcional, respete el principio a la presunción  de  inocencia</w:t>
        <w:br/>
        <w:t>y los principios de legalidad, necesidad y proporcionalidad,  indispensables</w:t>
        <w:br/>
        <w:t>en una sociedad democrática[55].</w:t>
        <w:br/>
        <w:br/>
        <w:t>89.   La restricción  del  derecho  a  la  libertad  personal,  como  es  la</w:t>
        <w:br/>
        <w:t>detención, debe darse  únicamente  por  las  causas  y  en  las  condiciones</w:t>
        <w:br/>
        <w:t>fijadas de antemano  por  las  Constituciones  Políticas  o  por  las  leyes</w:t>
        <w:br/>
        <w:t>dictadas conforme  a  ellas  (aspecto  material),  y  además,  con  estricta</w:t>
        <w:br/>
        <w:t>sujeción a los procedimientos objetivamente definidos en la  misma  (aspecto</w:t>
        <w:br/>
        <w:t>formal)[56].  A su  vez,  la  legislación  que  establece  las  causales  de</w:t>
        <w:br/>
        <w:t>restricción de la libertad personal debe ser dictada de conformidad con  los</w:t>
        <w:br/>
        <w:t>principios  que  rigen  la  Convención,  y  ser  conducente  a  la  efectiva</w:t>
        <w:br/>
        <w:t>observancia de las garantías en ella previstas.</w:t>
        <w:br/>
        <w:br/>
        <w:t>90.   Asimismo, la Convención prohíbe la  detención  o  encarcelamiento  por</w:t>
        <w:br/>
        <w:t>métodos  que  pueden  ser  legales,  pero  que  en  la   práctica   resultan</w:t>
        <w:br/>
        <w:t>irrazonables, o carentes de proporcionalidad[57].  La Corte  ha  establecido</w:t>
        <w:br/>
        <w:t>que para que  se  cumplan  los  requisitos  necesarios  para  restringir  el</w:t>
        <w:br/>
        <w:t>derecho a la libertad  personal,  deben  existir  indicios  suficientes  que</w:t>
        <w:br/>
        <w:t>permitan suponer razonablemente la culpabilidad de la persona sometida a  un</w:t>
        <w:br/>
        <w:t>proceso y que la detención sea estrictamente necesaria para asegurar que  el</w:t>
        <w:br/>
        <w:t>acusado no impedirá  el  desarrollo  eficiente  de  las  investigaciones  ni</w:t>
        <w:br/>
        <w:t>eludirá la acción de la justicia.  Al ordenarse medidas restrictivas  de  la</w:t>
        <w:br/>
        <w:t>libertad es preciso que el Estado fundamente y acredite  la  existencia,  en</w:t>
        <w:br/>
        <w:t>el caso concreto, de esos requisitos exigidos por la Convención[58].</w:t>
        <w:br/>
        <w:br/>
        <w:t>91.   La detención de las víctimas en este  caso  constituyó  una  detención</w:t>
        <w:br/>
        <w:t>colectiva y programada,  en  la  que  aproximadamente  128  personas  fueron</w:t>
        <w:br/>
        <w:t>detenidas,  sin  orden  de  detención  y  sin  haber  sido  aprehendidas  en</w:t>
        <w:br/>
        <w:t>flagrante delito, y que fue realizada con la declarada finalidad  de  evitar</w:t>
        <w:br/>
        <w:t>disturbios durante los desfiles que se realizarían para celebrar el  Día  de</w:t>
        <w:br/>
        <w:t>la Independencia Nacional (supra párr. 79.5).</w:t>
        <w:br/>
        <w:br/>
        <w:t>92.   El Tribunal entiende que la detención colectiva puede  representar  un</w:t>
        <w:br/>
        <w:t>mecanismo para garantizar la seguridad ciudadana  cuando  el  Estado  cuenta</w:t>
        <w:br/>
        <w:t>con elementos para acreditar que la actuación de cada una  de  las  personas</w:t>
        <w:br/>
        <w:t>afectadas se encuadra en alguna de las causas  de  detención  previstas  por</w:t>
        <w:br/>
        <w:t>sus normas internas  en  concordancia  con  la  Convención.  Es  decir,  que</w:t>
        <w:br/>
        <w:t>existan elementos para individualizar y separar las conductas  de  cada  uno</w:t>
        <w:br/>
        <w:t>de los detenidos y que,  a  la  vez,  exista  el  control  de  la  autoridad</w:t>
        <w:br/>
        <w:t>judicial.</w:t>
        <w:br/>
        <w:br/>
        <w:t>93.   Por ello, una detención masiva y  programada  de  personas  sin  causa</w:t>
        <w:br/>
        <w:t>legal, en la que el Estado detiene masivamente a personas que  la  autoridad</w:t>
        <w:br/>
        <w:t>supone que podrían representar un riesgo o peligro a  la  seguridad  de  los</w:t>
        <w:br/>
        <w:t>demás, sin indicios fundados de la comisión de  un  delito,  constituye  una</w:t>
        <w:br/>
        <w:t>detención ilegal y  arbitraria.   En  concordancia  con  ello,  en  el  Caso</w:t>
        <w:br/>
        <w:t>Bulacio la Corte  estableció  que  las  razzias  son  incompatibles  con  el</w:t>
        <w:br/>
        <w:t>respeto  a  los  derechos  fundamentales,  entre  otros,  la  presunción  de</w:t>
        <w:br/>
        <w:t>inocencia, la existencia de orden judicial para detener –salvo en  hipótesis</w:t>
        <w:br/>
        <w:t>de flagrancia- y la obligación de notificar a los encargados de los  menores</w:t>
        <w:br/>
        <w:t>de edad[59].</w:t>
        <w:br/>
        <w:br/>
        <w:t>94.   Este Tribunal considera que el principio de igualdad ante la ley y  no</w:t>
        <w:br/>
        <w:t>discriminación pertenece al  jus  cogens  el  cual,  revestido  de  carácter</w:t>
        <w:br/>
        <w:t>imperativo, acarrea obligaciones erga omnes de  protección  que  vinculan  a</w:t>
        <w:br/>
        <w:t>todos los Estados y generan  efectos  con  respecto  a  terceros,  inclusive</w:t>
        <w:br/>
        <w:t>particulares[60].</w:t>
        <w:br/>
        <w:br/>
        <w:t>95.   El Tribunal,  en  la  Opinión  Consultiva  OC-18  sobre  la  Condición</w:t>
        <w:br/>
        <w:t>Jurídica y Derechos de los Migrantes Indocumentados, estableció  que  existe</w:t>
        <w:br/>
        <w:t>un vínculo indisoluble entre la obligación  de  respetar  y  garantizar  los</w:t>
        <w:br/>
        <w:t>derechos  humanos  y  el  principio  de  igualdad   ante   la   ley   y   no</w:t>
        <w:br/>
        <w:t>discriminación, y que este debe impregnar toda la actuación del  Estado[61].</w:t>
        <w:br/>
        <w:t xml:space="preserve"> En ese sentido, el Estado no puede  actuar  en  contra  de  un  determinado</w:t>
        <w:br/>
        <w:t>grupo de personas, ya sea  por  motivos  de  género,  raza,  color,  idioma,</w:t>
        <w:br/>
        <w:t>religión o convicción, opinión política o de otra índole,  origen  nacional,</w:t>
        <w:br/>
        <w:t>étnico  o  social,  nacionalidad,  edad,  situación  económica,  patrimonio,</w:t>
        <w:br/>
        <w:t>estado civil, nacimiento o cualquier otra condición[62].</w:t>
        <w:br/>
        <w:br/>
        <w:t>96.   Las detenciones programadas y colectivas, las  que  no  se  encuentran</w:t>
        <w:br/>
        <w:t>fundadas en la individualización de conductas punibles  y  que  carecen  del</w:t>
        <w:br/>
        <w:t>control judicial, son contrarias  a  la  presunción  de  inocencia,  coartan</w:t>
        <w:br/>
        <w:t>indebidamente la libertad personal y transforman la detención preventiva  en</w:t>
        <w:br/>
        <w:t>un mecanismo discriminatorio, por lo que el Estado no puede realizarlas,  en</w:t>
        <w:br/>
        <w:t>circunstancia alguna.</w:t>
        <w:br/>
        <w:br/>
        <w:t>97.   Por su parte, el  artículo  5  de  la  Convención  Americana  reconoce</w:t>
        <w:br/>
        <w:t>expresamente  el  derecho  a  la  integridad  personal,   que   implica   la</w:t>
        <w:br/>
        <w:t>prohibición absoluta de la tortura y penas o  tratos  crueles,  inhumanos  o</w:t>
        <w:br/>
        <w:t>degradantes.   Este  Tribunal  ha  considerado  de  forma  constante  en  su</w:t>
        <w:br/>
        <w:t>jurisprudencia que dicha prohibición pertenece hoy día al  dominio  del  jus</w:t>
        <w:br/>
        <w:t>cogens[63].  El derecho a la integridad personal  no  puede  ser  suspendido</w:t>
        <w:br/>
        <w:t>bajo circunstancia alguna[64].</w:t>
        <w:br/>
        <w:br/>
        <w:t>98.   El artículo 4 de la  Convención  garantiza  el  derecho  de  todo  ser</w:t>
        <w:br/>
        <w:t>humano de no ser privado de la  vida  arbitrariamente,  lo  que  incluye  la</w:t>
        <w:br/>
        <w:t>necesidad de la adopción por parte del  Estado  de  medidas  positivas  para</w:t>
        <w:br/>
        <w:t>prevenir la violación  de  este  derecho,  como  serían  todas  las  medidas</w:t>
        <w:br/>
        <w:t>necesarias para  impedir  las  ejecuciones  arbitrarias  por  parte  de  sus</w:t>
        <w:br/>
        <w:t>propias  fuerzas  de  seguridad,  así  como  para  prevenir  y  castigar  la</w:t>
        <w:br/>
        <w:t>privación de la vida como consecuencia de actos criminales  practicados  por</w:t>
        <w:br/>
        <w:t>terceros particulares[65].</w:t>
        <w:br/>
        <w:br/>
        <w:t>99.   En el presente caso, las víctimas fueron detenidas colectivamente,  de</w:t>
        <w:br/>
        <w:t>forma ilegal y arbitraria, sometidas a tortura y tratos  crueles,  inhumanos</w:t>
        <w:br/>
        <w:t>o degradantes durante su detención.  Fueron golpeadas  con  pistolas  en  la</w:t>
        <w:br/>
        <w:t>cabeza y con sillas, acusadas de “ladrón” y estuvieron aisladas y  amarradas</w:t>
        <w:br/>
        <w:t>durante su detención en el  CORE  VII.   Mientras  se  encontraban  bajo  la</w:t>
        <w:br/>
        <w:t>custodia estatal, y cumpliendo las amenazas que  les  hicieron  los  agentes</w:t>
        <w:br/>
        <w:t>estatales, fueron asesinados con armas  de  fuego  y  armas  blancas  (supra</w:t>
        <w:br/>
        <w:t>párrs.  79.5  a  79.31).   El  menor  Marco  Antonio  Servellón  García  fue</w:t>
        <w:br/>
        <w:t>ejecutado con cuatro disparos de arma de fuego dirigidos a su  rostro  y  su</w:t>
        <w:br/>
        <w:t>cabeza.  El menor Rony Alexis Betancourth Vásquez recibió  dos  disparos  de</w:t>
        <w:br/>
        <w:t>arma de fuego en la cabeza, y cuatro heridas de arma  blanca,  tres  de  las</w:t>
        <w:br/>
        <w:t>cuales  localizadas  en  el  pecho.   Orlando  Álvarez   Ríos   murió   como</w:t>
        <w:br/>
        <w:t>consecuencia de dos disparos  de  arma  de  fuego  y  su  cuerpo  presentaba</w:t>
        <w:br/>
        <w:t>señales de que había sido objeto de violencia sexual  antes  de  su  muerte.</w:t>
        <w:br/>
        <w:t>Diomedes  Obed  García  Sánchez  fue  ejecutado   mediante   ocho   disparos</w:t>
        <w:br/>
        <w:t>producidos por arma de fuego, además de tres heridas de arma blanca, dos  de</w:t>
        <w:br/>
        <w:t>ellas producidas por machete, una de las cuales  habría  sido  tan  profunda</w:t>
        <w:br/>
        <w:t>que le habría “casi […] cercena[do] la  cabeza”  (supra  párr.  79.31).   El</w:t>
        <w:br/>
        <w:t>ensañamiento con que se ejecutó a las víctimas, privándoles de  la  vida  en</w:t>
        <w:br/>
        <w:t>forma humillante, las marcas de  tortura  física  presentes  en  los  cuatro</w:t>
        <w:br/>
        <w:t>cadáveres, y la forma como sus cuerpos fueron abandonados a  la  intemperie,</w:t>
        <w:br/>
        <w:t>constituyeron graves atentados al derecho a  la  vida,  a  la  integridad  y</w:t>
        <w:br/>
        <w:t>libertad personales.</w:t>
        <w:br/>
        <w:br/>
        <w:t>100.  Al respecto, en la declaración rendida por Marvin Rafael  Díaz  en  el</w:t>
        <w:br/>
        <w:t>Juzgado de Paz Segundo  de  lo  Criminal  el  19  de  marzo  de  1996,  éste</w:t>
        <w:br/>
        <w:t>manifestó  que  “el  teniente  Alfaro  […]  dijo,  [‘]a   estos   déjenmelos</w:t>
        <w:br/>
        <w:t>aparte[´], los cuatro que aparecieron muertos el día domingo  diecisiete  de</w:t>
        <w:br/>
        <w:t>[s]eptiembre de[1995]; y pud[o] observar que los amarró con unos  lazos  que</w:t>
        <w:br/>
        <w:t>éste tenía, y vi[ó] que DIOMEDES lloraba[. Estuvieron]  pegados  a  un  Pley</w:t>
        <w:br/>
        <w:t>wod [(sic)], viendo hacia la pared, […].  Ellos  estaban  nerviosos,  porque</w:t>
        <w:br/>
        <w:t>temían que los mataran, ya que les habían advertido y [se  les  había  dicho</w:t>
        <w:br/>
        <w:t>que] pertenecían a la MARA DE LOS [POISON] y que [les] tenían clavo”  (supra</w:t>
        <w:br/>
        <w:t>párr. 79.7).  Por su parte, Krisell Mahely Amador, novia  de  Diomedes  Obed</w:t>
        <w:br/>
        <w:t>García Sánchez, en su declaración  rendida  ante  la  Fiscalía  Especial  de</w:t>
        <w:br/>
        <w:t>Derechos Humanos el 11 de octubre de 1995, expresó  que  días  antes  de  su</w:t>
        <w:br/>
        <w:t>muerte, la víctima le dijo “que ya le habían dicho  que  lo  iban  a  matar”</w:t>
        <w:br/>
        <w:t>(supra párr. 79.29).</w:t>
        <w:br/>
        <w:br/>
        <w:t>101.  Asimismo, esta Corte no deja de señalar el trato  que  recibieron  las</w:t>
        <w:br/>
        <w:t>víctimas menores de  edad.   Rony  Alexis  Betancourth  Vásquez  indicó  con</w:t>
        <w:br/>
        <w:t>señales a  Carlos  Yovanny  Arguijo  Hernández,  quien  también  había  sido</w:t>
        <w:br/>
        <w:t>detenido ese mismo día, que le iban a matar, “a dar corte de cabeza, ya  que</w:t>
        <w:br/>
        <w:t>[Rony] llevó una de sus manos al cuello, dándole a entender […]  y  que  fue</w:t>
        <w:br/>
        <w:t>lo que escuch[ó] de éste ‘si me palman, me palman…´ ya que  [Rony  le]  dijo</w:t>
        <w:br/>
        <w:t>que decían que pertenecía a la mara de los poison” (supra párr. 79.15).</w:t>
        <w:br/>
        <w:br/>
        <w:t>102.  Es ilícita toda forma de ejercicio del poder  público  que  viole  los</w:t>
        <w:br/>
        <w:t>derechos reconocidos por la Convención[66].  La Corte ha  señalado  que  los</w:t>
        <w:br/>
        <w:t>Estados responden por los actos de sus agentes, realizados al amparo  de  su</w:t>
        <w:br/>
        <w:t>carácter oficial, y por las omisiones de los mismos, aún si actúan fuera  de</w:t>
        <w:br/>
        <w:t>los límites de su competencia o en violación del  derecho  interno[67].   De</w:t>
        <w:br/>
        <w:t>manera especial, los Estados deben vigilar que sus cuerpos de  seguridad,  a</w:t>
        <w:br/>
        <w:t>quienes les está atribuido  el  uso  de  la  fuerza  legítima,  respeten  el</w:t>
        <w:br/>
        <w:t>derecho a la vida de quienes se encuentren bajo su jurisdicción[68].</w:t>
        <w:br/>
        <w:br/>
        <w:t>103.  En el presente caso agentes de la fuerza pública, haciendo uso  ilegal</w:t>
        <w:br/>
        <w:t>de su autoridad, detuvieron a las víctimas y las ejecutaron.   Al  respecto,</w:t>
        <w:br/>
        <w:t>la Corte ha reiterado que en relación con el derecho a la vida, los  Estados</w:t>
        <w:br/>
        <w:t>tienen la obligación de garantizar la creación de  las  condiciones  que  se</w:t>
        <w:br/>
        <w:t>requieran  para  que  no   se   produzcan   violaciones   de   ese   derecho</w:t>
        <w:br/>
        <w:t>inalienable[69], y que es particularmente grave su vulneración  cuando  ésta</w:t>
        <w:br/>
        <w:t>es producida por agentes estatales, hecho reconocido por  el  Estado  en  su</w:t>
        <w:br/>
        <w:t>allanamiento.</w:t>
        <w:br/>
        <w:br/>
        <w:t>104.  Además de lo anterior, la Corte ha  establecido,  que  los  hechos  de</w:t>
        <w:br/>
        <w:t>este caso se dieron en el marco de un contexto de  violencia  en  contra  de</w:t>
        <w:br/>
        <w:t>los niños y jóvenes en situación de riesgo social en Honduras (supra  párrs.</w:t>
        <w:br/>
        <w:t>79.1, 79.2, 79.3 y 79.35).</w:t>
        <w:br/>
        <w:br/>
        <w:t>105.  El Tribunal observa que,  si  bien  no  se  encuentra  probado  en  el</w:t>
        <w:br/>
        <w:t>expediente del presente caso la existencia, en la época de  los  hechos,  de</w:t>
        <w:br/>
        <w:t>un patrón sistemático de violaciones de derechos humanos en perjucio de  los</w:t>
        <w:br/>
        <w:t>niños y jóvenes en situación de riesgo,  sí  está  probado  el  contexto  de</w:t>
        <w:br/>
        <w:t>violencia dentro del cual se han perpetrado las violaciones a  los  derechos</w:t>
        <w:br/>
        <w:t>a la vida, integridad y libertad personales en este caso.</w:t>
        <w:br/>
        <w:br/>
        <w:t>106.  Es necesario resaltar que  el  Estado  manifestó  ante  la  Corte  que</w:t>
        <w:br/>
        <w:t>“desde 1997 a la fecha [de presentación de la contestación  de  la  demanda,</w:t>
        <w:br/>
        <w:t>el 4 de julio de 2005,] se ha registrado una cantidad importante de  muertes</w:t>
        <w:br/>
        <w:t>violentas de menores”, y que el Estado “[…] ha venido  haciendo  importantes</w:t>
        <w:br/>
        <w:t>esfuerzos para fortalecer una política  de  protección  a  la  niñez  y  sus</w:t>
        <w:br/>
        <w:t>derechos en general y, en particular,  para  contrarrestar  el  fenómeno  de</w:t>
        <w:br/>
        <w:t>muertes de menores”.  El Estado reconoce  la  existencia  de  lo  que  llama</w:t>
        <w:br/>
        <w:t>fenómeno de muertes violentas de menores, aunque  rechaza  la  alegación  de</w:t>
        <w:br/>
        <w:t>que el fenómeno se trate de una política de “profilaxis social”.</w:t>
        <w:br/>
        <w:br/>
        <w:t>107.   Sin  embargo,  la  Corte   ha   afirmado   que   la   responsabilidad</w:t>
        <w:br/>
        <w:t>internacional se genera en forma  inmediata  con  el  ilícito  internacional</w:t>
        <w:br/>
        <w:t>atribuido al Estado, y es consecuencia de  todo  menoscabo  a  los  derechos</w:t>
        <w:br/>
        <w:t>humanos que pueda ser atribuido a la acción, y  también  a  la  omisión,  de</w:t>
        <w:br/>
        <w:t>cualquier poder u órgano  de  éste[70].   La  responsabilidad  internacional</w:t>
        <w:br/>
        <w:t>puede configurarse aún en ausencia de intencionalidad, y hechos  violatorios</w:t>
        <w:br/>
        <w:t>de la Convención son de responsabilidad  del  Estado  independientemente  de</w:t>
        <w:br/>
        <w:t>que éstos sean o no consecuencia de una política estatal deliberada.</w:t>
        <w:br/>
        <w:br/>
        <w:t>108.  La obligación positiva derivada del deber de respeto  y  garantía,  de</w:t>
        <w:br/>
        <w:t>crear las condiciones que se requieran para que no se produzcan  violaciones</w:t>
        <w:br/>
        <w:t>a los derechos humanos, en circunstancias como la del presente caso, en  que</w:t>
        <w:br/>
        <w:t>ha  existido  un  contexto  de  violencia  caracterizado   por   ejecuciones</w:t>
        <w:br/>
        <w:t>extrajudiciales e impunidad, se convierte en el deber, a cargo  del  Estado,</w:t>
        <w:br/>
        <w:t>de hacer cesar las condiciones que permiten la ocurrencia reiterada  de  las</w:t>
        <w:br/>
        <w:t>privaciones arbitrarias a la vida y de su falta de investigación.</w:t>
        <w:br/>
        <w:br/>
        <w:t>109.  En el presente caso, está demostrado  que  el  Estado  no  adoptó  las</w:t>
        <w:br/>
        <w:t>medidas necesarias para cambiar el contexto de violencia en  contra  de  los</w:t>
        <w:br/>
        <w:t>niños y jóvenes en  el  marco  del  cual  fueron  ejecutados  Marco  Antonio</w:t>
        <w:br/>
        <w:t>Servellón García, Rony Alexis Betancourth Vásquez, Orlando  Álvarez  Ríos  y</w:t>
        <w:br/>
        <w:t>Diomedes Obed García Sánchez.  Esto agrava la responsabilidad  internacional</w:t>
        <w:br/>
        <w:t>del Estado.</w:t>
        <w:br/>
        <w:br/>
        <w:t xml:space="preserve">                                      *</w:t>
        <w:br/>
        <w:t xml:space="preserve">                                   *     *</w:t>
        <w:br/>
        <w:br/>
        <w:t>110.  El referido contexto estuvo marcado  por  la  estigmatización  de  los</w:t>
        <w:br/>
        <w:t>jóvenes como supuestos causantes del aumento de la  inseguridad  pública  en</w:t>
        <w:br/>
        <w:t>Honduras y por la identificación, como delincuentes juveniles, de los  niños</w:t>
        <w:br/>
        <w:t>y jóvenes en situación de riesgo social, es  decir,  pobres,  en  estado  de</w:t>
        <w:br/>
        <w:t>vagancia, sin empleos fijos  o  que  padecen  de  otros  problemas  sociales</w:t>
        <w:br/>
        <w:t>(supra párr. 79.1).</w:t>
        <w:br/>
        <w:br/>
        <w:t>111.  Sobre esa vinculación entre la pobreza y la violencia dirigida  a  los</w:t>
        <w:br/>
        <w:t>niños  y  jóvenes,  la  Relatora  Especial  de  las  Naciones  Unidas   para</w:t>
        <w:br/>
        <w:t>Ejecuciones Extrajudiciales, Sumarias o Arbitrarias, señaló  en  su  informe</w:t>
        <w:br/>
        <w:t>de 14 de junio de 2002 respecto de Honduras, que “[s]i bien  los  niños  son</w:t>
        <w:br/>
        <w:t>vulnerables y están expuestos a abusos y a la delincuencia por su  falta  de</w:t>
        <w:br/>
        <w:t>autonomía, la delincuencia juvenil nunca puede  utilizarse  para  justificar</w:t>
        <w:br/>
        <w:t>que las fuerzas de seguridad maten a  niños  a  fin  de  mantener  el  orden</w:t>
        <w:br/>
        <w:t>público”[71].</w:t>
        <w:br/>
        <w:br/>
        <w:t>112.  La Corte advierte que, en atención al principio de  igualdad  ante  la</w:t>
        <w:br/>
        <w:t>ley y no discriminación, el Estado  no  puede  permitir  por  parte  de  sus</w:t>
        <w:br/>
        <w:t>agentes, ni fomentar en la sociedad prácticas que reproduzcan el estigma  de</w:t>
        <w:br/>
        <w:t>que niños  y  jóvenes  pobres  están  condicionados  a  la  delincuencia,  o</w:t>
        <w:br/>
        <w:t>necesariamente vinculados al  aumento  de  la  inseguridad  ciudadana.   Esa</w:t>
        <w:br/>
        <w:t>estigmatización  crea  un  clima  propicio  para  que  aquellos  menores  en</w:t>
        <w:br/>
        <w:t>situación de riesgo se encuentren ante una amenaza latente a que su  vida  y</w:t>
        <w:br/>
        <w:t>libertad sean ilegalmente restringidas.</w:t>
        <w:br/>
        <w:br/>
        <w:t>113.  Lo anterior es particularmente grave  en  el  presente  caso,  ya  que</w:t>
        <w:br/>
        <w:t>Marco Antonio Servellón  García  y  Rony  Alexis  Betancourth  Vásquez  eran</w:t>
        <w:br/>
        <w:t>menores de edad.  En  la  Opinión  Consultiva  No.  17  sobre  la  Condición</w:t>
        <w:br/>
        <w:t>Jurídica y  Derechos  Humanos  del  Niño,  la  Corte  expresó  que  revisten</w:t>
        <w:br/>
        <w:t>especial gravedad los casos en los cuales las víctimas de violaciones a  los</w:t>
        <w:br/>
        <w:t>derechos  humanos  son  niños  y  niñas,  quienes  tienen  además   derechos</w:t>
        <w:br/>
        <w:t>especiales  derivados  de  su  condición  a  los  que  corresponden  deberes</w:t>
        <w:br/>
        <w:t>específicos de la  familia,  la  sociedad  y  el  Estado[72].   El  Tribunal</w:t>
        <w:br/>
        <w:t>entiende que la debida protección de los derechos de los niños,  debe  tomar</w:t>
        <w:br/>
        <w:t>en consideración sus características propias y la necesidad de propiciar  su</w:t>
        <w:br/>
        <w:t>desarrollo, y debe ofrecerles las condiciones necesarias para  que  el  niño</w:t>
        <w:br/>
        <w:t>viva  y  desarrolle  sus  aptitudes  con  pleno   aprovechamiento   de   sus</w:t>
        <w:br/>
        <w:t>potencialidades[73].  Asimismo, la Corte indicó que el  artículo  19  de  la</w:t>
        <w:br/>
        <w:t>Convención debe entenderse como un derecho  complementario  que  el  tratado</w:t>
        <w:br/>
        <w:t>establece para seres humanos  que  por  su  desarrollo  físico  y  emocional</w:t>
        <w:br/>
        <w:t>necesitan medidas de protección especial[74].</w:t>
        <w:br/>
        <w:br/>
        <w:t>114.  El Tribunal en el Caso de los “Niños de la Calle”  (Villagrán  Morales</w:t>
        <w:br/>
        <w:t>y otros) estableció que dentro de las medidas de protección a que  alude  el</w:t>
        <w:br/>
        <w:t>artículo 19 de la Convención,  se debe incluir la asistencia especial a  los</w:t>
        <w:br/>
        <w:t>niños privados de su medio familiar, la garantía de la  supervivencia  y  el</w:t>
        <w:br/>
        <w:t>desarrollo  del  niño,  el  derecho  a  un  nivel  de  vida  adecuado  y  la</w:t>
        <w:br/>
        <w:t>reinserción social de todo niño víctima de abandono o  explotación[75].   El</w:t>
        <w:br/>
        <w:t>Estado tiene el deber de adoptar todas las medidas positivas  para  asegurar</w:t>
        <w:br/>
        <w:t>la plena vigencia de los derechos del niño[76].</w:t>
        <w:br/>
        <w:br/>
        <w:t>115.  El entonces Comisionado Nacional de Derechos Humanos,  en  su  informe</w:t>
        <w:br/>
        <w:t>titulado “Informe  Especial  sobre  Muertes  Violentas  de  Niños,  Niñas  y</w:t>
        <w:br/>
        <w:t>Adolescentes en Honduras” de 21 de enero de  2002,  señaló  que  “desde  que</w:t>
        <w:br/>
        <w:t>Honduras retornó al orden constitucional en el  año  1980,  ningún  gobierno</w:t>
        <w:br/>
        <w:t>adoptó acciones o presupuestos extraordinarios para proteger y  atender  las</w:t>
        <w:br/>
        <w:t>necesidades de la infancia, pese a la gravedad de la  situación.”   Respecto</w:t>
        <w:br/>
        <w:t>de la violencia que afecta a un sector de los jóvenes en  Honduras,  expresó</w:t>
        <w:br/>
        <w:t>que</w:t>
        <w:br/>
        <w:br/>
        <w:t xml:space="preserve">      [ocurrió la] sustitución de la investigación y  el  análisis  por  una</w:t>
        <w:br/>
        <w:t xml:space="preserve">      cobertura periodística del tema caracterizada por el “sensacionalismo”</w:t>
        <w:br/>
        <w:t xml:space="preserve">      y “amarillismo”, a través de la cual  se  estereotipó  o  etiquetó  al</w:t>
        <w:br/>
        <w:t xml:space="preserve">      “marero” como “delincuente”, pese a que cifras de la Dirección General</w:t>
        <w:br/>
        <w:t xml:space="preserve">      de Investigación Criminal (DIC) confirmaron que los menores de 18 años</w:t>
        <w:br/>
        <w:t xml:space="preserve">      no son los protagonistas principales de la inseguridad ciudadana.   De</w:t>
        <w:br/>
        <w:t xml:space="preserve">      42 mil denuncias recibidas a  febrero  del  2000,  sólo  5.5%  de  los</w:t>
        <w:br/>
        <w:t xml:space="preserve">      responsables fueron menores  de  18  años.   Una  investigación  sobre</w:t>
        <w:br/>
        <w:t xml:space="preserve">      Pandillas y Violencia Juvenil señala que “es usual  encontrar  en  las</w:t>
        <w:br/>
        <w:t xml:space="preserve">      páginas dedicadas  a  la  nota  roja  en  la  prensa  local,  crónicas</w:t>
        <w:br/>
        <w:t xml:space="preserve">      dedicadas al relato de las acciones delictivas y violentas  realizados</w:t>
        <w:br/>
        <w:t xml:space="preserve">      por adolescentes y jóvenes mareros o pandilleros. Esta amplia  acogida</w:t>
        <w:br/>
        <w:t xml:space="preserve">      que han encontrado sus actividades en la prensa local ha contribuido a</w:t>
        <w:br/>
        <w:t xml:space="preserve">      proyectar ante la opinión  pública  la  imagen  de  que  las  maras  o</w:t>
        <w:br/>
        <w:t xml:space="preserve">      pandillas  juveniles  están  integradas  por  adolescentes  y  jóvenes</w:t>
        <w:br/>
        <w:t xml:space="preserve">      incorregibles para los  cuales  la  única  alternativa  de  profilaxis</w:t>
        <w:br/>
        <w:t xml:space="preserve">      social es la cadena perpetua o lo muerte”.</w:t>
        <w:br/>
        <w:br/>
        <w:t>116.  El Estado tiene la obligación de asegurar la protección de  los  niños</w:t>
        <w:br/>
        <w:t>y jóvenes afectados por la pobreza que estén socialmente  marginados[77]  y,</w:t>
        <w:br/>
        <w:t>especialmente, evitar  su  estigmatización  social  como  delincuentes.   Es</w:t>
        <w:br/>
        <w:t>pertinente destacar, como lo hizo la Corte en el Caso de los  “Niños  de  la</w:t>
        <w:br/>
        <w:t>Calle” (Villagrán Morales y otros), que  si  los  Estados  tienen  elementos</w:t>
        <w:br/>
        <w:t>para creer que  los  niños  en  situación  de  riesgo  están  afectados  por</w:t>
        <w:br/>
        <w:t>factores que pueden inducirlos a  cometer  actos  ilícitos,  o  disponen  de</w:t>
        <w:br/>
        <w:t>elementos para concluir que los han  cometido,  en  casos  concretos,  deben</w:t>
        <w:br/>
        <w:t>extremar las medidas de prevención del delito[78].  El  Estado  debe  asumir</w:t>
        <w:br/>
        <w:t>su posición especial de garante con mayor cuidado y responsabilidad, y  debe</w:t>
        <w:br/>
        <w:t>tomar medidas especiales orientadas en el  principio  del  interés  superior</w:t>
        <w:br/>
        <w:t>del niño[79].</w:t>
        <w:br/>
        <w:br/>
        <w:t>117.  Los hechos del presente caso ocurrieron en razón de  la  condición  de</w:t>
        <w:br/>
        <w:t>personas en situación de riesgo social  que  tenían  las  víctimas,  lo  que</w:t>
        <w:br/>
        <w:t>demuestra que el Estado no les proporcionó a Marco Antonio Servellón  García</w:t>
        <w:br/>
        <w:t>ni a Rony Alexis Betancourth Vásquez un ambiente que les  protegiera  de  la</w:t>
        <w:br/>
        <w:t>violencia y del abuso,  y  no  permitió  su  acceso  a  servicios  y  bienes</w:t>
        <w:br/>
        <w:t>esenciales, de una forma tal que  esa  falta  privó  definitivamente  a  los</w:t>
        <w:br/>
        <w:t>menores su posibilidad de emanciparse, desarrollarse y de  tornarse  adultos</w:t>
        <w:br/>
        <w:t>que pudieran determinar su propio futuro.</w:t>
        <w:br/>
        <w:br/>
        <w:t xml:space="preserve">                                      *</w:t>
        <w:br/>
        <w:t xml:space="preserve">                                   *     *</w:t>
        <w:br/>
        <w:br/>
        <w:t>118.  La Corte no puede dejar de advertir que los hechos del  presente  caso</w:t>
        <w:br/>
        <w:t>forman parte de una situación en que prevalece un alto índice  de  impunidad</w:t>
        <w:br/>
        <w:t>en hechos criminales  perpetrados  tanto  por  agentes  estatales  como  por</w:t>
        <w:br/>
        <w:t>particulares (supra párrs. 79.2 y 79.4), lo que crea un campo propicio  para</w:t>
        <w:br/>
        <w:t>que violaciones como las de este caso sigan ocurriendo.</w:t>
        <w:br/>
        <w:br/>
        <w:t>119.  La Corte ha establecido que una de  las  condiciones  para  garantizar</w:t>
        <w:br/>
        <w:t>efectivamente los derechos a la vida,  a  la  integridad  y  a  la  libertad</w:t>
        <w:br/>
        <w:t>personales es el cumplimiento del deber de  investigar  las  afectaciones  a</w:t>
        <w:br/>
        <w:t>los mismos, que se deriva del artículo 1.1 de la Convención en conjunto  con</w:t>
        <w:br/>
        <w:t>el derecho sustantivo que debe ser amparado,  protegido  o  garantizado[80].</w:t>
        <w:br/>
        <w:t>A  la  luz  de  ese  deber,  una  vez  las  autoridades   estatales   tengan</w:t>
        <w:br/>
        <w:t>conocimiento del hecho,  deben  iniciar  ex  officio  y  sin  dilación,  una</w:t>
        <w:br/>
        <w:t>investigación seria, imparcial y efectiva[81].  Esta investigación debe  ser</w:t>
        <w:br/>
        <w:t>realizada por  todos  los  medios  legales  disponibles  y  orientada  a  la</w:t>
        <w:br/>
        <w:t>determinación  de  la  verdad  y  la  investigación,  persecución,  captura,</w:t>
        <w:br/>
        <w:t>enjuiciamiento, y en su caso, el castigo de todos los  responsables  de  los</w:t>
        <w:br/>
        <w:t>hechos[82].</w:t>
        <w:br/>
        <w:br/>
        <w:t>120.  Este Tribunal ha especificado que la  eficiente  determinación  de  la</w:t>
        <w:br/>
        <w:t>verdad en el marco de la  obligación  de  investigar  una  muerte  que  pudo</w:t>
        <w:br/>
        <w:t>deberse a  una  ejecución  extrajudicial,  debe  darse  desde  las  primeras</w:t>
        <w:br/>
        <w:t>diligencias con toda acuciosidad.  La Corte ha señalado  que  para  orientar</w:t>
        <w:br/>
        <w:t>tales diligencias debe tomarse en cuenta el Manual  sobre  la  Prevención  e</w:t>
        <w:br/>
        <w:t>Investigación  Efectiva  de  Ejecuciones  Extrajudiciales,   Arbitrarias   y</w:t>
        <w:br/>
        <w:t>Sumarias de Naciones Unidas[83].  Las  autoridades  estatales  que  conducen</w:t>
        <w:br/>
        <w:t>una investigación deben,  inter  alia,  a)  identificar  a  la  víctima;  b)</w:t>
        <w:br/>
        <w:t>recuperar y preservar el material probatorio relacionado con la  muerte;  c)</w:t>
        <w:br/>
        <w:t>identificar posibles testigos y obtener sus declaraciones  en  relación  con</w:t>
        <w:br/>
        <w:t>la muerte que se investiga; d) determinar la causa, forma, lugar  y  momento</w:t>
        <w:br/>
        <w:t>de la muerte, así como cualquier procedimiento o práctica que pueda  haberla</w:t>
        <w:br/>
        <w:t>provocado,  y  e)  distinguir  entre  muerte  natural,  muerte   accidental,</w:t>
        <w:br/>
        <w:t>suicidio y homicidio.  Además, es necesario  investigar  exhaustivamente  la</w:t>
        <w:br/>
        <w:t>escena del  crimen,  se  deben  realizar  autopsias  y  análisis  de  restos</w:t>
        <w:br/>
        <w:t>humanos, en forma rigurosa, por profesionales competentes  y  empleando  los</w:t>
        <w:br/>
        <w:t>procedimientos más apropiados.</w:t>
        <w:br/>
        <w:br/>
        <w:t>121.  La Corte observa que  en  el  caso  sub  judice  se  llevaron  a  cabo</w:t>
        <w:br/>
        <w:t>diversas diligencias, pero las  mismas  presentaron  omisiones  importantes,</w:t>
        <w:br/>
        <w:t>tales como:</w:t>
        <w:br/>
        <w:t xml:space="preserve">   a) el levantamiento de los cadáveres de las víctimas fue realizado el  17</w:t>
        <w:br/>
        <w:t xml:space="preserve">      de septiembre de 1995, sin asegurar la recolección y  preservación  de</w:t>
        <w:br/>
        <w:t xml:space="preserve">      la escena del crimen.  No se tomaron muestras de sangre a las víctimas</w:t>
        <w:br/>
        <w:t xml:space="preserve">      ni se examinaron sus ropas.  Tampoco hay constancia  de  que  se  haya</w:t>
        <w:br/>
        <w:t xml:space="preserve">      analizado la escena del crimen por presencia  de  sangre,  cabellos  o</w:t>
        <w:br/>
        <w:t xml:space="preserve">      fibras o algún tipo de huellas, ni se examinaron los cuerpos u objetos</w:t>
        <w:br/>
        <w:t xml:space="preserve">      para  determinar  la  existencia  de  huellas  dactilares.    En   las</w:t>
        <w:br/>
        <w:t xml:space="preserve">      fotografías de los cadáveres  que  constan  en  el  expediente  no  es</w:t>
        <w:br/>
        <w:t xml:space="preserve">      posible apreciar la existencia de heridas o marcas de  tortura,  y  en</w:t>
        <w:br/>
        <w:t xml:space="preserve">      algunos de los casos hay fotografías sólo de  la  parte  superior  del</w:t>
        <w:br/>
        <w:t xml:space="preserve">      cuerpo.  Esto se agrava  en  dos  de  las  diligencias  referentes  al</w:t>
        <w:br/>
        <w:t xml:space="preserve">      levantamiento de los cadáveres de Marco  Antonio  Servellón  García  y</w:t>
        <w:br/>
        <w:t xml:space="preserve">      Diomenes Obed García, ya que en las actas se indica que no se  tomaron</w:t>
        <w:br/>
        <w:t xml:space="preserve">      las fotografías de los cadáveres por falta de  rollo  para  la  cámara</w:t>
        <w:br/>
        <w:t xml:space="preserve">      fotográfica;</w:t>
        <w:br/>
        <w:t xml:space="preserve">   b) en el caso de Orlando Álvarez Ríos el cuerpo apareció  con  signos  de</w:t>
        <w:br/>
        <w:t xml:space="preserve">      haber sido objeto de violencia sexual por los agresores,  sin  embargo</w:t>
        <w:br/>
        <w:t xml:space="preserve">      no se realizó examen alguno para comprobarlo.  La  fiscalía  encargada</w:t>
        <w:br/>
        <w:t xml:space="preserve">      de la investigación tampoco solicitó diligencias al respecto, y</w:t>
        <w:br/>
        <w:t xml:space="preserve">   c)  las  autopsias  de  Marco  Antonio  Servellón  García,  Rony   Alexis</w:t>
        <w:br/>
        <w:t xml:space="preserve">      Betancourth Vázquez, Diomedes Obed García Sánchez  y  Orlando  Álvarez</w:t>
        <w:br/>
        <w:t xml:space="preserve">      Ríos se incorporaron al proceso  penal  seguido  ante  el  Juzgado  de</w:t>
        <w:br/>
        <w:t xml:space="preserve">      Letras Primero de lo Criminal el 7 de junio y el 5 de agosto de  1996.</w:t>
        <w:br/>
        <w:t xml:space="preserve">      En dichas autopsias se señaló la causa de la muerte de cada una de las</w:t>
        <w:br/>
        <w:t xml:space="preserve">      víctimas y se indicó la existencia de heridas producidas por armas  de</w:t>
        <w:br/>
        <w:t xml:space="preserve">      fuego o por armas blancas, pero no hacen referencia  a  otro  tipo  de</w:t>
        <w:br/>
        <w:t xml:space="preserve">      heridas o marcas de tortura o violencia física en los cuerpos.</w:t>
        <w:br/>
        <w:br/>
        <w:t>122.  En lo que se refiere a otras marcas o heridas en los  cuerpos  de  las</w:t>
        <w:br/>
        <w:t>víctimas, en el informe sobre la denuncia No. 9173, emitido  por  la  Fiscal</w:t>
        <w:br/>
        <w:t>Titular de la Fiscalía de Derechos Humanos el 17 de septiembre de  1995,  se</w:t>
        <w:br/>
        <w:t>indicó que “todos [los cuerpos] tenían señas de tortura”.   No  obstante  la</w:t>
        <w:br/>
        <w:t>conclusión  de  dicho  informe,  la  fiscalía  encargada  no   solicitó   la</w:t>
        <w:br/>
        <w:t>realización de nueva autopsia o de exámenes adicionales  para  investigar  y</w:t>
        <w:br/>
        <w:t>documentar la tortura practicada  a  las  víctimas  con  anterioridad  a  su</w:t>
        <w:br/>
        <w:t>muerte.</w:t>
        <w:br/>
        <w:br/>
        <w:t>123.  En  casos  de  ejecuciones  extrajudiciales  es  fundamental  que  los</w:t>
        <w:br/>
        <w:t>Estados investiguen efectivamente la privación del derecho a la vida,  y  en</w:t>
        <w:br/>
        <w:t>su caso, castiguen a todos  sus  responsables,  especialmente  cuando  están</w:t>
        <w:br/>
        <w:t>involucrados agentes estatales, ya que de no ser así, se  estarían  creando,</w:t>
        <w:br/>
        <w:t>dentro de un ambiente de impunidad, las condiciones para que  este  tipo  de</w:t>
        <w:br/>
        <w:t>hechos vuelva a repetirse, lo que  es  contrario  al  deber  de  respetar  y</w:t>
        <w:br/>
        <w:t>garantizar el derecho a la vida[84].  Además, si los  hechos  violatorios  a</w:t>
        <w:br/>
        <w:t>los derechos humanos no  son  investigados  con  seriedad,  resultarían,  en</w:t>
        <w:br/>
        <w:t>cierto  modo,  auxiliados  por  el  poder  público,  lo  que  compromete  la</w:t>
        <w:br/>
        <w:t>responsabilidad internacional del Estado[85].</w:t>
        <w:br/>
        <w:br/>
        <w:t>124.  Para determinar si la obligación de proteger los derechos a la vida  y</w:t>
        <w:br/>
        <w:t>a la integridad y libertad personales por la vía de una investigación  seria</w:t>
        <w:br/>
        <w:t>de lo ocurrido,  se  ha  cumplido  a  cabalidad,  es  preciso  examinar  los</w:t>
        <w:br/>
        <w:t>procedimientos abiertos a nivel  interno  destinados  a  identificar  a  los</w:t>
        <w:br/>
        <w:t>responsables por los hechos del caso.  Este examen se hará a la  luz  de  lo</w:t>
        <w:br/>
        <w:t>que  dispone  el  artículo  25  de  la  Convención  Americana   y   de   los</w:t>
        <w:br/>
        <w:t>requerimientos que impone el artículo 8 de la misma para todo proceso, y  se</w:t>
        <w:br/>
        <w:t>efectuará en el Capítulo IX de la presente Sentencia.</w:t>
        <w:br/>
        <w:t xml:space="preserve">                                      *</w:t>
        <w:br/>
        <w:t xml:space="preserve">                                   *     *</w:t>
        <w:br/>
        <w:br/>
        <w:t>125.  Las anteriores consideraciones llevan a la Corte a concluir  que,  por</w:t>
        <w:br/>
        <w:t>haber faltado a sus deberes de  respeto,  prevención  y  protección  de  los</w:t>
        <w:br/>
        <w:t>derechos a la vida y a la integridad y libertad personales por la  detención</w:t>
        <w:br/>
        <w:t>ilegal  y  arbitraria,  la  tortura  y  los  tratos  crueles,  inhumanos   o</w:t>
        <w:br/>
        <w:t>degradantes y la muerte de las víctimas,  el  Estado  tiene  responsabilidad</w:t>
        <w:br/>
        <w:t>internacional por la violación de los artículos 7.1, 7.2, 7.3,  7.4  y  7.5,</w:t>
        <w:br/>
        <w:t>5.1 y 5.2, y 4.1 de la Convención Americana, en  relación  con  el  artículo</w:t>
        <w:br/>
        <w:t>1.1 de dicho tratado, en perjuicio de Marco Antonio Servellón  García,  Rony</w:t>
        <w:br/>
        <w:t>Alexis Betancourth Vásquez, Orlando Álvarez  Ríos  y  Diomedes  Obed  García</w:t>
        <w:br/>
        <w:t>Sánchez, así como por la violación del artículo 5.5  de  la  Convención,  en</w:t>
        <w:br/>
        <w:t>conexión con el artículo 19 de ese instrumento, ambos  en  relación  con  el</w:t>
        <w:br/>
        <w:t>artículo 1.1 del mismo tratado, en  perjuicio  de  Marco  Antonio  Servellón</w:t>
        <w:br/>
        <w:t>García y Rony Alexis Betancourth Vásquez.</w:t>
        <w:br/>
        <w:br/>
        <w:t xml:space="preserve">                                      *</w:t>
        <w:br/>
        <w:t xml:space="preserve">                                   *     *</w:t>
        <w:br/>
        <w:br/>
        <w:t>126.  El Tribunal  pasa  a  analizar  lo  alegado  por  la  Comisión  y  los</w:t>
        <w:br/>
        <w:t>representantes respecto de la  violación  del  artículo  5.1  y  5.2  de  la</w:t>
        <w:br/>
        <w:t>Convención Americana, en perjuicio de los familiares de  las  víctimas,  por</w:t>
        <w:br/>
        <w:t>la  supuesta  angustia  y  sufrimiento  que   habrían   experimentado   como</w:t>
        <w:br/>
        <w:t>consecuencia de la detención ilegal, tortura y  ejecución  extrajudicial  de</w:t>
        <w:br/>
        <w:t>Marco Antonio Servellón García, Rony  Alexis  Betancourth  Vásquez,  Orlando</w:t>
        <w:br/>
        <w:t>Álvarez  Ríos  y  Diomedes  Obed  García   Sánchez,   así   como   por   las</w:t>
        <w:br/>
        <w:t>circunstancias que rodearon  su  asesinato,  y  por  el  trato  dado  a  sus</w:t>
        <w:br/>
        <w:t>cuerpos, ya que fueron encontrados con marcas de violencia y  abandonados  a</w:t>
        <w:br/>
        <w:t>la intemperie en distintos puntos  de  la  ciudad  de  Tegucigalpa,  lo  que</w:t>
        <w:br/>
        <w:t>habría  constituido  para  sus  familiares  un  trato  cruel,   inhumano   o</w:t>
        <w:br/>
        <w:t>degradante.  Aunado a ello, la frustración e impotencia  ante  la  falta  de</w:t>
        <w:br/>
        <w:t>investigación de  los  hechos  y  sanción  de  los  responsables,  luego  de</w:t>
        <w:br/>
        <w:t>trascurridos once años de los sucesos.</w:t>
        <w:br/>
        <w:br/>
        <w:t>127.  En su allanamiento el Estado no se refirió expresamente a  la  alegada</w:t>
        <w:br/>
        <w:t>violación del artículo 5 de la Convención, en perjuicio  de  los  familiares</w:t>
        <w:br/>
        <w:t>de las víctimas.</w:t>
        <w:br/>
        <w:br/>
        <w:t>128.  Esta Corte ha  señalado,  en  reiteradas  oportunidades[86],  que  los</w:t>
        <w:br/>
        <w:t>familiares de las víctimas de violaciones de  los  derechos  humanos  pueden</w:t>
        <w:br/>
        <w:t>ser, a su vez, víctimas.  El Tribunal ha considerado violado  el  derecho  a</w:t>
        <w:br/>
        <w:t>la integridad psíquica y moral de algunos familiares  de  las  víctimas  con</w:t>
        <w:br/>
        <w:t>motivo  del  sufrimiento  que  estos  han  padecido  como  producto  de  las</w:t>
        <w:br/>
        <w:t>circunstancias particulares de las violaciones perpetradas contra sus  seres</w:t>
        <w:br/>
        <w:t>queridos y a causa  de  las  posteriores  actuaciones  u  omisiones  de  las</w:t>
        <w:br/>
        <w:t>autoridades estatales frente a los hechos.</w:t>
        <w:br/>
        <w:br/>
        <w:t>129.  Analizadas las circunstancias del caso,  la  Corte  considera  que  la</w:t>
        <w:br/>
        <w:t>ilegalidad y arbitrariedad  de  la  detención  de  Marco  Antonio  Servellón</w:t>
        <w:br/>
        <w:t>García y de Rony  Alexis  Betancourth  Vásquez,  la  tortura  y  los  tratos</w:t>
        <w:br/>
        <w:t>crueles,  inhumanos  o  degradantes  a  los  que  fueron  sometidos,  y   el</w:t>
        <w:br/>
        <w:t>ensañamiento de su ejecución extrajudicial, vulneró la  integridad  personal</w:t>
        <w:br/>
        <w:t>de los señores Reyes Servellón Santos y Bricelda Aide  García  Lobo,  padres</w:t>
        <w:br/>
        <w:t>de Marco Antonio Servellón García, y  de  los  señores  Manases  Betancourth</w:t>
        <w:br/>
        <w:t>Núñez e Hilda Estebana Hernández López, padres  de  Rony  Alexis  Betancouth</w:t>
        <w:br/>
        <w:t>Vásquez.  En cuanto a la madre  de  Orlando  Álvarez  Ríos,  señora  Antonia</w:t>
        <w:br/>
        <w:t>Ríos, quién salió de Honduras desde el año 1989 y actualmente  vive  en  los</w:t>
        <w:br/>
        <w:t>Estados Unidos de América, este Tribunal no encuentra suficientes  elementos</w:t>
        <w:br/>
        <w:t>en el acervo probatorio del presente caso que corroboren  una  afectación  a</w:t>
        <w:br/>
        <w:t>su integridad personal a raíz de la muerte de su hijo.</w:t>
        <w:br/>
        <w:br/>
        <w:t>130.  La Corte observa que al momento de su  muerte,  Diomedes  Obed  García</w:t>
        <w:br/>
        <w:t>Sánchez vivía en una  casa  de  asistencia  a  menores  de  la  calle  y  se</w:t>
        <w:br/>
        <w:t>desconocía el paradero de sus familiares, de lo que se desprende que  dichos</w:t>
        <w:br/>
        <w:t>parientes habían interrumpido sus lazos con la víctima, por  lo  que  no  es</w:t>
        <w:br/>
        <w:t>posible establecer su afectación a causa de los hechos  de  este  caso.   Lo</w:t>
        <w:br/>
        <w:t>anterior se  refleja  en  la  falta  de  ubicación  del  padre  y  de  otros</w:t>
        <w:br/>
        <w:t>familiares de la víctima a  lo  largo  del  proceso  interno  y  durante  la</w:t>
        <w:br/>
        <w:t>tramitación del presente caso ante los órganos del  sistema  interamericano,</w:t>
        <w:br/>
        <w:t>habiendo transcurrido once años desde  la  ocurrencia  de  los  hechos.   En</w:t>
        <w:br/>
        <w:t>consecuencia, esta  Corte  considera  que  al  señor  Diomedes  Tito  García</w:t>
        <w:br/>
        <w:t>Casildo, padre,  a  Ester  Patricia  García  Sánchez,  Jorge  Moisés  García</w:t>
        <w:br/>
        <w:t>Sánchez y Fidelia Sarahí García Sánchez, hermanos de  Diomedes  Obed  García</w:t>
        <w:br/>
        <w:t>Sánchez, no les fue violado el derecho a la integridad  personal  consagrado</w:t>
        <w:br/>
        <w:t>en el artículo 5 de la Convención Americana.</w:t>
        <w:br/>
        <w:br/>
        <w:t>131.  Por otro lado, en lo que  se  refiere  al  señor  Concepción  Álvarez,</w:t>
        <w:br/>
        <w:t>padre de Orlando Álvarez Ríos, y a la señora Andrea  Sánchez  Loredo,  madre</w:t>
        <w:br/>
        <w:t>Diomedes  Obed  García  Sánchez,  debido  a  que   éstos   fallecieron   con</w:t>
        <w:br/>
        <w:t>anterioridad a la ocurrencia  de  los  hechos  del  caso  sub  judice,  este</w:t>
        <w:br/>
        <w:t>Tribunal no se pronunciará  sobre  la  alegada  violación  a  su  integridad</w:t>
        <w:br/>
        <w:t>personal.</w:t>
        <w:br/>
        <w:br/>
        <w:t>132.  En lo que se refiere a la hermana  de  Orlando  Álvarez  Ríos,  señora</w:t>
        <w:br/>
        <w:t>Dilcia Álvarez Ríos, la Corte  estima  necesario  resaltar  que  la  víctima</w:t>
        <w:br/>
        <w:t>vivía con ella al momento de los hechos.  Dicha señora  ha  sufrido  por  el</w:t>
        <w:br/>
        <w:t>trato que recibió su hermano por parte de los  agentes  estatales,  por  las</w:t>
        <w:br/>
        <w:t>diligencias que realizó para tratar de ubicarlo y al fin encontrarlo  en  la</w:t>
        <w:br/>
        <w:t>morgue, cuando estaba confiada que su hermano estaba bajo  la  custodia  del</w:t>
        <w:br/>
        <w:t>Estado.  Asimismo, ha participado en la búsqueda de la justicia en  relación</w:t>
        <w:br/>
        <w:t>con la muerte de su hermano, por lo que ha revivido  las  circunstancias  en</w:t>
        <w:br/>
        <w:t>que éste falleció.  Todo lo anterior vulneró la integridad  personal  de  la</w:t>
        <w:br/>
        <w:t>hermana de la víctima.</w:t>
        <w:br/>
        <w:br/>
        <w:t>133.  De los hechos del presente caso se observa la  angustia  padecida  por</w:t>
        <w:br/>
        <w:t>la hermana de Orlando  Álvarez  Ríos,  quien  manifestó  en  su  declaración</w:t>
        <w:br/>
        <w:t>testimonial rendida el 23 de febrero de 1996 ante el Juzgado de  Paz  de  lo</w:t>
        <w:br/>
        <w:t>Criminal de Tegucigalpa lo siguiente:</w:t>
        <w:br/>
        <w:br/>
        <w:t xml:space="preserve">      […e]ntonces el día domingo, esper[ó] [a  su  hermano,  Orlado  Álvarez</w:t>
        <w:br/>
        <w:t xml:space="preserve">      Ríos]; pero no llegó; y luego, […]  no sabía nada; y sent[ió] una gran</w:t>
        <w:br/>
        <w:t xml:space="preserve">      tristeza […] y lleg[ó  a su] casa, como a las doce del día; y,  cuando</w:t>
        <w:br/>
        <w:t xml:space="preserve">      v[ió] que [su] hermano no estaba; empez[ó] a sentir  preocupación;  y,</w:t>
        <w:br/>
        <w:t xml:space="preserve">      todo el día lunes, lo espera[ron] hasta en la noche;  y,  pens[ó]  que</w:t>
        <w:br/>
        <w:t xml:space="preserve">      tal vez lo sacaban a última hora  y,  no  lo  bus[có]  y  cómo  estaba</w:t>
        <w:br/>
        <w:t xml:space="preserve">      confiada que lo tenían encerrado y que él [la] había llamado  diciendo</w:t>
        <w:br/>
        <w:t xml:space="preserve">      que estaba en el Séptimo Comando. Luego,  el  martes,  ya  cuando  era</w:t>
        <w:br/>
        <w:t xml:space="preserve">      mediodía y v[ió] que no había llegado, [se] aflig[ió] y decidi[ó] ir a</w:t>
        <w:br/>
        <w:t xml:space="preserve">      buscar[lo] al Séptimo Comando […]. [Cuando volvió a su] casa, sinti[ó]</w:t>
        <w:br/>
        <w:t xml:space="preserve">      una corazonada que [su] hermano podía estar muerto, y [se]  traslad[ó]</w:t>
        <w:br/>
        <w:t xml:space="preserve">      a la Morgue, a las siete de la noche, fu[e] con [su]  hijo  y  con  el</w:t>
        <w:br/>
        <w:t xml:space="preserve">      Vigilante de la Colonia, del día martes; y al llegar allí, [su]  hijo,</w:t>
        <w:br/>
        <w:t xml:space="preserve">      que entró a verlo, no tardó  ni  cinco  minutos  para  identificar  [a</w:t>
        <w:br/>
        <w:t xml:space="preserve">      Orlando, cuyo cadáver] estaba en el frezer.  Luego, [le]  dijeron  los</w:t>
        <w:br/>
        <w:t xml:space="preserve">      empleados de la Morgue, que lo habían encontrado en el kilómetro 41; y</w:t>
        <w:br/>
        <w:t xml:space="preserve">      responsabilizó a las autoridades del Séptimo Comando  Regional  de  la</w:t>
        <w:br/>
        <w:t xml:space="preserve">      Fuerza de Seguridad Pública.</w:t>
        <w:br/>
        <w:br/>
        <w:t>134.  Asimismo, en lo que se refiere a la señora Marja Ibeth Castro  García,</w:t>
        <w:br/>
        <w:t>hermana  de  Marco  Antonio  Sevellón  García,  ésta  ha  sufrido  por   las</w:t>
        <w:br/>
        <w:t>condiciones de detención y la ejecución extrajudicial de su hermano,  cuando</w:t>
        <w:br/>
        <w:t>estaba bajo custodia de las autoridades estatales, y  en  el  curso  de  las</w:t>
        <w:br/>
        <w:t>diligencias  que  realizó  para  denunciar   los   hechos   ocurridos.    En</w:t>
        <w:br/>
        <w:t>consideración de lo anterior, este Tribunal concluye que el  Estado  vulneró</w:t>
        <w:br/>
        <w:t>su integridad personal.</w:t>
        <w:br/>
        <w:br/>
        <w:t>135.  En relación con los otros hermanos de las  víctimas,  a  saber:  Pablo</w:t>
        <w:br/>
        <w:t>Servellón García y Héctor Vicente Castro García, hermanos de  Marco  Antonio</w:t>
        <w:br/>
        <w:t>Servellón García; y Juan Carlos Betancourth  Hernández,  Manaces  Betancourt</w:t>
        <w:br/>
        <w:t>Aguilar, Emma Aracely Betancourth Aguilar, Enma Aracely  Betancourth  Abarca</w:t>
        <w:br/>
        <w:t>y Lilian María Betancourt  Álvarez,  hermanos  de  Rony  Alexis  Betancourth</w:t>
        <w:br/>
        <w:t>Vásquez,  las  partes  no  han  allegado  al  Tribunal  prueba  que  permita</w:t>
        <w:br/>
        <w:t>determinar las  afectaciones  o  el  sufrimiento  que  las  muertes  de  las</w:t>
        <w:br/>
        <w:t>víctimas pudiera haberles causado.  En consecuencia,  esta  Corte  considera</w:t>
        <w:br/>
        <w:t>que no hay elementos probatorios suficientes para  concluir  que  el  Estado</w:t>
        <w:br/>
        <w:t>violó el artículo  5  de  la  Convención  Americana,  en  perjuicio  de  los</w:t>
        <w:br/>
        <w:t>mencionados hermanos de las víctimas.</w:t>
        <w:br/>
        <w:br/>
        <w:t>136.  Por otra parte, la Comisión y los  representantes  han  señalado  como</w:t>
        <w:br/>
        <w:t>presuntas víctimas a la niña Zara Beatris Bustillo Rivera, que según  alegan</w:t>
        <w:br/>
        <w:t>es hija de Rony Alexis Betancourth Vásquez, y a la señora Ana  Luisa  Vargas</w:t>
        <w:br/>
        <w:t>Soto, que alegan era su compañera al momento  de  los  hechos  del  presente</w:t>
        <w:br/>
        <w:t>caso.  La Comisión además incluyó como presunta víctima a  la  madre  de  la</w:t>
        <w:br/>
        <w:t>niña, la señora Norma Estela Bustillo Rivera.</w:t>
        <w:br/>
        <w:br/>
        <w:t>137.  Esta Corte observa que en el certificado  de  nacimiento  de  la  niña</w:t>
        <w:br/>
        <w:t>Zara Beatris  Bustillo  Rivera  no  consta  que  sea  hija  de  Rony  Alexis</w:t>
        <w:br/>
        <w:t>Betancourth Vásquez.  Sin embargo, el Estado no objetó su existencia  ni  su</w:t>
        <w:br/>
        <w:t>parentesco con la víctima.  Por lo tanto, esta Corte  considera  a  la  niña</w:t>
        <w:br/>
        <w:t>Zara Beatris Bustillo Rivera como hija de Rony Alexis  Betancourth  Vásquez.</w:t>
        <w:br/>
        <w:t>El Estado tampoco ha negado el vínculo que ha existido entre la víctima  con</w:t>
        <w:br/>
        <w:t>Ana Luisa Vargas Soto, por lo que este Tribunal considera que  ella  era  su</w:t>
        <w:br/>
        <w:t>compañera al momento de los hechos.  Por último, este Tribunal no  encuentra</w:t>
        <w:br/>
        <w:t>elementos  probatorios  suficientes  para  establecer  que  se  produjo  una</w:t>
        <w:br/>
        <w:t>significativa afectación como consecuencia de los hechos del presente  caso,</w:t>
        <w:br/>
        <w:t>a la señora Norma Estela Bustillo.</w:t>
        <w:br/>
        <w:br/>
        <w:t>138.  En lo que se refiere a la niña  Zara  Beatris  Bustillo  Rivera,  esta</w:t>
        <w:br/>
        <w:t>Corte observa que, por su condición de menor, era  esencial  para  su  pleno</w:t>
        <w:br/>
        <w:t>desarrollo la presencia de su padre.   Como  consecuencia  de  la  ejecución</w:t>
        <w:br/>
        <w:t>extrajudicial de Rony Alexis Betancourth Vásquez, ha crecido sin  la  figura</w:t>
        <w:br/>
        <w:t>paterna.  En cuanto a la señora Ana Luisa Vargas Soto,  compañera  de  hogar</w:t>
        <w:br/>
        <w:t>de Rony Alexis Betancourth Vásquez, este Tribunal, en consideración  de  las</w:t>
        <w:br/>
        <w:t>circunstancias violentas de la detención y  ejecución  extrajudicial  de  su</w:t>
        <w:br/>
        <w:t>compañero,  cuando  estaba  bajo  custodia  de  las  autoridades  estatales,</w:t>
        <w:br/>
        <w:t>concluye que le han causado sufrimiento y dolor.  Esta Corte  considera  que</w:t>
        <w:br/>
        <w:t>el Estado es responsable por la vulneración  a  la   integridad  psíquica  y</w:t>
        <w:br/>
        <w:t>moral de Zara Beatris Bustillo Rivera y Ana Luisa Vargas Soto.</w:t>
        <w:br/>
        <w:br/>
        <w:t xml:space="preserve">                                      *</w:t>
        <w:br/>
        <w:t xml:space="preserve">                                   *     *</w:t>
        <w:br/>
        <w:br/>
        <w:t>139.  Las anteriores consideraciones llevan a la Corte  a  concluir  que  el</w:t>
        <w:br/>
        <w:t>Estado tiene responsabilidad  por  violación  al  derecho  a  la  integridad</w:t>
        <w:br/>
        <w:t>personal consagrado en el  artículo  5.1  de  la  Convención  Americana,  en</w:t>
        <w:br/>
        <w:t>relación al artículo 1.1 de dicho tratado, en perjuicio  de  los  familiares</w:t>
        <w:br/>
        <w:t>de Marco Antonio Servellón García, señores Reyes  Servellón  Santos,  padre,</w:t>
        <w:br/>
        <w:t>Bricelda Aide García Lobo, madre, y Marja Ibeth Castro García,  hermana;  de</w:t>
        <w:br/>
        <w:t>los  familiares  de  Rony  Alexis  Betancourth  Vásquez,   señores   Manases</w:t>
        <w:br/>
        <w:t>Betancourth Núñez,  padre,  Hilda  Estebana  Hernández  López,  madre,  Zara</w:t>
        <w:br/>
        <w:t>Beatris Bustillo Rivera, hija, y Ana Luisa Vargas Soto, compañera de  hogar,</w:t>
        <w:br/>
        <w:t>y de la hermana de Orlando Álvarez Ríos, señora Dilcia Álvarez Ríos.</w:t>
        <w:br/>
        <w:br/>
        <w:br/>
        <w:t xml:space="preserve">                                     IX</w:t>
        <w:br/>
        <w:br/>
        <w:t xml:space="preserve">      Violación de los artículos 8.1 y 8.2, 7.6 y 25.1 de la Convención</w:t>
        <w:br/>
        <w:t>Americana,</w:t>
        <w:br/>
        <w:t xml:space="preserve">                 en relación con el artículo 1.1 de la misma</w:t>
        <w:br/>
        <w:t xml:space="preserve">       (Garantías Judiciales, Libertad Personal, Protección Judicial,</w:t>
        <w:br/>
        <w:t xml:space="preserve">                   y Obligación de Respetar los Derechos)</w:t>
        <w:br/>
        <w:br/>
        <w:t>140.  La Corte concluyó en el Capítulo VI, a la luz  del  reconocimiento  de</w:t>
        <w:br/>
        <w:t>responsabilidad internacional realizado por el Estado, que  éste  violó  los</w:t>
        <w:br/>
        <w:t>artículos 7.6, 8.1 y 25.1 de la Convención Americana, en perjuicio de  Marco</w:t>
        <w:br/>
        <w:t>Antonio Servellón García, Rony Alexis Betancourth Vásquez,  Orlando  Álvarez</w:t>
        <w:br/>
        <w:t>Ríos y Diomedes  Obed  García  Sánchez,  por  no  haberles  garantizado  una</w:t>
        <w:br/>
        <w:t>protección efectiva a través del recurso de hábeas corpus, y que  el  Estado</w:t>
        <w:br/>
        <w:t>violó el artículo 8.2 de la Convención por no haber respetado  el  principio</w:t>
        <w:br/>
        <w:t>a la presunción de inocencia, en  perjuicio  de  las  mencionadas  víctimas.</w:t>
        <w:br/>
        <w:t>Asimismo, el Tribunal admitió la violación de los artículos 8  y  25  de  la</w:t>
        <w:br/>
        <w:t>Convención, en perjuicio  de  los  familiares  de  Marco  Antonio  Servellón</w:t>
        <w:br/>
        <w:t>García, Rony Alexis Betancourth Vásquez, Orlando  Álvarez  Ríos  y  Diomedes</w:t>
        <w:br/>
        <w:t>Obed García Sánchez por la  falta  de  una  adecuada  investigación  de  los</w:t>
        <w:br/>
        <w:t>hechos.  En consideración de dicho allanamiento,  el  Tribunal  no  hará  un</w:t>
        <w:br/>
        <w:t>resumen de los alegatos de las partes.  Sin perjuicio  de  lo  anterior,  la</w:t>
        <w:br/>
        <w:t>Corte  determinó,  respecto  a  los  artículos  8  y  25  de  la  Convención</w:t>
        <w:br/>
        <w:t>Americana, que seguía en controversia lo  referente  al  incumplimiento  del</w:t>
        <w:br/>
        <w:t>artículo 8 de la Convención, lo que ha llevado a la impunidad  del  presente</w:t>
        <w:br/>
        <w:t>caso, alegada por la Comisión y los representantes.</w:t>
        <w:br/>
        <w:br/>
        <w:t>Consideraciones de la Corte</w:t>
        <w:br/>
        <w:br/>
        <w:t>141.  El artículo 7.6 de la Convención Americana establece que:</w:t>
        <w:br/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br/>
        <w:t xml:space="preserve">      […]</w:t>
        <w:br/>
        <w:br/>
        <w:t>142.  El artículo 8 de la Convención dispone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igualdad  […]</w:t>
        <w:br/>
        <w:t xml:space="preserve">      a las garantías mínimas[.]</w:t>
        <w:br/>
        <w:br/>
        <w:br/>
        <w:t xml:space="preserve">      […]</w:t>
        <w:br/>
        <w:br/>
        <w:br/>
        <w:br/>
        <w:t>143.  El artículo 25 de la Convención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[…]</w:t>
        <w:br/>
        <w:br/>
        <w:t>144.  El artículo 1.1 de la Convención Americana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145.  La Comisión y los representantes  señalaron  que  después  de  “nueve”</w:t>
        <w:br/>
        <w:t>años de ocurridos los hechos, no se han formulado cargos  contra  sospechoso</w:t>
        <w:br/>
        <w:t>alguno, y que el Estado ha incurrido en  un  retardo  injustificado  en  las</w:t>
        <w:br/>
        <w:t>investigaciones, ya que al momento de  la  presentación  de  la  demanda  el</w:t>
        <w:br/>
        <w:t>proceso penal aún continuaba en la etapa sumarial, por lo  que  persiste  la</w:t>
        <w:br/>
        <w:t>impunidad en el presente caso.  Por su parte, el Estado rechazó que no  haya</w:t>
        <w:br/>
        <w:t>habido  investigación  de  los  hechos,  pero  aceptó  que  los   resultados</w:t>
        <w:br/>
        <w:t>producidos en la misma no han sido hasta ahora adecuados, ya que “aún no  ha</w:t>
        <w:br/>
        <w:t>habido una sanción adecuada de los  perpetradores  [del]  crimen.”   Además,</w:t>
        <w:br/>
        <w:t>indicó  que  el  Ministerio   Público   continua   desarrollando   esfuerzos</w:t>
        <w:br/>
        <w:t>importantes para la persecución  y  sanción  de  los  autores  materiales  e</w:t>
        <w:br/>
        <w:t>intelectuales de la detención y muerte de las víctimas, lo que  significaría</w:t>
        <w:br/>
        <w:t>“que  no  puede  hablarse  de  impunidad  en  estos  casos,  de  una   forma</w:t>
        <w:br/>
        <w:t>concluyente y definitiva.”  El Estado no se refirió expresamente al  alegado</w:t>
        <w:br/>
        <w:t>retardo injustificado en la investigación.</w:t>
        <w:br/>
        <w:br/>
        <w:br/>
        <w:t>146.  En el presente caso, la Corte estableció que el Estado  ha  faltado  a</w:t>
        <w:br/>
        <w:t>sus deberes de respeto, prevención y protección,  y  que  por  lo  tanto  es</w:t>
        <w:br/>
        <w:t>responsable por la violación de los derechos a la vida, a la integridad y  a</w:t>
        <w:br/>
        <w:t>la libertad personales  de  Marco  Antonio  Servellón  García,  Rony  Alexis</w:t>
        <w:br/>
        <w:t>Betancourth Vásquez, Orlando Álvarez Ríos y Diomedes  Obed  García  Sánchez.</w:t>
        <w:br/>
        <w:t>En  razón  de  todo  ello  el  Estado  tiene  el  deber  de  investigar  las</w:t>
        <w:br/>
        <w:t>afectaciones a dichos derechos como una condición para  garantizarlos,  como</w:t>
        <w:br/>
        <w:t>se desprende del artículo 1.1 de la Convención Americana.</w:t>
        <w:br/>
        <w:br/>
        <w:t>147.  Los Estados Partes de la  Convención  están  obligados  a  suministrar</w:t>
        <w:br/>
        <w:t>recursos judiciales efectivos a las  víctimas  de  violaciones  de  derechos</w:t>
        <w:br/>
        <w:t>humanos (artículo 25), recursos que deben ser  sustanciados  de  conformidad</w:t>
        <w:br/>
        <w:t>con las reglas del debido proceso legal (artículo 8.1), todo ello dentro  de</w:t>
        <w:br/>
        <w:t>la obligación general, a cargo de  los  mismos  Estados,  de  garantizar  el</w:t>
        <w:br/>
        <w:t>libre y pleno ejercicio  de  los  derechos  reconocidos  por  el  mencionado</w:t>
        <w:br/>
        <w:t>tratado a toda persona que  se  encuentre  bajo  su  jurisdicción  (artículo</w:t>
        <w:br/>
        <w:t>1.1)[87].</w:t>
        <w:br/>
        <w:br/>
        <w:t>148.   La  Corte  ha  constatado  que  se  abrió  un  proceso  penal  en  la</w:t>
        <w:br/>
        <w:t>jurisdicción ordinaria, en el cual se acumularon  las  causas  iniciadas  en</w:t>
        <w:br/>
        <w:t>relación con los hechos del presente caso.  El Tribunal recuerda que,  a  la</w:t>
        <w:br/>
        <w:t>luz de lo establecido en  los  artículos  8  y  25  de  la  Convención,  los</w:t>
        <w:br/>
        <w:t>procedimientos deben ser  efectivamente  desarrollados  con  respeto  a  las</w:t>
        <w:br/>
        <w:t>garantías judiciales, en un plazo razonable,  y  deben  ofrecer  un  recurso</w:t>
        <w:br/>
        <w:t>efectivo  para  asegurar  los  derechos  de  acceso  a   la   justicia,   el</w:t>
        <w:br/>
        <w:t>conocimiento  de  la  verdad  de  los  hechos  y   la   reparación   a   los</w:t>
        <w:br/>
        <w:t>familiares[88].</w:t>
        <w:br/>
        <w:br/>
        <w:t>149.  En el presente caso el proceso penal se inició el 5 de marzo  de  1996</w:t>
        <w:br/>
        <w:t>y en consideración del trámite del mismo se realizó una consulta a  la  Sala</w:t>
        <w:br/>
        <w:t>Penal  de  la  Corte  Suprema  de  Justicia  relativa  a  la  dirección  del</w:t>
        <w:br/>
        <w:t>procedimiento.  Dicha Sala, en respuesta a la consulta, el 12 de  agosto  de</w:t>
        <w:br/>
        <w:t>2002 señaló lo siguiente:</w:t>
        <w:br/>
        <w:br/>
        <w:t xml:space="preserve">      […]1. Las presentes diligencias de investigación se encuentran todavía</w:t>
        <w:br/>
        <w:t xml:space="preserve">      en etapa sumarial  o  instrucción,  a  pesar  de  la  prescripción  de</w:t>
        <w:br/>
        <w:t xml:space="preserve">      procesar contenida en el artículo 174  del  Código  de  Procedimientos</w:t>
        <w:br/>
        <w:t xml:space="preserve">      Penales de 1984, en cuanto a que el sumario no durará más de  un  mes,</w:t>
        <w:br/>
        <w:t xml:space="preserve">      excepto en los  casos  en  que  deba  practicarse  pruebas  fuera  del</w:t>
        <w:br/>
        <w:t xml:space="preserve">      territorio, pero en todo caso no excederá de 3 meses. 2. Dentro de las</w:t>
        <w:br/>
        <w:t xml:space="preserve">      diligencias ordenadas por el Juez instructor están, identificación  de</w:t>
        <w:br/>
        <w:t xml:space="preserve">      archivos,  nombramientos,  causa[s]  de  altas  y  bajas  de   algunos</w:t>
        <w:br/>
        <w:t xml:space="preserve">      tenientes y agentes, sin que se haya  ejecutado  tales  requerimientos</w:t>
        <w:br/>
        <w:t xml:space="preserve">      por autoridad responsable obligada  a  suministrar  las  informaciones</w:t>
        <w:br/>
        <w:t xml:space="preserve">      requeridas; asimismo ha ordenado remisión de informaciones sobre hojas</w:t>
        <w:br/>
        <w:t xml:space="preserve">      de vida de los procesados sin que haya tenido el  Tribunal  respuestas</w:t>
        <w:br/>
        <w:t xml:space="preserve">      oportunas  y  precisas  para  fortalecer  la  investigación;  ante  la</w:t>
        <w:br/>
        <w:t xml:space="preserve">      inobservancia de lo ordenado, el juez responsable de la  investigación</w:t>
        <w:br/>
        <w:t xml:space="preserve">      no puede pasar  desapercibido  [de]  tales  negligencias,  de  lo  que</w:t>
        <w:br/>
        <w:t xml:space="preserve">      deberán actuar responsablemente en la esfera de sus  atribuciones.  3.</w:t>
        <w:br/>
        <w:t xml:space="preserve">      Los niveles de investigación practicados hasta ahora  para  investigar</w:t>
        <w:br/>
        <w:t xml:space="preserve">      la muerte de MARCO ANTONIO SERVELLON  GARCIA,  DIOMEDES  OBED  GARCIA,</w:t>
        <w:br/>
        <w:t xml:space="preserve">      ORLANDO  ALVAREZ  RIOS  Y  RONY  ALEXIS  BETANCOURT[H],  no  han  sido</w:t>
        <w:br/>
        <w:t xml:space="preserve">      efectivas, ya que no han logrado cumplir con el objetivo de  la  etapa</w:t>
        <w:br/>
        <w:t xml:space="preserve">      sumarial del proceso […].</w:t>
        <w:br/>
        <w:br/>
        <w:t>150.  La situación señalada por  la  Sala  Penal  de  la  Corte  Suprema  de</w:t>
        <w:br/>
        <w:t>Justicia no ha variado once años después de ocurridos los hechos y a  cuatro</w:t>
        <w:br/>
        <w:t>años  de  haberse  emitido  la  referida  consulta.   En  el  proceso  penal</w:t>
        <w:br/>
        <w:t>tramitado en el Juzgado de Letras Primero de lo Criminal de  Tegucigalpa  no</w:t>
        <w:br/>
        <w:t>se ha decretado todavía la sentencia de primera  instancia,  en  vulneración</w:t>
        <w:br/>
        <w:t>del plazo razonable.  Este Tribunal considera que dicha  demora,  en  exceso</w:t>
        <w:br/>
        <w:t>prolongada, constituye per se una violación  de  las  garantías  judiciales,</w:t>
        <w:br/>
        <w:t>como lo ha señalado en otros casos, la cual no ha sido  justificada  por  el</w:t>
        <w:br/>
        <w:t>Estado[89].</w:t>
        <w:br/>
        <w:br/>
        <w:t>151.  Lo anterior demuestra la falta de diligencia  en  el  impulso  de  los</w:t>
        <w:br/>
        <w:t>procedimientos orientados a investigar, procesar, y en su caso, sancionar  a</w:t>
        <w:br/>
        <w:t>todos  los   responsables.    La   función   de   los   órganos   judiciales</w:t>
        <w:br/>
        <w:t>intervinientes en un proceso no se agota en posibilitar  un  debido  proceso</w:t>
        <w:br/>
        <w:t>que garantice la defensa en juicio, sino que  debe  además  asegurar  en  un</w:t>
        <w:br/>
        <w:t>tiempo razonable[90] el derecho de la víctima o sus familiares  a  saber  la</w:t>
        <w:br/>
        <w:t>verdad  de  lo  sucedido  y   a   que   se   sancione   a   los   eventuales</w:t>
        <w:br/>
        <w:t>responsables[91].  El derecho a la tutela judicial efectiva  exige  que  los</w:t>
        <w:br/>
        <w:t>jueces  que  dirijan  el  proceso  eviten  dilaciones   y   entorpecimientos</w:t>
        <w:br/>
        <w:t>indebidos, que conduzcan a la  impunidad  y  frusten  la  debida  protección</w:t>
        <w:br/>
        <w:t>judicial de los derechos humanos[92].</w:t>
        <w:br/>
        <w:br/>
        <w:t>152.  Asimismo, en el caso sub judice la vinculación con los hechos  de  los</w:t>
        <w:br/>
        <w:t>agentes  del  Estado,  supuestamente  responsables  de  participar   en   la</w:t>
        <w:br/>
        <w:t>ejecución  extrajudicial  de  las  víctimas,  no  ha  sido   investigada   a</w:t>
        <w:br/>
        <w:t>cabalidad,  por  lo  que  no  se  han   determinado   las   correspondientes</w:t>
        <w:br/>
        <w:t>responsabilidades penales de dichos hechos.  Luego de varias solicitudes  de</w:t>
        <w:br/>
        <w:t>la Fiscalía, el 9 de febrero de 2005 el Juzgado  de  Letras  Primero  de  lo</w:t>
        <w:br/>
        <w:t>Criminal dictó órdenes de captura contra  tres  de  los  imputados,  señores</w:t>
        <w:br/>
        <w:t>José Alberto Alfaro Martínez, Víctor  Hugo  Vivas  Lozano  y  Roxana  Sierra</w:t>
        <w:br/>
        <w:t>Ramírez, pero estas órdenes no han tenido efectividad  alguna.   Entre  esos</w:t>
        <w:br/>
        <w:t>imputados, el único detenido, señor José Alberto  Alfaro  Martínez,  lo  fue</w:t>
        <w:br/>
        <w:t>porque se  entregó  voluntariamente.   El  Estado  no  ha  adoptado  medidas</w:t>
        <w:br/>
        <w:t>concretas tendientes a hacer efectiva la investigación, procesamiento y,  en</w:t>
        <w:br/>
        <w:t>su caso, la sanción de todos los responsables.</w:t>
        <w:br/>
        <w:br/>
        <w:t>153.  Tomando en cuenta el reconocimiento  realizado  por  el  Estado  y  el</w:t>
        <w:br/>
        <w:t>acervo probatorio del presente caso, el Tribunal encuentra que la  falta  de</w:t>
        <w:br/>
        <w:t>celeridad  en  la  investigación  y  la  negligencia  de   las   autoridades</w:t>
        <w:br/>
        <w:t>judiciales en realizar una investigación seria y exhaustiva  de  los  hechos</w:t>
        <w:br/>
        <w:t>que conduzca a su esclarecimiento y al enjuiciamiento de  los  responsables,</w:t>
        <w:br/>
        <w:t>constituye una grave falta al deber de investigar y de  ofrecer  un  recurso</w:t>
        <w:br/>
        <w:t>efectivo que establezca la verdad de los hechos, juzgue  y  sancione  a  sus</w:t>
        <w:br/>
        <w:t>responsables y garantice el acceso a la  justicia  para  los  familiares  de</w:t>
        <w:br/>
        <w:t>Marco Antonio Servellón García, Rony  Alexis  Betancourth  Vásquez,  Orlando</w:t>
        <w:br/>
        <w:t>Álvarez Ríos Y Diomedes Obed García Sánchez con  plena  observancia  de  las</w:t>
        <w:br/>
        <w:t>garantías judiciales.  La investigación que actualmente  se  realiza  podría</w:t>
        <w:br/>
        <w:t>dejar a los posibles responsables de los hechos en la impunidad.</w:t>
        <w:br/>
        <w:br/>
        <w:t>154.  La Corte advierte que el Estado tiene la  obligación  de  combatir  la</w:t>
        <w:br/>
        <w:t>impunidad por todos los medios legales disponibles, ya que ésta propicia  la</w:t>
        <w:br/>
        <w:t>repetición crónica de  las  violaciones  de  derechos  humanos  y  la  total</w:t>
        <w:br/>
        <w:t>indefensión de las víctimas y de  sus  familiares[93].   Esa  obligación  de</w:t>
        <w:br/>
        <w:t>combatir la impunidad se ve acentuada cuando se trata de  violaciones  cuyas</w:t>
        <w:br/>
        <w:t>víctimas son niños.  La impunidad en el presente caso se ve corroborada  por</w:t>
        <w:br/>
        <w:t>el  propio  Estado  que,  en  su  “Informe  sobre   los   avances   en   los</w:t>
        <w:br/>
        <w:t>procedimientos legales y de investigación de muertes de niños y  jóvenes  en</w:t>
        <w:br/>
        <w:t>Honduras,  de  25  de  agosto  de  2003”  indicó  que  “hasta   ahora,   los</w:t>
        <w:br/>
        <w:t>responsables de la mayoría de esos crímenes[, asesinatos de jóvenes  menores</w:t>
        <w:br/>
        <w:t>de 18 años,] no han sido aprehendidos”.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155.  El Tribunal considera que el Estado es responsable  por  la  violación</w:t>
        <w:br/>
        <w:t>de los derechos consagrados en los artículos 8.1, 8.2, 7.6,  y  25.1  de  la</w:t>
        <w:br/>
        <w:t>Convención Americana, en relación con el artículo 1.1  de  ese  tratado,  en</w:t>
        <w:br/>
        <w:t>perjuicio  de  Marco  Antonio  Servellón  García,  Rony  Alexis  Betancourth</w:t>
        <w:br/>
        <w:t>Vásquez, Orlando Álvarez Ríos y Diomedes Obed García Sánchez.</w:t>
        <w:br/>
        <w:br/>
        <w:t>156.  La Corte concluye que el proceso penal no ha  constituido  un  recurso</w:t>
        <w:br/>
        <w:t>efectivo para garantizar el acceso a la justicia,  la  determinación  de  la</w:t>
        <w:br/>
        <w:t>verdad de los hechos, la investigación, y en su  caso,  la  sanción  de  los</w:t>
        <w:br/>
        <w:t>responsables y la  reparación  de  las  consecuencias  de  las  violaciones.</w:t>
        <w:br/>
        <w:t>Consecuentemente,  el  Estado  es  responsable  por  la  violación  de   los</w:t>
        <w:br/>
        <w:t>artículos 8.1 y 25.1 de la Convención, en relación con el  artículo  1.1  de</w:t>
        <w:br/>
        <w:t>ese instrumento, en perjuicio de los familiares de Marco  Antonio  Servellón</w:t>
        <w:br/>
        <w:t>García, Reyes Servellón Santos, padre, Bricelda Aide García Lobo,  madre,  y</w:t>
        <w:br/>
        <w:t>Marja Ibeth Castro García, Pablo Servellón García y  Héctor  Vicente  Castro</w:t>
        <w:br/>
        <w:t>García, hermanos; de los familiares  de  Rony  Alexis  Betancourth  Vásquez,</w:t>
        <w:br/>
        <w:t>Manases Betancourth Núñez, padre, Hilda  Estebana  Hernández  López,  madre,</w:t>
        <w:br/>
        <w:t>Zara Beatris Bustillo Rivera, hija, Ana  Luisa  Vargas  Soto,  compañera  de</w:t>
        <w:br/>
        <w:t>hogar, y Juan Carlos  Betancourth  Hernández,  Manaces  Betancourt  Aguilar,</w:t>
        <w:br/>
        <w:t>Emma Aracely Betancourth Aguilar, Enma Aracely Betancourth Abarca, y  Lilian</w:t>
        <w:br/>
        <w:t>María Betancourt Álvarez, hermanos; de los  familiares  de  Orlando  Álvarez</w:t>
        <w:br/>
        <w:t>Ríos, Antonia Ríos,  madre,  y  Dilcia  Álvarez  Ríos,  hermana,  y  de  los</w:t>
        <w:br/>
        <w:t>familiares de Diomedes Obed García Sánchez, Diomedes  Tito  García  Casildo,</w:t>
        <w:br/>
        <w:t>padre, y Esther Patricia García  Sánchez,  Jorge  Moisés  García  Sánchez  y</w:t>
        <w:br/>
        <w:t>Fidelia Sarahí García Sánchez, hermanos.</w:t>
        <w:br/>
        <w:br/>
        <w:t xml:space="preserve">                                      *</w:t>
        <w:br/>
        <w:t xml:space="preserve">                                   *     *</w:t>
        <w:br/>
        <w:br/>
        <w:t>157.  En lo que se refiere a los familiares de Diomedes Obed García  Sánchez</w:t>
        <w:br/>
        <w:t>cabe observar que no fueron identificados en la demanda  presentada  por  la</w:t>
        <w:br/>
        <w:t>Comisión.  Los  padres,  señores  Diomedes  Tito  García  Casildo  y  Andrea</w:t>
        <w:br/>
        <w:t>Sánchez Loredo, fueron incluidos en la lista de  familiares  presentada  por</w:t>
        <w:br/>
        <w:t>los representantes en su escrito de solicitudes y argumentos.  Los  días  14</w:t>
        <w:br/>
        <w:t>de junio y 24 de julio de 2006 los representantes indicaron al Tribunal  que</w:t>
        <w:br/>
        <w:t>“tras  diez  años  de  ardua  búsqueda”  habían  logrado  localizar  a   los</w:t>
        <w:br/>
        <w:t>siguientes familiares  de  Diomedes:  Diomedes  Tito  García,  padre,  Ester</w:t>
        <w:br/>
        <w:t>Patricia García Sánchez,  Jorge  Moisés  García  Sánchez  y  Fidelia  Sarahí</w:t>
        <w:br/>
        <w:t>García Sánchez, hermanos, y Lidia Sánchez Loredo y Betania  García  Casildo,</w:t>
        <w:br/>
        <w:t>tías.  Además, informaron que la señora Andrea Sánchez Loredo, madre  de  la</w:t>
        <w:br/>
        <w:t>víctima, había fallecido en el año  1985.   Adjuntaron  las  certificaciones</w:t>
        <w:br/>
        <w:t>del acta de nacimiento de los padres y de los hermanos, y  la  certificación</w:t>
        <w:br/>
        <w:t>del acta de defunción de la madre de la víctima.   Con  anterioridad  a  ese</w:t>
        <w:br/>
        <w:t>hallazgo y durante el trámite  del  caso  ante  el  sistema  interamericano,</w:t>
        <w:br/>
        <w:t>tanto la Comisión como los representantes habían manifestado  que  no  había</w:t>
        <w:br/>
        <w:t>sido posible “dar con el paradero [de los padres de Diomedes,] toda vez  que</w:t>
        <w:br/>
        <w:t>el joven no tenía relación alguna con ellos y al  momento  de  su  ejecución</w:t>
        <w:br/>
        <w:t>residía en una habitación de una casa de asistencia a menores  en  situación</w:t>
        <w:br/>
        <w:t>de calle […]”.</w:t>
        <w:br/>
        <w:br/>
        <w:t>158.  La jurisprudencia de este Tribunal, en cuanto a  la  determinación  de</w:t>
        <w:br/>
        <w:t>quienes son víctimas, ha sido amplia y ajustada  a  las  circunstancias  del</w:t>
        <w:br/>
        <w:t>caso. Las presuntas víctimas deben estar señaladas en la  demanda  y  en  el</w:t>
        <w:br/>
        <w:t>informe de fondo  de  la  Comisión  emitido  según  el  artículo  50  de  la</w:t>
        <w:br/>
        <w:t>Convención.  Por ende, de conformidad con el artículo  33.1  del  Reglamento</w:t>
        <w:br/>
        <w:t>de la Corte, corresponde a la Comisión, y no a  este  Tribunal,  identificar</w:t>
        <w:br/>
        <w:t>con precisión,  y  en  la  debida  oportunidad  procesal,  a  las  presuntas</w:t>
        <w:br/>
        <w:t>víctimas en un caso ante la Corte[94].   No  obstante,  en  su  defecto,  en</w:t>
        <w:br/>
        <w:t>algunas  ocasiones  la  Corte  ha  considerado  como  presuntas  víctimas  a</w:t>
        <w:br/>
        <w:t>personas que no fueron alegadas como tales en la demanda, siempre  y  cuando</w:t>
        <w:br/>
        <w:t>se haya respetado el  derecho  de  defensa  de  las  partes  y  de  que  las</w:t>
        <w:br/>
        <w:t>presuntas víctimas guarden relación con los hechos descritos en  la  demanda</w:t>
        <w:br/>
        <w:t>y con la prueba aportada a la Corte[95].</w:t>
        <w:br/>
        <w:br/>
        <w:t>159.  Al respecto, dado que el padre de Diomedes Obed García  Sánchez  había</w:t>
        <w:br/>
        <w:t>sido  incluido  en  el  escrito  de  solicitudes   y   argumentos,   y   que</w:t>
        <w:br/>
        <w:t>posteriormente  los  representantes  acreditaron  la  existencia  de   Ester</w:t>
        <w:br/>
        <w:t>Patricia García Sánchez,  Jorge  Moisés  García  Sánchez  y  Fidelia  Sarahí</w:t>
        <w:br/>
        <w:t>García Sánchez y de sus respectivos vínculos o parentesco con Diomedes  Obed</w:t>
        <w:br/>
        <w:t>García Sánchez, esta Corte, en consideración de que su  falta  de  inclusión</w:t>
        <w:br/>
        <w:t>se debió a la dificultad para dar con su paradero, y que su  ubicación  solo</w:t>
        <w:br/>
        <w:t>fue posible con posterioridad a la presentación de los escritos  de  demanda</w:t>
        <w:br/>
        <w:t>y de solicitudes y argumentos, considera a dichos familiares como  presuntas</w:t>
        <w:br/>
        <w:t>víctimas y encontró la violación de los artículos 8 y 25  de  la  Convención</w:t>
        <w:br/>
        <w:t>en su perjuicio (supra párr. 156).  Se otorgó el derecho de defensa  de  las</w:t>
        <w:br/>
        <w:t>partes  al  habérseles  trasladado  esta  información   aportada   por   los</w:t>
        <w:br/>
        <w:t>representantes y no se recibió observación alguna al respecto.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              Aplicación del artículo 63.1</w:t>
        <w:br/>
        <w:t xml:space="preserve">                            Obligación de Reparar</w:t>
        <w:br/>
        <w:br/>
        <w:t>160.   De  conformidad  con  el  análisis   realizado   en   los   capítulos</w:t>
        <w:br/>
        <w:t>precedentes, la Corte ha declarado, con base en  el  reconocimiento  parcial</w:t>
        <w:br/>
        <w:t>de responsabilidad del Estado,  y  en  los  hechos  del  caso  y  la  prueba</w:t>
        <w:br/>
        <w:t>presentada  ante  este  Tribunal,  que  el  Estado  es  responsable  por  la</w:t>
        <w:br/>
        <w:t>violación de los derechos consagrados en los artículos 4.1, 5.1,  5.2,  5.5,</w:t>
        <w:br/>
        <w:t>7.1, 7.2, 7.3, 7.4,  7.5,  7.6,  8.1,  8.2,  19  y  25.1  de  la  Convención</w:t>
        <w:br/>
        <w:t>Americana, y por el incumplimiento  de  las  obligaciones  que  derivan  del</w:t>
        <w:br/>
        <w:t>artículo 1.1 del mismo instrumento internacional  (supra  párrs.  125,  139,</w:t>
        <w:br/>
        <w:t>155 y 156).   La  Corte  ha  establecido,  en  varias  ocasiones,  que  toda</w:t>
        <w:br/>
        <w:t>violación de  una  obligación  internacional  que  haya  producido  un  daño</w:t>
        <w:br/>
        <w:t>comporta el deber de  repararlo  adecuadamente[96].   A  tales  efectos,  el</w:t>
        <w:br/>
        <w:t>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161.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violación[97].  Dicha responsabilidad  internacional  es</w:t>
        <w:br/>
        <w:t>distinta a la responsabilidad en el derecho interno[98].</w:t>
        <w:br/>
        <w:br/>
        <w:t>162.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 la  violación.   De  no  ser  esto  posible,  cabe  al</w:t>
        <w:br/>
        <w:t>tribunal internacional determinar una serie de medidas para que,  además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compensación por los daños  ocasionados[99]  u  otros</w:t>
        <w:br/>
        <w:t>modos de satisfacción.  La obligación de reparar, que  se  regula  en  todos</w:t>
        <w:br/>
        <w:t>los aspectos  (alcance,  naturaleza,  modalidades  y  determinación  de  los</w:t>
        <w:br/>
        <w:t>beneficiarios) por el Derecho  Internacional,  no  puede  ser  modificada  o</w:t>
        <w:br/>
        <w:t>incumplida por el Estado obligado, invocando  disposiciones  de  su  derecho</w:t>
        <w:br/>
        <w:t>interno[100].</w:t>
        <w:br/>
        <w:br/>
        <w:t>163.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sucesores[101].</w:t>
        <w:br/>
        <w:br/>
        <w:t>164.  De conformidad con los  elementos  probatorios  recogidos  durante  el</w:t>
        <w:br/>
        <w:t>proceso y a la luz de los anteriores criterios, la Corte procede a  analizar</w:t>
        <w:br/>
        <w:t>las pretensiones presentadas por la Comisión y por los representantes y  las</w:t>
        <w:br/>
        <w:t>consideraciones del Estado respecto de las reparaciones, con  el  objeto  de</w:t>
        <w:br/>
        <w:t>determinar,  en  primer  lugar,  quiénes  son  los  beneficiarios   de   las</w:t>
        <w:br/>
        <w:t>reparaciones, para luego disponer las medidas de  reparación  de  los  daños</w:t>
        <w:br/>
        <w:t>materiales e inmateriales, medidas de satisfacción y  de  no  repetición  y,</w:t>
        <w:br/>
        <w:t>por último, lo relativo a costas y gastos.</w:t>
        <w:br/>
        <w:br/>
        <w:t>165.  La Corte resume ahora los argumentos de  la  Comisión  Interamericana,</w:t>
        <w:br/>
        <w:t>de los representantes y del Estado sobre las reparaciones.</w:t>
        <w:br/>
        <w:br/>
        <w:t>Alegatos de la Comisión:</w:t>
        <w:br/>
        <w:br/>
        <w:t>166.  La Comisión señaló, inter alia, lo siguiente:</w:t>
        <w:br/>
        <w:br/>
        <w:t xml:space="preserve">   a) Beneficiarios</w:t>
        <w:br/>
        <w:br/>
        <w:br/>
        <w:t xml:space="preserve">      Los titulares del derecho a reparación en los  términos  del  artículo</w:t>
        <w:br/>
        <w:t xml:space="preserve">      63.1 de la Convención son la víctima Marco Antonio Servellón García  y</w:t>
        <w:br/>
        <w:t xml:space="preserve">      sus familiares, a saber: Reyes Servellón Santos, padre; Bricelda  Aide</w:t>
        <w:br/>
        <w:t xml:space="preserve">      García Lobo, madre; Marja Ibeth Castro García, Pablo Servellón  García</w:t>
        <w:br/>
        <w:t xml:space="preserve">      y Héctor Vicente Castro  García,  hermanos;  la  víctima  Rony  Alexis</w:t>
        <w:br/>
        <w:t xml:space="preserve">      Betancourth Vásquez y sus familiares,  a  saber:  Manases  Betancourth</w:t>
        <w:br/>
        <w:t xml:space="preserve">      Núñez, padre; Hilda  Estebana  Hernández  López,  madre;  Juan  Carlos</w:t>
        <w:br/>
        <w:t xml:space="preserve">      Betancourth  Hernández,  Manaces  Betancourt  Aguilar,  Emma   Aracely</w:t>
        <w:br/>
        <w:t xml:space="preserve">      Betancourth Aguilar, Enma Aracely Betancourth Abarca, y  Lilian  María</w:t>
        <w:br/>
        <w:t xml:space="preserve">      Betancourt Álvarez hermanos;  Ana  Luisa  Vargas  Soto,  compañera  de</w:t>
        <w:br/>
        <w:t xml:space="preserve">      hogar; Norma Estela Bustillo Rivera, madre de su hija, y Zara  Beatris</w:t>
        <w:br/>
        <w:t xml:space="preserve">      Bustillo  Rivera,  hija;  la  víctima  Orlando  Álvarez  Ríos  y   sus</w:t>
        <w:br/>
        <w:t xml:space="preserve">      familiares, a saber: Concepción Álvarez, padre; Antonia Ríos, madre, y</w:t>
        <w:br/>
        <w:t xml:space="preserve">      Dilcia Álvarez Ríos, hermana. A la fecha  de  la  presentación  de  la</w:t>
        <w:br/>
        <w:t xml:space="preserve">      demanda  la  Comisión  no  identificó  a  los  beneficiarios  de   las</w:t>
        <w:br/>
        <w:t xml:space="preserve">      reparaciones debidas a Diomedes Obed García Sánchez.</w:t>
        <w:br/>
        <w:br/>
        <w:br/>
        <w:t xml:space="preserve">   b) Daño material</w:t>
        <w:br/>
        <w:br/>
        <w:br/>
        <w:t xml:space="preserve">      Solicitó a la Corte que determine que las víctimas reciban una justa y</w:t>
        <w:br/>
        <w:t xml:space="preserve">      pronta reparación por las violaciones establecidas en  virtud  de  los</w:t>
        <w:br/>
        <w:t xml:space="preserve">      daños  materiales  ocasionados,  tomando  en  cuenta  los   estándares</w:t>
        <w:br/>
        <w:t xml:space="preserve">      internacionales.</w:t>
        <w:br/>
        <w:br/>
        <w:br/>
        <w:t xml:space="preserve">   c) Daño inmaterial</w:t>
        <w:br/>
        <w:br/>
        <w:br/>
        <w:t xml:space="preserve">      En consideración de los sufrimientos padecidos por los  familiares  de</w:t>
        <w:br/>
        <w:t xml:space="preserve">      las víctimas como falta de una investigación diligente de los hechos y</w:t>
        <w:br/>
        <w:t xml:space="preserve">      la consecuente sanción de  los  responsables;  entre  otros  agravios,</w:t>
        <w:br/>
        <w:t xml:space="preserve">      solicitó a la Corte que fije en equidad un  monto  indemnizatorio  por</w:t>
        <w:br/>
        <w:t xml:space="preserve">      ese concepto.</w:t>
        <w:br/>
        <w:br/>
        <w:br/>
        <w:t xml:space="preserve">      d)    Otras formas de reparación</w:t>
        <w:br/>
        <w:br/>
        <w:br/>
        <w:t xml:space="preserve">      Solicitó a la Corte que ordene al Estado:</w:t>
        <w:br/>
        <w:br/>
        <w:br/>
        <w:t xml:space="preserve">   i) identificar, procesar y sancionar penalmente a los autores  materiales</w:t>
        <w:br/>
        <w:t xml:space="preserve">      e intelectuales de las detenciones,  torturas  y  posterior  ejecución</w:t>
        <w:br/>
        <w:t xml:space="preserve">      extrajudicial de las víctimas;</w:t>
        <w:br/>
        <w:br/>
        <w:br/>
        <w:t xml:space="preserve">  ii) realizar el reconocimiento público de su responsabilidad internacional</w:t>
        <w:br/>
        <w:t xml:space="preserve">      y adoptar  medidas  administrativas  o  de  otro  tipo  encaminadas  a</w:t>
        <w:br/>
        <w:t xml:space="preserve">      destituir a los agentes del Estado  que  resulten  implicados  en  las</w:t>
        <w:br/>
        <w:t xml:space="preserve">      violaciones;</w:t>
        <w:br/>
        <w:br/>
        <w:br/>
        <w:t xml:space="preserve"> iii) identificar a los autores de las violaciones y su función en  el  seno</w:t>
        <w:br/>
        <w:t xml:space="preserve">      de la administración, lo cual debe realizarse a través del  estudio  y</w:t>
        <w:br/>
        <w:t xml:space="preserve">      publicación de los organigramas que existían en las  instituciones  en</w:t>
        <w:br/>
        <w:t xml:space="preserve">      las que se ejecutaran las violaciones;</w:t>
        <w:br/>
        <w:br/>
        <w:br/>
        <w:t xml:space="preserve">  iv) “avanzar en sus programas de investigación sobre las condiciones de la</w:t>
        <w:br/>
        <w:t xml:space="preserve">      población infantil y juvenil, en relación con el cumplimiento  de  sus</w:t>
        <w:br/>
        <w:t xml:space="preserve">      derechos y en el diseño de  una  política  nacional  de  prevención  y</w:t>
        <w:br/>
        <w:t xml:space="preserve">      protección  integral  de  la  niñez,  con  consulta  o   participación</w:t>
        <w:br/>
        <w:t xml:space="preserve">      ciudadana e institucional”;</w:t>
        <w:br/>
        <w:br/>
        <w:br/>
        <w:t xml:space="preserve">   v) “avanzar en su política de promoción  y  protección  de  los  derechos</w:t>
        <w:br/>
        <w:t xml:space="preserve">      humanos de los niños, incluyendo la divulgación de los derechos de  la</w:t>
        <w:br/>
        <w:t xml:space="preserve">      población infantil y el deber especial de garantía que  deben  atender</w:t>
        <w:br/>
        <w:t xml:space="preserve">      las autoridades estatales y  la  sociedad  en  general  frente  a  tal</w:t>
        <w:br/>
        <w:t xml:space="preserve">      grupo”;</w:t>
        <w:br/>
        <w:br/>
        <w:br/>
        <w:t xml:space="preserve">  vi) implementar un sistema  efectivo  e  imparcial  de  fiscalización  del</w:t>
        <w:br/>
        <w:t xml:space="preserve">      accionar  policial  y   reforzar   la   actuación   de   la   Comisión</w:t>
        <w:br/>
        <w:t xml:space="preserve">      Interinstitucional de Protección a la Integridad Física y Moral de  la</w:t>
        <w:br/>
        <w:t xml:space="preserve">      Niñez creada en el año 2002 por el Decreto Ejecutivo  PCM-006-2002  en</w:t>
        <w:br/>
        <w:t xml:space="preserve">      la que participen organizaciones y miembros de la sociedad civil, y</w:t>
        <w:br/>
        <w:br/>
        <w:br/>
        <w:t xml:space="preserve"> vii) implementar programas permanentes de formación del  personal  policial</w:t>
        <w:br/>
        <w:t xml:space="preserve">      que  brinde  capacitación  sobre  los  estándares  internacionales  en</w:t>
        <w:br/>
        <w:t xml:space="preserve">      materia  de  prohibición  de  la  tortura,  detenciones   ilegales   o</w:t>
        <w:br/>
        <w:t xml:space="preserve">      arbitrarias, y los principios vinculados al uso de la fuerza  y  armas</w:t>
        <w:br/>
        <w:t xml:space="preserve">      de fuego, así como sobre el tratamiento que debe darse a los niños,  a</w:t>
        <w:br/>
        <w:t xml:space="preserve">      la luz de la especial protección establecida en los  instrumentos  que</w:t>
        <w:br/>
        <w:t xml:space="preserve">      forman parte del corpus juris internacional en esta materia.</w:t>
        <w:br/>
        <w:br/>
        <w:br/>
        <w:t xml:space="preserve">      e)    Costas y Gastos</w:t>
        <w:br/>
        <w:br/>
        <w:br/>
        <w:t xml:space="preserve">      Solicitó el pago de las costas y gastos  legales  incurridos  por  las</w:t>
        <w:br/>
        <w:t xml:space="preserve">      víctimas y sus familiares en la tramitación del caso a nivel nacional,</w:t>
        <w:br/>
        <w:t xml:space="preserve">      así como las que originadas en la tramitación del caso ante el sistema</w:t>
        <w:br/>
        <w:t xml:space="preserve">      interamericano.</w:t>
        <w:br/>
        <w:br/>
        <w:br/>
        <w:t>Alegatos de los representantes:</w:t>
        <w:br/>
        <w:br/>
        <w:t>167.  Los representantes manifestaron, inter alia, lo siguiente:</w:t>
        <w:br/>
        <w:br/>
        <w:t xml:space="preserve">   a) Beneficiarios</w:t>
        <w:br/>
        <w:br/>
        <w:br/>
        <w:t xml:space="preserve">      Las  víctimas  son  Marco  Antonio  Servellón  García,   Rony   Alexis</w:t>
        <w:br/>
        <w:t xml:space="preserve">      Betancourth Vásquez, Orlando  Álvarez  Ríos  y  Diomedes  Obed  García</w:t>
        <w:br/>
        <w:t xml:space="preserve">      Sánchez,  y  las  reparaciones  que  les  correspondan   deberán   ser</w:t>
        <w:br/>
        <w:t xml:space="preserve">      transmitidas  a  sus  herederos.   Igualmente,   debe   tenerse   como</w:t>
        <w:br/>
        <w:t xml:space="preserve">      beneficiarios de  las  reparaciones  ordenadas  por  la  Corte  a  sus</w:t>
        <w:br/>
        <w:t xml:space="preserve">      familiares más cercanos.  Los familiares de  Marco  Antonio  Servellón</w:t>
        <w:br/>
        <w:t xml:space="preserve">      García son: Reyes Servellón Santos, padre; Bricelda Aide García  Lobo,</w:t>
        <w:br/>
        <w:t xml:space="preserve">      madre; Marja Ibeth Castro García,  Pablo  Servellón  García  y  Héctor</w:t>
        <w:br/>
        <w:t xml:space="preserve">      Vicente Castro García,   hermanos.   Los  familiares  de  Rony  Alexis</w:t>
        <w:br/>
        <w:t xml:space="preserve">      Betancourth Vásquez  son:  Manases  Betancourth  Núñez,  padre;  Hilda</w:t>
        <w:br/>
        <w:t xml:space="preserve">      Estebana Hernández López, madre; Juan  Carlos  Betancourth  Hernández,</w:t>
        <w:br/>
        <w:t xml:space="preserve">      Manaces Betancourt Aguilar, Emma  Aracely  Betancourth  Aguilar,  Enma</w:t>
        <w:br/>
        <w:t xml:space="preserve">      Aracely  Betancourth  Abarca,  y  Lilian  María  Betancourt   Álvarez,</w:t>
        <w:br/>
        <w:t xml:space="preserve">      hermanos; Ana Luisa Vargas Soto, compañera de hogar,  y  Zara  Beatris</w:t>
        <w:br/>
        <w:t xml:space="preserve">      Bustillo Rivera, hija, representada por su madre Norma Estela Bustillo</w:t>
        <w:br/>
        <w:t xml:space="preserve">      Rivera.  Los  familiares  de  Orlando  Álvarez  Ríos  son:  Concepción</w:t>
        <w:br/>
        <w:t xml:space="preserve">      Álvarez, padre; Antonia Ríos, madre, y Dilcia Álvarez  Ríos,  hermana.</w:t>
        <w:br/>
        <w:t xml:space="preserve">      Los familiares de Diomedes Obed  García  Sánchez  son:  Diomedes  Tito</w:t>
        <w:br/>
        <w:t xml:space="preserve">      García Casildo, padre, y Andrea Sánchez Loredo, madre.</w:t>
        <w:br/>
        <w:br/>
        <w:br/>
        <w:t xml:space="preserve">   b) Daño material</w:t>
        <w:br/>
        <w:br/>
        <w:br/>
        <w:t xml:space="preserve">      i)    Marco Antonio Servellón García tenía 16 años de edad al  momento</w:t>
        <w:br/>
        <w:t xml:space="preserve">      de su muerte y se dedicaba a vender lotería y acudía a clases  por  la</w:t>
        <w:br/>
        <w:t xml:space="preserve">      noche en la Escuela Centroamérica Oeste.  Dado su  oficio  es  difícil</w:t>
        <w:br/>
        <w:t xml:space="preserve">      estimar sus ingresos, tomando como base el valor  de  la  remuneración</w:t>
        <w:br/>
        <w:t xml:space="preserve">      mínima de 18.10 lempiras al día en la zona de Tegucigalpa, conforme al</w:t>
        <w:br/>
        <w:t xml:space="preserve">      decreto de salarios mínimos correspondiente a la  actividad  económica</w:t>
        <w:br/>
        <w:t xml:space="preserve">      denominada  “Servicios   Comunales,   Sociales   y   Personales”,   la</w:t>
        <w:br/>
        <w:t xml:space="preserve">      legislación laboral  hondureña  que  contempla  dos  salarios  mínimos</w:t>
        <w:br/>
        <w:t xml:space="preserve">      mensuales por año como medidas de compensación social, la esperanza de</w:t>
        <w:br/>
        <w:t xml:space="preserve">      vida para los hombres era de 65,6 años en el año 1995 y menos  un  25%</w:t>
        <w:br/>
        <w:t xml:space="preserve">      por gastos, los representantes solicitaron la cantidad de US$28.881,90</w:t>
        <w:br/>
        <w:t xml:space="preserve">      (veintiocho mil ochocientos ochenta y un dólares de los Estados Unidos</w:t>
        <w:br/>
        <w:t xml:space="preserve">      de América con noventa centavos) por concepto de lucro cesante;</w:t>
        <w:br/>
        <w:br/>
        <w:br/>
        <w:t xml:space="preserve">      ii)   Rony Alexis Betancourth Vásquez tenía 17  años  de  edad  cuando</w:t>
        <w:br/>
        <w:t xml:space="preserve">      falleció y se dedicaba al oficio de soldador.  Tomando  como  base  el</w:t>
        <w:br/>
        <w:t xml:space="preserve">      valor de la remuneración mínima de 18.10 lempiras al día en la zona de</w:t>
        <w:br/>
        <w:t xml:space="preserve">      Tegucigalpa, conforme al decreto de salarios mínimos correspondiente a</w:t>
        <w:br/>
        <w:t xml:space="preserve">      la actividad económica denominada  “Servicios  Comunales,  Sociales  y</w:t>
        <w:br/>
        <w:t xml:space="preserve">      Personales”,  la  legislación  laboral  hondureña  que  contempla  dos</w:t>
        <w:br/>
        <w:t xml:space="preserve">      salarios mínimos  mensuales  por  año  como  medidas  de  compensación</w:t>
        <w:br/>
        <w:t xml:space="preserve">      social, la esperanza de vida para los hombres era de 65,6 años  en  el</w:t>
        <w:br/>
        <w:t xml:space="preserve">      año 1995 y menos un 25% por gastos, los representantes solicitaron  la</w:t>
        <w:br/>
        <w:t xml:space="preserve">      cantidad de US$28.299,62 (veintiocho mil doscientos  noventa  y  nueve</w:t>
        <w:br/>
        <w:t xml:space="preserve">      dólares de los Estados Unidos de América con sesenta y  dos  centavos)</w:t>
        <w:br/>
        <w:t xml:space="preserve">      por concepto de lucro cesante;</w:t>
        <w:br/>
        <w:br/>
        <w:br/>
        <w:t xml:space="preserve">      iii)  Diomedes Obed García Sánchez tenía 19 años de edad cuando  murió</w:t>
        <w:br/>
        <w:t xml:space="preserve">      y no se cuenta con suficiente información sobre sus ingresos.  Dado lo</w:t>
        <w:br/>
        <w:t xml:space="preserve">      anterior, solicitaron que se aplique la presunción del salario  mínimo</w:t>
        <w:br/>
        <w:t xml:space="preserve">      para calcular el lucro cesante.  En  consecuencia,  indicaron  que  se</w:t>
        <w:br/>
        <w:t xml:space="preserve">      tome como base el valor de la remuneración mínima de 18.10 lempiras al</w:t>
        <w:br/>
        <w:t xml:space="preserve">      día, en la zona  de  Tegucigalpa,  conforme  al  decreto  de  salarios</w:t>
        <w:br/>
        <w:t xml:space="preserve">      mínimos correspondiente a la actividad económica denominada “Servicios</w:t>
        <w:br/>
        <w:t xml:space="preserve">      Comunales, Sociales y Personales”, la  legislación  laboral  hondureña</w:t>
        <w:br/>
        <w:t xml:space="preserve">      que contempla dos salarios mínimos mensuales por año como  medidas  de</w:t>
        <w:br/>
        <w:t xml:space="preserve">      compensación social, la esperanza de vida para los hombres era de 65,6</w:t>
        <w:br/>
        <w:t xml:space="preserve">      años en el año 1995 y menos un  25%  por  gastos,  los  representantes</w:t>
        <w:br/>
        <w:t xml:space="preserve">      solicitaron  la  cantidad  de  US$27.135,03  (veintisiete  mil  ciento</w:t>
        <w:br/>
        <w:t xml:space="preserve">      treinta y cinco dólares de los Estados  Unidos  de  América  con  tres</w:t>
        <w:br/>
        <w:t xml:space="preserve">      centavos) por concepto de lucro cesante;</w:t>
        <w:br/>
        <w:br/>
        <w:br/>
        <w:t xml:space="preserve">      iv)   Orlando Álvarez Ríos murió a los 32 años de edad  y  era  perito</w:t>
        <w:br/>
        <w:t xml:space="preserve">      industrial en mecánica general.  También  trabajaba  como  albañil  en</w:t>
        <w:br/>
        <w:t xml:space="preserve">      construcción  y  laboraba  durante   los   fines   de   semana.    Los</w:t>
        <w:br/>
        <w:t xml:space="preserve">      representantes consideraron que por  la  especialidad  técnica  de  la</w:t>
        <w:br/>
        <w:t xml:space="preserve">      víctima, no debe asignársele el salario mínimo  para  el  cálculo  del</w:t>
        <w:br/>
        <w:t xml:space="preserve">      lucro cesante, pero que tampoco se conoce el  monto  del  salario  que</w:t>
        <w:br/>
        <w:t xml:space="preserve">      percibía.  En consecuencia, indicaron que tomando en cuenta  el  valor</w:t>
        <w:br/>
        <w:t xml:space="preserve">      del salario de 25 lempiras diarios, la legislación  laboral  hondureña</w:t>
        <w:br/>
        <w:t xml:space="preserve">      que contempla dos salarios mínimos mensuales por año como  medidas  de</w:t>
        <w:br/>
        <w:t xml:space="preserve">      compensación social, la esperanza de vida para los hombres era de 65,6</w:t>
        <w:br/>
        <w:t xml:space="preserve">      años en el años 1995 y menos un 25%  por  gastos,  los  representantes</w:t>
        <w:br/>
        <w:t xml:space="preserve">      solicitaron la cantidad de US$27.023,15 (veintisiete mil veinte y tres</w:t>
        <w:br/>
        <w:t xml:space="preserve">      dólares de los Estados Unidos de  América  con  quince  centavos)  por</w:t>
        <w:br/>
        <w:t xml:space="preserve">      concepto de lucro cesante, y</w:t>
        <w:br/>
        <w:br/>
        <w:br/>
        <w:t xml:space="preserve">      v)     los familiares incurrieron en gastos  relativos  a  velación  y</w:t>
        <w:br/>
        <w:t xml:space="preserve">      entierro de las supuestas víctimas, y por el  tiempo  transcurrido  no</w:t>
        <w:br/>
        <w:t xml:space="preserve">      cuentan con los comprobantes de dichos gastos, por lo que  solicitaron</w:t>
        <w:br/>
        <w:t xml:space="preserve">      a la Corte que fije en equidad el monto de esos daños.</w:t>
        <w:br/>
        <w:br/>
        <w:br/>
        <w:t xml:space="preserve">   c) Daño inmaterial</w:t>
        <w:br/>
        <w:br/>
        <w:br/>
        <w:t xml:space="preserve">   i) la vulnerabilidad de las víctimas frente a los agentes  estatales,  la</w:t>
        <w:br/>
        <w:t xml:space="preserve">      forma de su detención, las amenazas y torturas de que  fueron  objeto,</w:t>
        <w:br/>
        <w:t xml:space="preserve">      su sufrimiento emocional y físico, y las formas  de  ejecución,  deben</w:t>
        <w:br/>
        <w:t xml:space="preserve">      ser consideradas para estimar  una  indemnización  por  “daño  moral”.</w:t>
        <w:br/>
        <w:t xml:space="preserve">      Además, debe ser considerada para la estimación del  “daño  moral”  la</w:t>
        <w:br/>
        <w:t xml:space="preserve">      violación al proyecto de vida de las víctimas;</w:t>
        <w:br/>
        <w:br/>
        <w:br/>
        <w:t xml:space="preserve">      ii)   solicitaron a la Corte que fije la suma de US$150.000,00 (ciento</w:t>
        <w:br/>
        <w:t xml:space="preserve">      cincuenta mil dólares de los Estados Unidos de América) en  los  casos</w:t>
        <w:br/>
        <w:t xml:space="preserve">      de Orlando Álvarez Ríos y Diomedes Obed García Sánchez para  compensar</w:t>
        <w:br/>
        <w:t xml:space="preserve">      el sufrimiento vivido.  Por su condición de  menores,  solicitaron  la</w:t>
        <w:br/>
        <w:t xml:space="preserve">      cantidad de US$175.000,00 (ciento setenta y cinco mil dólares  de  los</w:t>
        <w:br/>
        <w:t xml:space="preserve">      Estados Unidos de América) para Marco Antonio Servellón García y  Rony</w:t>
        <w:br/>
        <w:t xml:space="preserve">      Alexis Betancourth Vásquez, y</w:t>
        <w:br/>
        <w:br/>
        <w:br/>
        <w:t xml:space="preserve">      iii)  los familiares cercanos también son víctimas  y  que  entre  los</w:t>
        <w:br/>
        <w:t xml:space="preserve">      hechos que deben ser analizados por la Corte están  el  de  que  a  la</w:t>
        <w:br/>
        <w:t xml:space="preserve">      madre de Marco Antonio Servellón García no se le  permitió  ver  a  su</w:t>
        <w:br/>
        <w:t xml:space="preserve">      hijo mientras estuvo detenido; que la madre de Rony Alexis  Betancourt</w:t>
        <w:br/>
        <w:t xml:space="preserve">      Vásquez “pensó que estaba  seguro  porque  estaba  bajo  custodia  del</w:t>
        <w:br/>
        <w:t xml:space="preserve">      Estado” y a su compañera de hogar no se le permitió verlo, a pesar  de</w:t>
        <w:br/>
        <w:t xml:space="preserve">      que esperó todo un día en  las  afueras  de  la  oficina  policial;  y</w:t>
        <w:br/>
        <w:t xml:space="preserve">      Orlando Álvarez  Ríos  informó  a  su  hermana  que  sería  puesto  en</w:t>
        <w:br/>
        <w:t xml:space="preserve">      libertad, lo que no sucedió.  Asimismo,  el  estado  psíquico  de  los</w:t>
        <w:br/>
        <w:t xml:space="preserve">      familiares fue alterado por el posterior conocimiento de la  detención</w:t>
        <w:br/>
        <w:t xml:space="preserve">      arbitraria, las amenazas, las torturas físicas y  psicológicas  y  las</w:t>
        <w:br/>
        <w:t xml:space="preserve">      ejecuciones de sus seres queridos, cuyos  cuerpos  fueron  dejados  en</w:t>
        <w:br/>
        <w:t xml:space="preserve">      diferentes lugares de Tegucigalpa.   La  falta  de  una  investigación</w:t>
        <w:br/>
        <w:t xml:space="preserve">      exhaustiva  de  los  hechos  causó  sentimientos   de   impotencia   e</w:t>
        <w:br/>
        <w:t xml:space="preserve">      incertidumbre en los familiares de las víctimas, situación que  agravó</w:t>
        <w:br/>
        <w:t xml:space="preserve">      el “daño moral” sufrido.  Por lo anterior, solicitaron a la Corte  que</w:t>
        <w:br/>
        <w:t xml:space="preserve">      fije por equidad un monto indemnizatorio en su favor.</w:t>
        <w:br/>
        <w:br/>
        <w:br/>
        <w:t xml:space="preserve">      d)    Otras formas de reparación</w:t>
        <w:br/>
        <w:br/>
        <w:br/>
        <w:t xml:space="preserve">      Solicitaron a la Corte que ordene al Estado:</w:t>
        <w:br/>
        <w:br/>
        <w:br/>
        <w:t xml:space="preserve">   i)  investigar  y   determinar   las   responsabilidades   materiales   e</w:t>
        <w:br/>
        <w:t xml:space="preserve">      intelectuales de los hechos y garantizar que los responsables  cumplan</w:t>
        <w:br/>
        <w:t xml:space="preserve">      efectivamente con la sanción que les sea impuesta, y sancionar  a  los</w:t>
        <w:br/>
        <w:t xml:space="preserve">      funcionarios  públicos  y  los  particulares  que  hayan  entorpecido,</w:t>
        <w:br/>
        <w:t xml:space="preserve">      desviado o dilatado las investigaciones de los hechos;</w:t>
        <w:br/>
        <w:br/>
        <w:br/>
        <w:t xml:space="preserve">  ii)  realizar  un  acto  público  en  el  que  el  Estado   reconozca   su</w:t>
        <w:br/>
        <w:t xml:space="preserve">      responsabilidad internacional por violación de  los  derechos  de  las</w:t>
        <w:br/>
        <w:t xml:space="preserve">      víctimas y sus familiares, en el que participe  el  más  alto  jerarca</w:t>
        <w:br/>
        <w:t xml:space="preserve">      estatal;</w:t>
        <w:br/>
        <w:br/>
        <w:br/>
        <w:t xml:space="preserve"> iii) designar un día al año y emitir sellos postales para conmemorar a  los</w:t>
        <w:br/>
        <w:t xml:space="preserve">      niños, niñas y jóvenes víctimas de la violencia, en  los  cuales  debe</w:t>
        <w:br/>
        <w:t xml:space="preserve">      estar  indicado  el  año  1995,  como  resarcimiento  moral  para  los</w:t>
        <w:br/>
        <w:t xml:space="preserve">      familiares de las víctimas;</w:t>
        <w:br/>
        <w:t xml:space="preserve">  iv) fortalecer la Unidad Especial de Investigación de Muerte  de  Menores,</w:t>
        <w:br/>
        <w:t xml:space="preserve">      la Fiscalía de Derechos Humanos y la  Comisión  Interinstitucional  de</w:t>
        <w:br/>
        <w:t xml:space="preserve">      Protección a la Integridad Física y Moral de la Niñez;</w:t>
        <w:br/>
        <w:br/>
        <w:br/>
        <w:t xml:space="preserve">   v) establecer programas dirigidos a  las  autoridades  encargadas  de  la</w:t>
        <w:br/>
        <w:t xml:space="preserve">      seguridad ciudadana y la lucha contra la violencia, y a  comunicadores</w:t>
        <w:br/>
        <w:t xml:space="preserve">      sociales,  de  acuerdo  a   los   estándares   de   los   instrumentos</w:t>
        <w:br/>
        <w:t xml:space="preserve">      internacionales;  asignar  recursos  específicos  para  su  diseño   e</w:t>
        <w:br/>
        <w:t xml:space="preserve">      implementación y asegurar la participación de la sociedad civil;</w:t>
        <w:br/>
        <w:br/>
        <w:t xml:space="preserve">  vi) adoptar programas tendientes a la atención integral de la niñez y a la</w:t>
        <w:br/>
        <w:t xml:space="preserve">      prevención de la violencia, para que el Estado: a) adopte, en consulta</w:t>
        <w:br/>
        <w:t xml:space="preserve">      con la sociedad civil, una política de corto, mediano y  largo  plazo,</w:t>
        <w:br/>
        <w:t xml:space="preserve">      de atención a la niñez y la adolescencia en conflicto con la ley y  en</w:t>
        <w:br/>
        <w:t xml:space="preserve">      situación  de  calle,  según  los  estándares  de   los   instrumentos</w:t>
        <w:br/>
        <w:t xml:space="preserve">      internacionales sobre la materia; b) procure el fortalecimiento de  la</w:t>
        <w:br/>
        <w:t xml:space="preserve">      labor  de  las  organizaciones  no  gubernamentales  dedicadas  a   la</w:t>
        <w:br/>
        <w:t xml:space="preserve">      asistencia de los  niños,  mediante  el  otorgamiento  de  recursos  y</w:t>
        <w:br/>
        <w:t xml:space="preserve">      facilidades para llevar a cabo su labor; c) establezca una escuela  de</w:t>
        <w:br/>
        <w:t xml:space="preserve">      educación técnica nombrada en alusión a las víctimas  del  caso,  para</w:t>
        <w:br/>
        <w:t xml:space="preserve">      jóvenes infractores  que  deseen  reinsertarse  a  la  vida  social  y</w:t>
        <w:br/>
        <w:t xml:space="preserve">      laboral, la cual cuente con un  programa  de  becas  completas,  y  d)</w:t>
        <w:br/>
        <w:t xml:space="preserve">      establezca  en  sus  centros  de  detención  para  menores  y  adultos</w:t>
        <w:br/>
        <w:t xml:space="preserve">      programas de capacitación, que  tiendan  a  facilitar  la  reinserción</w:t>
        <w:br/>
        <w:t xml:space="preserve">      social y laboral de ellos;</w:t>
        <w:br/>
        <w:br/>
        <w:t xml:space="preserve"> vii) publicar, por una única vez, las partes correspondientes  a  hechos  y</w:t>
        <w:br/>
        <w:t xml:space="preserve">      puntos resolutivos de la Sentencia de  la  Corte  en  los  principales</w:t>
        <w:br/>
        <w:t xml:space="preserve">      medios de comunicación de circulación nacional;</w:t>
        <w:br/>
        <w:br/>
        <w:br/>
        <w:t>viii)  implementar  un  registro  de  detenidos  que  permita  controlar  la</w:t>
        <w:br/>
        <w:t xml:space="preserve">      legalidad de las  detenciones  por  parte  de  los  familiares  y  las</w:t>
        <w:br/>
        <w:t xml:space="preserve">      organizaciones de protección, y</w:t>
        <w:br/>
        <w:br/>
        <w:t xml:space="preserve">  ix) prohibir las razzias o detenciones colectivas mediante la adopción  de</w:t>
        <w:br/>
        <w:t xml:space="preserve">      legislación específica.</w:t>
        <w:br/>
        <w:br/>
        <w:br/>
        <w:t xml:space="preserve">      e)    Costas y Gastos</w:t>
        <w:br/>
        <w:br/>
        <w:t xml:space="preserve">      Los representantes alegaron que</w:t>
        <w:br/>
        <w:br/>
        <w:t xml:space="preserve">      i) Casa Alianza Honduras impulsó las diligencias  judiciales  a  nivel</w:t>
        <w:br/>
        <w:t xml:space="preserve">      nacional e incurrió  en  gastos  relacionados  con  la  investigación,</w:t>
        <w:br/>
        <w:t xml:space="preserve">      correo, teléfono y traslados estimados  en  la  suma  de  US$27,145.44</w:t>
        <w:br/>
        <w:t xml:space="preserve">      (veintisiete mil ciento cuarenta y cinco mil dólares  de  los  Estados</w:t>
        <w:br/>
        <w:t xml:space="preserve">      Unidos de América con cuarenta y cuatro centavos).  Como  no  ha  sido</w:t>
        <w:br/>
        <w:t xml:space="preserve">      posible aportar los  recibos  correspondientes  a  estos  gastos,  los</w:t>
        <w:br/>
        <w:t xml:space="preserve">      representantes pidieron a la Corte que se fije en equidad y ordene  al</w:t>
        <w:br/>
        <w:t xml:space="preserve">      Estado el reembolso de los mismos, y</w:t>
        <w:br/>
        <w:br/>
        <w:br/>
        <w:t xml:space="preserve">      ii)   CEJIL ha actuado como representante  de  las  víctimas  ante  el</w:t>
        <w:br/>
        <w:t xml:space="preserve">      sistema interamericano por lo que ha incurrido en gastos que  incluyen</w:t>
        <w:br/>
        <w:t xml:space="preserve">      viajes,  pago  de  hoteles,  gastos  de  comunicaciones,   fotocopias,</w:t>
        <w:br/>
        <w:t xml:space="preserve">      papelería  y  envíos.   A  ese  respecto,  solicitó  la  cantidad   de</w:t>
        <w:br/>
        <w:t xml:space="preserve">      US$10,213.97 (diez mil doscientos trece dólares de los Estados  Unidos</w:t>
        <w:br/>
        <w:t xml:space="preserve">      de América con noventa y siete centavos).  Además, solicitó que en  la</w:t>
        <w:br/>
        <w:t xml:space="preserve">      etapa procesal  correspondiente,  se  le  otorgue  la  oportunidad  de</w:t>
        <w:br/>
        <w:t xml:space="preserve">      presentar cifras y comprobantes actualizados sobre los gastos  en  los</w:t>
        <w:br/>
        <w:t xml:space="preserve">      que incurrirá durante el desarrollo del proceso internacional.</w:t>
        <w:br/>
        <w:br/>
        <w:t>Alegatos del Estado</w:t>
        <w:br/>
        <w:br/>
        <w:t>168.   El Estado manifestó, inter alia, lo siguiente:</w:t>
        <w:br/>
        <w:br/>
        <w:t xml:space="preserve"> a) Beneficiarios</w:t>
        <w:br/>
        <w:br/>
        <w:br/>
        <w:t xml:space="preserve">    No se refirió expresamente a  los  titulares  de  la  reparación.   Sin</w:t>
        <w:br/>
        <w:t xml:space="preserve">    embargo, el Estado reconoció  a  los  familiares  de  las  víctimas  su</w:t>
        <w:br/>
        <w:t xml:space="preserve">    derecho a una justa y pronta reparación.</w:t>
        <w:br/>
        <w:br/>
        <w:br/>
        <w:t xml:space="preserve">    b)     Daños material e inmaterial</w:t>
        <w:br/>
        <w:br/>
        <w:br/>
        <w:t xml:space="preserve">    El Estado reconoció el derecho de los familiares de las víctimas a  una</w:t>
        <w:br/>
        <w:t xml:space="preserve">    justa y pronta reparación, la cual comprende las medidas de retitución,</w:t>
        <w:br/>
        <w:t xml:space="preserve">    indemnización,  rehabilitación,  satisfacción   y   garantías   de   no</w:t>
        <w:br/>
        <w:t xml:space="preserve">    repetición.  La  compensación  debe  darse  en  relación  con  un  daño</w:t>
        <w:br/>
        <w:t xml:space="preserve">    calculable por las violaciones de derechos humanos.</w:t>
        <w:br/>
        <w:br/>
        <w:br/>
        <w:t xml:space="preserve">    c)     Otras formas de reparación:</w:t>
        <w:br/>
        <w:br/>
        <w:br/>
        <w:t xml:space="preserve">    El Estado señaló que:</w:t>
        <w:br/>
        <w:br/>
        <w:br/>
        <w:t xml:space="preserve">    i)       el  Ministerio  Público  de  Honduras  continua  desarrollando</w:t>
        <w:br/>
        <w:t xml:space="preserve">    esfuerzos para la persecución y sanción de  los  autores  materiales  e</w:t>
        <w:br/>
        <w:t xml:space="preserve">    intelectuales del caso; que desde el  4  de  marzo  de  1996  sigue  un</w:t>
        <w:br/>
        <w:t xml:space="preserve">    proceso penal ante el Juzgado de  Letras  Primero  de  lo  Criminal  de</w:t>
        <w:br/>
        <w:t xml:space="preserve">    Tegucigalpa bajo el registro No.224-96  relativo  al  caso,  y  que  se</w:t>
        <w:br/>
        <w:t xml:space="preserve">    expidió una orden de  captura  contra  Víctor  Hugo  Vivas  Lozano  por</w:t>
        <w:br/>
        <w:t xml:space="preserve">    considerarse uno de los autores de los  delitos  cometidos  contra  las</w:t>
        <w:br/>
        <w:t xml:space="preserve">    víctimas.   Las  acciones  penales  derivadas  de  los  hechos  no  han</w:t>
        <w:br/>
        <w:t xml:space="preserve">    prescrito y que la Comisión, en su Informe No. 74/04, hizo constar  que</w:t>
        <w:br/>
        <w:t xml:space="preserve">    la Inspectora de Derechos Humanos asignada a los casos  y  la  Fiscalía</w:t>
        <w:br/>
        <w:t xml:space="preserve">    “hicieron un buen trabajo de investigación de los hechos”;</w:t>
        <w:br/>
        <w:br/>
        <w:br/>
        <w:t xml:space="preserve">    ii)    acepta hacer un reconocimiento público de su responsabilidad  en</w:t>
        <w:br/>
        <w:t xml:space="preserve">    los  términos  que  se  acuerden  y  se  compromete   a   deducir   las</w:t>
        <w:br/>
        <w:t xml:space="preserve">    responsabilidades administrativas a que hubiere lugar;</w:t>
        <w:br/>
        <w:br/>
        <w:br/>
        <w:t xml:space="preserve">    iii)   se compromete a dar a conocer la ubicación, en  el  seno  de  la</w:t>
        <w:br/>
        <w:t xml:space="preserve">    Administración, de los responsables por los hechos ocurridos,  una  vez</w:t>
        <w:br/>
        <w:t xml:space="preserve">    que  los  tribunales  delimiten  su  participación  y  establezcan   su</w:t>
        <w:br/>
        <w:t xml:space="preserve">    culpabilidad de manera incontestable y definitiva;</w:t>
        <w:br/>
        <w:br/>
        <w:br/>
        <w:t xml:space="preserve">    iv)     elaboró  el  “Plan  Nacional  de  Atención  a  la  Niñez  y  la</w:t>
        <w:br/>
        <w:t xml:space="preserve">    Adolescencia 2002-2010”, que pretende servir como un documento marco de</w:t>
        <w:br/>
        <w:t xml:space="preserve">    políticas públicas para Honduras.  Creó el IHNFA, cuya ley le confía la</w:t>
        <w:br/>
        <w:t xml:space="preserve">    atribución  de  “formular,  promover,   ejecutar   y   fiscalizar,   en</w:t>
        <w:br/>
        <w:t xml:space="preserve">    coordinación con el sector público y el sector privado,  las  políticas</w:t>
        <w:br/>
        <w:t xml:space="preserve">    de  prevención  y  protección  integral  a  la  niñez”.   La   Comisión</w:t>
        <w:br/>
        <w:t xml:space="preserve">    Interinstitucional de Protección a la Integridad Física y Moral  de  la</w:t>
        <w:br/>
        <w:t xml:space="preserve">    Niñez es “un ente asesor y de consulta para el Poder Ejecutivo, en todo</w:t>
        <w:br/>
        <w:t xml:space="preserve">    lo relacionado con la protección de la integridad” de los niños.  Entre</w:t>
        <w:br/>
        <w:t xml:space="preserve">    los esfuerzos orientados a la prevención y  protección  integral  a  la</w:t>
        <w:br/>
        <w:t xml:space="preserve">    niñez y de sus derechos ha creado diversos órganos para  enfrentar  las</w:t>
        <w:br/>
        <w:t xml:space="preserve">    principales  cuestiones  relacionadas  con  la  niñez,  tales  como  la</w:t>
        <w:br/>
        <w:t xml:space="preserve">    Comisión  para  la  Erradicación  Gradual  y  Progresiva  del   Trabajo</w:t>
        <w:br/>
        <w:t xml:space="preserve">    Infantil; el Comité de Apoyo a la Comisión de Niñez y  la  Familia  del</w:t>
        <w:br/>
        <w:t xml:space="preserve">    Congreso Nacional; el Proyecto “Pacto por la Infancia”;  la  Defensoría</w:t>
        <w:br/>
        <w:t xml:space="preserve">    Municipal   de   la   Infancia;    el    Comité    Cívico    Permanente</w:t>
        <w:br/>
        <w:t xml:space="preserve">    Interinstitucional; el Comité interinstitucional de apoyo  a  la  Niñez</w:t>
        <w:br/>
        <w:t xml:space="preserve">    Huérfana y Vulnerable por el SIDA, así como la reforma del IHNFA  y  la</w:t>
        <w:br/>
        <w:t xml:space="preserve">    creación del programa Municipios Amigos de la Niñez;</w:t>
        <w:br/>
        <w:br/>
        <w:br/>
        <w:t xml:space="preserve">    v)     creó un órgano de control interno en la Secretaría de  Seguridad</w:t>
        <w:br/>
        <w:t xml:space="preserve">    denominado  “Unidad  de  Asuntos  Internos”,  que  tiene  por   función</w:t>
        <w:br/>
        <w:t xml:space="preserve">    investigar preventivamente los delitos o faltas cometidos por cualquier</w:t>
        <w:br/>
        <w:t xml:space="preserve">    miembro de la Policía.  Como resultado, se ha  remitido  al  Ministerio</w:t>
        <w:br/>
        <w:t xml:space="preserve">    Público la documentación de estas investigaciones y se  han  presentado</w:t>
        <w:br/>
        <w:t xml:space="preserve">    acusaciones criminales de distinto orden.  Se creó el Consejo  Nacional</w:t>
        <w:br/>
        <w:t xml:space="preserve">    de Seguridad Interior (CONASIN), con funciones de supervisión, control,</w:t>
        <w:br/>
        <w:t xml:space="preserve">    seguimiento y evaluación  del  sistema  de  seguridad  pública  de  las</w:t>
        <w:br/>
        <w:t xml:space="preserve">    actividades policiales y de las actuaciones de los  integrantes  de  la</w:t>
        <w:br/>
        <w:t xml:space="preserve">    Policía Nacional, que cuenta con la participación de diversos sectores.</w:t>
        <w:br/>
        <w:t xml:space="preserve">     Sobre la Comisión Interinstitucional de  Protección  a  la  Integridad</w:t>
        <w:br/>
        <w:t xml:space="preserve">    Física y Moral de la Niñez, el Estado se compromete a dar continuidad a</w:t>
        <w:br/>
        <w:t xml:space="preserve">    este importante ente de asesoría y consulta del Ejecutivo, e incorporar</w:t>
        <w:br/>
        <w:t xml:space="preserve">    a sus sesiones y actividades a todas aquellas organizaciones y personas</w:t>
        <w:br/>
        <w:t xml:space="preserve">    particulares que puedan colaborar.  Se creó también la Unidad  Especial</w:t>
        <w:br/>
        <w:t xml:space="preserve">    de Investigación de Muertes de Menores que sirve  para  fiscalizar  las</w:t>
        <w:br/>
        <w:t xml:space="preserve">    acciones  de  la  policía,   procediendo   con   la   investigación   y</w:t>
        <w:br/>
        <w:t xml:space="preserve">    procesamiento de miembros involucrados, y</w:t>
        <w:br/>
        <w:br/>
        <w:br/>
        <w:t xml:space="preserve">    vi)    incluyó las asignaturas de derechos humanos,  ética  policial  y</w:t>
        <w:br/>
        <w:t xml:space="preserve">    ética general dentro de  la  carga  académica  de  la  Licenciatura  en</w:t>
        <w:br/>
        <w:t xml:space="preserve">    Ciencias Policiales, a partir de la reforma policial realizada.</w:t>
        <w:br/>
        <w:br/>
        <w:br/>
        <w:t xml:space="preserve">    e)     Costas y Gastos</w:t>
        <w:br/>
        <w:br/>
        <w:br/>
        <w:t xml:space="preserve">    El Estado no se refirió expresamente a las costas y gastos.</w:t>
        <w:br/>
        <w:br/>
        <w:br/>
        <w:t>Consideraciones de la Corte</w:t>
        <w:br/>
        <w:br/>
        <w:br/>
        <w:t xml:space="preserve">                             A)    BENEFICIARIOS</w:t>
        <w:br/>
        <w:br/>
        <w:t>169.  La Corte considera como “parte lesionada” a  Marco  Antonio  Servellón</w:t>
        <w:br/>
        <w:t>García, Rony Alexis Betancourth Vásquez, Orlando  Álvarez  Ríos  y  Diomedes</w:t>
        <w:br/>
        <w:t>Obed García Sánchez, en su carácter de víctimas de  las  violaciones  a  los</w:t>
        <w:br/>
        <w:t>derechos consagrados en los artículos 4.1, 5.1 y 5.2, 7.1,  7.2,  7.3,  7.4,</w:t>
        <w:br/>
        <w:t>7.5 y 7.6, 8.1 y 8.2 y 25.1 de la Convención Americana, en relación  con  el</w:t>
        <w:br/>
        <w:t>artículo 1.1 del mismo instrumento, y en el caso  de  las  víctimas  menores</w:t>
        <w:br/>
        <w:t>también por la violación de los derechos consagrados en los artículos 5.5  y</w:t>
        <w:br/>
        <w:t>19 de la Convención Americana, en relación con  el  artículo  1.1  de  dicho</w:t>
        <w:br/>
        <w:t>tratado, por lo que  serán  acreedores  de  las  reparaciones  que  fije  el</w:t>
        <w:br/>
        <w:t>Tribunal por concepto de daño material e inmaterial.</w:t>
        <w:br/>
        <w:br/>
        <w:t>170.   Algunos  familiares  de  las  víctimas  serán   acreedores   de   las</w:t>
        <w:br/>
        <w:t>reparaciones que  el  Tribunal  fije  por  concepto  de  daño  inmaterial  y</w:t>
        <w:br/>
        <w:t>material, en su  propio  carácter  de  víctimas  de  las  violaciones  a  la</w:t>
        <w:br/>
        <w:t>Convención establecidas por esta Corte, así como  de  aquellas  reparaciones</w:t>
        <w:br/>
        <w:t>que fije la Corte en  su  carácter  de  derechohabientes  de  Marco  Antonio</w:t>
        <w:br/>
        <w:t>Servellón García, Rony Alexis Betancourth Vásquez, Orlando  Álvarez  Ríos  y</w:t>
        <w:br/>
        <w:t>Diomedes Obed García Sánchez.</w:t>
        <w:br/>
        <w:br/>
        <w:t>171.  Los familiares de las víctimas acá indicados además  serán  acreedores</w:t>
        <w:br/>
        <w:t>de las reparaciones que el Tribunal fije en su carácter de  derechohabientes</w:t>
        <w:br/>
        <w:t>como consecuencia  de  las  violaciones  cometidas  en  perjuicio  de  Marco</w:t>
        <w:br/>
        <w:t>Antonio Servellón García, Rony Alexis Betancourth Vásquez,  Orlando  Álvarez</w:t>
        <w:br/>
        <w:t>Ríos y Diomedes Obed García Sánchez, las cuales  serán  distribuidas  de  la</w:t>
        <w:br/>
        <w:t>siguiente manera:</w:t>
        <w:br/>
        <w:br/>
        <w:t xml:space="preserve">      a)    en el caso de los familiares de Marco Antonio Servellón  García,</w:t>
        <w:br/>
        <w:t xml:space="preserve">      la indemnización correspondiente  deberá  ser  distribuida  en  partes</w:t>
        <w:br/>
        <w:t xml:space="preserve">      iguales entre el señor Reyes Servellón Santos, su padre, y  la  señora</w:t>
        <w:br/>
        <w:t xml:space="preserve">      Bricelda Aide García Lobo, su madre.  En razón de la muerte del  señor</w:t>
        <w:br/>
        <w:t xml:space="preserve">      Reyes Servellón Santos, la parte que le correspondía acrecerá a la  de</w:t>
        <w:br/>
        <w:t xml:space="preserve">      su viuda Bricelda Aide García Lobo;</w:t>
        <w:br/>
        <w:br/>
        <w:br/>
        <w:t xml:space="preserve">      b)    en el caso de los familiares de Rony Alexis Betancourth Vásquez,</w:t>
        <w:br/>
        <w:t xml:space="preserve">      la indemnización correspondiente  deberá  ser  distribuida  en  partes</w:t>
        <w:br/>
        <w:t xml:space="preserve">      iguales entre Manases Betancourth  Núñez,  su  padre;  Hilda  Estebana</w:t>
        <w:br/>
        <w:t xml:space="preserve">      Hernández López, su madre, Zara Beatris Bustillo Rivera,  su  hija,  y</w:t>
        <w:br/>
        <w:t xml:space="preserve">      Ana Luisa Vargas Soto, su compañera de hogar;</w:t>
        <w:br/>
        <w:br/>
        <w:br/>
        <w:t xml:space="preserve">      c)    en el caso  de  los  familiares  de  Orlando  Álvarez  Ríos,  el</w:t>
        <w:br/>
        <w:t xml:space="preserve">      cincuenta por ciento (50%) de la indemnización correspondiente  deberá</w:t>
        <w:br/>
        <w:t xml:space="preserve">      ser distribuida en partes iguales entre el señor  Concepción  Álvarez,</w:t>
        <w:br/>
        <w:t xml:space="preserve">      su padre, y Antonia Ríos, su madre.  En razón de la muerte  del  señor</w:t>
        <w:br/>
        <w:t xml:space="preserve">      Álvarez, la parte que le  correspondía  acrecerá  a  la  de  su  viuda</w:t>
        <w:br/>
        <w:t xml:space="preserve">      Antonia Ríos.  El restante  cincuenta  por  ciento  (50%)  deberá  ser</w:t>
        <w:br/>
        <w:t xml:space="preserve">      entregada a la señora Dilcia Álvarez Ríos, su hermana, y</w:t>
        <w:br/>
        <w:br/>
        <w:t xml:space="preserve">      d)    en el caso de Diomedes Obed García Sánchez, el cien  por  ciento</w:t>
        <w:br/>
        <w:t xml:space="preserve">      (100%) de la indemnización correspondiente deberá ser  distribuida  en</w:t>
        <w:br/>
        <w:t xml:space="preserve">      partes iguales entre el señor Diomedes Tito García Casildo, su  padre;</w:t>
        <w:br/>
        <w:t xml:space="preserve">      Esther Patricia García Sánchez, hermana; Jorge Moisés García  Sánchez,</w:t>
        <w:br/>
        <w:t xml:space="preserve">      hermano, y Fidelia Sarahí García Sánchez, hermana.</w:t>
        <w:br/>
        <w:br/>
        <w:t>172.  En el caso de que los familiares  acreedores  de  las  indemnizaciones</w:t>
        <w:br/>
        <w:t>que se establecen en la presente Sentencia fallezcan antes de  que  les  sea</w:t>
        <w:br/>
        <w:t>entregada  la  indemnización   respectiva,   el   monto   que   le   hubiera</w:t>
        <w:br/>
        <w:t>correspondido se distribuirá conforme al derecho interno[102].  En  relación</w:t>
        <w:br/>
        <w:t>con la señora Fidelia Sarahí García Sánchez,  y  en  consideración  de  que,</w:t>
        <w:br/>
        <w:t>según fue informado por los representantes, se encuentra  internada  en  una</w:t>
        <w:br/>
        <w:t>Aldea S.O.S., ya que  de  niña  sufrió  un  accidente  que  le  causó  daños</w:t>
        <w:br/>
        <w:t>cerebrales, la cantidad que le corresponda, deberá ser entregada  a  quienes</w:t>
        <w:br/>
        <w:t>ejerzan su tutela o representación conforme a las disposiciones del  derecho</w:t>
        <w:br/>
        <w:t>interno.</w:t>
        <w:br/>
        <w:br/>
        <w:br/>
        <w:t xml:space="preserve">                             B)    Daño Material</w:t>
        <w:br/>
        <w:br/>
        <w:br/>
        <w:t>173.  Esta Corte entra a determinar el daño material, que supone la  pérdida</w:t>
        <w:br/>
        <w:t>o detrimento de los  ingresos  de  las  víctimas  y,  en  su  caso,  de  sus</w:t>
        <w:br/>
        <w:t>familiares, y los gastos efectuados como consecuencia de los  hechos  en  el</w:t>
        <w:br/>
        <w:t>caso sub judice[103].  A este respecto, fijará un monto  indemnizatorio  que</w:t>
        <w:br/>
        <w:t>busque  compensar  las  consecuencias  patrimoniales  de   las   violaciones</w:t>
        <w:br/>
        <w:t>declaradas en la presente Sentencia.  Para resolver sobre el daño  material,</w:t>
        <w:br/>
        <w:t>se tendrá en cuenta el  acervo  probatorio,  la  jurisprudencia  del  propio</w:t>
        <w:br/>
        <w:t>Tribunal y los argumentos de las partes.</w:t>
        <w:br/>
        <w:br/>
        <w:t>174.  En cuanto a la pérdida  de  ingresos  de  los  jóvenes  Marco  Antonio</w:t>
        <w:br/>
        <w:t>Servellón García y Rony Alexis Betancourth Vásquez, la Corte observa que  no</w:t>
        <w:br/>
        <w:t>hay un hecho cierto que permita establecer  la  actividad  o  profesión  que</w:t>
        <w:br/>
        <w:t>desarrollarían en el futuro dichos jóvenes.  Este  rubro  debe  estimarse  a</w:t>
        <w:br/>
        <w:t>partir de un perjuicio cierto con suficiente fundamento para  determinar  su</w:t>
        <w:br/>
        <w:t>probable realización[104].  En  las  circunstancias  del  presente  caso  no</w:t>
        <w:br/>
        <w:t>existen  pruebas  suficientes  para  determinar  los  ingresos  dejados   de</w:t>
        <w:br/>
        <w:t>percibir por ellos.  Por lo tanto, la Corte determinará el daño material  de</w:t>
        <w:br/>
        <w:t>conformidad con el principio de equidad.</w:t>
        <w:br/>
        <w:br/>
        <w:t>175.  En relación con Diomedes Obed García Sánchez no se  cuenta  con  mayor</w:t>
        <w:br/>
        <w:t>información  sobre  su  ingreso.   Respecto  a  Orlando  Álvarez  Ríos,  los</w:t>
        <w:br/>
        <w:t>representantes han alegado que era perito industrial en mecánica  general  y</w:t>
        <w:br/>
        <w:t>albañil  en  construcciones,  sin  embargo,  en  el  expediente  no  constan</w:t>
        <w:br/>
        <w:t>comprobantes idóneos para determinar con exactitud el ingreso  que  percibía</w:t>
        <w:br/>
        <w:t>al momento de los hechos.  En consecuencia, la Corte también fijará el  daño</w:t>
        <w:br/>
        <w:t>material que les corresponda, de conformidad con el principio de equidad.</w:t>
        <w:br/>
        <w:br/>
        <w:t>176.  En razón de lo expuesto, la Corte  fija  en  equidad  la  cantidad  de</w:t>
        <w:br/>
        <w:t>US$10.000,00 (diez mil dólares de los Estados Unidos de América) para  Marco</w:t>
        <w:br/>
        <w:t>Antonio Servellón García; la cantidad de US$10.000,00 (diez mil  dólares  de</w:t>
        <w:br/>
        <w:t>los Estados Unidos de América)  para  Rony  Alexis  Betancouth  Vásquez;  la</w:t>
        <w:br/>
        <w:t>cantidad de  US$10.000,00  (diez  mil  dólares  de  los  Estados  Unidos  de</w:t>
        <w:br/>
        <w:t>América) para Diomedes Obed García Sánchez, y la  cantidad  de  US$10.000,00</w:t>
        <w:br/>
        <w:t>(diez mil dólares de los Estados Unidos de  América)  para  Orlando  Álvarez</w:t>
        <w:br/>
        <w:t>Ríos, por concepto de pérdida  de  ingresos.   Las  indemnizaciones  fijadas</w:t>
        <w:br/>
        <w:t>anteriormente deberán ser entregadas  a  los  familiares  de  las  víctimas,</w:t>
        <w:br/>
        <w:t>según lo estipulado los párrafos 171 y 172 de esta Sentencia.</w:t>
        <w:br/>
        <w:br/>
        <w:t>177.  Analizada la información recibida por las partes, los hechos del  caso</w:t>
        <w:br/>
        <w:t>y su jurisprudencia, la Corte observa que pese a  que  no  fueron  aportados</w:t>
        <w:br/>
        <w:t>los comprobantes de gastos, es de  presumir  que  los  familiares  de  Marco</w:t>
        <w:br/>
        <w:t>Antonio Servellón García, Rony Alexis Betancourth Vásquez y Orlando  Álvarez</w:t>
        <w:br/>
        <w:t>Ríos incurrieron en diversos gastos funerarios con motivo de su  muerte,  lo</w:t>
        <w:br/>
        <w:t>cual está conforme con la jurisprudencia constante  del  Tribunal[105].   En</w:t>
        <w:br/>
        <w:t>consecuencia, la Corte estima pertinente fijar, en equidad, la  cantidad  de</w:t>
        <w:br/>
        <w:t>US$1.500,00 (mil quinientos dólares de los Estados Unidos de  América)  como</w:t>
        <w:br/>
        <w:t>indemnización  por  concepto  de  daño  emergente,  para  cada  una  de  las</w:t>
        <w:br/>
        <w:t>víctimas.   Dicha  cantidad  deberá  ser  entregada,  a  cada  una  de   las</w:t>
        <w:br/>
        <w:t>siguientes señoras: Bricelda Aide  García  Lobo,  Hilda  Estebana  Hernández</w:t>
        <w:br/>
        <w:t>López, y Dilcia Álvarez Ríos, respectivamente.</w:t>
        <w:br/>
        <w:br/>
        <w:t>178.  En lo que se refiere a  Diomedes  Obed  García  Sánchez,  conforme  se</w:t>
        <w:br/>
        <w:t>señaló  (supra  párr.  79.24),  al  momento  de  su  muerte  residía  en  la</w:t>
        <w:br/>
        <w:t>“habitación de una casa de asistencia  a  menores  en  situación  de  calle,</w:t>
        <w:br/>
        <w:t>administrada por el Señor Carlos  Jorge  Mahomar  Marzuca”,  de  lo  que  se</w:t>
        <w:br/>
        <w:t>deduce que sus familiares no han incurrido en ningún gasto  con  motivo  del</w:t>
        <w:br/>
        <w:t>fallecimiento del mismo, por lo que  esta  Corte  considera  descartar  este</w:t>
        <w:br/>
        <w:t>rubro en relación con él.</w:t>
        <w:br/>
        <w:br/>
        <w:br/>
        <w:br/>
        <w:t xml:space="preserve">                            C)    Daño Inmaterial</w:t>
        <w:br/>
        <w:br/>
        <w:br/>
        <w:t>179.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 No siendo posible asignar al daño  inmaterial  un</w:t>
        <w:br/>
        <w:t>equivalente monetario preciso, para fines de la reparación  integral  a  las</w:t>
        <w:br/>
        <w:t>víctimas sólo puede ser objeto de compensación de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pública, que tengan como efecto, entre otros, reconocer la  dignidad  de  la</w:t>
        <w:br/>
        <w:t>víctima y evitar la repetición de las violaciones[106].</w:t>
        <w:br/>
        <w:br/>
        <w:t>180.  La jurisprudencia internacional ha establecido reiteradamente  que  la</w:t>
        <w:br/>
        <w:t>sentencia constituye, per se, una forma de reparación[107].  En el caso  sub</w:t>
        <w:br/>
        <w:t>judice, en consideración  de  los  sufrimientos  causados  a  Marco  Antonio</w:t>
        <w:br/>
        <w:t>Servellón García, Rony Alexis Betancourth Vásquez, Orlando  Álvarez  Ríos  y</w:t>
        <w:br/>
        <w:t>Diomedes Obed García Sánchez, y que produjeron  también  a  algunos  de  sus</w:t>
        <w:br/>
        <w:t>familiares sufrimientos, el cambio de sus condiciones de existencia y  otras</w:t>
        <w:br/>
        <w:t>consecuencias de orden no pecuniario, la Corte estima pertinente  determinar</w:t>
        <w:br/>
        <w:t>el pago de una compensación, fijada equitativamente, por concepto  de  daños</w:t>
        <w:br/>
        <w:t>inmateriales.</w:t>
        <w:br/>
        <w:br/>
        <w:br/>
        <w:t>181.  Este Tribunal reconoce que se ha causado  a  Reyes  Servellón  Santos,</w:t>
        <w:br/>
        <w:t>Bricelda Aide García Lobo, Marja Ibeth Castro  García,  Manases  Betancourth</w:t>
        <w:br/>
        <w:t>Núñez, Hilda Estebana Hernández López, Ana Luisa Vargas Soto,  Zara  Beatris</w:t>
        <w:br/>
        <w:t>Bustillo Rivera, y Dilcia Álvarez Ríos, un daño inmaterial.</w:t>
        <w:br/>
        <w:br/>
        <w:t>182.  En consideración de los distintos aspectos del daño  aducidos  por  la</w:t>
        <w:br/>
        <w:t>Comisión y los representantes, respecto a Marco  Antonio  Servellón  García,</w:t>
        <w:br/>
        <w:t>Rony Alexis Betancourth  Vásquez,  Orlando  Álvarez  Ríos  y  Diomedes  Obed</w:t>
        <w:br/>
        <w:t>García Sánchez, la Corte  toma  en  cuenta,  para  la  determinación  de  la</w:t>
        <w:br/>
        <w:t>indemnización por  concepto  de  daño  inmaterial,  el  sufrimiento  de  las</w:t>
        <w:br/>
        <w:t>víctimas al ser detenidas  ilegal  y  arbitrariamente,  que  no  les  fueron</w:t>
        <w:br/>
        <w:t>respetados sus derechos a  un  recurso  efectivo  durante  la  privación  de</w:t>
        <w:br/>
        <w:t>libertad,  fueron  sometidos  a  torturas,  tratos  crueles,   inhumanos   o</w:t>
        <w:br/>
        <w:t>degradantes,  y   posteriormente   fueron   ejecutados   extrajudicialmente,</w:t>
        <w:br/>
        <w:t>situación que se vió agravada por el contexto  en  el  cual  ocurrieron  los</w:t>
        <w:br/>
        <w:t>hechos.   Además,  esta  Corte  toma  en  consideración  las  circunstancias</w:t>
        <w:br/>
        <w:t>particularmente traumáticas de su muerte, que se  ve  agravada  en  relación</w:t>
        <w:br/>
        <w:t>con los dos menores de edad, Marco Antonio Servellón García  y  Rony  Alexis</w:t>
        <w:br/>
        <w:t>Betancourth Vásquez (supra párrs. 79.8 a 79.13 y 79.14 a 79.18), ya  que  es</w:t>
        <w:br/>
        <w:t>de presumir que los sufrimientos causados por los hechos del caso  asumieron</w:t>
        <w:br/>
        <w:t>características  de   particular   intensidad   en   relación   con   dichos</w:t>
        <w:br/>
        <w:t>menores[108].</w:t>
        <w:br/>
        <w:br/>
        <w:t>183.  Igualmente, en lo que se refiere a Reyes  Servellón  Santos,  Bricelda</w:t>
        <w:br/>
        <w:t>Aide García Lobo, y Marja Ibeth Castro García, familiares de  Marco  Antonio</w:t>
        <w:br/>
        <w:t>Servellón  García;  Manases  Betancourth  Núñez,  Hilda  Estebana  Hernández</w:t>
        <w:br/>
        <w:t>López, Zara Beatris Bustillo Rivera y Ana Luisa Vargas Soto,  familiares  de</w:t>
        <w:br/>
        <w:t>Rony Alexis Betancourth Vásquez, y Dilcia Álvarez Ríos, hermana  de  Orlando</w:t>
        <w:br/>
        <w:t>Álvarez Ríos, el Tribunal, para la determinación  de  la  indemnización  por</w:t>
        <w:br/>
        <w:t>concepto de daño inmaterial, considera el  sufrimiento  causado  a  éstos  a</w:t>
        <w:br/>
        <w:t>raíz de los hechos relacionados con la detención, tortura,  tratos  crueles,</w:t>
        <w:br/>
        <w:t>inhumanos  y  degradantes,  y  la  ejecución  extrajudicial  de  sus   seres</w:t>
        <w:br/>
        <w:t>queridos.</w:t>
        <w:br/>
        <w:br/>
        <w:t>184.   En  consideración  de  lo  expuesto,  la  Corte   estima   pertinente</w:t>
        <w:br/>
        <w:t>determinar  el  pago  de  una  compensación,  fijada  equitativamente,   por</w:t>
        <w:br/>
        <w:t>concepto de daños inmateriales en los siguientes términos:</w:t>
        <w:br/>
        <w:br/>
        <w:br/>
        <w:t xml:space="preserve">      a)    para Marco Antonio Servellón  García,  Rony  Alexis  Betancourth</w:t>
        <w:br/>
        <w:t xml:space="preserve">      Vásquez, Orlando Álvarez Ríos y Diomedes Obed García Sánchez, la Corte</w:t>
        <w:br/>
        <w:t xml:space="preserve">      fija la cantidad de  US$25.000,00  (veinticinco  mil  dólares  de  los</w:t>
        <w:br/>
        <w:t xml:space="preserve">      Estados Unidos de América) para cada uno de ellos;</w:t>
        <w:br/>
        <w:br/>
        <w:br/>
        <w:t xml:space="preserve">      b)    para Marco Antonio Servellón García y  Rony  Alexis  Betancourth</w:t>
        <w:br/>
        <w:t xml:space="preserve">      Vásquez, quienes eran menores de edad al momento de los  hechos,  esta</w:t>
        <w:br/>
        <w:t xml:space="preserve">      Corte fija una cantidad adicional de US$5.000,00 (cinco mil dólares de</w:t>
        <w:br/>
        <w:t xml:space="preserve">      los Estados Unidos de América)  para  cada  uno  de  ellos.   Por  tal</w:t>
        <w:br/>
        <w:t xml:space="preserve">      motivo, la compensación del daño a que se refiere el párrafo anterior,</w:t>
        <w:br/>
        <w:t xml:space="preserve">      acrecerá a la suma indicada anteriormente;</w:t>
        <w:br/>
        <w:br/>
        <w:br/>
        <w:t xml:space="preserve">      c)    para Reyes Servellón Santos y Bricelda Aide García Lobo,  padres</w:t>
        <w:br/>
        <w:t xml:space="preserve">      de Marco Antonio Servellón García; Manases Betancourth Núñez  e  Hilda</w:t>
        <w:br/>
        <w:t xml:space="preserve">      Estebana Hernández López, padres de Rony Alexis  Betancourth  Vásquez,</w:t>
        <w:br/>
        <w:t xml:space="preserve">      la Corte fija la cantidad de US$12.500,00 (doce mil quinientos dólares</w:t>
        <w:br/>
        <w:t xml:space="preserve">      de los Estados Unidos de América) para cada uno de ellos;</w:t>
        <w:br/>
        <w:br/>
        <w:br/>
        <w:t xml:space="preserve">      d)     para  Dilcia  Álvarez  Ríos,  la  Corte  fija  la  cantidad  de</w:t>
        <w:br/>
        <w:t xml:space="preserve">      US$10.000,00 (diez mil dólares de los Estados Unidos de América);</w:t>
        <w:br/>
        <w:br/>
        <w:br/>
        <w:t xml:space="preserve">      e)    para Marja Ibeth Castro García, la Corte  fija  la  cantidad  de</w:t>
        <w:br/>
        <w:t xml:space="preserve">      US$5.000,00 (cinco mil dólares de los Estados Unidos de América);</w:t>
        <w:br/>
        <w:br/>
        <w:br/>
        <w:br/>
        <w:t xml:space="preserve">      f)    para Zara Beatris Bustillo Rivera, la Corte fija la cantidad  de</w:t>
        <w:br/>
        <w:t xml:space="preserve">      US$10.000,00 (diez mil dólares de los Estados Unidos de América), y</w:t>
        <w:br/>
        <w:br/>
        <w:br/>
        <w:t xml:space="preserve">      g)    para Ana Luisa  Vargas  Soto,  la  Corte  fija  la  cantidad  de</w:t>
        <w:br/>
        <w:t xml:space="preserve">      US$12.500,00 (doce mil quinientos dólares de  los  Estados  Unidos  de</w:t>
        <w:br/>
        <w:t xml:space="preserve">      América).</w:t>
        <w:br/>
        <w:br/>
        <w:t>185.  La compensación determinada  en  los  literales  a  y  b  del  párrafo</w:t>
        <w:br/>
        <w:t>anterior  será  entregada  a  los  familiares  de  las  víctimas,  según  lo</w:t>
        <w:br/>
        <w:t>estipulado en los párrafos  171  y  172  de  la  presente  Sentencia,  y  la</w:t>
        <w:br/>
        <w:t>indemnización fijada en los literales c, d, e, f y g  del  párrafo  anterior</w:t>
        <w:br/>
        <w:t>será entregada a cada beneficiario.  Si alguno de ellos falleciere antes  de</w:t>
        <w:br/>
        <w:t>que le sea entregada la indemnización respectiva, el monto  que  le  hubiera</w:t>
        <w:br/>
        <w:t>correspondido se distribuirá conforme al derecho nacional aplicable[109].</w:t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186.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pública[110].</w:t>
        <w:br/>
        <w:br/>
        <w:t>187.  Para efectos de la no repetición de los hechos del presente  caso,  la</w:t>
        <w:br/>
        <w:t>Corte valora y aprecia el reconocimiento  de  responsabilidad  internacional</w:t>
        <w:br/>
        <w:t>realizado por el Estado (supra párrs. 16, 54, 55 y 60).  En  su  escrito  de</w:t>
        <w:br/>
        <w:t>contestación de la demanda, el Estado manifestó que:</w:t>
        <w:br/>
        <w:br/>
        <w:t xml:space="preserve">      se allana a las partes de la demanda que  tienen  relación  con  [los]</w:t>
        <w:br/>
        <w:t xml:space="preserve">      lamentables hechos, aceptando las medidas de reparación propuestas por</w:t>
        <w:br/>
        <w:t xml:space="preserve">      los demandantes y comprometiéndose a darle cumplimiento  en  el  menor</w:t>
        <w:br/>
        <w:t xml:space="preserve">      tiempo posible a lo que esa […] Corte tenga a bien ordenar sobre  este</w:t>
        <w:br/>
        <w:t xml:space="preserve">      aspecto.</w:t>
        <w:br/>
        <w:br/>
        <w:t>188.   Entre  las  instituciones  hondureñas  dedicadas  a  garantizar   los</w:t>
        <w:br/>
        <w:t>derechos de los niños y jóvenes y a prevenir cualquier tipo  de  vulneración</w:t>
        <w:br/>
        <w:t>a estos derechos se encuentran: a) el Instituto Hondureño de la Niñez  y  la</w:t>
        <w:br/>
        <w:t>Familia, creado por el  Decreto  No.199-97  en  diciembre  de  1997;  b)  el</w:t>
        <w:br/>
        <w:t>Comisionado Nacional de los Derechos Humanos, creado por Decreto No.  153-95</w:t>
        <w:br/>
        <w:t>en octubre de 1995; c) la Comisión Interinstitucional  de  Protección  a  la</w:t>
        <w:br/>
        <w:t>Integridad Física  y  Moral  de  la  Niñez,  y  d)  la  Unidad  Especial  de</w:t>
        <w:br/>
        <w:t>Investigación de Muerte de Menores y la Fiscalía de Derechos  Humanos,  como</w:t>
        <w:br/>
        <w:t>organismo encargado de investigar y sancionar las  violaciones  de  derechos</w:t>
        <w:br/>
        <w:t>humanos de la niñez y la adolescencia.</w:t>
        <w:br/>
        <w:br/>
        <w:t>189.   Este  Tribunal  observa  que  el   Estado   cuenta   con   organismos</w:t>
        <w:br/>
        <w:t>especializados para atender la problemática por la que atraviesa  ese  grupo</w:t>
        <w:br/>
        <w:t>de la población hondureña.  Sin embargo, tal y  como  lo  han  señalado  los</w:t>
        <w:br/>
        <w:t>representantes y la Comisión, la creación  de  dichas  instituciones  no  ha</w:t>
        <w:br/>
        <w:t>representado  medidas  suficientes  ni  eficaces  para   contrarrestar   las</w:t>
        <w:br/>
        <w:t>ejecuciones extrajuciales de los jóvenes en  Honduras,  ni  para  garantizar</w:t>
        <w:br/>
        <w:t>los derechos de los niños y jóvenes.</w:t>
        <w:br/>
        <w:br/>
        <w:t>190.  Al parecer de esta Corte, es necesario que en su desempeño  todas  las</w:t>
        <w:br/>
        <w:t>instituciones creadas para prevenir y sancionar las violaciones de  derechos</w:t>
        <w:br/>
        <w:t>humanos  contra  los  niños  y  jóvenes  sean  plenamente  efectivas.    Las</w:t>
        <w:br/>
        <w:t>disposiciones de derecho interno y, en este caso, las instituciones  creadas</w:t>
        <w:br/>
        <w:t>para garantizar los derechos humanos de los niños y jóvenes, tienen que  ser</w:t>
        <w:br/>
        <w:t>efectivas, lo que significa que el Estado debe  adoptar  todas  las  medidas</w:t>
        <w:br/>
        <w:t>necesarias  para  que  lo  establecido  en  la  Convención   sea   realmente</w:t>
        <w:br/>
        <w:t>cumplido[111].</w:t>
        <w:br/>
        <w:br/>
        <w:t>191.  Por ello, el Estado  debe  dotar  a  las  instituciones  del  personal</w:t>
        <w:br/>
        <w:t>idóneo y capacitado para la investigación de ejecuciones  extrajudiciales  y</w:t>
        <w:br/>
        <w:t>de los recursos adecuados para que puedan cumplir fielmente con su  mandato.</w:t>
        <w:br/>
        <w:t xml:space="preserve"> Para la investigación de ejecuciones  extrajudiciales  se  deben  tomar  en</w:t>
        <w:br/>
        <w:t>consideración las normas internacionales de documentación  e  interpretación</w:t>
        <w:br/>
        <w:t>de los elementos de prueba forense respecto  de  la  comisión  de  actos  de</w:t>
        <w:br/>
        <w:t>tortura, y particularmente las definidas en el  Manual  de  Naciones  Unidas</w:t>
        <w:br/>
        <w:t>sobre la Prevención e Investigación Eficaces  de  Ejecuciones  Extralegales,</w:t>
        <w:br/>
        <w:t>Arbitrarias y Sumarias[112].</w:t>
        <w:br/>
        <w:br/>
        <w:t>a)    Obligación de investigar los hechos que generaron las violaciones  del</w:t>
        <w:br/>
        <w:t>presente caso, e identificar, juzgar y sancionar a los responsables</w:t>
        <w:br/>
        <w:br/>
        <w:t>192.  La Corte ha definido la impunidad como la  falta  en  su  conjunto  de</w:t>
        <w:br/>
        <w:t>investigación,  persecución,  captura,  enjuiciamiento  y  condena  de   los</w:t>
        <w:br/>
        <w:t>responsables  de  las  violaciones  de  los  derechos  protegidos   por   la</w:t>
        <w:br/>
        <w:t>Convención  Americana[113].   El  Estado  está  obligado  a  combatir   esta</w:t>
        <w:br/>
        <w:t>situación por  todos  los  medios  disponibles,  ya  que  ésta  propicia  la</w:t>
        <w:br/>
        <w:t>repetición crónica de  las  violaciones  de  derechos  humanos  y  la  total</w:t>
        <w:br/>
        <w:t>indefensión de las víctimas y de sus familiares[114].</w:t>
        <w:br/>
        <w:br/>
        <w:t>193.   Asimismo,  los  familiares  de  víctimas  de  graves  violaciones  de</w:t>
        <w:br/>
        <w:t>derechos humanos tienen el derecho de conocer la  verdad.   El  conocimiento</w:t>
        <w:br/>
        <w:t>de la verdad de lo ocurrido en  violaciones  de  derechos  humanos  notorias</w:t>
        <w:br/>
        <w:t>como las del presente caso, es un derecho inalienable, un  medio  importante</w:t>
        <w:br/>
        <w:t>de reparación para  las  víctimas  y  sus  familiares  y  es  una  forma  de</w:t>
        <w:br/>
        <w:t>esclarecimiento  fundamental  para  que  la   sociedad   pueda   desarrollar</w:t>
        <w:br/>
        <w:t>mecanismos propios y prevención de violaciones como las de este caso  en  el</w:t>
        <w:br/>
        <w:t>futuro[115].</w:t>
        <w:br/>
        <w:br/>
        <w:t>194.  En el presente caso la Corte estableció que, transcurridos  once  años</w:t>
        <w:br/>
        <w:t>de los hechos, los autores de la privación ilegal y arbitraria de  libertad,</w:t>
        <w:br/>
        <w:t>tortura, tratos crueles, inhumanos o degradantes y  ejecución  extrajudicial</w:t>
        <w:br/>
        <w:t>de Marco Antonio Servellón García, Rony Alexis Betancourth Vásquez,  Orlando</w:t>
        <w:br/>
        <w:t>Álvarez Ríos y Diomedes Obed García Sánchez no  han  sido  responsabilizados</w:t>
        <w:br/>
        <w:t>por tales violaciones, prevaleciendo la impunidad (supra párrs. 125,  154  y</w:t>
        <w:br/>
        <w:t>156).</w:t>
        <w:br/>
        <w:br/>
        <w:t>195.  En consideración  de  las  violaciones  declaradas,  así  como  de  lo</w:t>
        <w:br/>
        <w:t>señalado  por  el  Estado,  este  Tribunal  considera  que  el  Estado  debe</w:t>
        <w:br/>
        <w:t>emprender  con  seriedad,  en  un  plazo  razonable,  todas   las   acciones</w:t>
        <w:br/>
        <w:t>necesarias para identificar, juzgar, y en su caso,  sancionar  a  todos  los</w:t>
        <w:br/>
        <w:t>autores  materiales  e  intelectuales  de  las  violaciones   cometidas   en</w:t>
        <w:br/>
        <w:t>perjuicio  de  Marco  Antonio  Servellón  García,  Rony  Alexis  Betancourth</w:t>
        <w:br/>
        <w:t>Vásquez, Orlando Álvarez Ríos y  Diomedes  Obed  García  Sánchez,  para  los</w:t>
        <w:br/>
        <w:t>efectos  penales  y  cualesquiera  otros  que  pudieran   resultar   de   la</w:t>
        <w:br/>
        <w:t>investigación de los hechos.  Para ello, como la Corte  lo  ha  ordenado  en</w:t>
        <w:br/>
        <w:t>otros casos[116], el Estado debe remover, en un plazo razonable,  todos  los</w:t>
        <w:br/>
        <w:t>obstáculos y mecanismos de hecho y derecho que mantienen la impunidad en  el</w:t>
        <w:br/>
        <w:t>presente caso.</w:t>
        <w:br/>
        <w:br/>
        <w:t>196.  Los familiares de las víctimas  o  sus  representantes  deberán  tener</w:t>
        <w:br/>
        <w:t>pleno acceso y capacidad de actuar en todas las etapas e instancias  de  los</w:t>
        <w:br/>
        <w:t>procesos penales internos instaurados en el presente caso,  de  acuerdo  con</w:t>
        <w:br/>
        <w:t>la ley interna y la Convención Americana.  Los resultados de estos  procesos</w:t>
        <w:br/>
        <w:t>deberán ser públicamente divulgados por el Estado,  de  manera  tal  que  la</w:t>
        <w:br/>
        <w:t>sociedad hondureña  pueda  conocer  la  verdad  acerca  de  los  hechos  del</w:t>
        <w:br/>
        <w:t>presente caso[117].</w:t>
        <w:br/>
        <w:br/>
        <w:t>b)    Publicación de la sentencia</w:t>
        <w:br/>
        <w:br/>
        <w:t>197.   Como   lo   ha   dispuesto   en   otros   casos,   como   medida   de</w:t>
        <w:br/>
        <w:t>satisfacción[118], el Estado deberá publicar en el Diario Oficial y en  otro</w:t>
        <w:br/>
        <w:t>diario de amplia  circulación  nacional,  por  una  sola  vez,  el  capítulo</w:t>
        <w:br/>
        <w:t>relativo a los hechos probados de esta Sentencia, sin las notas  al  pie  de</w:t>
        <w:br/>
        <w:t>página correspondientes, y la parte resolutiva  de  la  misma.   Para  estas</w:t>
        <w:br/>
        <w:t>publicaciones se fija el plazo de seis meses, a partir  de  la  notificación</w:t>
        <w:br/>
        <w:t>de la presente Sentencia.</w:t>
        <w:br/>
        <w:br/>
        <w:br/>
        <w:t>c)    Acto público de reconocimiento de responsabilidad</w:t>
        <w:br/>
        <w:br/>
        <w:t>198.  Para que el allanamiento efectuado por el Estado y lo establecido  por</w:t>
        <w:br/>
        <w:t>este Tribunal rindan plenos efectos de reparación, así como para  que  sirva</w:t>
        <w:br/>
        <w:t>de garantía de no repetición, la Corte estima que el  Estado  debe  realizar</w:t>
        <w:br/>
        <w:t>un acto público de reconocimiento de su responsabilidad  internacional,  por</w:t>
        <w:br/>
        <w:t>la detención ilegal, tortura y  ejecución  extrajudicial  de  Marco  Antonio</w:t>
        <w:br/>
        <w:t>Servellón García, Rony Alexis  Betancourth  Vásquez,  Diomedes  Obed  García</w:t>
        <w:br/>
        <w:t>Sánchez y Orlando Álvarez Ríos y por la impunidad que  impera  en  el  caso.</w:t>
        <w:br/>
        <w:t>Este acto deberá celebrarse dentro de un plazo  de  seis  meses  contados  a</w:t>
        <w:br/>
        <w:t>partir de la notificación de la presente Sentencia.</w:t>
        <w:br/>
        <w:br/>
        <w:t>d)    Calle o plaza y placa</w:t>
        <w:br/>
        <w:br/>
        <w:t>199.  El Estado debe nombrar, dentro del plazo de un año  contado  a  partir</w:t>
        <w:br/>
        <w:t>de la notificación de la presente Sentencia, una calle o una  plaza,  en  la</w:t>
        <w:br/>
        <w:t>ciudad de Tegucigalpa, en memoria de Marco Antonio  Servellón  García,  Rony</w:t>
        <w:br/>
        <w:t>Alexis Betancourth Vásquez, Diomedes Obed García Sánchez y  Orlando  Álvarez</w:t>
        <w:br/>
        <w:t>Ríos.  En dicha calle o plaza el Estado  deberá  fijar  una  placa  con  los</w:t>
        <w:br/>
        <w:t>nombres de las referidas cuatro víctimas.</w:t>
        <w:br/>
        <w:br/>
        <w:t>e)    Establecimiento de programas de capacitación en derechos humanos</w:t>
        <w:br/>
        <w:br/>
        <w:t>200.  Esta Corte considera que,  en  un  plazo  razonable,  el  Estado  debe</w:t>
        <w:br/>
        <w:t>establecer  un  programa  de  formación  y  capacitación  para  el  personal</w:t>
        <w:br/>
        <w:t>policial,  judicial,  del   Ministerio   Público   y   penitenciario.    Esa</w:t>
        <w:br/>
        <w:t>capacitación deberá  versar  sobre  la  especial  protección  que  debe  ser</w:t>
        <w:br/>
        <w:t>prestada por el Estado a los niños y jóvenes, el principio de igualdad  ante</w:t>
        <w:br/>
        <w:t>la ley y no discriminación y los principios y normas de  protección  de  los</w:t>
        <w:br/>
        <w:t>derechos  humanos,  relacionados  con  la  aplicación  de   los   estándares</w:t>
        <w:br/>
        <w:t>internacionales sobre la detención de personas, respeto  a  sus  derechos  y</w:t>
        <w:br/>
        <w:t>garantías judiciales,  el  trato  que  deben  recibir,  sus  condiciones  de</w:t>
        <w:br/>
        <w:t>detención, tratamiento  y  control  médico,  el  derecho  a  contar  con  un</w:t>
        <w:br/>
        <w:t>abogado, a recibir visitas y a que los  menores  y  adultos,  así  como  los</w:t>
        <w:br/>
        <w:t>procesados y condenados, se alojen en instalaciones diferentes.   El  diseño</w:t>
        <w:br/>
        <w:t>e implementación del programa de capacitación deberá incluir  la  asignación</w:t>
        <w:br/>
        <w:t>de recursos específicos para conseguir sus fines.</w:t>
        <w:br/>
        <w:br/>
        <w:t>f)    Campaña nacional  de  sensibilización  con  relación  a  los  niños  y</w:t>
        <w:br/>
        <w:t>jóvenes en situación de riesgo</w:t>
        <w:br/>
        <w:br/>
        <w:t>201.  Se estableció en el presente  caso  que  en  el  Estado  se  tiende  a</w:t>
        <w:br/>
        <w:t>identificar a los niños y jóvenes en situación de riesgo con el  aumento  de</w:t>
        <w:br/>
        <w:t>la criminalidad.  En razón de ello, el Estado deberá llevar a  cabo,  en  un</w:t>
        <w:br/>
        <w:t>plazo razonable, una campaña con la finalidad de sensibilizar a la  sociedad</w:t>
        <w:br/>
        <w:t>hondureña respecto de  la  importancia  de  la  protección  a  los  niños  y</w:t>
        <w:br/>
        <w:t>jóvenes, informarla sobre los deberes específicos  para  su  protección  que</w:t>
        <w:br/>
        <w:t>corresponden a la familia, a la sociedad y  al  Estado  y  hacer  ver  a  la</w:t>
        <w:br/>
        <w:t>población que los niños y jóvenes en situación de  riesgo  social  no  están</w:t>
        <w:br/>
        <w:t>identificados con la delincuencia (supra párr. 79.1).</w:t>
        <w:br/>
        <w:br/>
        <w:t>202.  En el marco de esa campaña, el Estado deberá emitir, en  el  plazo  de</w:t>
        <w:br/>
        <w:t>un año contado a partir de la notificación  de  la  presente  Sentencia,  un</w:t>
        <w:br/>
        <w:t>sello postal alusivo a la protección debida por el Estado y  la  sociedad  a</w:t>
        <w:br/>
        <w:t>los niños y jóvenes en situación de riesgo, para evitar que estos se  tornen</w:t>
        <w:br/>
        <w:t>víctimas de violencia.</w:t>
        <w:br/>
        <w:br/>
        <w:t>g)    Creación de una base de datos sobre muerte por violencia de jóvenes</w:t>
        <w:br/>
        <w:br/>
        <w:t>203.  Quedó establecido que no existe en el Estado un registro  unificado  y</w:t>
        <w:br/>
        <w:t>coordinado entre las instituciones estatales para registrar los datos  sobre</w:t>
        <w:br/>
        <w:t>la criminalidad, en especial sobre muertes por violencia de jóvenes  menores</w:t>
        <w:br/>
        <w:t>de 18 años de edad.  A la luz  de  lo  anterior,  el  Estado  deberá  crear,</w:t>
        <w:br/>
        <w:t>dentro de un plazo razonable, una base de datos unificada  entre  todas  las</w:t>
        <w:br/>
        <w:t>instituciones involucradas en la investigación, identificación y sanción  de</w:t>
        <w:br/>
        <w:t>los responsables por las muertes violentas de niños y jóvenes  en  situación</w:t>
        <w:br/>
        <w:t>de riesgo.  Ese registro deberá servir para incrementar  la  efectividad  de</w:t>
        <w:br/>
        <w:t>las investigaciones.</w:t>
        <w:br/>
        <w:br/>
        <w:br/>
        <w:t xml:space="preserve">                             E) Costas y Gastos</w:t>
        <w:br/>
        <w:br/>
        <w:br/>
        <w:t>204.  Las  costas  y  gastos  están  comprendidos  dentro  del  concepto  de</w:t>
        <w:br/>
        <w:t>reparación consagrado en  el  artículo  63.1  de  la  Convención  Americana.</w:t>
        <w:br/>
        <w:t>Corresponde al Tribunal apreciar prudentemente y con base en la  equidad  el</w:t>
        <w:br/>
        <w:t>alcance  de  aquéllos,  considerando   los   gastos   generados   ante   las</w:t>
        <w:br/>
        <w:t>jurisdicciones  interna  e  interamericana,  y   teniendo   en   cuenta   su</w:t>
        <w:br/>
        <w:t>acreditación, las circunstancias del caso concreto y  la  naturaleza  de  la</w:t>
        <w:br/>
        <w:t>jurisdicción internacional de protección de los derechos humanos[119].</w:t>
        <w:br/>
        <w:br/>
        <w:t>205.  A este respecto, el Tribunal estima equitativo ordenar al  Estado  que</w:t>
        <w:br/>
        <w:t>reintegre la cantidad de US$11.000,00  (once  mil  dólares  de  los  Estados</w:t>
        <w:br/>
        <w:t>Unidos de América) o su equivalente en  moneda  hondureña,  que  deberá  ser</w:t>
        <w:br/>
        <w:t>entregada a Bricelda Aide García Lobo,  Hilda  Estebana  Hernández  López  y</w:t>
        <w:br/>
        <w:t>Dilcia Álvarez Ríos para que, por un lado, se compensen los  gastos  en  que</w:t>
        <w:br/>
        <w:t>incurrieron los familiares de Marco Antonio Servellón  García,  Rony  Alexis</w:t>
        <w:br/>
        <w:t>Betancourth Vásquez, y Orlando Álvarez  Ríos  ante  las  autoridades  de  la</w:t>
        <w:br/>
        <w:t>jurisdicción interna, y por otro, entreguen  a  Casa  Alianza  y  CEJIL  las</w:t>
        <w:br/>
        <w:t>cantidades que estimen pertinentes para compensar los gastos realizados  por</w:t>
        <w:br/>
        <w:t>éstos, en el curso del proceso ante el sistema interamericano.</w:t>
        <w:br/>
        <w:br/>
        <w:t xml:space="preserve">                       F)    Modalidad de Cumplimiento</w:t>
        <w:br/>
        <w:br/>
        <w:br/>
        <w:t>206.  El Estado deberá pagar las indemnizaciones y reintegrar las  costas  y</w:t>
        <w:br/>
        <w:t>gastos (supra párrs. 176, 177, 184 y  205)  dentro  del  plazo  de  un  año,</w:t>
        <w:br/>
        <w:t>contado a partir de la notificación de esta Sentencia.  En el  caso  de  las</w:t>
        <w:br/>
        <w:t>otras reparaciones ordenadas deberá dar cumplimiento a  las  medidas  en  un</w:t>
        <w:br/>
        <w:t>tiempo razonable (supra párrs. 195, 200,  201  y  203)  o  en  el  que  esta</w:t>
        <w:br/>
        <w:t>Sentencia señale específicamente (supra párrs. 197, 198, 199 y 202).</w:t>
        <w:br/>
        <w:br/>
        <w:t>207.  El pago de las indemnizaciones establecidas a favor de las víctimas  y</w:t>
        <w:br/>
        <w:t>de sus familiares será hecho directamente a éstos.   Si  falleciera  alguno,</w:t>
        <w:br/>
        <w:t>el pago se hará a sus derechohabientes.</w:t>
        <w:br/>
        <w:br/>
        <w:t>208.  En lo que se refiere a la indemnización ordenada a  favor  de  Fidelia</w:t>
        <w:br/>
        <w:t>Sarahí García Sánchez, ésta debe ser entregada dentro del plazo  de  un  año</w:t>
        <w:br/>
        <w:t>contado a partir de la  notificación  de  la  presente  Sentencia,  a  quien</w:t>
        <w:br/>
        <w:t>ejerza su representación o tutela de acuerdo a las disposiciones de  derecho</w:t>
        <w:br/>
        <w:t>interno.  En caso de que dicho representante  no  haya  sido  designado,  el</w:t>
        <w:br/>
        <w:t>Estado deberá depositarla en  una  institución  hondureña  solvente.   Dicho</w:t>
        <w:br/>
        <w:t>depósito se efectuará dentro del plazo de un año  contado  a  partir  de  la</w:t>
        <w:br/>
        <w:t>notificación de la presente Sentencia, en las  condiciones  financieras  más</w:t>
        <w:br/>
        <w:t>favorables que permitan la legislación y la práctica bancaria.  El  depósito</w:t>
        <w:br/>
        <w:t>podrá ser retirado por la persona que  en  el  derecho  interno  resulte  su</w:t>
        <w:br/>
        <w:t>representante  legal.   Si  no  se  reclama   la   indemnización   una   vez</w:t>
        <w:br/>
        <w:t>transcurridos diez años contados a partir de la mayoría  de  edad,  la  suma</w:t>
        <w:br/>
        <w:t>será devuelta al Estado, con los intereses devengados.</w:t>
        <w:br/>
        <w:br/>
        <w:t>209.   Si  por  causas  atribuibles  a  los  demás   beneficiarios   de   la</w:t>
        <w:br/>
        <w:t>indemnización no fuese posible que éstos  la  reciban  dentro  del  indicado</w:t>
        <w:br/>
        <w:t>plazo de un año, el Estado consignará dichos montos a favor de  aquéllos  en</w:t>
        <w:br/>
        <w:t>una cuenta o certificado de depósito en una institución  bancaria  hondureña</w:t>
        <w:br/>
        <w:t>solvente y en las condiciones financieras más  favorables  que  permitan  la</w:t>
        <w:br/>
        <w:t>legislación y la  práctica  bancarias.   Si  la  indemnización  no  ha  sido</w:t>
        <w:br/>
        <w:t>reclamada al cabo de diez años, la suma  correspondiente  será  devuelta  al</w:t>
        <w:br/>
        <w:t>Estado con los intereses generados.</w:t>
        <w:br/>
        <w:br/>
        <w:t>210.  El pago destinado a compensar las costas y gastos en  que  incurrieron</w:t>
        <w:br/>
        <w:t>los familiares de Marco Antonio Servellón García,  Rony  Alexis  Betancourth</w:t>
        <w:br/>
        <w:t>Vásquez, y Orlando Álvarez Ríos ante  las  autoridades  de  la  jurisdicción</w:t>
        <w:br/>
        <w:t>interna, y por otro, entreguen a Casa Alianza y  CEJIL  las  cantidades  que</w:t>
        <w:br/>
        <w:t>estimen pertinentes para compensar los gastos realizados por  éstos,  en  el</w:t>
        <w:br/>
        <w:t>curso del proceso ante el sistema interamericano, el cual será hecho  a  las</w:t>
        <w:br/>
        <w:t>señoras Bricelda Aide García Lobo, Hilda Estebana Hernández López  y  Dilcia</w:t>
        <w:br/>
        <w:t>Álvarez   Ríos   (supra   párr.   205),   quienes   efectuarán   los   pagos</w:t>
        <w:br/>
        <w:t>correspondientes.</w:t>
        <w:br/>
        <w:br/>
        <w:t>211.  El Estado debe cumplir las obligaciones económicas señaladas  en  esta</w:t>
        <w:br/>
        <w:t>Sentencia mediante el pago en dólares de los Estados Unidos de América o  su</w:t>
        <w:br/>
        <w:t>equivalente en la moneda nacional de Honduras.</w:t>
        <w:br/>
        <w:br/>
        <w:t>212.  Los montos asignados en la presente Sentencia bajo  los  conceptos  de</w:t>
        <w:br/>
        <w:t>indemnizaciones, gastos y costas deberán ser entregados a los  beneficiarios</w:t>
        <w:br/>
        <w:t>en  forma  íntegra  conforme  a  lo  establecido  en   la   Sentencia.    En</w:t>
        <w:br/>
        <w:t>consecuencia,  no  podrán  ser  afectados,  reducidos  o  condicionados  por</w:t>
        <w:br/>
        <w:t>motivos fiscales actuales o futuros.</w:t>
        <w:br/>
        <w:br/>
        <w:t>213.  En caso de que el Estado incurra en mora, pagará un interés  sobre  el</w:t>
        <w:br/>
        <w:t>monto  adeudado  correspondiente  al  interés  moratorio  bancario   en   la</w:t>
        <w:br/>
        <w:t>República de Honduras.</w:t>
        <w:br/>
        <w:br/>
        <w:t>214.  Como lo ha determinado y practicado en todos los casos  sujetos  a  su</w:t>
        <w:br/>
        <w:t>conocimiento, la Corte supervisará el cumplimiento de la presente  Sentencia</w:t>
        <w:br/>
        <w:t>en todos sus aspectos.  Esta supervisión es  inherente  a  las  atribuciones</w:t>
        <w:br/>
        <w:t>jurisdiccionales del Tribunal y necesaria para que  éste  pueda  cumplir  la</w:t>
        <w:br/>
        <w:t>obligación que le asigna el artículo 65 de la Convención.  El caso  se  dará</w:t>
        <w:br/>
        <w:t>por concluido una vez que el  Estado  haya  dado  cabal 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tomadas para el cumplimiento de esta Sentencia.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215.  Por tanto,</w:t>
        <w:br/>
        <w:br/>
        <w:br/>
        <w:t>LA CORTE,</w:t>
        <w:br/>
        <w:br/>
        <w:t>DECIDE,</w:t>
        <w:br/>
        <w:br/>
        <w:br/>
        <w:t>Por unanimidad,</w:t>
        <w:br/>
        <w:br/>
        <w:t>1.    Admitir el reconocimiento de responsabilidad  internacional  efectuado</w:t>
        <w:br/>
        <w:t>por el Estado por la violación de los derechos a la  libertad  e  integridad</w:t>
        <w:br/>
        <w:t>personales, a la  vida,  a  las  garantías  judiciales  y  a  la  protección</w:t>
        <w:br/>
        <w:t>judicial consagrados en los artículos 7.1, 7.2, 7.3, 7.4 7.5 y  7.6,  5.1  y</w:t>
        <w:br/>
        <w:t>5.2, 4.1, 8.1 y 8.2 y 25.1 de  la  Convención  Americana,  en  perjuicio  de</w:t>
        <w:br/>
        <w:t>Marco Antonio Servellón García, Rony  Alexis  Betancourth  Vásquez,  Orlando</w:t>
        <w:br/>
        <w:t>Álvarez Ríos y Diomedes Obed García Sánchez, y el derecho  a  la  integridad</w:t>
        <w:br/>
        <w:t>personal consagrado en el artículo 5.5 de la Convención, en relación  a  los</w:t>
        <w:br/>
        <w:t>derechos del niño  consagrado  en  el  artículo  19  de  la  Convención,  en</w:t>
        <w:br/>
        <w:t>perjuicio de Marco  Antonio  Servellón  García  y  Rony  Alexis  Betancourth</w:t>
        <w:br/>
        <w:t>Vásquez,  todos  en  relación  con  la  obligación  general  de  respetar  y</w:t>
        <w:br/>
        <w:t>garantizar los derechos establecida en el artículo 1.1 de dicho tratado,  en</w:t>
        <w:br/>
        <w:t>los términos de los párrafos 54, 55, 60 y 65 de la presente Sentencia.</w:t>
        <w:br/>
        <w:br/>
        <w:t>2.    Admitir el reconocimiento de responsabilidad  internacional  efectuado</w:t>
        <w:br/>
        <w:t>por el Estado por la violación de los derechos a las garantías judiciales  y</w:t>
        <w:br/>
        <w:t>a la protección judicial consagrados en los  artículos  8.1  y  25.1  de  la</w:t>
        <w:br/>
        <w:t>Convención Americana, en  perjuicio  de  los  familiares  de  Marco  Antonio</w:t>
        <w:br/>
        <w:t>Servellón García, Rony Alexis Betancourth Vásquez, Orlando  Álvarez  Ríos  y</w:t>
        <w:br/>
        <w:t>Diomedes Obed García Sánchez, en  relación  con  la  obligación  general  de</w:t>
        <w:br/>
        <w:t>respetar y garantizar los derechos establecida en el artículo 1.1  de  dicho</w:t>
        <w:br/>
        <w:t>tratado, en los términos de  los  párrafos  54,  55  y  66  de  la  presente</w:t>
        <w:br/>
        <w:t>Sentencia.</w:t>
        <w:br/>
        <w:br/>
        <w:br/>
        <w:t>DECLARA,</w:t>
        <w:br/>
        <w:br/>
        <w:t>Por unanimidad, que</w:t>
        <w:br/>
        <w:br/>
        <w:t>3.    El Estado violó, en perjuicio de Marco Antonio Servellón García,  Rony</w:t>
        <w:br/>
        <w:t>Alexis Betancourth Vásquez, Orlando Álvarez  Ríos  y  Diomedes  Obed  García</w:t>
        <w:br/>
        <w:t>Sánchez, los derechos a la libertad e integridad  personales  y  a  la  vida</w:t>
        <w:br/>
        <w:t>consagrados en los artículos 7.1, 7.2, 7.3, 7.4 y 7.5, 5.1 y 5.2, y  4.1  de</w:t>
        <w:br/>
        <w:t>la Convención Americana, y el derecho a la  integridad  personal  consagrado</w:t>
        <w:br/>
        <w:t>en el artículo 5.5 de la Convención, en relación a  los  derechos  del  niño</w:t>
        <w:br/>
        <w:t>consagrado en el artículo  19  de  la  Convención,  en  perjuicio  de  Marco</w:t>
        <w:br/>
        <w:t>Antonio Servellón  García  y  Rony  Alexis  Betancourth  Vásquez,  todos  en</w:t>
        <w:br/>
        <w:t>relación con la obligación general de respetar  y  garantizar  los  derechos</w:t>
        <w:br/>
        <w:t>establecida en el artículo 1.1 de dicho tratado,  en  los  términos  de  los</w:t>
        <w:br/>
        <w:t>párrafos 86 a 125 de la presente Sentencia.</w:t>
        <w:br/>
        <w:br/>
        <w:t>4.    El Estado violó, en perjuicio  de  los  familiares  de  Marco  Antonio</w:t>
        <w:br/>
        <w:t>Servellón García, Reyes Servellón Santos, padre; Bricelda Aide García  Lobo,</w:t>
        <w:br/>
        <w:t>madre, y Marja Ibeth Castro García,  hermana;  de  los  familiares  de  Rony</w:t>
        <w:br/>
        <w:t>Alexis  Betancourth  Vásquez,  Manases  Betancourth  Núñez,   padre,   Hilda</w:t>
        <w:br/>
        <w:t>Estebana Hernández López, madre, Zara Beatris Bustillo Rivera, hija,  y  Ana</w:t>
        <w:br/>
        <w:t>Luisa Vargas Soto, compañera de hogar, y de la hermana  de  Orlando  Álvarez</w:t>
        <w:br/>
        <w:t>Ríos, Dilcia Álvarez Ríos, el derecho a la  integridad  personal  consagrado</w:t>
        <w:br/>
        <w:t>en artículo 5.1 de la Convención Americana, en relación  con  la  obligación</w:t>
        <w:br/>
        <w:t>general de respetar y garantizar los derechos  establecida  en  el  artículo</w:t>
        <w:br/>
        <w:t>1.1 de dicho tratado, en los términos de  los  párrafos  126  a  139  de  la</w:t>
        <w:br/>
        <w:t>presente Sentencia.</w:t>
        <w:br/>
        <w:br/>
        <w:t>5.    El Estado violó, en perjuicio de Marco Antonio Servellón García,  Rony</w:t>
        <w:br/>
        <w:t>Alexis Betancourth Vásquez, Orlando Álvarez  Ríos  y  Diomedes  Obed  García</w:t>
        <w:br/>
        <w:t>Sánchez, los artículos 8.1, 8.2, 7.6 y  25.1  de  la  Convención,  todos  en</w:t>
        <w:br/>
        <w:t>relación con la obligación general de respetar  y  garantizar  los  derechos</w:t>
        <w:br/>
        <w:t>establecida en el artículo 1.1 de dicho tratado,  en  los  términos  de  los</w:t>
        <w:br/>
        <w:t>párrafos 140 y 155 de la presente Sentencia.</w:t>
        <w:br/>
        <w:br/>
        <w:t>6.    El Estado violó, en perjuicio  de  los  familiares  de  Marco  Antonio</w:t>
        <w:br/>
        <w:t>Servellón García, Reyes Servellón Santos, padre, Bricelda Aide García  Lobo,</w:t>
        <w:br/>
        <w:t>madre, y Marja Ibeth Castro García, Pablo Servellón García y Héctor  Vicente</w:t>
        <w:br/>
        <w:t>Castro García, hermanos;  de  los  familiares  de  Rony  Alexis  Betancourth</w:t>
        <w:br/>
        <w:t>Vásquez, Manases Betancourth Núñez, padre, Hilda Estebana  Hernández  López,</w:t>
        <w:br/>
        <w:t>madre, Zara Beatris Bustillo Rivera, hija, Ana Luisa Vargas Soto,  compañera</w:t>
        <w:br/>
        <w:t>de hogar, y Juan Carlos Betancourth Hernández, Manaces  Betancourt  Aguilar,</w:t>
        <w:br/>
        <w:t>Emma Aracely Betancourth Aguilar, Enma Aracely Betancourth Abarca, y  Lilian</w:t>
        <w:br/>
        <w:t>María Betancourt Álvarez, hermanos; de los  familiares  de  Orlando  Álvarez</w:t>
        <w:br/>
        <w:t>Ríos, Antonia Ríos,  madre,  y  Dilcia  Álvarez  Ríos,  hermana,  y  de  los</w:t>
        <w:br/>
        <w:t>familiares de Diomedes Obed García Sánchez, Diomedes  Tito  García  Casildo,</w:t>
        <w:br/>
        <w:t>padre, y Esther Patricia García Sánchez,  Jorge  Moisés  García  Sánchez,  y</w:t>
        <w:br/>
        <w:t>Fidelia  Sarahí  García  Sánchez,  hermanos,  el  derecho  a  las  garantías</w:t>
        <w:br/>
        <w:t>judiciales y a la protección judicial consagrados en  los  artículos  8.1  y</w:t>
        <w:br/>
        <w:t>25.1 de la Convención Americana, en relación con la  obligación  general  de</w:t>
        <w:br/>
        <w:t>respetar y garantizar los derechos establecida en el artículo 1.1  de  dicho</w:t>
        <w:br/>
        <w:t>tratado, en los términos de los párrafos 140, 145 a 154 y 156 a  159  de  la</w:t>
        <w:br/>
        <w:t>presente Sentencia.</w:t>
        <w:br/>
        <w:br/>
        <w:t>7.    Esta Sentencia constituye per se  una  forma  de  reparación,  en  los</w:t>
        <w:br/>
        <w:t>términos del párrafo 180 de la misma.</w:t>
        <w:br/>
        <w:br/>
        <w:br/>
        <w:t>Y DISPONE,</w:t>
        <w:br/>
        <w:br/>
        <w:br/>
        <w:t>Por unanimidad, que:</w:t>
        <w:br/>
        <w:br/>
        <w:t>8.    El Estado debe emprender con seriedad, en un  plazo  razonable,  todas</w:t>
        <w:br/>
        <w:t>las acciones necesarias para identificar, juzgar, y en su caso, sancionar  a</w:t>
        <w:br/>
        <w:t>todos los autores materiales e intelectuales de  las  violaciones  cometidas</w:t>
        <w:br/>
        <w:t>en perjuicio de Marco Antonio  Servellón  García,  Rony  Alexis  Betancourth</w:t>
        <w:br/>
        <w:t>Vásquez, Orlando Álvarez Ríos y  Diomedes  Obed  García  Sánchez,  para  los</w:t>
        <w:br/>
        <w:t>efectos  penales  y  cualesquiera  otros  que  pudieran   resultar   de   la</w:t>
        <w:br/>
        <w:t>investigación de los hechos.  Para ello,  el  Estado  debe  remover,  en  un</w:t>
        <w:br/>
        <w:t>plazo razonable, todos los obstáculos y mecanismos de hecho  y  derecho  que</w:t>
        <w:br/>
        <w:t>mantienen la impunidad en el presente caso, en los términos de los  párrafos</w:t>
        <w:br/>
        <w:t>192 a 196 de la presente Sentencia.</w:t>
        <w:br/>
        <w:br/>
        <w:t>9.    El Estado debe publicar, en el plazo  de  seis  meses,  en  el  Diario</w:t>
        <w:br/>
        <w:t>Oficial y en otro diario de amplia circulación nacional, por una  sola  vez,</w:t>
        <w:br/>
        <w:t>el capítulo relativo a los hechos probados de esta Sentencia, sin las  notas</w:t>
        <w:br/>
        <w:t>al pie de página correspondientes, y la parte resolutiva  de  la  misma,  en</w:t>
        <w:br/>
        <w:t>los términos del párrafo 197 de la presente Sentencia.</w:t>
        <w:br/>
        <w:br/>
        <w:t>10.   Estado debe realizar, en un plazo de seis meses, un  acto  público  de</w:t>
        <w:br/>
        <w:t>reconocimiento de su responsabilidad  internacional,  en  los  términos  del</w:t>
        <w:br/>
        <w:t>párrafo 198 de la presente Sentencia.</w:t>
        <w:br/>
        <w:br/>
        <w:t>11.   El Estado debe nombrar, dentro del plazo de un año, una  calle  o  una</w:t>
        <w:br/>
        <w:t>plaza, en la ciudad de Tegucigalpa, en memoria de  Marco  Antonio  Servellón</w:t>
        <w:br/>
        <w:t>García, Rony Alexis Betancourth Vásquez,  Diomedes  Obed  García  Sánchez  y</w:t>
        <w:br/>
        <w:t>Orlando Álvarez Ríos.  En dicha calle o plaza el  Estado  deberá  fijar  una</w:t>
        <w:br/>
        <w:t>placa con los nombres de las referidas cuatro víctimas, en los términos  del</w:t>
        <w:br/>
        <w:t>párrafo 199 de la presente Sentencia.</w:t>
        <w:br/>
        <w:br/>
        <w:t>12.   El Estado debe establecer, en  un  plazo  razonable,  un  programa  de</w:t>
        <w:br/>
        <w:t>formación  y  capacitación  para  el  personal   policial,   judicial,   del</w:t>
        <w:br/>
        <w:t>Ministerio Público, y penitenciario sobre la especial  protección  que  debe</w:t>
        <w:br/>
        <w:t>ser prestada por el Estado a los niños y jóvenes, el principio  de  igualdad</w:t>
        <w:br/>
        <w:t>ante la ley y no discriminación y los principios y normas de  protección  de</w:t>
        <w:br/>
        <w:t>los derechos humanos, relacionados  con  la  aplicación  de  los  estándares</w:t>
        <w:br/>
        <w:t>internacionales sobre la detención de personas, respetos de sus  derechos  y</w:t>
        <w:br/>
        <w:t>garantías judiciales,  el  trato  que  deben  recibir,  sus  condiciones  de</w:t>
        <w:br/>
        <w:t>detención, tratamiento  y  control  médico,  el  derecho  a  contar  con  un</w:t>
        <w:br/>
        <w:t>abogado, a recibir visitas y a que los menores y adultos, así  como  lo  los</w:t>
        <w:br/>
        <w:t>procesados y condenados  se  alojen  en  instalaciones  diferentes,  en  los</w:t>
        <w:br/>
        <w:t>términos del párrafo 200 de la presente Sentencia.</w:t>
        <w:br/>
        <w:br/>
        <w:t>13.   El Estado deberá realizar, en un plazo razonable, una campaña  con  la</w:t>
        <w:br/>
        <w:t>finalidad  de  sensibilizar  a  la  sociedad  hondureña   respecto   de   la</w:t>
        <w:br/>
        <w:t>importancia de la protección a los niños y  jóvenes,  informarla  sobre  los</w:t>
        <w:br/>
        <w:t>deberes específicos para su protección que corresponden a la familia,  a  la</w:t>
        <w:br/>
        <w:t>sociedad y al Estado y hacer ver a la población que los niños y  jóvenes  en</w:t>
        <w:br/>
        <w:t>situación de riesgo social  no  están  identificados  con  la  delincuencia.</w:t>
        <w:br/>
        <w:t>Asimismo, el Estado deberá emitir, en el plazo de un año,  un  sello  postal</w:t>
        <w:br/>
        <w:t>alusivo a la protección debida por el Estado y la sociedad  a  los  niños  y</w:t>
        <w:br/>
        <w:t>jóvenes en situación de riesgo, para evitar que estos se tornen víctimas  de</w:t>
        <w:br/>
        <w:t>violencia, en los términos  de  los  párrafos  201  y  202  de  la  presente</w:t>
        <w:br/>
        <w:t>Sentencia.</w:t>
        <w:br/>
        <w:br/>
        <w:t>14.   El Estado deberá crear, dentro de un  plazo  razonable,  una  base  de</w:t>
        <w:br/>
        <w:t>datos  unificada  entre  todas  las   instituciones   involucradas   en   la</w:t>
        <w:br/>
        <w:t>investigación, identificación y sanción de los responsables por las  muertes</w:t>
        <w:br/>
        <w:t>violentas de niños y jóvenes en situación de riesgo,  en  los  términos  del</w:t>
        <w:br/>
        <w:t>párrafo 203 de la presente Sentencia</w:t>
        <w:br/>
        <w:br/>
        <w:t>15.   El Estado debe pagar a  los  familiares  de  Marco  Antonio  Servellón</w:t>
        <w:br/>
        <w:t>García, Rony Alexis Betancourth Vásquez,  Diomedes  Obed  García  Sánchez  y</w:t>
        <w:br/>
        <w:t>Orlando Álvarez Ríos, en su condición de derechohabientes, en  el  plazo  de</w:t>
        <w:br/>
        <w:t>un  año,  por  concepto  de  las  indemnizaciones  por  daños   material   e</w:t>
        <w:br/>
        <w:t>inmaterial, la cantidades fijadas en los párrafos 176 y 184.a y 184.b de  la</w:t>
        <w:br/>
        <w:t>presente Sentencia, en los términos de los párrafos 169  a  172,  176,  180,</w:t>
        <w:br/>
        <w:t>182, 184.a y 184.b y 185 de la misma.</w:t>
        <w:br/>
        <w:br/>
        <w:t>16.   El Estado debe pagar a  Bricelda  Aide  García  Lobo,  Hilda  Estebana</w:t>
        <w:br/>
        <w:t>Hernández López y Dilcia Álvarez Ríos, en el plazo de un año,  por  concepto</w:t>
        <w:br/>
        <w:t>de la indemnización por daño material, la cantidad fijada en párrafo 177  de</w:t>
        <w:br/>
        <w:t>la presente Sentencia, según sus términos.</w:t>
        <w:br/>
        <w:br/>
        <w:t>17.   El Estado debe pagar a Reyes Servellón Santos,  Bricelda  Aide  García</w:t>
        <w:br/>
        <w:t>Lobo, Marja Ibeth Castro García, Manases Betancourth Núñez,  Hilda  Estebana</w:t>
        <w:br/>
        <w:t>Hernández López, Zara Beatris Bustillo  Rivera,  Ana  Luisa  Vargas  Soto  y</w:t>
        <w:br/>
        <w:t>Dilcia Álvarez Ríos en el plazo de un año, por concepto de la  indemnización</w:t>
        <w:br/>
        <w:t>por daño inmaterial, la  cantidad  fijada  en  los  párrafos  184.c,  184.d,</w:t>
        <w:br/>
        <w:t>184.e, 184.f y 184.g de la  presente  Sentencia,  en  los  términos  de  los</w:t>
        <w:br/>
        <w:t>párrafos 180, 181, 183, 184.c, 184.d, 184.e, 184.f y  184.g,  y  185  de  la</w:t>
        <w:br/>
        <w:t>misma.</w:t>
        <w:br/>
        <w:br/>
        <w:t>18.   El Estado debe pagar, en el plazo de un año, por concepto de costas  y</w:t>
        <w:br/>
        <w:t>gastos generados en el ámbito interno y en el proceso internacional ante  el</w:t>
        <w:br/>
        <w:t>sistema interamericano de protección de los derechos  humanos,  la  cantidad</w:t>
        <w:br/>
        <w:t>fijada en el párrafo 205 de  la  presente  Sentencia,  la  cual  deberá  ser</w:t>
        <w:br/>
        <w:t>entregada a Bricelda Aide García Lobo,  Hilda  Estebana  Hernández  López  y</w:t>
        <w:br/>
        <w:t>Dilcia Álvarez Ríos, en los términos de los párrafos 204 a 205 de la misma.</w:t>
        <w:br/>
        <w:br/>
        <w:t>19.   Supervisará el cumplimiento íntegro de  esta  Sentencia,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El Juez Antônio A.  Cançado  Trindade  hizo  conocer  a  la  Corte  su  Voto</w:t>
        <w:br/>
        <w:t>Razonado, el cual acompaña la presente Sentencia.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br/>
        <w:t xml:space="preserve">                VOTO RAZONADO DEL JUEZ A.A. CANÇADO TRINDADE</w:t>
        <w:br/>
        <w:br/>
        <w:br/>
        <w:t>1.    Quiso el destino que, aún durante mi período  de  servicios  prestados</w:t>
        <w:br/>
        <w:t>como Juez Titular de la Corte Interamericana de Derechos Humanos,  el  drama</w:t>
        <w:br/>
        <w:t>de los niños en la calle volviera al conocimiento de  este  Tribunal.  Siete</w:t>
        <w:br/>
        <w:t>años después de la primera Sentencia de la Corte  en  el  histórico  leading</w:t>
        <w:br/>
        <w:t>case de  los  "Niños  de  la  Calle"  (Villagrán  Morales  y  Otros)  versus</w:t>
        <w:br/>
        <w:t>Guatemala, (fondo, 1999, y reparaciones, 2001), y tres años  después  de  la</w:t>
        <w:br/>
        <w:t>Sentencia de la Corte en el dramático caso Bulacio versus  Argentina  (fondo</w:t>
        <w:br/>
        <w:t>y reparaciones, 2003), la temática de la violencia contra  niños  y  jóvenes</w:t>
        <w:br/>
        <w:t>en las calles vuelve a ocupar posición central  en  una  Sentencia  de  esta</w:t>
        <w:br/>
        <w:t>Corte, en el presente caso Servellón y Otros versus Honduras. Al  votar  por</w:t>
        <w:br/>
        <w:t>la adopción de la presente Sentencia, me permito agregar  a  la  misma  este</w:t>
        <w:br/>
        <w:t>Voto  Razonado,  con  mis  reflexiones  personales  como  fundamento  de  mi</w:t>
        <w:br/>
        <w:t>posición  al  respecto  de  lo  deliberado  por  la  Corte.   Centraré   mis</w:t>
        <w:br/>
        <w:t>reflexiones  en  los  siguientes  puntos:  a)  base  de  la  responsabilidad</w:t>
        <w:br/>
        <w:t>internacional del Estado; b) base de la jurisdicción internacional;  c)  los</w:t>
        <w:br/>
        <w:t>atentados contra los derechos humanos  en  medio  a  la  descomposición  del</w:t>
        <w:br/>
        <w:t>tejido social; y d) la reacción  del  Derecho:  las  prohibiciones  del  jus</w:t>
        <w:br/>
        <w:t>cogens y la debida reparatio revisitadas.</w:t>
        <w:br/>
        <w:br/>
        <w:br/>
        <w:t xml:space="preserve">      I.    Base de la Responsabilidad Internacional del Estado.</w:t>
        <w:br/>
        <w:br/>
        <w:br/>
        <w:t>2.    En la presente Sentencia en el caso Servellón y  Otros,  la  Corte  ha</w:t>
        <w:br/>
        <w:t>valorado positivamente el reconocimiento de responsabilidad  por  parte  del</w:t>
        <w:br/>
        <w:t>Estado por  los  hechos  violatorios  de  los  derechos  protegidos  por  la</w:t>
        <w:br/>
        <w:t>Convención  Americana  (párr.  77).  Sin  embargo,  los  términos  de  dicho</w:t>
        <w:br/>
        <w:t>reconocimiento no abarcan la totalidad de  las  reivindicaciones  contenidas</w:t>
        <w:br/>
        <w:t>en  la  demanda  (párr.  75)  Y,  me  permito  agregar,  los  términos   del</w:t>
        <w:br/>
        <w:t>reconocimiento de  responsabilidad  estatal,  al  excluir  expresamente  "la</w:t>
        <w:br/>
        <w:t>existencia de un contexto de supuesta violación sistemática de los  derechos</w:t>
        <w:br/>
        <w:t>humanos tolerado y consentido"  por  el  Estado  (párr.  54),  plantean  una</w:t>
        <w:br/>
        <w:t>cuestión que alcanza las propias bases  de  la  responsabilidad  del  Estado</w:t>
        <w:br/>
        <w:t>(inclusive las distinciones  básicas  entre  la  responsabilidad  directa  e</w:t>
        <w:br/>
        <w:t>indirecta,  la  responsabilidad  internacional  objetiva  o  absoluta  y  la</w:t>
        <w:br/>
        <w:t>responsabilidad basada en la falta (culpa), además  de  la  cuestión  de  la</w:t>
        <w:br/>
        <w:t>intencionalidad (dolus) o no como configuración o no de una  responsabilidad</w:t>
        <w:br/>
        <w:t>internacional agravada).</w:t>
        <w:br/>
        <w:br/>
        <w:t>3.    La Corte, ante los términos del reconocimiento de responsabilidad  del</w:t>
        <w:br/>
        <w:t>Estado, se equivocó en su deliberación apresurada de dejar de  convocar  una</w:t>
        <w:br/>
        <w:t>audiencia pública sobre este importante caso. La audiencia  pública  que  no</w:t>
        <w:br/>
        <w:t>hubo,  hubiera  ciertamente  enriquecido  la  presente  Sentencia,  en  tres</w:t>
        <w:br/>
        <w:t>aspectos: a) hubiera  enriquecido  el  expediente  e  instrucción  del  caso</w:t>
        <w:br/>
        <w:t>(sobre todo ante la actitud positiva de colaboración  procesal  asumida  por</w:t>
        <w:br/>
        <w:t>el Estado); b) hubiera aplicado a cabalidad en principio del  contradictorio</w:t>
        <w:br/>
        <w:t>en  cuanto  al  contexto  del  presente  caso;  y  c)  hubiera  servido   de</w:t>
        <w:br/>
        <w:t>satisfacción (como forma de reparación) a los familiares  de  las  víctimas.</w:t>
        <w:br/>
        <w:t>Pero el actual  afán  -  que  no  comparto,  y  al  cual  me  opongo,  -  de</w:t>
        <w:br/>
        <w:t>productividad  de  la  Corte  (acompañada  de   decisiones   inevitablemente</w:t>
        <w:br/>
        <w:t>aceleradas), el actual afán insensato de decidir la mayor  cantidad  posible</w:t>
        <w:br/>
        <w:t>de casos en  tiempo  récord,  la  privó  de  elementos  que  pudieran  haber</w:t>
        <w:br/>
        <w:t>enriquecido esta Sentencia.</w:t>
        <w:br/>
        <w:br/>
        <w:t>4.    En lo que atañe al presente caso Servellón García y  Otros,  no  obran</w:t>
        <w:br/>
        <w:t>en  el  expediente  ante  esta  Corte  elementos  probatorios  que  pudieran</w:t>
        <w:br/>
        <w:t>conllevar a  la  configuración  de  una  intención  (dolus)  del  Estado  de</w:t>
        <w:br/>
        <w:t>efectuar una violación deliberada, sistemática  y  masiva  de  los  derechos</w:t>
        <w:br/>
        <w:t>humanos en perjuicio de un segmento  de  su  población  (esencialmente,  los</w:t>
        <w:br/>
        <w:t>jóvenes). Sin embargo, esto no exime el Estado de su responsabilidad por  el</w:t>
        <w:br/>
        <w:t>patrón  sostenido  de  violencia  crónica  victimando  un  segmento  de   su</w:t>
        <w:br/>
        <w:t>población (los jóvenes), - patrón  este  comprobado  en  el  insatisfactorio</w:t>
        <w:br/>
        <w:t>expediente  del  presente   caso.   En   realidad,   este   patrón   se   ha</w:t>
        <w:br/>
        <w:t>lamentablemente sostenido por un tiempo prolongado, que abarca el año de  la</w:t>
        <w:br/>
        <w:t>ocurrencia de los hechos del presente caso (1995) y  se  extiende  hasta  la</w:t>
        <w:br/>
        <w:t>fecha (o sea, más de una década).</w:t>
        <w:br/>
        <w:br/>
        <w:t>5.    Hay un detalle que no  quisiera  que  pasara  desapercibido,  dado  su</w:t>
        <w:br/>
        <w:t>simbolismo, en mi percepción. Como señala la Corte en su relación de  hechos</w:t>
        <w:br/>
        <w:t>probados en el cas d'espèce, "el día 15 de septiembre de 1995 la  Fuerza  de</w:t>
        <w:br/>
        <w:t>Seguridad Pública (FUSEP) realizó detenciones colectivas, que  comprendieron</w:t>
        <w:br/>
        <w:t>la captura de 128 personas, en el marco de un operativo policial  preventivo</w:t>
        <w:br/>
        <w:t>e indiscriminado (...) en la ciudad de Tegucigalpa, con el objeto de  evitar</w:t>
        <w:br/>
        <w:t>disturbios durante los desfiles que se realizarían para celebrar el  Día  de</w:t>
        <w:br/>
        <w:t>la Independencia Nacional de Honduras" (párr.  79.5).  Entre  los  detenidos</w:t>
        <w:br/>
        <w:t>estaban Marco Antonio Servellón García (16 años),  Rony  Alexis  Betancourth</w:t>
        <w:br/>
        <w:t>Hernández (17 años), Diomedes Obed García (19 años) y Orlando  Álvarez  Ríos</w:t>
        <w:br/>
        <w:t>(32 años), las víctimas en el presente caso (o sea, dos niños,  un  joven  y</w:t>
        <w:br/>
        <w:t>un adulto), - que poco después fueron encontrados asesinados,  con  disparos</w:t>
        <w:br/>
        <w:t>en  la  nuca,  cabeza  y  pecho,  en  distintos  lugares  de  la  ciudad  de</w:t>
        <w:br/>
        <w:t>Tegucigalpa, por lo que se denominó, y se tornó conocido, el episodio,  como</w:t>
        <w:br/>
        <w:t>el caso de los "cuatro puntos cardinales" (párr. 79(32)).</w:t>
        <w:br/>
        <w:br/>
        <w:t>6.    O sea, el mantenimiento del orden para las celebraciones de  la  fecha</w:t>
        <w:br/>
        <w:t>nacional sirvió de pretexto para la perpetración de esta operación  violenta</w:t>
        <w:br/>
        <w:t>y criminosa. El simbolismo de que se reviste el episodio  reside,  tal  como</w:t>
        <w:br/>
        <w:t>lo vislumbro, en la contraposición entre el Estado y la nación.  El  Estado,</w:t>
        <w:br/>
        <w:t>histórica y originalmente concebido y creado para la  realización  del  bien</w:t>
        <w:br/>
        <w:t>común, pasa a  victimizar  -  en  una  asustadora  inversión  de  valores  -</w:t>
        <w:br/>
        <w:t>segmentos "indeseables" y marginados de su propia población. Como señalé  en</w:t>
        <w:br/>
        <w:t>mi reciente y extenso Curso General de Derecho Internacional Público  en  la</w:t>
        <w:br/>
        <w:t>Academia de Derecho Internacional de La Haya (2005)</w:t>
        <w:br/>
        <w:t>[120],  de  los  elementos  clásicos   constitutivos   del   Estado,   -   y</w:t>
        <w:br/>
        <w:t>prerrequisitos de su personalidad jurídica internacional,  -  que  conforman</w:t>
        <w:br/>
        <w:t>su propia identidad y continuidad en el tiempo (o sea,  territorio,  sistema</w:t>
        <w:br/>
        <w:t>normativo y población),  es  precisamente  el  más  precioso  de  ellos,  la</w:t>
        <w:br/>
        <w:t>población, el que ha sido más descuidado y maltratado tanto en  la  doctrina</w:t>
        <w:br/>
        <w:t>como en la práctica!</w:t>
        <w:br/>
        <w:br/>
        <w:t>7.    Esto  revela  características  de  una  verdadera  tragedia,  la  gran</w:t>
        <w:br/>
        <w:t>tragedia de nuestros tiempos, agravada por el hecho que  hoy  día  son  cada</w:t>
        <w:br/>
        <w:t>vez menos los que leen y piensan, y se muestran dispuestos  a  aprender  las</w:t>
        <w:br/>
        <w:t>lecciones del pasado. En el mundo  extremamente  violento  en  que  vivimos,</w:t>
        <w:br/>
        <w:t>hay, al contrario, que buscar protección contra el Estado, - contra el  mito</w:t>
        <w:br/>
        <w:t>del Estado[121], - contra sus acciones y omisiones,  y  ante  su  manifiesta</w:t>
        <w:br/>
        <w:t>incapacidad - en casi todas partes del mundo contemporáneo - de extender  un</w:t>
        <w:br/>
        <w:t>mínimo de protección a su población, y en particular  a  los  segmentos  más</w:t>
        <w:br/>
        <w:t>vulnerables de ésta.</w:t>
        <w:br/>
        <w:br/>
        <w:t>8.    Lo decidido en la presente Sentencia de la Corte en el caso  Servellón</w:t>
        <w:br/>
        <w:t>García y Otros se basa en  la  responsabilidad  internacional  objetiva  del</w:t>
        <w:br/>
        <w:t>Estado. El caso clásico al respecto, en la jurisprudencia de esta Corte,  es</w:t>
        <w:br/>
        <w:t>el de "La Última Tentación de  Cristo",  atinente  a  Chile  (Sentencia  del</w:t>
        <w:br/>
        <w:t>05.02.2001), en el cual me permití exponer,  en  mi  Voto  Concurrente,  los</w:t>
        <w:br/>
        <w:t>fundamentos de  la  responsabilidad  objetiva  o  absoluta  en  la  doctrina</w:t>
        <w:br/>
        <w:t>jusinternacionalista. Pero no todos los casos  de  violaciones  de  derechos</w:t>
        <w:br/>
        <w:t>humanos tienen por base la responsabilidad internacional objetiva.</w:t>
        <w:br/>
        <w:br/>
        <w:t>9.    En mi supracitado Curso General de 2005  en  la  Academia  de  Derecho</w:t>
        <w:br/>
        <w:t>Internacional de La Haya, me  permití  observar  que,  a  la  par  de  dicho</w:t>
        <w:br/>
        <w:t>fundamento  de  la  responsabilidad  internacional,  también  hay  casos  de</w:t>
        <w:br/>
        <w:t>violaciones de derechos humanos en que la  culpa  (falta),  e  inclusive  el</w:t>
        <w:br/>
        <w:t>dolus (cuando se  comprueba  la  intencionalidad),  se  configuran,  de  ahí</w:t>
        <w:br/>
        <w:t>adviniendo la responsabilidad internacional  agravada[122].  Cabe  recordar,</w:t>
        <w:br/>
        <w:t>como ejemplos en este último sentido, los casos de Myrna Mack  Chang  versus</w:t>
        <w:br/>
        <w:t>Guatemala (Sentencia del 25.11.2003), de  la  Masacre  de  Plan  de  Sánchez</w:t>
        <w:br/>
        <w:t>versus Guatemala (Sentencia del 29.04.2004), de los 19  Comerciantes  versus</w:t>
        <w:br/>
        <w:t>Colombia (Sentencia del 05.07.2004),  de  la  Masacre  de  Mapiripán  versus</w:t>
        <w:br/>
        <w:t>Colombia (Sentencia del 15.09.2005), de la masacre de la  Comunidad  Moiwana</w:t>
        <w:br/>
        <w:t>versus Suriname (Sentencia del 15.06.2005), de la Masacre de Ituango  versus</w:t>
        <w:br/>
        <w:t>Colombia (Sentencia del 01.07.2006),  -  en  los  cuales  la  intención  del</w:t>
        <w:br/>
        <w:t>Estado de perpetrar  graves  violaciones  de  los  derechos  humanos,  o  su</w:t>
        <w:br/>
        <w:t>manifiesta negligencia en evitarlas, quedaron fehacientemente demostradas.</w:t>
        <w:br/>
        <w:br/>
        <w:t>10.   En éstos casos, las violaciones graves fueron  perpetradas  en  nombre</w:t>
        <w:br/>
        <w:t>del Estado, como persona jurídica de Derecho Internacional,  y,  además,  en</w:t>
        <w:br/>
        <w:t>la misma línea de sus actos criminales se encubrieron los  hechos,  de  todo</w:t>
        <w:br/>
        <w:t>esto derivando su responsabilidad internacional  agravada.  En  suma,  y  en</w:t>
        <w:br/>
        <w:t>conclusión sobre el presente punto en examen, en la  actual  teoría  general</w:t>
        <w:br/>
        <w:t>de la  responsabilidad  internacional  del  Estado,  sigue  subsistiendo  la</w:t>
        <w:br/>
        <w:t>coexistencia de la responsabilidad internacional objetiva (o absoluta) y  la</w:t>
        <w:br/>
        <w:t>responsabilidad internacional del Estado con base en la culpa,  e  inclusive</w:t>
        <w:br/>
        <w:t>en el dolus (agravada).</w:t>
        <w:br/>
        <w:br/>
        <w:br/>
        <w:t xml:space="preserve">      II.   Base de la Jurisdicción Internacional.</w:t>
        <w:br/>
        <w:br/>
        <w:br/>
        <w:t>11.   Paso al punto siguiente de mi razonamiento: ya en mi Voto Razonado  en</w:t>
        <w:br/>
        <w:t>el caso Blake versus Guatemala (fondo, Sentencia del 24.01.1998) me  permití</w:t>
        <w:br/>
        <w:t>distinguir las  bases  de  la  responsabilidad  internacional  (obligaciones</w:t>
        <w:br/>
        <w:t>convencionales) y  de  la  jurisdicción  internacional.  La  primera  es  de</w:t>
        <w:br/>
        <w:t>derecho material, siendo la segunda de orden jurisdiccional.  Aunque  en  el</w:t>
        <w:br/>
        <w:t>presente  caso  Servellón  García  y  Otros  versus  Honduras  no  se  hayan</w:t>
        <w:br/>
        <w:t>presentado problemas de orden jurisdiccional,  sin  embargo  cabe  aquí  una</w:t>
        <w:br/>
        <w:t>precisión. Al extender su examen del caso más allá de lo que fue objeto  del</w:t>
        <w:br/>
        <w:t>reconocimiento de responsabilidad por parte del Estado, la Corte -  sin  que</w:t>
        <w:br/>
        <w:t>lo hubiera dicho - ha ejercido una facultad inherente a su jurisdicción.  La</w:t>
        <w:br/>
        <w:t>Corte parece no  haberse  dado  cuenta  de  que  la  tesis  de  los  poderes</w:t>
        <w:br/>
        <w:t>inherentes fortalece su base jurisdiccional.</w:t>
        <w:br/>
        <w:br/>
        <w:t>12.   Esto ha sido demostrado  fehacientemente  en  su  experiencia  en  los</w:t>
        <w:br/>
        <w:t>últimos años, en  el  ejercicio  de  sus  funciones  tanto  consultiva  como</w:t>
        <w:br/>
        <w:t>contenciosa. En cuanto a la primera, la Corte hizo uso,  de  modo  ejemplar,</w:t>
        <w:br/>
        <w:t>de sus facultades inherentes en su Opinión Consultiva n. 15, sobre  Informes</w:t>
        <w:br/>
        <w:t>de la Comisión  Interamericana  de  Derechos  Humanos  (Artículo  51  de  la</w:t>
        <w:br/>
        <w:t>Convención Americana de Derechos Humanos -  del  14.11.1997),  tal  como  lo</w:t>
        <w:br/>
        <w:t>señalé en mi  Voto  Concurrente.  Y,  en  lo  que  concierne  a  su  función</w:t>
        <w:br/>
        <w:t>contenciosa, sus dos históricas Sentencias, en  materia  jurisdiccional,  en</w:t>
        <w:br/>
        <w:t>los casos del Tribunal Constitucional y  de  Ivcher  Bronstein  versus  Perú</w:t>
        <w:br/>
        <w:t>(ambas del 24.09.1999), son hoy internacionalmente aclamadas como  una  gran</w:t>
        <w:br/>
        <w:t>contribución  a  la  jurisprudencia  internacional  en  el  sentido  de   la</w:t>
        <w:br/>
        <w:t>preservación de la integridad  y  del  fortalecimiento  de  la  jurisdicción</w:t>
        <w:br/>
        <w:t>internacional.</w:t>
        <w:br/>
        <w:br/>
        <w:t>13.   Las  pocas  voces  reaccionarias  discordantes  que  aún  insisten  en</w:t>
        <w:br/>
        <w:t>sostener una  posición  voluntarista  de  la  materia[123],  más  atentos  y</w:t>
        <w:br/>
        <w:t>abiertos  a  los  unilateralismos  estatales  (inclusive  la  pretensión  de</w:t>
        <w:br/>
        <w:t>retirar la aceptación estatal de la competencia de  la  Corte  con  "efectos</w:t>
        <w:br/>
        <w:t>inmediatos") que a los imperativos  de  la  jurisdicción  internacional,  se</w:t>
        <w:br/>
        <w:t>olvidan del carácter especial  de  los  tratados  de  derechos  humanos;  se</w:t>
        <w:br/>
        <w:t>olvidan de las miles y miles de víctimas del  régimen  represivo  instaurado</w:t>
        <w:br/>
        <w:t>en  el  Estado  demandado  en  la  época;  se  olvidan  de  que  la   propia</w:t>
        <w:br/>
        <w:t>credibilidad e integridad de la Corte estaban en juego; se  olvidan  de  que</w:t>
        <w:br/>
        <w:t>la jurisdicción internacional era la última esperanza  de  los  justiciables</w:t>
        <w:br/>
        <w:t>que se encontraban en total  indefensión;  se  olvidan  del  imperativo  del</w:t>
        <w:br/>
        <w:t>acceso a la justicia (perteneciente, a mi modo de ver, al  dominio  del  jus</w:t>
        <w:br/>
        <w:t>cogens).  Si  la  Corte  hubiera   seguido   una   visión   voluntarista   y</w:t>
        <w:br/>
        <w:t>estrictamente formalista del derecho aplicable, quizás hoy  día  ya  no  más</w:t>
        <w:br/>
        <w:t>existiría.</w:t>
        <w:br/>
        <w:br/>
        <w:t>14.   Afortunadamente, frente a la mayor crisis  que  enfrentó  en  toda  su</w:t>
        <w:br/>
        <w:t>historia hasta la fecha, la Corte hizo uso firme y correcto de  los  poderes</w:t>
        <w:br/>
        <w:t>inherentes a su jurisdicción, y sus dos referidas Sentencias  de  vanguardia</w:t>
        <w:br/>
        <w:t>del  24.09.1999  son   un   marco   en   la   jurisprudencia   internacional</w:t>
        <w:br/>
        <w:t>contemporánea  en  materia  de  protección  internacional  de  los  derechos</w:t>
        <w:br/>
        <w:t>humanos, como internacionalmente reconocido. Otro ejemplo  notable  del  uso</w:t>
        <w:br/>
        <w:t>de los poderes inherentes a su jurisdicción encuéntrase en su Sentencia  del</w:t>
        <w:br/>
        <w:t>28.11.2003, en el caso Baena Ricardo y  Otros  versus  Panamá,  en  la  cual</w:t>
        <w:br/>
        <w:t>sostuvo con igual firmeza su facultad inherente de supervisar  la  ejecución</w:t>
        <w:br/>
        <w:t>o fiel cumplimiento de sus propias sentencias.  Así,  en  el  presente  caso</w:t>
        <w:br/>
        <w:t>Servellón García y Otros versus Honduras, la Corte  podría  haber  sido  más</w:t>
        <w:br/>
        <w:t>explícita en cuanto a la facultad  inherente  a  su  jurisdicción  de  haber</w:t>
        <w:br/>
        <w:t>profundizado en el examen del contexto del cas d'espèce.</w:t>
        <w:br/>
        <w:br/>
        <w:t>15.   Aún así, la Corte tomó en  debida  cuenta  el  contexto  del  presente</w:t>
        <w:br/>
        <w:t>caso. Como señalado en esta Sentencia, el  Estado  reconoció  la  existencia</w:t>
        <w:br/>
        <w:t>del "fenómeno de muertes violentas de menores", pero negó que se trataba  de</w:t>
        <w:br/>
        <w:t>"una  política  de  `profilaxis  social'"  (párr.  106).  La  Corte   afirmó</w:t>
        <w:br/>
        <w:t>correctamente que</w:t>
        <w:br/>
        <w:br/>
        <w:t xml:space="preserve">            "La responsabilidad  internacional  puede  configurarse  aún  en</w:t>
        <w:br/>
        <w:t xml:space="preserve">      ausencia de intencionalidad, y hechos violatorios de la Convención son</w:t>
        <w:br/>
        <w:t xml:space="preserve">      de responsabilidad del Estado independientemente de que éstos  sean  o</w:t>
        <w:br/>
        <w:t xml:space="preserve">      no consecuencia de una política estatal deliberada" (párr. 107).</w:t>
        <w:br/>
        <w:br/>
        <w:t>16.   O sea, la Corte, en el  ejercicio  de  una  facultad  inherente  a  su</w:t>
        <w:br/>
        <w:t>jurisdicción, determinó la responsabilidad  internacional  objetiva  (supra)</w:t>
        <w:br/>
        <w:t>del Estado. La Corte señaló que, en el origen  de  la  configuración  de  la</w:t>
        <w:br/>
        <w:t>responsabilidad  internacional  del  Estado,  éste  último  procedió  a  una</w:t>
        <w:br/>
        <w:t>detención programada y colectiva de 128 personas, "sin orden de detención  y</w:t>
        <w:br/>
        <w:t>sin haber sido aprehendidas en flagrante  delito",  detención  ésta  que  se</w:t>
        <w:br/>
        <w:t>realizó "con  la  declarada  finalidad  de  evitar  disturbios  durante  los</w:t>
        <w:br/>
        <w:t>desfiles que se  realizarían  para  celebrar  el  Día  de  la  Independencia</w:t>
        <w:br/>
        <w:t>Nacional" (párr. 91). En la valoración de la Corte, y  en  concordancia  con</w:t>
        <w:br/>
        <w:t>su anterior Sentencia (del 18.09.2003) en el caso Bulacio versus  Argentina,</w:t>
        <w:br/>
        <w:t>"las razzias son incompatibles con el respeto a los derechos  fundamentales"</w:t>
        <w:br/>
        <w:t>(párr. 93), y  los  hechos  del  presente  caso  Servellón  García  y  Otros</w:t>
        <w:br/>
        <w:t>ocurrieron "en el marco de un contexto de violencia en contra de  los  niños</w:t>
        <w:br/>
        <w:t>y jóvenes en situación de riesgo social en Honduras" (párr. 104).</w:t>
        <w:br/>
        <w:br/>
        <w:br/>
        <w:t xml:space="preserve">      III.  Una Tragedia Contemporánea: Los Atentados  contra  los  Derechos</w:t>
        <w:br/>
        <w:t>Humanos en Medio a la Descomposición del Tejido Social.</w:t>
        <w:br/>
        <w:br/>
        <w:br/>
        <w:t>17.   En las  declaraciones  periciales  que  obran  en  el  expediente  del</w:t>
        <w:br/>
        <w:t>presente caso, recogidas en la Sentencia que viene de  adoptar  esta  Corte,</w:t>
        <w:br/>
        <w:t>hay referencias a "la política de limpiar las calles" y a  "la  política  de</w:t>
        <w:br/>
        <w:t>‘cero tolerancia’ del Estado" (párr. 37(2.a))  y  a  la  acción  del  crimen</w:t>
        <w:br/>
        <w:t>organizado, del narcotráfico  y  de  "grupos  particulares  clandestinos  de</w:t>
        <w:br/>
        <w:t>`limpieza social'" (párr. 37(3.b)).  El  cuadro  que  se  desprende  de  los</w:t>
        <w:br/>
        <w:t>hechos  del  presente  caso  es,  a  mi  modo  de  ver,  el  de  una   clara</w:t>
        <w:br/>
        <w:t>descomposición del tejido social,  de  un  medio  social  indiferente  a  la</w:t>
        <w:br/>
        <w:t>suerte de sus miembros marginados, y partidario de políticas  represivas,  -</w:t>
        <w:br/>
        <w:t>como hoy día se constata en la virtual totalidad  de  América  Latina  y  en</w:t>
        <w:br/>
        <w:t>casi todo el mundo, sobre todo en relación con los jóvenes (que viven en  un</w:t>
        <w:br/>
        <w:t>presente fugaz, sin futuro) y los migrantes indocumentados.</w:t>
        <w:br/>
        <w:br/>
        <w:t>18.   No sorprendentemente y en buena hora, la Corte  Interamericana  retoma</w:t>
        <w:br/>
        <w:t>su mejor jurisprudencia, de  las  Opiniones  Consultivas  n.  17,  sobre  La</w:t>
        <w:br/>
        <w:t>Condición Jurídica y Derechos Humanos del Niño (del 28.08.2002),  y  n.  18,</w:t>
        <w:br/>
        <w:t>sobre La Condición Jurídica y Derechos de los Migrantes Indocumentados  (del</w:t>
        <w:br/>
        <w:t>17.09.2003), así como de sus Sentencias en el  caso  de  los  "Niños  de  la</w:t>
        <w:br/>
        <w:t>Calle" (Villagrán Morales y Otros) versus Guatemala  (fondo,  19.11.1999,  y</w:t>
        <w:br/>
        <w:t>reparaciones, 26.05.2001)[124]. Ahora, en el presente caso Servellón  García</w:t>
        <w:br/>
        <w:t>y Otros, los hechos que han dado origen al cas  d'espèce  revelan,  una  vez</w:t>
        <w:br/>
        <w:t>más, que  casos  del  género  representan  un  microcosmo  de  la  violencia</w:t>
        <w:br/>
        <w:t>perpetrada, sin fronteras, contra niños en las calles del mundo,  reveladora</w:t>
        <w:br/>
        <w:t>a su vez del triste destino de muchos de los marginados y excluidos,  ya  en</w:t>
        <w:br/>
        <w:t>el alba de sus vidas. Para éstos, la vida efectivamente no es  más  que  una</w:t>
        <w:br/>
        <w:t>walking shadow, en la expresión de un escritor universal, y una  sombra  que</w:t>
        <w:br/>
        <w:t>muy pronto se desvanece. Su triste  destino  evoca  el  clásico  lamento  de</w:t>
        <w:br/>
        <w:t>Macbeth (1606) de Shakespeare:</w:t>
        <w:br/>
        <w:br/>
        <w:t xml:space="preserve">      "Tomorrow, and tomorrow, and tomorrow,</w:t>
        <w:br/>
        <w:t xml:space="preserve">      Creeps in this petty pace from day to day,</w:t>
        <w:br/>
        <w:t xml:space="preserve">      To the last syllable of recorded time;</w:t>
        <w:br/>
        <w:t xml:space="preserve">      And all our yesterdays have lighted fools</w:t>
        <w:br/>
        <w:t xml:space="preserve">      The way to dusty death. Out, out, brief candle,</w:t>
        <w:br/>
        <w:t xml:space="preserve">      Life's but a walking shadow, a poor player</w:t>
        <w:br/>
        <w:t xml:space="preserve">      That struts and frets his hour upon the stage,</w:t>
        <w:br/>
        <w:t xml:space="preserve">      And then is heard no more. It is a tale</w:t>
        <w:br/>
        <w:t xml:space="preserve">      Told by an idiot, full of sound and fury</w:t>
        <w:br/>
        <w:t xml:space="preserve">      Signifying nothing"[125].</w:t>
        <w:br/>
        <w:br/>
        <w:t>19.   Pero por más breves y  efímeras  que  hayan  sido  las  vidas  de  los</w:t>
        <w:br/>
        <w:t>abandonados del mundo, y torturados y  asesinados  con  brutalidad  por  sus</w:t>
        <w:br/>
        <w:t>semejantes, ocupan éstos, sin embargo, como víctimas, una  posición  central</w:t>
        <w:br/>
        <w:t>en el Derecho Internacional de los Derechos Humanos. La centralidad  de  las</w:t>
        <w:br/>
        <w:t>víctimas  en  el  universo  conceptual  del  Derecho  Internacional  de  los</w:t>
        <w:br/>
        <w:t>Derechos Humanos encuéntrase hoy sólidamente establecida,  para  lo  que  ha</w:t>
        <w:br/>
        <w:t>contribuido decisivamente la jurisprudencia de  esta  Corte  Interamericana.</w:t>
        <w:br/>
        <w:t>Como lo señalé en mi Voto Razonado en el caso de los  "Niños  de  la  Calle"</w:t>
        <w:br/>
        <w:t>(reparaciones, 2001), - y como el presente caso  Servellón  García  y  Otros</w:t>
        <w:br/>
        <w:t>vuelve a revelar, -</w:t>
        <w:br/>
        <w:br/>
        <w:t xml:space="preserve">            "El ser humano, aún en las  condiciones  más  adversas,  irrumpe</w:t>
        <w:br/>
        <w:t xml:space="preserve">      como sujeto del Derecho Internacional de los Derechos Humanos,  dotado</w:t>
        <w:br/>
        <w:t xml:space="preserve">      de plena capacidad jurídico-procesal internacional" (párr. 1).</w:t>
        <w:br/>
        <w:br/>
        <w:t>20.   En su obra clásica Los Misérables  (1862),  Victor  Hugo  pondera  con</w:t>
        <w:br/>
        <w:t>agudeza de espíritu:</w:t>
        <w:br/>
        <w:br/>
        <w:t xml:space="preserve">            "L'avenir arrivera-t-il? Il semble qu'on peut presque  se  faire</w:t>
        <w:br/>
        <w:t xml:space="preserve">      cette question quand on voit tant d'ombre terrible. Sombre face-à-face</w:t>
        <w:br/>
        <w:t xml:space="preserve">      des égoïstes et des misérables. Chez les égoïstes, les  préjugés,  les</w:t>
        <w:br/>
        <w:t xml:space="preserve">      ténèbres de l'éducation riche, l'appétit croissant  par  l'enivrement,</w:t>
        <w:br/>
        <w:t xml:space="preserve">      un étourdissement de prosperité qui assourdit, la crainte de  souffrir</w:t>
        <w:br/>
        <w:t xml:space="preserve">      qui, dans quelques-uns, va  jusqu'à  l'aversion  des  souffrants,  une</w:t>
        <w:br/>
        <w:t xml:space="preserve">      satisfaction implacable, le moi si enflé qu'il ferme l'âme; - chez les</w:t>
        <w:br/>
        <w:t xml:space="preserve">      misérables, la convoitise, l'envie, la haine de voir les autres jouir,</w:t>
        <w:br/>
        <w:t xml:space="preserve">      les profondes secousses de la bête humaine vers  les  assouvissements,</w:t>
        <w:br/>
        <w:t xml:space="preserve">      les coeurs pleins de brume, la  tristesse,  le  besoin,  la  fatalité,</w:t>
        <w:br/>
        <w:t xml:space="preserve">      l'ignorance impure et simple. Faut-il continuer de lever les yeux vers</w:t>
        <w:br/>
        <w:t xml:space="preserve">      le ciel? (...)"[126].</w:t>
        <w:br/>
        <w:br/>
        <w:t>21.    Las  palabras  penetrantes  de  Victor  Hugo  se  revisten  de   gran</w:t>
        <w:br/>
        <w:t>actualidad. Las disparidades que flagelan las sociedades nacionales  (y  que</w:t>
        <w:br/>
        <w:t>hoy se agravan en el mundo mentirosamente "globalizado" de  nuestros  días),</w:t>
        <w:br/>
        <w:t>ponen de manifiesto  una  de  sus  características  marcantes:  el  carácter</w:t>
        <w:br/>
        <w:t>tristemente represivo de  dichas  sociedades.  En  nombre  de  la  seguridad</w:t>
        <w:br/>
        <w:t>pública se  mata  con  impunidad  los  más  vulnerables,  los  marginados  y</w:t>
        <w:br/>
        <w:t>excluidos, los "indeseables", los misérables de Victor Hugo,  los  olvidados</w:t>
        <w:br/>
        <w:t>del mundo. Nuestras sociedades represivas de hoy día - no  sólo  en  América</w:t>
        <w:br/>
        <w:t>Latina sino en todos los continentes (a todos he visitado, y sé  de  lo  que</w:t>
        <w:br/>
        <w:t>hablo), - tampoco tienen memoria, están condenadas a vivir  en  un  presente</w:t>
        <w:br/>
        <w:t>fugaz y desesperador, sin perspectivas alentadoras, sin futuro.</w:t>
        <w:br/>
        <w:br/>
        <w:t>22.   En las tumbas de cada uno de los niños y jóvenes asesinados en el  cas</w:t>
        <w:br/>
        <w:t>d'espèce bien podría estar transcritos - hasta que los vientos y  la  lluvia</w:t>
        <w:br/>
        <w:t>los apaguen, bien después de la "memoria colectiva", - los  versos  con  que</w:t>
        <w:br/>
        <w:t>Victor Hugo concluye su obra Les Misérables:</w:t>
        <w:br/>
        <w:br/>
        <w:t xml:space="preserve">      "Il dort. Quoique le sort fût pour lui bien étrange,</w:t>
        <w:br/>
        <w:t xml:space="preserve">      Il vivait. Il mourut quand il n'eut plus son ange;</w:t>
        <w:br/>
        <w:t xml:space="preserve">      La chose simplement d'elle-même arriva,</w:t>
        <w:br/>
        <w:t xml:space="preserve">      Comme la nuit se fait lorsque le jour s'en va"[127].</w:t>
        <w:br/>
        <w:br/>
        <w:t>Precisamente al chiaroscuro de la vida me referí, en el  seno  de  la  Corte</w:t>
        <w:br/>
        <w:t>Interamericana, hace media década, en mi Voto  Razonado  en  el  supracitado</w:t>
        <w:br/>
        <w:t>caso de los "Niños de la  Calle",  al  abordar  la  tríada  formada  por  la</w:t>
        <w:br/>
        <w:t>victimización, el sufrimiento humano y la rehabilitación de las víctimas,  -</w:t>
        <w:br/>
        <w:t>a ser abordada a partir  de  la  integralidad  de  la  personalidad  de  las</w:t>
        <w:br/>
        <w:t>víctimas (párrs. 3 y 19):</w:t>
        <w:br/>
        <w:br/>
        <w:t xml:space="preserve">            "(...) La tensión del claro-oscuro, de los avances mezclados con</w:t>
        <w:br/>
        <w:t xml:space="preserve">      retrocesos, es propia de la condición humana, y constituye, en efecto,</w:t>
        <w:br/>
        <w:t xml:space="preserve">      uno de los legados más  preciosos  del  pensamiento  de  los  antiguos</w:t>
        <w:br/>
        <w:t xml:space="preserve">      griegos (siempre tan contemporáneos) a la  evolución  del  pensamiento</w:t>
        <w:br/>
        <w:t xml:space="preserve">      humano, que ha penetrado la  conciencia  humana  a  lo  largo  de  los</w:t>
        <w:br/>
        <w:t xml:space="preserve">      siglos. La alegoría platónica de la caverna, por ejemplo, revela,  con</w:t>
        <w:br/>
        <w:t xml:space="preserve">      toda lucidez y su gran densidad  existencial,  la  precariedad  de  la</w:t>
        <w:br/>
        <w:t xml:space="preserve">      condición  humana,  y,  por   consiguiente,   la   necesidad   de   la</w:t>
        <w:br/>
        <w:t xml:space="preserve">      trascendencia, más allá de la supuesta "realidad" cruda de los hechos.</w:t>
        <w:br/>
        <w:t xml:space="preserve">      En el campo del Derecho, bien más allá del positivismo  jurídico,  hay</w:t>
        <w:br/>
        <w:t xml:space="preserve">      que tener presente la realidad de la conciencia humana" (párr. 18).</w:t>
        <w:br/>
        <w:br/>
        <w:t>23.   En el mismo Voto Razonado advertí,  en  cuanto  a  la  proyección  del</w:t>
        <w:br/>
        <w:t>sufrimiento de las víctimas, que</w:t>
        <w:br/>
        <w:br/>
        <w:t xml:space="preserve">      "(...) el sufrimiento de los excluidos  se  proyecta  ineluctablemente</w:t>
        <w:br/>
        <w:t xml:space="preserve">      sobre todo el cuerpo social.  La  suprema  injusticia  del  estado  de</w:t>
        <w:br/>
        <w:t xml:space="preserve">      pobreza infligido a los  desafortunados  contamina  a  todo  el  medio</w:t>
        <w:br/>
        <w:t xml:space="preserve">      social, que, al valorizar la violencia y la agresividad, relega a  una</w:t>
        <w:br/>
        <w:t xml:space="preserve">      posición secundaria las víctimas (...). El  sufrimiento  humano  tiene</w:t>
        <w:br/>
        <w:t xml:space="preserve">      una dimensión tanto personal como social. Así, el daño causado a  cada</w:t>
        <w:br/>
        <w:t xml:space="preserve">      ser humano, por más humilde que sea, afecta a la propia comunidad como</w:t>
        <w:br/>
        <w:t xml:space="preserve">      un todo" (párr. 22).</w:t>
        <w:br/>
        <w:br/>
        <w:t>24.   La violencia gratuita e innecesaria de órganos  y  agentes  del  poder</w:t>
        <w:br/>
        <w:t>estatal, sobre todo contra los segmentos más vulnerables de la población,  y</w:t>
        <w:br/>
        <w:t>la exclusión y punición, así como el  confinamiento,  de  los  "indeseables"</w:t>
        <w:br/>
        <w:t>como "respuestas" estatales a un "problema social", ha  sido  una  constante</w:t>
        <w:br/>
        <w:t>en la historia del Estado moderno. No han ocurrido sólo  en  los  países  de</w:t>
        <w:br/>
        <w:t>América Latina, sino también de Europa y de todo el  mundo.  Al  examinarlos</w:t>
        <w:br/>
        <w:t>con detalles históricos, en los países de Europa occidental, en  el  período</w:t>
        <w:br/>
        <w:t>de 1500 hasta 1800 (en obra publicada originalmente  en  Francia  en  1961),</w:t>
        <w:br/>
        <w:t>Michel Foucault se dejó llevar a comentar que "civilization,  in  a  general</w:t>
        <w:br/>
        <w:t>way, constitutes a milieu favourable to the development of madness",  siendo</w:t>
        <w:br/>
        <w:t>esta última (la locura) "la negación de  la  razón"[128].  El  asesinato  de</w:t>
        <w:br/>
        <w:t>niños en las calles del mundo es, además  de  una  grave  violación  de  los</w:t>
        <w:br/>
        <w:t>derechos humanos, una manifestación de la locura de  los  "civilizados",  la</w:t>
        <w:br/>
        <w:t>más enfática y asustadora negación de la razón.</w:t>
        <w:br/>
        <w:br/>
        <w:t>25.   Al respecto, el respetable jusfilósofo  Karl  Jaspers  advertía,  hace</w:t>
        <w:br/>
        <w:t>algunas  décadas,  que  la  razón  -  que  encuéntrase  inseparable  de   la</w:t>
        <w:br/>
        <w:t>existencia humana - no se impone  per  se,  sino  resulta  de  una  decisión</w:t>
        <w:br/>
        <w:t>tomada  por  la  persona  humana  en  el  ejercicio  de  su  libertad.  Como</w:t>
        <w:br/>
        <w:t>reconocidamente nos encontramos a la  merced  de  eventos  que  se  producen</w:t>
        <w:br/>
        <w:t>"fuera de nuestro control", resulta que "reason can stand firm only  in  the</w:t>
        <w:br/>
        <w:t>strength of reason itself"[129]. Pienso que toda esta  cuestión  encuéntrase</w:t>
        <w:br/>
        <w:t>hasta cierto punto envuelta por el misterio de la propia existencia  humana.</w:t>
        <w:br/>
        <w:br/>
        <w:br/>
        <w:t>26.   Entre los cuatro victimados, torturados y asesinados por sus  verdugos</w:t>
        <w:br/>
        <w:t>en el presente caso Servellón y Otros, uno de ellos,  Diómedes,  simplemente</w:t>
        <w:br/>
        <w:t>lloró. Lloró antes de recibir un "aviso previo" de  que  sería  torturado  y</w:t>
        <w:br/>
        <w:t>muerto. Lloró ante su impotencia y la inevitabilidad de  su  asesinato  ante</w:t>
        <w:br/>
        <w:t>el monopolio del uso de la fuerza pública por el Estado. Nada le quedó  sino</w:t>
        <w:br/>
        <w:t>llorar, al despedirse de la vida, por decisión  arbitraria  y  criminosa  de</w:t>
        <w:br/>
        <w:t>sus verdugos. Y esto es un  de  los  muchos  casos  congéneres  que  ocurren</w:t>
        <w:br/>
        <w:t>diariamente en toda América Latina y en todo el mundo. El  Estado  crea  los</w:t>
        <w:br/>
        <w:t>"indeseables", al dejar de cumplir las funciones sociales</w:t>
        <w:br/>
        <w:t>para las cuales fue históricamente creado, y después los margina,</w:t>
        <w:br/>
        <w:t>excluye, confina, o mata (o deja matarlos).</w:t>
        <w:br/>
        <w:br/>
        <w:t xml:space="preserve">      IV.   La Reacción del Derecho: Las Prohibiciones del Jus Cogens  y  la</w:t>
        <w:br/>
        <w:t>Debida      Reparatio Revisitadas.</w:t>
        <w:br/>
        <w:br/>
        <w:br/>
        <w:t>27.   No podría concluir este Voto Razonado sin destacar la  importancia  de</w:t>
        <w:br/>
        <w:t>la jurisdicción internacional de los derechos  humanos:  una  vez  más,  los</w:t>
        <w:br/>
        <w:t>olvidados del mundo tuvieron su causa a ella elevada.  Las  humillaciones  y</w:t>
        <w:br/>
        <w:t>sufrimientos de que padecieron han sido judicialmente reconocidos,  con  sus</w:t>
        <w:br/>
        <w:t>consecuencias jurídicas para los responsables  por  ellos.  En  la  presente</w:t>
        <w:br/>
        <w:t>Sentencia, la Corte ha advertido para la peligrosa  estigmatización  de  que</w:t>
        <w:br/>
        <w:t>niños y jóvenes pobres estarían condicionados a la  delincuencia,  que  crea</w:t>
        <w:br/>
        <w:t>un "clima propicio" para que aquellos menores  en  situación  de  riesgo  se</w:t>
        <w:br/>
        <w:t>encuentren ante una amenaza latente  a  su  vida  e  integridad  y  libertad</w:t>
        <w:br/>
        <w:t>personales (párr. 112).</w:t>
        <w:br/>
        <w:br/>
        <w:t>28.   En  su  Informe  de  14.06.2002  respecto  de  Honduras,  la  Relatora</w:t>
        <w:br/>
        <w:t>Especial de Naciones Unidas sobre Ejecuciones  Extrajudiciales,  Sumarias  o</w:t>
        <w:br/>
        <w:t>Arbitrarias (Sra. A. Jahangir), advirtiendo contra  "la  criminalización  de</w:t>
        <w:br/>
        <w:t>la pobreza" y la tendencia equivocada a atribuir las  muertes  violentas  de</w:t>
        <w:br/>
        <w:t>menores a "enfrentamientos entre bandas"[130], afirmó que</w:t>
        <w:br/>
        <w:br/>
        <w:t xml:space="preserve">      "se  vinculan  sólida  y  categóricamente  los  casos  de  ejecuciones</w:t>
        <w:br/>
        <w:t xml:space="preserve">      extrajudiciales de niños y el fenómeno general de la violencia juvenil</w:t>
        <w:br/>
        <w:t xml:space="preserve">      y la pobreza en Honduras. (...) La delincuencia  juvenil  nunca  puede</w:t>
        <w:br/>
        <w:t xml:space="preserve">      utilizarse para justificar que las fuerzas de seguridad maten a  niños</w:t>
        <w:br/>
        <w:t xml:space="preserve">      a fin de mantener el orden público"[131].</w:t>
        <w:br/>
        <w:br/>
        <w:t>29.   Y acrecentó que en Honduras "los niños constituyen la  mayoría  de  la</w:t>
        <w:br/>
        <w:t>población", viviendo en condiciones de  vulnerabilidad,  afectados  por  "la</w:t>
        <w:br/>
        <w:t>pobreza y la inseguridad" derivadas de "la  injusticia  social,  política  y</w:t>
        <w:br/>
        <w:t>económica"[132]. Según la Relatora Especial de Naciones Unidas,</w:t>
        <w:br/>
        <w:br/>
        <w:t xml:space="preserve">      "en Honduras algunos niños han sido ejecutados  por  miembros  de  las</w:t>
        <w:br/>
        <w:t xml:space="preserve">      fuerzas de seguridad. En la mayoría de los  casos  los  niños  estaban</w:t>
        <w:br/>
        <w:t xml:space="preserve">      desarmados y no habían provocado a la policía a emplear la  fuerza,  y</w:t>
        <w:br/>
        <w:t xml:space="preserve">      mucho  menos  medios   letales.   (...)   Además   de   la   impunidad</w:t>
        <w:br/>
        <w:t xml:space="preserve">      institucionalizada, existe una campaña para condicionar a  la  opinión</w:t>
        <w:br/>
        <w:t xml:space="preserve">      pública a apoyar la `limpieza' de los niños indeseables en las  calles</w:t>
        <w:br/>
        <w:t xml:space="preserve">      de Honduras"[133].</w:t>
        <w:br/>
        <w:br/>
        <w:t>30.    A  su  vez,  en  la  misma  línea  de  razonamiento,  el   [entonces]</w:t>
        <w:br/>
        <w:t>Comisionado Nacional de los Derechos Humanos (Sr. Leo Valladares Lanza),  en</w:t>
        <w:br/>
        <w:t>su Informe Especial sobre Muertes Violentas de Niños, Niñas  y  Adolescentes</w:t>
        <w:br/>
        <w:t>en Honduras, del 21.01.2002, también advirtió contra la  marginación  social</w:t>
        <w:br/>
        <w:t>de niños y jóvenes en Honduras, la indiferencia  social  y  la  "intolerable</w:t>
        <w:br/>
        <w:t>impunidad" frente a la "muerte masiva de  adolescentes  y  jóvenes",  y  sus</w:t>
        <w:br/>
        <w:t>consecuencias  nefastas,  como  la  escalada  de  violencia  e   inseguridad</w:t>
        <w:br/>
        <w:t>ciudadana. En sus palabras,</w:t>
        <w:br/>
        <w:br/>
        <w:t xml:space="preserve">            "En los últimos cuatro  años  el  derecho  a  la  vida  y  a  la</w:t>
        <w:br/>
        <w:t xml:space="preserve">      integridad personal han sido transgredidos en forma sistemática, hacia</w:t>
        <w:br/>
        <w:t xml:space="preserve">      un sector  claramente  identificado.  Bajo  presunciones  arbitrarias,</w:t>
        <w:br/>
        <w:t xml:space="preserve">      agentes policiales, grupos organizados bajo la tolerancia del Estado y</w:t>
        <w:br/>
        <w:t xml:space="preserve">      hasta venganzas de particulares han asesinado a adolescentes y jóvenes</w:t>
        <w:br/>
        <w:t xml:space="preserve">      en distintas ciudades del país" (párr. 7)[134].</w:t>
        <w:br/>
        <w:br/>
        <w:t>31.   Al referirse  expresamente  al  caso  de  Servellón  García  y  Otros,</w:t>
        <w:br/>
        <w:t>denominado caso de los "cuatro puntos cardinales" (párr. 71), agregó que  "a</w:t>
        <w:br/>
        <w:t>la juventud se le ha obligado a desconfiar de una sociedad que  no  sólo  la</w:t>
        <w:br/>
        <w:t>margina, sino que la despoja y que le pone miles de obstáculos en el  camino</w:t>
        <w:br/>
        <w:t>para lograr su desarrollo o una mínima calidad de vida con dignidad"  (párr.</w:t>
        <w:br/>
        <w:t>38).  Ya  no  se  trata  de  desapariciones  forzadas  ni  de   "cementerios</w:t>
        <w:br/>
        <w:t>clandestinos" o "centros ocultos de detención" como  se  practicaban  en  la</w:t>
        <w:br/>
        <w:t>década de los ochentas (párr. 69). En mediados de los años noventa,  trátase</w:t>
        <w:br/>
        <w:t>de</w:t>
        <w:br/>
        <w:br/>
        <w:t xml:space="preserve">      "una campaña de 'limpieza social' o 'profilaxis social', en la que con</w:t>
        <w:br/>
        <w:t xml:space="preserve">      frecuencia se desconoce la identidad de las víctimas, se  confunde  la</w:t>
        <w:br/>
        <w:t xml:space="preserve">      de los victimarios y en muchos casos nadie pide una  investigación  de</w:t>
        <w:br/>
        <w:t xml:space="preserve">      lo ocurrido. (...) Los niños o jóvenes de la calle no se les reconocen</w:t>
        <w:br/>
        <w:t xml:space="preserve">      sus  derechos  y  siempre  se  les  presume  culpables,  en  lugar  de</w:t>
        <w:br/>
        <w:t xml:space="preserve">      inocentes. (...) La mayoría de los autores de la violencia son agentes</w:t>
        <w:br/>
        <w:t xml:space="preserve">      del orden público,  pero  paulatinamente  van  interviniendo  personas</w:t>
        <w:br/>
        <w:t xml:space="preserve">      calificadas  como  'desconocidas',  (...)  grupos  de   exterminio   o</w:t>
        <w:br/>
        <w:t xml:space="preserve">      escuadrones de la muerte, cuyos efectivos en algunos  casos  han  sido</w:t>
        <w:br/>
        <w:t xml:space="preserve">      reconocidos como miembros de cuerpos de seguridad del Estado"  (párrs.</w:t>
        <w:br/>
        <w:t xml:space="preserve">      69 y 72).</w:t>
        <w:br/>
        <w:br/>
        <w:t>32.   Al autoritarismo de la década de los ochentas se  siguió  este  cuadro</w:t>
        <w:br/>
        <w:t>de violencia crónica de la década de los noventas,  con  la  tolerancia  por</w:t>
        <w:br/>
        <w:t>parte del Estado y su negligencia en  cuanto  a  la  impunidad[135].  En  la</w:t>
        <w:br/>
        <w:t>lúcida  evaluación  del  autor  del  referido  Informe  Especial,   el   ex-</w:t>
        <w:br/>
        <w:t>Comisionado Leo Valladares Lanza,</w:t>
        <w:br/>
        <w:br/>
        <w:t xml:space="preserve">      "La pobreza o la extrema pobreza sigue siendo (...) la peor  forma  de</w:t>
        <w:br/>
        <w:t>violencia a que está sometida gran parte de  la  niñez  y  adolescencia  del</w:t>
        <w:br/>
        <w:t>país. En ella está la raíz que explica los miles de niños y  niñas  que  son</w:t>
        <w:br/>
        <w:t>víctimas diarias de abusos en las calles. (...) Los adultos se han  mostrado</w:t>
        <w:br/>
        <w:t>indiferentes o han respondido equivocadamente, considerándolos  'objetos  de</w:t>
        <w:br/>
        <w:t>compasión y represión al  mismo  tiempo,  en  lugar  de  sujetos  plenos  de</w:t>
        <w:br/>
        <w:t>derechos'" (párr. 43).</w:t>
        <w:br/>
        <w:br/>
        <w:t>33.   Ante esta jurisdicción internacional,  los  olvidados  del  mundo  son</w:t>
        <w:br/>
        <w:t>tratados como sujetos plenos de  derecho,  dotados  de  capacidad  jurídico-</w:t>
        <w:br/>
        <w:t>procesal internacional. Sus padecimientos no pasan en vano. En  la  presente</w:t>
        <w:br/>
        <w:t>Sentencia en el caso Servellón García  y  Otros,  el  caso  de  los  "cuatro</w:t>
        <w:br/>
        <w:t>puntos cardinales", la Corte Interamericana concluyó que</w:t>
        <w:br/>
        <w:br/>
        <w:t xml:space="preserve">      "las víctimas fueron  detenidas  colectivamente,  de  forma  ilegal  y</w:t>
        <w:br/>
        <w:t xml:space="preserve">      arbitraria,  sometidas  a  torturas  y  tratos  crueles,  inhumanos  o</w:t>
        <w:br/>
        <w:t xml:space="preserve">      degradantes durante su detención. (...) El  ensañamiento  con  que  se</w:t>
        <w:br/>
        <w:t xml:space="preserve">      ejecutó a las víctimas, privándoles de la vida  en  forma  humillante,</w:t>
        <w:br/>
        <w:t xml:space="preserve">      las marcas de tortura física presentes en los cuatro cadáveres,  y  la</w:t>
        <w:br/>
        <w:t xml:space="preserve">      forma  como  sus  cuerpos  fueron   abandonados   a   la   intemperie,</w:t>
        <w:br/>
        <w:t xml:space="preserve">      constituyeron graves atentados al derecho a la vida, a la integridad y</w:t>
        <w:br/>
        <w:t xml:space="preserve">      libertad personales" (párr. 99).</w:t>
        <w:br/>
        <w:br/>
        <w:t>34.   Frente a los hechos del  presente  caso,  la  Corte  ha  correctamente</w:t>
        <w:br/>
        <w:t>reiterado su posición en el sentido de que la  prohibición  absoluta  de  la</w:t>
        <w:br/>
        <w:t>tortura y penas o tratos crueles, inhumanos o degradantes, y el respeto  del</w:t>
        <w:br/>
        <w:t>principio básico de igualdad y no-discriminación, se  revisten  de  carácter</w:t>
        <w:br/>
        <w:t>imperativo, pertenecen al dominio del jus cogens,  y  acarrean  obligaciones</w:t>
        <w:br/>
        <w:t>erga omnes de protección (párrs. 97  y  94),  con  todas  sus  consecuencias</w:t>
        <w:br/>
        <w:t>jurídicas para las reparaciones. Sobre este último punto,  me  permito  aquí</w:t>
        <w:br/>
        <w:t>reiterar lo que señalé en  mi  Voto  Razonado  en  el  caso  Bulacio  versus</w:t>
        <w:br/>
        <w:t>Argentina (Sentencia del 18.09.2003), a saber:</w:t>
        <w:br/>
        <w:br/>
        <w:t xml:space="preserve">            "Es aquí que el Derecho interviene, para frenar la crueldad  con</w:t>
        <w:br/>
        <w:t xml:space="preserve">      que los seres humanos tratan a sus semejantes. Es aquí,  en  razón  de</w:t>
        <w:br/>
        <w:t xml:space="preserve">      esto, que interviene el Derecho, para afirmar su propio primado  sobre</w:t>
        <w:br/>
        <w:t xml:space="preserve">      la fuerza bruta, para intentar ordenar las  relaciones  humanas  según</w:t>
        <w:br/>
        <w:t xml:space="preserve">      los dictados de la recta ratio (el derecho natural), para  mitigar  el</w:t>
        <w:br/>
        <w:t xml:space="preserve">      sufrimiento  humano,  y  para  hacer  la  vida,  de  ese  modo,  menos</w:t>
        <w:br/>
        <w:t xml:space="preserve">      insoportable, o quizás soportable, - en el  entendimiento  de  que  la</w:t>
        <w:br/>
        <w:t xml:space="preserve">      vida con sufrimiento, y solidaridad, es preferible a la no-existencia.</w:t>
        <w:br/>
        <w:t xml:space="preserve">      (...)</w:t>
        <w:br/>
        <w:t xml:space="preserve">            De ahí la importancia de la realización de la  justicia.  Contra</w:t>
        <w:br/>
        <w:t xml:space="preserve">      los actos de violencia violatorios de los derechos humanos se erige el</w:t>
        <w:br/>
        <w:t xml:space="preserve">      orden  jurídico  (nacional  e   internacional),   para   asegurar   la</w:t>
        <w:br/>
        <w:t xml:space="preserve">      prevalencia de la justicia y, de ese modo, extender satisfacción a las</w:t>
        <w:br/>
        <w:t xml:space="preserve">      víctimas (directas e indirectas). En su obra L'Ordinamento  Giuridico,</w:t>
        <w:br/>
        <w:t xml:space="preserve">      originalmente publicada en 1918, el jusfilósofo italiano Santi  Romano</w:t>
        <w:br/>
        <w:t xml:space="preserve">      sostenía que la sanción no se prende a normas  jurídicas  específicas,</w:t>
        <w:br/>
        <w:t xml:space="preserve">      sino es inmanente al orden jurídico como un todo,  operando  como  una</w:t>
        <w:br/>
        <w:t xml:space="preserve">      'garantía efectiva' de todos los derechos subjetivos  en  dicho  orden</w:t>
        <w:br/>
        <w:t xml:space="preserve">      consagrados[136]. (...)</w:t>
        <w:br/>
        <w:t xml:space="preserve">            El Derecho, emanado de la conciencia humana y por  ésta  movido,</w:t>
        <w:br/>
        <w:t xml:space="preserve">      viene a  proveer  la  reparatio  (del  latín  reparare,  'disponer  de</w:t>
        <w:br/>
        <w:t xml:space="preserve">      nuevo'); interviene, asimismo,  para  impedir  que  el  mal  vuelva  a</w:t>
        <w:br/>
        <w:t xml:space="preserve">      repetirse,  o  sea,  para  establecer,  como  una  de  las  formas  de</w:t>
        <w:br/>
        <w:t xml:space="preserve">      reparación no-pecuniaria de los daños resultantes de  las  violaciones</w:t>
        <w:br/>
        <w:t xml:space="preserve">      de derechos humanos perpetradas, la garantía de no-repetición  de  los</w:t>
        <w:br/>
        <w:t xml:space="preserve">      hechos lesivos. Dicha garantía de  no-repetición  ya  tiene  su  lugar</w:t>
        <w:br/>
        <w:t xml:space="preserve">      asegurado en el elenco de las formas de reparación por las violaciones</w:t>
        <w:br/>
        <w:t xml:space="preserve">      de los derechos humanos. (...)</w:t>
        <w:br/>
        <w:t xml:space="preserve">            La reparatio no pone fin a lo ocurrido, a la  violación  de  los</w:t>
        <w:br/>
        <w:t xml:space="preserve">      derechos humanos. El mal ya se cometió[137]; mediante la reparatio  se</w:t>
        <w:br/>
        <w:t xml:space="preserve">      evita que se agraven sus consecuencias (por la indiferencia del  medio</w:t>
        <w:br/>
        <w:t xml:space="preserve">      social, por la  impunidad,  por  el  olvido).  Bajo  este  prisma,  la</w:t>
        <w:br/>
        <w:t xml:space="preserve">      reparatio se reviste de doble significado: provee  satisfacción  (como</w:t>
        <w:br/>
        <w:t xml:space="preserve">      forma de reparación) a las víctimas, o sus familiares, cuyos  derechos</w:t>
        <w:br/>
        <w:t xml:space="preserve">      han sido violados, al mismo tiempo en que restablece el orden jurídico</w:t>
        <w:br/>
        <w:t xml:space="preserve">      quebrantado por dichas violaciones, - un orden jurídico erigido  sobre</w:t>
        <w:br/>
        <w:t xml:space="preserve">      el pleno respeto de los derechos inherentes a la persona  humana[138].</w:t>
        <w:br/>
        <w:t xml:space="preserve">      El orden jurídico, así restablecido, requiere la garantía  de  la  no-</w:t>
        <w:br/>
        <w:t xml:space="preserve">      repetición de los hechos lesivos.</w:t>
        <w:br/>
        <w:t xml:space="preserve">             La  reparatio  dispone  de  nuevo,  reordena  la  vida  de  los</w:t>
        <w:br/>
        <w:t xml:space="preserve">      sobrevivientes victimados, pero no logra eliminar el dolor que ya está</w:t>
        <w:br/>
        <w:t xml:space="preserve">      incorporado ineluctablemente al cotidiano de su existencia.  (...)  La</w:t>
        <w:br/>
        <w:t xml:space="preserve">      reparatio es un deber ineludible de los que tienen por responsabilidad</w:t>
        <w:br/>
        <w:t xml:space="preserve">      impartir  la  justicia.  En  una  etapa  de  mayor  desarrollo  de  la</w:t>
        <w:br/>
        <w:t xml:space="preserve">      conciencia humana, y por  consiguiente  del  propio  Derecho,  resulta</w:t>
        <w:br/>
        <w:t xml:space="preserve">      indudable que la realización de la justicia  se  sobrepone  a  todo  y</w:t>
        <w:br/>
        <w:t xml:space="preserve">      cualquier obstáculo (...). La reparatio es una reacción, en  el  plano</w:t>
        <w:br/>
        <w:t xml:space="preserve">      del Derecho, a la crueldad humana, manifestada  en  las  más  diversas</w:t>
        <w:br/>
        <w:t xml:space="preserve">      formas: la violencia en el trato con los semejantes, la  impunidad  de</w:t>
        <w:br/>
        <w:t xml:space="preserve">      los responsables por parte del poder público,  la  indiferencia  y  el</w:t>
        <w:br/>
        <w:t xml:space="preserve">      olvido del medio social.</w:t>
        <w:br/>
        <w:t xml:space="preserve">            Esta reacción del orden jurídico quebrantado (cuyo substratum es</w:t>
        <w:br/>
        <w:t xml:space="preserve">      precisamente la observancia de los  derechos  humanos)  se  mueve,  en</w:t>
        <w:br/>
        <w:t xml:space="preserve">      última instancia, por el espíritu de solidaridad humana. Esta  última,</w:t>
        <w:br/>
        <w:t xml:space="preserve">      a su vez, enseña que el olvido es inadmisible  (...).  La  reparación,</w:t>
        <w:br/>
        <w:t xml:space="preserve">      así entendida, comportando, en  el  marco  de  la  realización  de  la</w:t>
        <w:br/>
        <w:t xml:space="preserve">      justicia, la satisfacción a las  víctimas  (o  sus  familiares)  y  la</w:t>
        <w:br/>
        <w:t xml:space="preserve">      garantía de no-repetición de los hechos lesivos, (...) se  reviste  de</w:t>
        <w:br/>
        <w:t xml:space="preserve">      innegable importancia. El rechazo de la indiferencia y del  olvido,  y</w:t>
        <w:br/>
        <w:t xml:space="preserve">      la garantía de no-repetición de las violaciones,  son  manifestaciones</w:t>
        <w:br/>
        <w:t xml:space="preserve">      de los lazos de solidaridad entre los victimados y los  potencialmente</w:t>
        <w:br/>
        <w:t xml:space="preserve">      victimables, en el mundo violento y vacío de valores en  que  vivimos.</w:t>
        <w:br/>
        <w:t xml:space="preserve">      (...)" (párrs. 30, 33, 35 y 37-40).</w:t>
        <w:br/>
        <w:br/>
        <w:t>35.   Estas reflexiones, que me permití  desarrollar  en  el  caso  Bulacio,</w:t>
        <w:br/>
        <w:t>sitúan, a mi modo de ver, en su debida dimensión, las distintas  modalidades</w:t>
        <w:br/>
        <w:t>de reparación ordenadas por la Corte Interamericana también en  el  presente</w:t>
        <w:br/>
        <w:t>caso Servellón García y Otros. Me parece de todo  apropiado  ordenar,  v.g.,</w:t>
        <w:br/>
        <w:t>como lo ha hecho la Corte en la  presente  Sentencia  (punto  resolutivo  n.</w:t>
        <w:br/>
        <w:t>13), la realización, por  el  Estado  demandado,  de  "una  campaña  con  la</w:t>
        <w:br/>
        <w:t>finalidad  de  sensibilizar  a  la  sociedad  hondureña   respecto   de   la</w:t>
        <w:br/>
        <w:t>importancia de la protección a los niños y  jóvenes,  informarla  sobre  los</w:t>
        <w:br/>
        <w:t>deberes específicos para su protección que corresponden a la familia,  a  la</w:t>
        <w:br/>
        <w:t>sociedad y al Estado, y hacer ver a la población que los niños y jóvenes  en</w:t>
        <w:br/>
        <w:t>situación de riesgo social no están identificados con la delincuencia".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t>-----------------------</w:t>
        <w:br/>
        <w:t>(     El Juez Oliver Jackman no participó en la deliberación y firma  de  la</w:t>
        <w:br/>
        <w:t>presente Resolución, ya que informó a la Corte que, por  motivos  de  fuerza</w:t>
        <w:br/>
        <w:t>mayor, no podía participar en el LXXII Período  Ordinario  de  Sesiones  del</w:t>
        <w:br/>
        <w:t>Tribunal.</w:t>
        <w:br/>
        <w:t>[1]   En 1993 se inició un proceso de reforma policial que  originó,  en  el</w:t>
        <w:br/>
        <w:t>año 1998, la emisión de la Ley Orgánica de Policía (Decreto Número  156-98),</w:t>
        <w:br/>
        <w:t>que sustituyó la Ley Orgánica de la Fuerza  de  Seguridad  Pública  (Decreto</w:t>
        <w:br/>
        <w:t>Número 369 de  16  de  agosto  de  1976).   Conforme  a  la  nueva  Ley,  se</w:t>
        <w:br/>
        <w:t>fusionaron  la  Policía  Preventiva  y   la   de   Investigación   bajo   la</w:t>
        <w:br/>
        <w:t>responsabilidad de la Dirección General de Investigación  Criminal  adscrita</w:t>
        <w:br/>
        <w:t>al Secretario de Estado  de  Seguridad.   La  estructura  jerárquica  de  la</w:t>
        <w:br/>
        <w:t>Fuerza de Seguridad Pública (FUSEP) se modificó al transformarse ésta en  la</w:t>
        <w:br/>
        <w:t>Policía Nacional, pasando de una organización militar a una policial.</w:t>
        <w:br/>
        <w:t>[2]    Durante  el  trámite  del  caso  el  Estado  realizó  cambios  en  la</w:t>
        <w:br/>
        <w:t>designación de sus representantes ante la Corte.</w:t>
        <w:br/>
        <w:t>[3]   Cfr. Caso Ximenes Lopes. Sentencia de 4 de julio de 2006. Serie C  No.</w:t>
        <w:br/>
        <w:t>149, párr. 42; Caso de las Masacres de Ituango. Sentencia de 1 de  julio  de</w:t>
        <w:br/>
        <w:t>2006. Serie C No. 148, párr. 106; y Caso Baldeón García. Sentencia de  6  de</w:t>
        <w:br/>
        <w:t>abril de 2005. Serie C No. 147, párr. 60.</w:t>
        <w:br/>
        <w:br/>
        <w:t>[4]   Cfr. Caso Ximenes Lopes, supra nota 3, párr. 43; Caso de las  Masacres</w:t>
        <w:br/>
        <w:t>de Ituango, supra nota 3, párr. 107; y Caso Baldeón García,  supra  nota  3,</w:t>
        <w:br/>
        <w:t>párr. 61.</w:t>
        <w:br/>
        <w:br/>
        <w:t>[5]   Cfr. Caso Ximenes Lopes, supra nota 3, párr. 44; Caso de las  Masacres</w:t>
        <w:br/>
        <w:t>de Ituango, supra nota 3, párr. 108; y Caso Baldeón García,  supra  nota  3,</w:t>
        <w:br/>
        <w:t>párr. 62.</w:t>
        <w:br/>
        <w:br/>
        <w:t>[6]   Cfr. Caso Ximenes Lopes, supra nota 3, párr. 48; Caso de las  Masacres</w:t>
        <w:br/>
        <w:t>de Ituango, supra nota 3, párr. 112; y Caso Baldeón García,  supra  nota  3,</w:t>
        <w:br/>
        <w:t>párr. 65.</w:t>
        <w:br/>
        <w:br/>
        <w:t>[7]   Cfr. Caso de la Comunidad Indígena Sawhoyamaxa.  Sentencia  de  29  de</w:t>
        <w:br/>
        <w:t>marzo de 2006. Serie C No. 146, párr. 48;  Caso  de  la  Masacre  de  Pueblo</w:t>
        <w:br/>
        <w:t>Bello. Sentencia de 31 de enero de 2006. Serie C No. 140, párr. 77;  y  Caso</w:t>
        <w:br/>
        <w:t>Gómez Palomino.  Sentencia de 22 de noviembre de  2005.  Serie  C  No.  136,</w:t>
        <w:br/>
        <w:t>párr. 52.</w:t>
        <w:br/>
        <w:br/>
        <w:t>[8]   Cfr. Caso Ximenes Lopes, supra nota 3, párr. 52; Caso de las  Masacres</w:t>
        <w:br/>
        <w:t>de Ituango, supra nota 3, párr. 114; y Caso Baldeón García,  supra  nota  3,</w:t>
        <w:br/>
        <w:t>párr. 66.</w:t>
        <w:br/>
        <w:br/>
        <w:t>[9]   Cfr. Caso de la Masacre de Mapiripán. Sentencia de  15  de  septiembre</w:t>
        <w:br/>
        <w:t>de 2005. Serie C No. 134, párr. 66; y Caso Mack Chang. Sentencia  de  25  de</w:t>
        <w:br/>
        <w:t>noviembre de 2003. Serie C No. 101, párr. 108.</w:t>
        <w:br/>
        <w:br/>
        <w:t>[10]  Cfr. Caso Ximenes Lopes, supra nota 3, párr. 55; Caso de las  Masacres</w:t>
        <w:br/>
        <w:t>de Ituango, supra nota 3, párr. 122; y Caso Palamara Iribarne. Sentencia  de</w:t>
        <w:br/>
        <w:t>22 de noviembre de 2005. Serie C No. 135, párr. 60.</w:t>
        <w:br/>
        <w:br/>
        <w:t>[11]  Cfr. Caso Ximenes Lopes, supra nota 3, párr. 61; Caso de las  Masacres</w:t>
        <w:br/>
        <w:t>de Ituango, supra nota 3, párr. 57; y Caso Baldeón  García,  supra  nota  3,</w:t>
        <w:br/>
        <w:t>párr. 37.</w:t>
        <w:br/>
        <w:br/>
        <w:t>[12]  Cfr. Caso Montero Aranguren y otros. Sentencia de 5 de julio de  2006.</w:t>
        <w:br/>
        <w:t>Serie C No. 150, párr. 39; Caso Ximenes Lopes, supra nota  3,  párr.  62;  y</w:t>
        <w:br/>
        <w:t>Caso de las Masacres de Ituango, supra nota 3, párr. 58.</w:t>
        <w:br/>
        <w:t>[13]  Cfr. Acosta Calderón. Sentencia de 24 de junio de 2005.  Serie  C  No.</w:t>
        <w:br/>
        <w:t>129, párr. 37; y Caso Caesar.  Sentencia de 11 de marzo  de  2005.  Serie  C</w:t>
        <w:br/>
        <w:t>No. 123, párr. 38.</w:t>
        <w:br/>
        <w:br/>
        <w:t>[14]  Cfr. Caso Montero Aranguren y otros, supra nota  12,  párr.  55;  Caso</w:t>
        <w:br/>
        <w:t>Baldeón García, supra nota 3, párr. 166; y Caso  de  la  Masacre  de  Pueblo</w:t>
        <w:br/>
        <w:t>Bello, supra nota 7, párr. 219.</w:t>
        <w:br/>
        <w:br/>
        <w:t>[15]  Cfr. Caso Montero Aranguren y otros, supra nota  12,  párr.  57;  Caso</w:t>
        <w:br/>
        <w:t>Ximenes Lopes, supra nota 3, párr. 80; y Caso de las  Masacres  de  Ituango,</w:t>
        <w:br/>
        <w:t>supra nota 3, párr. 79.</w:t>
        <w:br/>
        <w:br/>
        <w:t>[16]  Cfr. Caso Montero Aranguren y otros, supra nota 12,  párr.  131;  Caso</w:t>
        <w:br/>
        <w:t>Ximenes Lopes, supra nota 3, párr. 81; y Caso de las  Masacres  de  Ituango,</w:t>
        <w:br/>
        <w:t>supra nota 3, párr. 80.</w:t>
        <w:br/>
        <w:br/>
        <w:t>[17]  Cfr. Los derechos civiles y políticos, en  particular  las  cuestiones</w:t>
        <w:br/>
        <w:t>relacionadas con las desapariciones y las ejecuciones sumarias.  Ejecuciones</w:t>
        <w:br/>
        <w:t>extrajudiciales, sumarias o arbitrarias. Informe de  la  Relatora  Especial,</w:t>
        <w:br/>
        <w:t>Sra. Asma Jahangir, presentado en cumplimiento de la Resolución  2002/36  de</w:t>
        <w:br/>
        <w:t>la   Comisión   de   Derechos   Humanos.   Adición.   Misión   a   Honduras.</w:t>
        <w:br/>
        <w:t>E/CN.4/2003/3/Add.2. 14 de  junio  de  2002;  Comisionado  Nacional  de  los</w:t>
        <w:br/>
        <w:t>Derechos Humanos de Honduras, Informe Anual 2003,  Capítulo  II  (expediente</w:t>
        <w:br/>
        <w:t>de anexos al escrito de solicitudes y argumentos, anexo  2,  folios  1927  a</w:t>
        <w:br/>
        <w:t>1932);  Informe  Especial  sobre  muertes  violentas  de  niños,   niñas   y</w:t>
        <w:br/>
        <w:t>adolescentes en Honduras. Comisionado Nacional de los Derechos  Humanos.  21</w:t>
        <w:br/>
        <w:t>de enero de 2002 (expediente de anexos a  la  demanda,  anexo  10.8,  folios</w:t>
        <w:br/>
        <w:t>1575 a 1628); Las pandillas o maras en el contexto  de  la  violencia  y  la</w:t>
        <w:br/>
        <w:t>impunidad  en  Honduras.  Casa  Alianza  Honduras,  Equipo   de   Reflexión,</w:t>
        <w:br/>
        <w:t>Investigación y Comunicación (ERIC) de la Compañía  de  Jesús  de  Honduras,</w:t>
        <w:br/>
        <w:t>marzo de 2004 (expediente de anexos al escrito de solicitudes y  argumentos,</w:t>
        <w:br/>
        <w:t>anexo 1, folios 1828 a 1895); Casa Alianza Honduras,  Equipo  de  Reflexión,</w:t>
        <w:br/>
        <w:t>Investigación y Comunicación (ERIC) de la Compañía  de  Jesús  de  Honduras,</w:t>
        <w:br/>
        <w:t>“Reunión de Trabajo sobre el fenómeno de las maras o pandillas en  Honduras”</w:t>
        <w:br/>
        <w:t>de 26 de octubre  de  2004  (expediente  de  anexos  a  la  demanda  de  los</w:t>
        <w:br/>
        <w:t>representantes de las víctimas y sus familiares, tomo  I,  anexo  5,  folios</w:t>
        <w:br/>
        <w:t>1969  al  1983);  Diagnóstico  de  la  Criminalidad  en  Honduras   (Resumen</w:t>
        <w:br/>
        <w:t>Ejecutivo).  Comisionado  Nacional  de  los  Derechos  Humanos  de  Honduras</w:t>
        <w:br/>
        <w:t>(expediente  de  prueba  para  mejor  resolver,  folios  2370  al  2417);  y</w:t>
        <w:br/>
        <w:t>Estadísticas a nivel nacional.  Publicado entre julio de 2003 y  octubre  de</w:t>
        <w:br/>
        <w:t>2005 y Estadísticas a nivel nacional.   Publicado  entre  julio  de  2003  y</w:t>
        <w:br/>
        <w:t>enero de 2006. Unidad  Especial  de  Investigación  de  Muertes  de  Menores</w:t>
        <w:br/>
        <w:t>(expediente de prueba para mejor resolver, folios 2738 al 2866).</w:t>
        <w:br/>
        <w:br/>
        <w:t>[18]  Cfr. Los derechos civiles y políticos, en  particular  las  cuestiones</w:t>
        <w:br/>
        <w:t>relacionadas con las desapariciones y las ejecuciones sumarias.  Ejecuciones</w:t>
        <w:br/>
        <w:t>extrajudiciales, sumarias o arbitrarias. Informe de  la  Relatora  Especial,</w:t>
        <w:br/>
        <w:t>Sra. Asma Jahangir, presentado en cumplimiento de la resolución  2002/36  de</w:t>
        <w:br/>
        <w:t>la   Comisión   de   Derechos   Humanos.   Adición.   Misión   a   Honduras.</w:t>
        <w:br/>
        <w:t>E/CN.4/2003/3/Add.2. 14 de junio de 2002;  Informe  Especial  sobre  muertes</w:t>
        <w:br/>
        <w:t>violentas de niños, niñas y adolescentes en Honduras.  Comisionado  Nacional</w:t>
        <w:br/>
        <w:t>de los Derechos Humanos. 21 de enero de 2002  (expediente  de  anexos  a  la</w:t>
        <w:br/>
        <w:t>demanda, anexo 10.8, folios 1575 a  1628);  Las  pandillas  o  maras  en  el</w:t>
        <w:br/>
        <w:t>contexto de la violencia y la impunidad en Honduras. Casa Alianza  Honduras,</w:t>
        <w:br/>
        <w:t>Equipo de Reflexión, Investigación y Comunicación (ERIC) de la  Compañía  de</w:t>
        <w:br/>
        <w:t>Jesús de Honduras, marzo  de  2004  (expediente  de  anexos  al  escrito  de</w:t>
        <w:br/>
        <w:t>solicitudes y argumentos,  anexo  1,  folios  1828  a  1895);  Casa  Alianza</w:t>
        <w:br/>
        <w:t>Honduras, Equipo de Reflexión, Investigación y  Comunicación  (ERIC)  de  la</w:t>
        <w:br/>
        <w:t>Compañía de Jesús de Honduras, “Reunión de Trabajo sobre el fenómeno de  las</w:t>
        <w:br/>
        <w:t>maras o pandillas en Honduras” de 26  de  octubre  de  2004  (expediente  de</w:t>
        <w:br/>
        <w:t>anexos a la demanda de los representantes de las víctimas y sus  familiares,</w:t>
        <w:br/>
        <w:t>tomo I, anexo 5, folios 1969 al 1983); Diagnóstico  de  la  Criminalidad  en</w:t>
        <w:br/>
        <w:t>Honduras (Resumen Ejecutivo). Comisionado Nacional de los  Derechos  Humanos</w:t>
        <w:br/>
        <w:t>de Honduras (expediente de  prueba  para  mejor  resolver,  folios  2370  al</w:t>
        <w:br/>
        <w:t>2417); y peritaje del señor Ramón Antonio Romero Cantarero rendido el 14  de</w:t>
        <w:br/>
        <w:t>diciembre de 2005 (expediente de fondo y eventuales reparaciones  y  costas,</w:t>
        <w:br/>
        <w:t>tomo III, folios 548 a 554).</w:t>
        <w:br/>
        <w:br/>
        <w:t>[19]  Cfr. Comisionado Nacional de Derechos  Humanos  de  Honduras,  Informe</w:t>
        <w:br/>
        <w:t>Anual 2003, Capítulo II (expediente de anexos al escrito  de  solicitudes  y</w:t>
        <w:br/>
        <w:t>argumentos, anexo 2, folio  1928);  Comisionado  Nacional  de  los  Derechos</w:t>
        <w:br/>
        <w:t>Humanos de Honduras, Informe Anual 2003, Capítulo II (expediente  de  anexos</w:t>
        <w:br/>
        <w:t>al escrito de solicitudes y  argumentos,  anexo  2,  folios  1927  a  1932);</w:t>
        <w:br/>
        <w:t>Informe Especial sobre muertes violentas de niños, niñas y  adolescentes  en</w:t>
        <w:br/>
        <w:t>Honduras. Comisionado Nacional de los Derechos Humanos. 21 de enero de  2002</w:t>
        <w:br/>
        <w:t>(expediente de anexos a la demanda, anexo 10.8, folios  1575  a  1628);  Las</w:t>
        <w:br/>
        <w:t>pandillas o maras  en  el  contexto  de  la  violencia  y  la  impunidad  en</w:t>
        <w:br/>
        <w:t>Honduras. Casa  Alianza  Honduras,  Equipo  de  Reflexión,  Investigación  y</w:t>
        <w:br/>
        <w:t>Comunicación (ERIC) de la Compañía de  Jesús  de  Honduras,  marzo  de  2004</w:t>
        <w:br/>
        <w:t>(expediente de anexos al escrito  de  solicitudes  y  argumentos,  anexo  1,</w:t>
        <w:br/>
        <w:t>folios  1828  a  1895);  Casa  Alianza  Honduras,   Equipo   de   Reflexión,</w:t>
        <w:br/>
        <w:t>Investigación y Comunicación (ERIC) de la Compañía  de  Jesús  de  Honduras,</w:t>
        <w:br/>
        <w:t>“Reunión de Trabajo sobre el fenómeno de las maras o pandillas en  Honduras”</w:t>
        <w:br/>
        <w:t>de 26 de octubre  de  2004  (expediente  de  anexos  a  la  demanda  de  los</w:t>
        <w:br/>
        <w:t>representantes de las víctimas y sus familiares, tomo  I,  anexo  5,  folios</w:t>
        <w:br/>
        <w:t>1969 al 1983);  y  Diagnóstico  de  la  Criminalidad  en  Honduras  (Resumen</w:t>
        <w:br/>
        <w:t>Ejecutivo).  Comisionado  Nacional  de  los  Derechos  Humanos  de  Honduras</w:t>
        <w:br/>
        <w:t>(expediente de prueba para mejor resolver, folios 2370 al 2417).</w:t>
        <w:br/>
        <w:br/>
        <w:t>[20]  Cfr. Comisionado Nacional de Derechos  Humanos  de  Honduras,  Informe</w:t>
        <w:br/>
        <w:t>Anual 2003, Capítulo II (expediente de anexos al escrito  de  solicitudes  y</w:t>
        <w:br/>
        <w:t>argumentos,  anexo  2,  folio  1928);  Casa  Alianza  Honduras,  Equipo   de</w:t>
        <w:br/>
        <w:t>Reflexión, Investigación y Comunicación (ERIC) de la Compañía  de  Jesús  de</w:t>
        <w:br/>
        <w:t>Honduras, “Las pandillas o maras  en  el  contexto  de  la  violencia  y  la</w:t>
        <w:br/>
        <w:t>impunidad en Honduras”, marzo de 2004, Informe presentado ante  la  Comisión</w:t>
        <w:br/>
        <w:t>Interamericana de Derechos Humanos durante su  120º  período  de  audiencias</w:t>
        <w:br/>
        <w:t>(expediente de anexos al escrito  de  solicitudes  y  argumentos,  anexo  1,</w:t>
        <w:br/>
        <w:t>folios 1828 a 1895); Los derechos civiles y  políticos,  en  particular  las</w:t>
        <w:br/>
        <w:t>cuestiones relacionadas con las desapariciones y las  ejecuciones  sumarias.</w:t>
        <w:br/>
        <w:t>Ejecuciones extrajudiciales, sumarias o arbitrarias. Informe de la  Relatora</w:t>
        <w:br/>
        <w:t>Especial, Sra. Asma Jahangir, presentado en cumplimiento  de  la  resolución</w:t>
        <w:br/>
        <w:t>2002/36 de la Comisión de Derechos  Humanos.  Adición.  Misión  a  Honduras.</w:t>
        <w:br/>
        <w:t>E/CN.4/2003/3/Add.2. 14 de junio de 2002;  Informe  Especial  sobre  muertes</w:t>
        <w:br/>
        <w:t>violentas de niños, niñas y adolescentes en Honduras.  Comisionado  Nacional</w:t>
        <w:br/>
        <w:t>de los Derechos Humanos. 21 de enero de 2002  (expediente  de  anexos  a  la</w:t>
        <w:br/>
        <w:t>demanda, anexo 10.8, folios 1575 a  1628);  Las  pandillas  o  maras  en  el</w:t>
        <w:br/>
        <w:t>contexto de la violencia y la impunidad en Honduras. Casa Alianza  Honduras,</w:t>
        <w:br/>
        <w:t>Equipo de Reflexión, Investigación y Comunicación (ERIC) de la  Compañía  de</w:t>
        <w:br/>
        <w:t>Jesús de Honduras, marzo  de  2004  (expediente  de  anexos  al  escrito  de</w:t>
        <w:br/>
        <w:t>solicitudes y argumentos,  anexo  1,  folios  1828  a  1895);  Casa  Alianza</w:t>
        <w:br/>
        <w:t>Honduras, Equipo de Reflexión, Investigación y  Comunicación  (ERIC)  de  la</w:t>
        <w:br/>
        <w:t>Compañía de Jesús de Honduras, “Reunión de Trabajo sobre el fenómeno de  las</w:t>
        <w:br/>
        <w:t>maras o pandillas en Honduras” de 26  de  octubre  de  2004  (expediente  de</w:t>
        <w:br/>
        <w:t>anexos a la demanda de los representantes de las víctimas y sus  familiares,</w:t>
        <w:br/>
        <w:t>tomo I, anexo 5, folios 1969 al 1983); Diagnóstico  de  la  Criminalidad  en</w:t>
        <w:br/>
        <w:t>Honduras (Resumen Ejecutivo). Comisionado Nacional de los  Derechos  Humanos</w:t>
        <w:br/>
        <w:t>de Honduras (expediente de prueba para mejor resolver, folios 2370 a  2417);</w:t>
        <w:br/>
        <w:t>y  Diagnóstico  de  la  Criminalidad  en   Honduras   (Resumen   Ejecutivo).</w:t>
        <w:br/>
        <w:t>Comisionado Nacional de los Derechos  Humanos  de  Honduras  (expediente  de</w:t>
        <w:br/>
        <w:t>prueba para mejor resolver, folios 2370 al 2417);  y  Estadísticas  a  nivel</w:t>
        <w:br/>
        <w:t>nacional.  Publicado entre julio de 2003 y octubre de 2005 y Estadísticas  a</w:t>
        <w:br/>
        <w:t>nivel nacional.  Publicado entre julio de  2003  y  enero  de  2006.  Unidad</w:t>
        <w:br/>
        <w:t>Especial de Investigación de Muertes de Menores (expediente de  prueba  para</w:t>
        <w:br/>
        <w:t>mejor resolver, folios 2738 al 2866).</w:t>
        <w:br/>
        <w:br/>
        <w:t>[21]  Cfr. declaración de Marvin Rafael Díaz rendida ante el Juzgado de  Paz</w:t>
        <w:br/>
        <w:t>Segundo de lo Criminal el 19 de marzo de 1996 (expediente  de  anexos  a  la</w:t>
        <w:br/>
        <w:t>demanda, anexo 4, tomo I, folio 1201 a 1203).</w:t>
        <w:br/>
        <w:br/>
        <w:t>[22]  Cfr.  informe  de  inspecciones  oculares  No.  2192  emitido  por  el</w:t>
        <w:br/>
        <w:t>Ministerio Público el 17 de septiembre de 1995 (expediente de  de  anexos  a</w:t>
        <w:br/>
        <w:t>la demanda, anexo 4, tomo I, folio 1006).</w:t>
        <w:br/>
        <w:br/>
        <w:t>[23]  Cfr. declaración de Carlos Yovanny Arguijo Hernández rendida  ante  el</w:t>
        <w:br/>
        <w:t>Juzgado de Paz Segundo de lo Criminal el 20 de marzo de 1996 (expediente  de</w:t>
        <w:br/>
        <w:t>anexos a la demanda, anexo 4, tomo I, folios 1146 a 1148).</w:t>
        <w:br/>
        <w:br/>
        <w:t>[24]  Cfr. declaración de Marvin Rafael Díaz rendida ante el Juzgado de  Paz</w:t>
        <w:br/>
        <w:t>Segundo de lo Criminal el 19 de marzo de 1996 (expediente  de  anexos  a  la</w:t>
        <w:br/>
        <w:t>demanda, anexo 4, tomo I, folio 1201 a 1203). En consideración del  contexto</w:t>
        <w:br/>
        <w:t>de la declaración, la Corte entiende que “palmar” significa matar.</w:t>
        <w:br/>
        <w:br/>
        <w:t>[25]  Cfr. declaración de Krisell Mahely Amador rendida ante el Juzgado de</w:t>
        <w:br/>
        <w:t>Paz Segundo de lo Criminal el 11 de octubre de 1995 (expediente de anexos a</w:t>
        <w:br/>
        <w:t>la demanda, anexo 4, tomo I, folios 1183 al 1186).</w:t>
        <w:br/>
        <w:br/>
        <w:t>[26]  Cfr. declaración de Cristian Omar Guerrero Harry rendida ante el</w:t>
        <w:br/>
        <w:t>Juzgado de Paz Segundo de lo Criminal el 15 de marzo de 1996 (expediente de</w:t>
        <w:br/>
        <w:t>anexos a la demanda, anexo 4, tomo I, folios 1197 y 1198).</w:t>
        <w:br/>
        <w:br/>
        <w:t>[27]   Cfr.  reportaje  periodístico   titulado   “Encuentran   otros   tres</w:t>
        <w:br/>
        <w:t>desconocidos ejecutados en diferentes lugares”, publicado por el  diario  El</w:t>
        <w:br/>
        <w:t>Heraldo, el 18 de septiembre de 1995 (expediente de  anexos  a  la  demanda,</w:t>
        <w:br/>
        <w:t>anexo 4, folio 967).</w:t>
        <w:br/>
        <w:br/>
        <w:t>[28]  Cfr. “informe sobre la denuncia [No.]  9173  recibida  [(sic)]  en  la</w:t>
        <w:br/>
        <w:t>DIC” emitido por inspectora de derechos  humanos  de  la  DIC,  señora  Nery</w:t>
        <w:br/>
        <w:t>Suyapa Osorio, dirigido a la Fiscal  Titular  de  la  Fiscalía  de  Derechos</w:t>
        <w:br/>
        <w:t>Humanos, señora Marlina Durbor de  Flores,  el  17  de  septiembre  de  1995</w:t>
        <w:br/>
        <w:t>(expediente de anexos a la demanda, anexo 4, tomo I, folio 987 a 980).</w:t>
        <w:br/>
        <w:br/>
        <w:t>[29]  Cfr. ampliación de dictamen médico legal del especialista en  Medicina</w:t>
        <w:br/>
        <w:t>Legal y Patología Forense del Ministerio Público de 8 de diciembre  de  1995</w:t>
        <w:br/>
        <w:t>(expediente de anexos a la demanda, anexo 4, tomo 1, folios 927 y 928).</w:t>
        <w:br/>
        <w:br/>
        <w:t>[30]  Cfr. informe del Inspector de Derechos  Humanos  de  la  Dirección  de</w:t>
        <w:br/>
        <w:t>Investigación Criminal, Nery Suyapa Osorio, dirigido a la Fiscal Titular  de</w:t>
        <w:br/>
        <w:t>la Fiscalía de Derechos Humanos, Sonia Marlina Dubor de  Flores,  de  17  de</w:t>
        <w:br/>
        <w:t>septiembre de 1995 (expediente de anexos a la  demanda,  anexo  4,  tomo  I,</w:t>
        <w:br/>
        <w:t>folios 987 a 990).</w:t>
        <w:br/>
        <w:br/>
        <w:t>[31]  Cfr. oficio de la Adjunta Primera  del  Comisionado  Nacional  de  los</w:t>
        <w:br/>
        <w:t>Derechos Humanos,  Irma  Esperanza  Pineda  Santos,  dirigido  a  la  Fiscal</w:t>
        <w:br/>
        <w:t>Especial de los Derechos Humanos, Sonia Marlina Dubor de  Flores,  de  5  de</w:t>
        <w:br/>
        <w:t>octubre de 1995 (expediente de anexos a la demanda, anexo 4, tomo  I,  folio</w:t>
        <w:br/>
        <w:t>952).</w:t>
        <w:br/>
        <w:br/>
        <w:t>(     En lo que se refiere al señor José Alberto  Alfaro  Martínez,  en  los</w:t>
        <w:br/>
        <w:t>documentos presentados por las  partes  aparece  indistintamente  el  nombre</w:t>
        <w:br/>
        <w:t>José Alberto o Alberto José.  Esta Corte entiende que se trata de  la  misma</w:t>
        <w:br/>
        <w:t>persona, en razón de lo cual en la presente Sentencia  utilizará  el  nombre</w:t>
        <w:br/>
        <w:t>José Alberto Alfaro Martínez.</w:t>
        <w:br/>
        <w:br/>
        <w:t>[32]   Cfr.  denuncia  de  5  de  marzo  de  1996  presentada  por   Manases</w:t>
        <w:br/>
        <w:t>Betancourth Nuñez ante Juzgado de Letras Primero de lo Criminal  (expediente</w:t>
        <w:br/>
        <w:t>de anexos a la demanda, anexo 4, tomo I, folios 845 a 850)</w:t>
        <w:br/>
        <w:br/>
        <w:t>[33]  Cfr. auto dictado por el Juzgado de Letras Primero de lo Criminal,  de</w:t>
        <w:br/>
        <w:t>5 de marzo de 1996 (expediente de anexos a la  demanda,  anexo  4,  tomo  I,</w:t>
        <w:br/>
        <w:t>folios 864 a 865).</w:t>
        <w:br/>
        <w:br/>
        <w:t>[34]  Cfr. acusación criminal  presentada  por  la  Fiscal  Auxiliar  de  la</w:t>
        <w:br/>
        <w:t>Fiscalía Especial de  Derechos  Humanos  del  Ministerio  Público,  Mercedes</w:t>
        <w:br/>
        <w:t>Suyapa Vásquez Coello ante el Juez de Letras de Primero de lo  Criminal,  de</w:t>
        <w:br/>
        <w:t>6 de mayo de 1996 (expediente de anexos a  la  demanda,  anexo  4,  tomo  I,</w:t>
        <w:br/>
        <w:t>folios 905 a 926).</w:t>
        <w:br/>
        <w:br/>
        <w:t>[35]  Cfr. auto dictado por el Juzgado de Letras Primero de lo Criminal,  el</w:t>
        <w:br/>
        <w:t>6 de mayo de 1996 (expediente de anexos a  la  demanda,  anexo  4,  tomo  I,</w:t>
        <w:br/>
        <w:t>folios 1022 y 1023).</w:t>
        <w:br/>
        <w:br/>
        <w:t>[36]  Cfr. libelo del abogado Henriech Rommel  Pineda  Platteros,  apoderado</w:t>
        <w:br/>
        <w:t>legal del señor Manases Betancourt Núñez,  presentado  ante  el  Juzgado  de</w:t>
        <w:br/>
        <w:t>Letras Primero de lo Criminal, de 6 de agosto de 1996 (expediente de  anexos</w:t>
        <w:br/>
        <w:t>a la demanda, anexo 4, tomo I, folios 1210 y 1211).</w:t>
        <w:br/>
        <w:br/>
        <w:t>[37]  Cfr. auto dictado por el Juzgado de Letras Primero de lo Criminal,  de</w:t>
        <w:br/>
        <w:t>6 de agosto de 1996 (expediente de anexos a la demanda,  anexo  4,  tomo  I,</w:t>
        <w:br/>
        <w:t>folio 1212); libelo de la abogada Mercedes Suyapa Vasquez Coello  presentado</w:t>
        <w:br/>
        <w:t>ante el Juzgado de Letras Primero de lo Criminal  solicitando  reposición  y</w:t>
        <w:br/>
        <w:t>apelación en subsidio, de 13 de agosto de 1996 (expediente de  anexos  a  la</w:t>
        <w:br/>
        <w:t>demanda, anexo 4, tomo I, folios 1215 y 1216); y resolución dictada  por  la</w:t>
        <w:br/>
        <w:t>Corte Primera de Apelaciones, Tegucigalpa, Municipio del  Distrito  Central,</w:t>
        <w:br/>
        <w:t>de 21 de enero de 1997 (expediente de anexos a la demanda, anexo 4, tomo  I,</w:t>
        <w:br/>
        <w:t>folios 1223 a 1226).</w:t>
        <w:br/>
        <w:br/>
        <w:t>[38]  Cfr. oficio de la Secretaría de la Corte Suprema de Justicia  dirigido</w:t>
        <w:br/>
        <w:t>al Juzgado de Letras  Primero  de  lo  Criminal,  de  21  de  mayo  de  2002</w:t>
        <w:br/>
        <w:t>(expediente de anexos a la demanda, anexo 4, tomo II, folio 1433).</w:t>
        <w:br/>
        <w:br/>
        <w:t>[39]  Cfr. oficio de la Secretaría de la Corte Suprema de Justicia  dirigido</w:t>
        <w:br/>
        <w:t>al Juzgado de Letras Penal de la Sección Judicial de Tegucigalpa, de  21  de</w:t>
        <w:br/>
        <w:t>agosto de 2002 (expediente de anexos a la demanda, anexo 4, tomo  II,  folio</w:t>
        <w:br/>
        <w:t>1433).</w:t>
        <w:br/>
        <w:br/>
        <w:t>[40]  Cfr. libelo de la abogada Tania Fiallos Rivera, Fiscal del  Ministerio</w:t>
        <w:br/>
        <w:t>Público, adscrita a la Fiscalía Especial de los Derechos  Humanos,  dirigido</w:t>
        <w:br/>
        <w:t>al Juez de Letras Penal de Tegucigalpa, de 14 de enero de  2005  (expediente</w:t>
        <w:br/>
        <w:t>de anexos de prueba para mejor resolver, folios 2317 a 2325).</w:t>
        <w:br/>
        <w:br/>
        <w:t>[41]  Cfr. auto resolutivo del Juzgado de Letras de lo Penal de  la  Sección</w:t>
        <w:br/>
        <w:t>Judicial de Tegucigalpa, de 9 de febrero de 2005 (expediente  de  anexos  de</w:t>
        <w:br/>
        <w:t>prueba para mejor resolver, folios 2327 a 2334).</w:t>
        <w:br/>
        <w:br/>
        <w:t>[42]  Cfr.  auto  de  notificación  de  la  abogada  Tania  Fiallos  Rivera,</w:t>
        <w:br/>
        <w:t>interponiendo recurso de reposición y apelación en subsidio en contra de  la</w:t>
        <w:br/>
        <w:t>resolución del juzgado de 9 de febrero de 2005, de 16 de  febrero  de  2005.</w:t>
        <w:br/>
        <w:t>(expediente de anexos a la contestación de la demanda, folio 2359);  y  auto</w:t>
        <w:br/>
        <w:t>del Juzgado de Letras Penal de la Sección Judicial de Tegucigalpa, de 17  de</w:t>
        <w:br/>
        <w:t>febrero del 2005 (expediente de anexos de prueba para mejor resolver,  folio</w:t>
        <w:br/>
        <w:t>2363).</w:t>
        <w:br/>
        <w:br/>
        <w:t>[43]  Cfr. escrito de  Alberto  José  Alfaro  Martínez  presentado  ante  el</w:t>
        <w:br/>
        <w:t>Juzgado de Letras de lo Penal, Sección Judicial de  Tegucigalpa,  de  15  de</w:t>
        <w:br/>
        <w:t>febrero de 2005 (expediente de anexos de prueba para mejor resolver,  folios</w:t>
        <w:br/>
        <w:t>2344 y 2345).</w:t>
        <w:br/>
        <w:br/>
        <w:t>[44]  Cfr. acta de declaración  indagatoria  José  Alberto  Alfaro  Martínez</w:t>
        <w:br/>
        <w:t>rendida ante al Juzgado de Letras Primero de lo Criminal, el 15  de  febrero</w:t>
        <w:br/>
        <w:t>de 2005 (expediente de anexos de prueba para mejor resolver, folios  2351  a</w:t>
        <w:br/>
        <w:t>2355).</w:t>
        <w:br/>
        <w:br/>
        <w:t>[45]  Cfr. libelo de los abogados Isis  B.  Linares  Mendoza  y  Juan  Pablo</w:t>
        <w:br/>
        <w:t>Aguilar Galo, dirigido al Juez de Letras de lo  Penal  Sección  Judicial  de</w:t>
        <w:br/>
        <w:t>Tegucigalpa, de 20 de febrero de 2005 (expediente de anexos de  prueba  para</w:t>
        <w:br/>
        <w:t>mejor resolver, folios 2372 a 2383).</w:t>
        <w:br/>
        <w:br/>
        <w:t>[46]  Cfr. resolución del Juzgado de Letras  de  lo  Penal,  de  la  Sección</w:t>
        <w:br/>
        <w:t>Judicial de Tegucigalpa del Departamento de  Francisco  Morazán,  de  21  de</w:t>
        <w:br/>
        <w:t>febrero de 2005 (expediente de anexos de prueba para mejor resolver,  folios</w:t>
        <w:br/>
        <w:t>2393 a 2400).</w:t>
        <w:br/>
        <w:br/>
        <w:t>[47]  Crf. auto de notificación del abogado Juan Pablo  Aguilar  Galo  y  la</w:t>
        <w:br/>
        <w:t>abogada Isis B.  Linares  Mendoza  interponiendo  recurso  de  reposición  y</w:t>
        <w:br/>
        <w:t>subsidiaria apelación, de 22  de  febrero  de  2005  (expediente  de  anexos</w:t>
        <w:br/>
        <w:t>prueba de para mejor resolver, folios 2401 a 2402), y  oficio  de  la  Corte</w:t>
        <w:br/>
        <w:t>Primera Suprema de Apelaciones dirigido  al  Juzgado  Penal  de  la  Sección</w:t>
        <w:br/>
        <w:t>Judicial de Tegucigalpa del Departamento de  Francisco  Morazán,  de  14  de</w:t>
        <w:br/>
        <w:t>abril 2005 (expediente de  anexos  de  prueba  para  mejor  resolver,  folio</w:t>
        <w:br/>
        <w:t>2412).</w:t>
        <w:br/>
        <w:br/>
        <w:t>[48]   Cfr.  sentencia  de  la  Corte  Suprema  de  Justicia,  Sala  de   lo</w:t>
        <w:br/>
        <w:t>Constitucional, de 14 de diciembre de 2005 (expediente de prueba para  mejor</w:t>
        <w:br/>
        <w:t>resolver, anexo A, folios 3241 a 3252).</w:t>
        <w:br/>
        <w:br/>
        <w:t>[49]  Cfr. resolución de la Corte Primera de Apelaciones, de 22 de junio  de</w:t>
        <w:br/>
        <w:t>2005 (expediente de prueba para mejor  resolver,  anexo  A,  folios  3229  a</w:t>
        <w:br/>
        <w:t>3240).</w:t>
        <w:br/>
        <w:br/>
        <w:t>[50]   Cfr.  resolución  de  la  Corte  Suprema  de  Justicia,  Sala  de  lo</w:t>
        <w:br/>
        <w:t>Constitucional, de 14 de diciembre de 2005 (expediente de prueba para  mejor</w:t>
        <w:br/>
        <w:t>resolver, anexo A, folios 3241 a 3252).</w:t>
        <w:br/>
        <w:br/>
        <w:t>[51]  Cfr. declaración de Dilcia Álvarez Ríos rendida  ante  el  Juzgado  de</w:t>
        <w:br/>
        <w:t>Paz de Criminal de Tegucigalpa, el 23 de  febrero  de  1996  (expediente  de</w:t>
        <w:br/>
        <w:t>anexos a la demanda, anexo 4, tomo I, folios 1102 y  1103);  e  informe  del</w:t>
        <w:br/>
        <w:t>Inspector de Derechos Humanos de la  Dirección  de  Investigación  Criminal,</w:t>
        <w:br/>
        <w:t>Nery Suyapa Osorio, dirigido a la Fiscal Titular de la Fiscalía de  Derechos</w:t>
        <w:br/>
        <w:t>Humanos, Sonia Marlina  Dubor  de  Flores,  de  17  de  septiembre  de  1995</w:t>
        <w:br/>
        <w:t>(expediente de anexos a la demanda, anexo 4, tomo I, folios 987 a 990).</w:t>
        <w:br/>
        <w:br/>
        <w:t>[52]  Cfr. declaración rendida por Ana Luisa Vargas Soto ante el Juzgado de</w:t>
        <w:br/>
        <w:t>Letras Primero de lo Criminal el 07 de marzo de 1996 (expediente de anexos</w:t>
        <w:br/>
        <w:t>a la demanda, anexo 4, tomo I, folios 867 a 870), y declaración rendida por</w:t>
        <w:br/>
        <w:t>Manases Betancourt Nuñes ante el Juzgado de Paz Segundo de lo Criminal el 7</w:t>
        <w:br/>
        <w:t>de marzo de 1996 (expediente de anexos a la demanda, anexo 4, tomo I,</w:t>
        <w:br/>
        <w:t>folios 1137 a 1140).</w:t>
        <w:br/>
        <w:br/>
        <w:t>[53]   Cfr.  comprobantes  de  gastos  de  CEJIL  (anexos  al   escrito   de</w:t>
        <w:br/>
        <w:t>solicitudes y argumentos, tomo II, folios  2255  a  2259,  y  expediente  de</w:t>
        <w:br/>
        <w:t>anexos al escrito de alegatos finales presentados  por  los  representantes,</w:t>
        <w:br/>
        <w:t>folios 2252 a 2254; y 2258 a 2260).</w:t>
        <w:br/>
        <w:br/>
        <w:t>[54]  Cfr. Caso Bulacio. Sentencia de 18 de septiembre de 2003. Serie C  No.</w:t>
        <w:br/>
        <w:t>100, párr. 124; Caso Juan Humberto Sánchez.  Sentencia  de  7  de  junio  de</w:t>
        <w:br/>
        <w:t>2003. Serie C No. 99, párr. 86; y Caso Hilaire,  Constantine  y  Benjamín  y</w:t>
        <w:br/>
        <w:t>otros. Sentencia de 21 de junio de 2002. Serie C No. 94, párr. 101.</w:t>
        <w:br/>
        <w:br/>
        <w:t>[55]  Cfr. Caso López Álvarez. Sentencia de 1 de febrero de  2006.  Serie  C</w:t>
        <w:br/>
        <w:t>No. 141, párr. 67; Caso García Asto y Ramírez  Rojas.  Sentencia  de  25  de</w:t>
        <w:br/>
        <w:t>noviembre de 2005. Serie C No. 137, párr. 106;  y  Caso  Palamara  Iribarne,</w:t>
        <w:br/>
        <w:t>supra nota 10, párr. 197.</w:t>
        <w:br/>
        <w:br/>
        <w:t>[56]  Cfr. Caso de las Masacres de Ituango, supra nota 3,  párr.  149;  Caso</w:t>
        <w:br/>
        <w:t>López Álvarez, supra nota 55, párr. 58; y  Caso  Masacre  de  Pueblo  Bello,</w:t>
        <w:br/>
        <w:t>supra nota 7, párr. 108.</w:t>
        <w:br/>
        <w:br/>
        <w:t>[57]  Cfr. Caso López Álvarez, supra nota 55, párr. 66; Caso García  Asto  y</w:t>
        <w:br/>
        <w:t>Ramírez Rojas, supra nota 55, párr. 105; y  Caso  Palamara  Iribarne,  supra</w:t>
        <w:br/>
        <w:t>nota 10, párr. 215.</w:t>
        <w:br/>
        <w:br/>
        <w:t>[58]  Cfr. Caso López Álvarez,  supra  nota  55,  párr.  69;  Caso  Palamara</w:t>
        <w:br/>
        <w:t>Iribarne, supra nota 10, párr. 198; y Caso Acosta Calderón, supra  nota  13,</w:t>
        <w:br/>
        <w:t>párr. 111.</w:t>
        <w:br/>
        <w:br/>
        <w:br/>
        <w:t>[59]  Cfr. Caso Bulacio, supra nota 54, párr. 137.</w:t>
        <w:br/>
        <w:br/>
        <w:t>[60]  Cfr. Condición Jurídica y Derechos de los Migrantes Indocumentados.</w:t>
        <w:br/>
        <w:t>Opinión Consultiva OC-18/03 de 17 de septiembre de 2003. Serie A No. 18,</w:t>
        <w:br/>
        <w:t>párr. 110.</w:t>
        <w:br/>
        <w:br/>
        <w:t>[61]  Cfr. Condición Jurídica y Derechos de los Migrantes Indocumentados.</w:t>
        <w:br/>
        <w:t>Opinión Consultiva OC-18/03, supra nota 60, párr. 85.</w:t>
        <w:br/>
        <w:br/>
        <w:t>[62]  Cfr. Condición Jurídica y Derechos de los Migrantes Indocumentados.</w:t>
        <w:br/>
        <w:t>Opinión Consultiva OC-18/03, supra nota 60, párrs. 100 y 101.</w:t>
        <w:br/>
        <w:br/>
        <w:t>[63]  Cfr. Caso Montero Aranguren y otros, supra nota  12,  párr.  85;  Caso</w:t>
        <w:br/>
        <w:t>Ximenes Lopes, supra nota 3, párr. 126; Caso de  las  Masacres  de  Ituango,</w:t>
        <w:br/>
        <w:t>supra nota 3, párr. 252; Caso Baldeón García, supra nota 3, párr. 117;  Caso</w:t>
        <w:br/>
        <w:t>García Asto y Ramírez Rojas, supra nota 55, párr. 222; Caso Fermín  Ramírez.</w:t>
        <w:br/>
        <w:t>Sentencia de 20 de junio de 2005. Serie C No 126, párr.  117;  Caso  Caesar,</w:t>
        <w:br/>
        <w:t>supra nota 13, párr. 59; Caso  Lori  Berenson  Mejía.  Sentencia  de  25  de</w:t>
        <w:br/>
        <w:t>noviembre de 2004. Serie C No.119,  párr.  100;  Caso  De  la  Cruz  Flores.</w:t>
        <w:br/>
        <w:t>Sentencia de 18 de noviembre de 2004. Serie  C  No.  115,  párr.  125;  Caso</w:t>
        <w:br/>
        <w:t>Tibi. Sentencia de 7 de septiembre de 2004. Serie  C  No.  114,  párr.  143;</w:t>
        <w:br/>
        <w:t>Caso de los Hermanos Gómez Paquiyauri. Sentencia de  8  de  julio  de  2004.</w:t>
        <w:br/>
        <w:t>Serie C No. 110, párrs. 111 y 112; Caso Maritza Urrutia. Sentencia de 27  de</w:t>
        <w:br/>
        <w:t>noviembre de 2003. Serie C No. 103, párrs. 89 y 92; Caso  Bámaca  Velásquez.</w:t>
        <w:br/>
        <w:t>Sentencia de 25 de noviembre de 2000, Serie C No.  70,  párr.  154;  y  Caso</w:t>
        <w:br/>
        <w:t>Cantoral Benavides. Sentencia de 18 de agosto  de  2000.  Serie  C  No.  69,</w:t>
        <w:br/>
        <w:t>párr. 95.</w:t>
        <w:br/>
        <w:br/>
        <w:t>[64]  Cfr. Caso Ximenes Lopes, supra nota 3, párr. 126; Caso de  la  Masacre</w:t>
        <w:br/>
        <w:t>Pueblo Bello, supra nota 7, párr. 119; y Caso “Instituto de Reeducación  del</w:t>
        <w:br/>
        <w:t>Menor”. Sentencia de 2 de septiembre de 2004. Serie C No. 112, párr. 157.</w:t>
        <w:br/>
        <w:br/>
        <w:t>[65]  Cfr. Caso Montero Aranguren y otros, supra nota  12,  párr.  64;  Caso</w:t>
        <w:br/>
        <w:t>Ximenes Lopes, supra nota 3, párr.125; y Caso de las  Masacres  de  Ituango,</w:t>
        <w:br/>
        <w:t>supra nota 3, párr. 131.</w:t>
        <w:br/>
        <w:br/>
        <w:t>[66]  Cfr. Caso Ximenes Lópes, supra nota 3, párr. 84; Caso  de  la  Masacre</w:t>
        <w:br/>
        <w:t>de Mapiripán, supra nota  9,  párr.  108;  y  Caso  de  los  Hermanos  Gómez</w:t>
        <w:br/>
        <w:t>Paquiyauri, supra nota 63, párr. 72.</w:t>
        <w:br/>
        <w:br/>
        <w:t>[67]  Cfr. Caso Ximenes Lopes, supra nota 3, párr. 84; Caso  de  la  Masacre</w:t>
        <w:br/>
        <w:t>de Pueblo Bello,  supra  nota  7,  párr.  111;  y  Caso  de  la  Masacre  de</w:t>
        <w:br/>
        <w:t>Mapiripán, supra nota 9, párr. 108.</w:t>
        <w:br/>
        <w:br/>
        <w:t>[68]  Cfr. Caso Montero Aranguren y otros, supra nota 12, párr. 66.</w:t>
        <w:br/>
        <w:br/>
        <w:t>[69]  Cfr. Caso Montero Aranguren y otros, supra nota  12,  párr.  64;  Caso</w:t>
        <w:br/>
        <w:t>Ximenes Lopes, supra nota 3, párr. 125; Caso de  las  Masacres  de  Ituango,</w:t>
        <w:br/>
        <w:t>supra nota 3, párr. 129; Caso Baldeón García, supra nota 3, párr.  83;  Caso</w:t>
        <w:br/>
        <w:t>Comunidad Indígena Sawhoyamaxa, supra nota 7, párr. 151; Caso de la  Masacre</w:t>
        <w:br/>
        <w:t>de Pueblo Bello, supra nota 7, párr. 120; Caso Huilca Tecse. Sentencia de  3</w:t>
        <w:br/>
        <w:t>de marzo de 2006. Serie C No. 121, párr. 65; Caso “Instituto de  Reeducación</w:t>
        <w:br/>
        <w:t>del  Menor”,  supra  nota  64,  párr.  156;  Caso  de  los  Hermanos   Gómez</w:t>
        <w:br/>
        <w:t>Paquiyauri, supra nota 63, párr. 128; Caso 19 Comerciantes. Sentencia de  12</w:t>
        <w:br/>
        <w:t>de julio de 2003. Serie C No. 93, párr. 153; Caso Myrna  Mack  Chang,  supra</w:t>
        <w:br/>
        <w:t>nota 9, párr. 152; Caso Juan Humberto Sánchez, supra nota 54, párr.  110;  y</w:t>
        <w:br/>
        <w:t>Caso de los “Niños de la Calle” (Villagrán Morales y  otros).  Sentencia  de</w:t>
        <w:br/>
        <w:t>19 de noviembre de 1999. Serie C No. 63, párr. 144.</w:t>
        <w:br/>
        <w:br/>
        <w:t>[70]  Cfr. Caso Ximenes  Lopes,  supra  nota  3,  párr.  172;  Caso  Baldeón</w:t>
        <w:br/>
        <w:t>García, supra nota 3, párr. 140; y Caso  de  la  Masacre  de  Pueblo  Bello,</w:t>
        <w:br/>
        <w:t>supra nota 7, párr. 112.</w:t>
        <w:br/>
        <w:br/>
        <w:t>[71]  Cfr. Los derechos civiles y políticos, en  particular  las  cuestiones</w:t>
        <w:br/>
        <w:t>relacionadas con las desapariciones y las ejecuciones sumarias.  Ejecuciones</w:t>
        <w:br/>
        <w:t>extrajudiciales, Sumarias o Arbitrarias. Informe de  la  Relatora  Especial,</w:t>
        <w:br/>
        <w:t>Sra. Asma Jahangir, presentado en cumplimiento de la resolución  2002/36  de</w:t>
        <w:br/>
        <w:t>la   Comisión   de   Derechos   Humanos.   Adición.   Misión   a   Honduras.</w:t>
        <w:br/>
        <w:t>E/CN.4/2003/3/Add.2. de 14 de junio de 2002.</w:t>
        <w:br/>
        <w:br/>
        <w:t>[72]   Cfr.  Condición  Jurídica  y  Derechos  Humanos  del  Niño.   Opinión</w:t>
        <w:br/>
        <w:t>Consultiva OC-17/02 de 28 de agosto de 2002.  Serie  A  No.  17,  párr.  54.</w:t>
        <w:br/>
        <w:t>Cfr. también, Caso de las Masacres de Ituango,  supra  nota  3,  párr.  244;</w:t>
        <w:br/>
        <w:t>Caso de la Masacre de Mapiripán, supra nota 9, párr.  152;  y  Caso  de  las</w:t>
        <w:br/>
        <w:t>Niñas Yean y Bosico. Sentencia de 8 de septiembre de 2005. Serie No  C  130,</w:t>
        <w:br/>
        <w:t>párr. 33.</w:t>
        <w:br/>
        <w:br/>
        <w:t>[73]   Cfr.  Condición  Jurídica  y  Derechos  Humanos  del  Niño.   Opinión</w:t>
        <w:br/>
        <w:t>Consultiva OC-17/02, supra nota 72, párr. 56.  Cfr.  también,  Caso  de  las</w:t>
        <w:br/>
        <w:t>Masacres de Ituango, supra  nota  3,  párr.  244;  Caso  de  la  Masacre  de</w:t>
        <w:br/>
        <w:t>Mapiripán,  supra  nota  9,  párr.  152;  y  Caso  de  los  Hermanos   Gómez</w:t>
        <w:br/>
        <w:t>Paquiyauri, supra nota 63, párr. 163.</w:t>
        <w:br/>
        <w:br/>
        <w:t>[74]  Cfr. Caso de las Masacres de Ituango, supra nota 3,  párr.  244;  Caso</w:t>
        <w:br/>
        <w:t>de la Masacre de Mapiripán, supra nota 9, párr. 152; y  Caso  “Instituto  de</w:t>
        <w:br/>
        <w:t>Reeducación del Menor”, supra nota 64, párr. 147.</w:t>
        <w:br/>
        <w:br/>
        <w:t>[75]  Cfr. Caso de los “Niños de la  Calle”  (Villagrán  Morales  y  otros),</w:t>
        <w:br/>
        <w:t>supra nota 69, párr. 196; y Caso de  los  “Niños  de  la  Calle”  (Villagrán</w:t>
        <w:br/>
        <w:t>Morales  y  otros).  Reparaciones  (art.63.1  Convención   Americana   sobre</w:t>
        <w:br/>
        <w:t>Derechos Humanos). Sentencia de 26 de mayo de 2001. Serie C  No.  77,  párr.</w:t>
        <w:br/>
        <w:t>90.</w:t>
        <w:br/>
        <w:br/>
        <w:t>[76]   Cfr.  Condición  Jurídica  y  Derechos  Humanos  del  Niño.   Opinión</w:t>
        <w:br/>
        <w:t>Consultiva OC-17/02, supra nota 72, párr. 91.</w:t>
        <w:br/>
        <w:br/>
        <w:t>[77]  Cfr. La salud y el desarrollo de los adolescentes en  el  contexto  de</w:t>
        <w:br/>
        <w:t>la Convención sobre los Derechos del Niño, 21 de Julio de 2003, UN  Document</w:t>
        <w:br/>
        <w:t>CRC/GC/2003/4.</w:t>
        <w:br/>
        <w:br/>
        <w:t>[78]  Cfr. Caso de los “Niños de la  Calle”  (Villagrán  Morales  y  otros),</w:t>
        <w:br/>
        <w:t>supra nota 69, párr. 197; y Directrices  de  las  Naciones  Unidas  para  la</w:t>
        <w:br/>
        <w:t>prevención de la delincuencia juvenil (Directrices  de  Riad).  Adoptadas  y</w:t>
        <w:br/>
        <w:t>proclamadas por la Asamblea General de la ONU en su resolución 45/112  de  4</w:t>
        <w:br/>
        <w:t>de diciembre de 1990, Capítulo III, párr. 9.</w:t>
        <w:br/>
        <w:br/>
        <w:t>[79]  Cfr. Caso de los Hermanos Gómez  Paquiyauri,  supra  nota  63,  párrs.</w:t>
        <w:br/>
        <w:t>124, 163 a 164, y 171; Caso Bulacio, supra nota 54, párrs. 126, 133  y  134;</w:t>
        <w:br/>
        <w:t>Caso de los “Niños de la Calle” (Villagrán Morales y otros), supra nota  69,</w:t>
        <w:br/>
        <w:t>párrs. 146 y 195; y Condición Jurídica y Derechos Humanos del Niño.  Opinión</w:t>
        <w:br/>
        <w:t>Consultiva OC-17/02, supra nota 72, párr. 60.</w:t>
        <w:br/>
        <w:br/>
        <w:t>[80]  Cfr. Caso Ximenes  Lopes,  supra  nota  3,  párr.  147;  Caso  de  las</w:t>
        <w:br/>
        <w:t>Masacres de Ituango, supra nota 3, párr. 297; y Caso Baldeón  García,  supra</w:t>
        <w:br/>
        <w:t>nota 3, párr. 92.</w:t>
        <w:br/>
        <w:br/>
        <w:t>[81]  Cfr. Caso Montero Aranguren y otros, supra nota  12,  párr.  79;  Caso</w:t>
        <w:br/>
        <w:t>Ximenes Lopes, supra nota 3, párr. 148; y Caso de las Masacres  de  Ituango,</w:t>
        <w:br/>
        <w:t>supra nota 3, párr. 296.</w:t>
        <w:br/>
        <w:br/>
        <w:t>[82]  Cfr. Caso Ximenes  Lopes,  supra  nota  3,  párr.  148;  Caso  Baldeón</w:t>
        <w:br/>
        <w:t>García, supra nota 3, párr.94; y Caso de la Masacre de Pueblo  Bello,  supra</w:t>
        <w:br/>
        <w:t>nota 9, párr. 143.</w:t>
        <w:br/>
        <w:br/>
        <w:t>[83]  Cfr. Caso Montero Aranguren y otros, supra nota 12,  párr.  140;  Caso</w:t>
        <w:br/>
        <w:t>Ximenes Lopes, supra nota 3, párr. 179; Caso de  las  Masacres  de  Ituango,</w:t>
        <w:br/>
        <w:t>supra nota 3, párr. 298;  y  Manual  Sobre  la  Prevención  e  Investigación</w:t>
        <w:br/>
        <w:t>Efectiva de Ejecuciones  Extrajudiciales,  Arbitrarias  y  Sumarias  de  las</w:t>
        <w:br/>
        <w:t>Naciones Unidas, E/ST/CSDHA/.12 (1991).</w:t>
        <w:br/>
        <w:br/>
        <w:t>[84]  Cfr. Caso Baldeón García, supra nota 3,  párr.  91;  Caso  Masacre  de</w:t>
        <w:br/>
        <w:t>Pueblo Bello, supra nota 7, párr. 143; y Caso Myrna Mack Chang,  supra  nota</w:t>
        <w:br/>
        <w:t>9, párr. 156.</w:t>
        <w:br/>
        <w:br/>
        <w:t>[85]  Cfr. Caso Baldeón García, supra nota 3, párr. 91; Caso de  la  Masacre</w:t>
        <w:br/>
        <w:t>de Pueblo Bello, supra nota 7, párr. 145; Caso de la Masacre  de  Mapiripán,</w:t>
        <w:br/>
        <w:t>supra nota 9, párrs. 137 y 232.</w:t>
        <w:br/>
        <w:t>[86]  Cfr. Caso Ximenes  Lopes,  supra  nota  3,  párr.  156;  Caso  Baldeón</w:t>
        <w:br/>
        <w:t>García, supra nota 3, párr. 128; y Caso Gómez Palomino, supra nota 7,  párr.</w:t>
        <w:br/>
        <w:t>60.</w:t>
        <w:br/>
        <w:br/>
        <w:t>[87]  Cfr. Caso Ximenes  Lopes,  supra  nota  3,  párr.  175;  Caso  de  las</w:t>
        <w:br/>
        <w:t>Masacres de Ituango, supra nota 3, párr. 287; y Caso Baldeón  García,  supra</w:t>
        <w:br/>
        <w:t>nota 3, párr. 143.</w:t>
        <w:br/>
        <w:br/>
        <w:t>[88]  Cfr. Caso Ximenes  Lopes,  supra  nota  3,  párr.  171;  Caso  de  las</w:t>
        <w:br/>
        <w:t>Masacres de Ituango, supra nota 3, párr. 291; y Caso Baldeón  García,  supra</w:t>
        <w:br/>
        <w:t>nota 3, párr. 139.</w:t>
        <w:br/>
        <w:br/>
        <w:t>[89]  Cfr. Caso Ximenes  Lopes,  supra  nota  3,  párr.  203;  Caso  Baldeón</w:t>
        <w:br/>
        <w:t>García, supra nota 3, párr. 153; y Caso López Alvarez, supra nota 55,  párr.</w:t>
        <w:br/>
        <w:t>128;</w:t>
        <w:br/>
        <w:br/>
        <w:t>[90]  Cfr. Caso 19 Comerciantes, supra nota 69, párr. 188; Caso  Myrna  Mack</w:t>
        <w:br/>
        <w:t>Chang, supra nota 9, párr. 209; y Caso Bulacio, supra nota 54, párr. 114.</w:t>
        <w:br/>
        <w:br/>
        <w:t>[91]  Cfr. Caso Montero Aranguren y otros, supra nota  12,  párr.  55;  Caso</w:t>
        <w:br/>
        <w:t>Ximenes Lopes, supra nota 3, párr. 206; y Caso de las Masacres  de  Ituango,</w:t>
        <w:br/>
        <w:t>supra nota 3, párr. 289.</w:t>
        <w:br/>
        <w:br/>
        <w:t>[92]  Cfr. Caso Myrna Mack Chang, supra nota 9, párr. 210; y  Caso  Bulacio,</w:t>
        <w:br/>
        <w:t>supra nota 54, párr. 115.</w:t>
        <w:br/>
        <w:br/>
        <w:t>[93]   Cfr. Caso Montero Aranguren y otros, supra nota 12, párr.  137;  Caso</w:t>
        <w:br/>
        <w:t>de las Masacres de Ituango, supra nota 3, párr. 299; y Caso Baldeón  García,</w:t>
        <w:br/>
        <w:t>supra nota 3, párr. 168.</w:t>
        <w:br/>
        <w:br/>
        <w:t>[94]  Cfr. Caso de las Masacres de Ituango, supra nota 3, párr. 98.</w:t>
        <w:br/>
        <w:br/>
        <w:t>[95]  Cfr. Caso de las Masacres de Ituango, supra nota 3, párr. 91;  y  Caso</w:t>
        <w:br/>
        <w:t>Acevedo Jaramillo y otros. Sentencia de 7 de febrero de 2006.  Serie  C  No.</w:t>
        <w:br/>
        <w:t>144, párr. 227.</w:t>
        <w:br/>
        <w:br/>
        <w:t>[96]  Cfr. Caso Montero Aranguren y otros, supra nota  12,  párr  115;  Caso</w:t>
        <w:br/>
        <w:t>Ximenes Lopes, supra nota 3, párr. 207; y Caso de las Masacres  de  Ituango,</w:t>
        <w:br/>
        <w:t>supra nota 3, párr. 345.</w:t>
        <w:br/>
        <w:br/>
        <w:t>[97]  Cfr. Caso Montero  Aranguren y otros, supra nota 12, párr.  116;  Caso</w:t>
        <w:br/>
        <w:t>Ximenes Lopes, supra nota 3, párr. 208; y Caso de las Masacres  de  Ituango,</w:t>
        <w:br/>
        <w:t>supra nota 3, párr. 346.</w:t>
        <w:br/>
        <w:br/>
        <w:t>[98]  Cfr. Caso Ximenes  Lopes,  supra  nota  3,  párr.  208;  Caso  de  las</w:t>
        <w:br/>
        <w:t>Masacres de Ituango, supra nota 3, párr.  365;  y  Caso  de  la  Masacre  de</w:t>
        <w:br/>
        <w:t>Mapiripán, supra nota 9, párr. 211.</w:t>
        <w:br/>
        <w:br/>
        <w:t>[99]  Cfr. Caso Montero Aranguren y otros, supra nota 12,  párr.  117;  Caso</w:t>
        <w:br/>
        <w:t>Ximenes Lopes, supra nota 3 párr. 209; y Caso de las  Masacres  de  Ituango,</w:t>
        <w:br/>
        <w:t>supra nota 3, párr. 347.</w:t>
        <w:br/>
        <w:br/>
        <w:t>[100] Cfr. Caso Montero Aranguren y otros, supra nota 12,  párr.  117;  Caso</w:t>
        <w:br/>
        <w:t>Ximenes Lopes, supra nota 3, párr. 209; y Caso de las Masacres  de  Ituango,</w:t>
        <w:br/>
        <w:t>supra nota 3, párr. 347.</w:t>
        <w:br/>
        <w:br/>
        <w:t>[101]       Cfr. Caso Montero Aranguren y otros, supra nota 12,  párr.  118;</w:t>
        <w:br/>
        <w:t>Caso Ximenes Lopes, supra nota 3, párr. 210;  y  Caso  de  las  Masacres  de</w:t>
        <w:br/>
        <w:t>Ituango, supra nota 3, párr. 348.</w:t>
        <w:br/>
        <w:br/>
        <w:t>[102] Cfr. Caso Montero Aranguren y otros, supra nota 12,  párr.  124;  Caso</w:t>
        <w:br/>
        <w:t>Ximenes Lopes, supra nota 3, párr. 219; y Caso Baldeón  García,  supra  nota</w:t>
        <w:br/>
        <w:t>3, párr. 192</w:t>
        <w:br/>
        <w:br/>
        <w:t>[103] Cfr. Caso Montero Aranguren y otros, supra nota 12,  párr.  126;  Caso</w:t>
        <w:br/>
        <w:t>Ximenes Lopes, supra nota 3, párr. 220; y Caso Baldeón  García,  supra  nota</w:t>
        <w:br/>
        <w:t>3, párr. 183.</w:t>
        <w:br/>
        <w:br/>
        <w:t>[104]       Cfr. Caso Instituto de Reeducación del  Menor,  supra  nota  64,</w:t>
        <w:br/>
        <w:t>párr. 288; Caso Molina Theissen. Reparaciones. Sentencia de 3  de  julio  de</w:t>
        <w:br/>
        <w:t>2004. Serie C, No. 108 , párr. 57; y Caso Bulacio, supra nota 54, párr. 84.</w:t>
        <w:br/>
        <w:br/>
        <w:t>[105] Cfr. Caso Ximenes Lopes, supra nota  3,  párr.  226;  y  Caso  de  los</w:t>
        <w:br/>
        <w:t>Hermanos Gómez Paquiyauri, supra nota 63, párr. 207.</w:t>
        <w:br/>
        <w:br/>
        <w:t>[106] Cfr. Caso Montero Aranguren y otros, supra nota 12,  párr.  130;  Caso</w:t>
        <w:br/>
        <w:t>Ximenes Lopes, supra nota 3, párr. 227; y Caso de las Masacres  de  Ituango,</w:t>
        <w:br/>
        <w:t>supra nota 3, párr. 383.</w:t>
        <w:br/>
        <w:br/>
        <w:t>[107] Cfr. Caso Montero Aranguren y otros, supra nota 12,  párr.  131;  Caso</w:t>
        <w:br/>
        <w:t>Ximenes Lopes, supra nota 3, párr. 236; y Caso de las Masacres  de  Ituango,</w:t>
        <w:br/>
        <w:t>supra nota 3, párr. 387.</w:t>
        <w:br/>
        <w:br/>
        <w:t>[108] Cfr. Caso de las Masacres de Ituango, supra nota  3,  párr.  390.b;  y</w:t>
        <w:br/>
        <w:t>Caso Masacre Pueblo Bello, supra nota 7, párr. 258.b.</w:t>
        <w:br/>
        <w:br/>
        <w:t>[109] Cfr. Caso Montero Aranguren y otros, supra nota 12,  párr.  124;  Caso</w:t>
        <w:br/>
        <w:t>Ximenes Lopes, supra nota 3, párr. 219;  y Caso Baldeón García,  supra  nota</w:t>
        <w:br/>
        <w:t>3, párr. 192.</w:t>
        <w:br/>
        <w:br/>
        <w:br/>
        <w:t>[110] Cfr. Caso Montero Aranguren y otros, supra nota 12, párr. 136; Caso</w:t>
        <w:br/>
        <w:t>Ximenes Lopes, supra nota 3, párr. 240; y Caso de las Masacres de Ituango,</w:t>
        <w:br/>
        <w:t>supra nota 3, párr. 396.</w:t>
        <w:br/>
        <w:br/>
        <w:br/>
        <w:t>[111] Cfr. Caso Montero Aranguren y otros, supra nota 12, párr. 64; Caso  de</w:t>
        <w:br/>
        <w:t>las Masacres de Ituango, supra nota 3, párr. 129;  y  Caso  Baldeón  García,</w:t>
        <w:br/>
        <w:t>supra nota 3, párr. 83.</w:t>
        <w:br/>
        <w:br/>
        <w:t>[112] Cfr. Caso Montero Aranguren y otros, supra nota 12,  párr.  140;  Caso</w:t>
        <w:br/>
        <w:t>de la Comunidad Moiwana. Sentencia de 15 de junio de 2005. Serie C No.  124,</w:t>
        <w:br/>
        <w:t>párr. 208; y Manual de Naciones Unidas sobre la Prevención  e  Investigación</w:t>
        <w:br/>
        <w:t>Eficaces   de   Ejecuciones   Extralegales,    Arbitrarias    y    Sumarias.</w:t>
        <w:br/>
        <w:t>E/ST/CSDHA/.12 (1991).</w:t>
        <w:br/>
        <w:br/>
        <w:t>[113] Cfr. Caso Montero Aranguren y otros, supra nota 12,  párr.  137;  Caso</w:t>
        <w:br/>
        <w:t>Baldeón García, supra nota 3, párr. 195; y Caso Blanco Romero. Sentencia  de</w:t>
        <w:br/>
        <w:t>28 de noviembre de 2005. Serie C No. 138, párr. 94.</w:t>
        <w:br/>
        <w:br/>
        <w:t>[114] Cfr. Caso Montero Aranguren y otros, supra nota 12,  párr.  137;  Caso</w:t>
        <w:br/>
        <w:t>Baldeón García, supra nota 3, párr. 195; y Caso  de  la  Masacre  de  Pueblo</w:t>
        <w:br/>
        <w:t>Bello, supra nota 7, párr. 266.</w:t>
        <w:br/>
        <w:br/>
        <w:t>[115] Cfr. Caso Ximenes  Lopes,  supra  nota  3,  párr.  245;  Caso  Baldeón</w:t>
        <w:br/>
        <w:t>García, supra nota 3, párr. 196; y Caso Masacre de Pueblo Bello, supra  nota</w:t>
        <w:br/>
        <w:t>7, párr. 266.</w:t>
        <w:br/>
        <w:br/>
        <w:t>[116] Cfr. Caso Montero Aranguren y otros, supra nota 12, párr. 138.</w:t>
        <w:br/>
        <w:br/>
        <w:t>[117] Cfr. Caso Montero Aranguren y otros, supra nota 12,  párr.  139;  Caso</w:t>
        <w:br/>
        <w:t>Baldeón García, supra nota 3, párr. 199; y Caso  de  la  Masacre  de  Pueblo</w:t>
        <w:br/>
        <w:t>Bello, supra nota 7, párr. 267.</w:t>
        <w:br/>
        <w:br/>
        <w:br/>
        <w:t>[118]       Cfr. Caso Montero Aranguren y otros, supra nota 12,  párr.  151;</w:t>
        <w:br/>
        <w:t>Caso Ximenes Lopes, supra nota 3, párr. 249;  y  Caso  de  las  Masacres  de</w:t>
        <w:br/>
        <w:t>Ituango, supra nota 3, párr. 410.</w:t>
        <w:br/>
        <w:br/>
        <w:t>[119] Cfr. Caso Montero Aranguren y otros, supra nota 12,  párr.  152;  Caso</w:t>
        <w:br/>
        <w:t>Ximenes Lopes, supra nota 3, párr. 252; y Caso de las Masacres  de  Ituango,</w:t>
        <w:br/>
        <w:t>supra nota 3, párr. 414.</w:t>
        <w:br/>
        <w:br/>
        <w:t>[120].       A.A.  Cançado  Trindade,  "International  Law  for   Humankind:</w:t>
        <w:br/>
        <w:t>Towards a New Jus Gentium - General Course  on  Public  International  Law",</w:t>
        <w:br/>
        <w:t>Recueil des Cours de l'Académie de Droit International  de  la  Haye  (2005)</w:t>
        <w:br/>
        <w:t>ch. XXI (en prensa).</w:t>
        <w:br/>
        <w:br/>
        <w:t>[121].      Para evocar la expresión utilizada  en  un  estudio  clásico  de</w:t>
        <w:br/>
        <w:t>Ernst Cassirer.</w:t>
        <w:br/>
        <w:br/>
        <w:t>[122].       A.A.  Cançado  Trindade,  "International  Law  for   Humankind:</w:t>
        <w:br/>
        <w:t>Towards a New Jus Gentium - General Course  on  Public  International  Law",</w:t>
        <w:br/>
        <w:t>Recueil des Cours de l'Académie de Droit International  de  la  Haye  (2005)</w:t>
        <w:br/>
        <w:t>ch. XV (en prensa).</w:t>
        <w:br/>
        <w:br/>
        <w:t>[123].      Incluyendo,  para  mi  estupefacción  y  pesar,  las  de  cuatro</w:t>
        <w:br/>
        <w:t>autores latinoamericanos.</w:t>
        <w:br/>
        <w:br/>
        <w:t>[124].      Párrs. 113, 95,  114  y  116  respectivamente,  de  la  presente</w:t>
        <w:br/>
        <w:t>Sentencia.</w:t>
        <w:br/>
        <w:br/>
        <w:t>[125].      Shakespeare, Macbeth (1606), acto V, escena 5.</w:t>
        <w:br/>
        <w:br/>
        <w:t>[126].      Victor Hugo, Les Misérables (1862) (préface de Ch.  Baudelaire),</w:t>
        <w:br/>
        <w:t>tomo III, Paris, Libr. Gén. Française, 1972, p. 30.</w:t>
        <w:br/>
        <w:br/>
        <w:t>[127].      Ibid., tomo III, p. 536.</w:t>
        <w:br/>
        <w:br/>
        <w:t>[128].      Michel  Foucault,  Madness  and  Civilization  -  A  History  of</w:t>
        <w:br/>
        <w:t>Insanity in the Age of Reason, N.Y., Vintage, [1986  -  reed.],  pp.  217  y</w:t>
        <w:br/>
        <w:t>107, y cf. pp. 47-49, 221-222, 269 y 289.</w:t>
        <w:br/>
        <w:br/>
        <w:t>[129].      K. Jaspers, Reason and Anti-Reason in  Our  Time,  Hamden/Conn.,</w:t>
        <w:br/>
        <w:t>Archon Books, 1971, pp. 59, 50 y 84.</w:t>
        <w:br/>
        <w:br/>
        <w:t>[130].      ONU,  documento  E/CN.4/2003/3/Add.2,  del  14.06.2002,  p.  12,</w:t>
        <w:br/>
        <w:t>párrs. 31-32.</w:t>
        <w:br/>
        <w:br/>
        <w:t>[131].      Ibid., p. 11, párr. 29.</w:t>
        <w:br/>
        <w:br/>
        <w:t>[132].      Ibid., pp. 27 y 14, párrs. 87 y 39. Según la  Relatora  Especial</w:t>
        <w:br/>
        <w:t>de  Naciones  Unidas,  "muchas  de   las   víctimas   de   las   ejecuciones</w:t>
        <w:br/>
        <w:t>extrajudiciales  pertenecen  a  familias  monoparentales  que  suelen  estar</w:t>
        <w:br/>
        <w:t>encabezadas por  la  madre.  La  pérdida  de  autonomía  de  la  mujer  está</w:t>
        <w:br/>
        <w:t>estrechamente vinculada a la marginación del niño"; ibid., p. 27, párr.  88.</w:t>
        <w:br/>
        <w:br/>
        <w:br/>
        <w:t>[133].      Ibid., p. 25, párr. 73.</w:t>
        <w:br/>
        <w:br/>
        <w:t>[134].      Y cf. párrs. 1-3 y 11-12.</w:t>
        <w:br/>
        <w:br/>
        <w:t>[135].      Párrs. 91, 152 y 192(11); agrega el  referido  Informe  Especial</w:t>
        <w:br/>
        <w:t>que, de la totalidad  de  jóvenes  muertos  de  forma  violenta,  "una  gran</w:t>
        <w:br/>
        <w:t>cantidad no  pertenecía  a  'maras'  o  pandillas  (66%),  ni  contaban  con</w:t>
        <w:br/>
        <w:t>antecedentes de infracción a las leyes" (párr. 192(2)).</w:t>
        <w:br/>
        <w:br/>
        <w:t>[136].      Santi Romano, L'ordre juridique (trad. 2a. ed.,  reed.),  Paris,</w:t>
        <w:br/>
        <w:t>Dalloz, 2002, p. 16.</w:t>
        <w:br/>
        <w:br/>
        <w:t>[137].      La capacidad humana tanto de promover el bien  como  cometer  el</w:t>
        <w:br/>
        <w:t>mal no ha cesado de atraer la atención del pensamiento humano a la largo  de</w:t>
        <w:br/>
        <w:t>los siglos; cf. F. Alberoni, Las Razones del Bien y del Mal, México,  Gedisa</w:t>
        <w:br/>
        <w:t>Edit., 1988, pp. 9-196; A.-D.  Sertillanges,  Le  problème  du  mal,  Paris,</w:t>
        <w:br/>
        <w:t>Aubier, 1949, pp. 5-412.</w:t>
        <w:br/>
        <w:br/>
        <w:t>[138].      Como me permití señalar en mi Voto Concurrente de  ayer,  en  la</w:t>
        <w:br/>
        <w:t>Opinión Consultiva n. 18 de la  Corte  Interamericana,  sobre  la  Condición</w:t>
        <w:br/>
        <w:t>Jurídica y Derechos de los Migrantes Indocumentados (del 17.09.2203),  párr.</w:t>
        <w:br/>
        <w:t>89.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