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br/>
        <w:t xml:space="preserve">               Caso de la Masacre de Pueblo Bello Vs. Colombia</w:t>
        <w:br/>
        <w:br/>
        <w:br/>
        <w:br/>
        <w:t xml:space="preserve">                    Sentencia de 25 de noviembre de 2006</w:t>
        <w:br/>
        <w:t xml:space="preserve">       (Interpretación de la Sentencia de Fondo, Reparaciones y Costas)</w:t>
        <w:br/>
        <w:br/>
        <w:br/>
        <w:br/>
        <w:br/>
        <w:br/>
        <w:br/>
        <w:br/>
        <w:t>En el caso de Masacre de Pueblo Bello vs. Colombia,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Juez;</w:t>
        <w:br/>
        <w:t xml:space="preserve">      Manuel E. Ventura Robles, Juez;</w:t>
        <w:br/>
        <w:t xml:space="preserve">      Diego García-Sayán, Juez, y</w:t>
        <w:br/>
        <w:t xml:space="preserve">      Juan Carlos Esguerra Portocarrero, Juez ad hoc,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las  demandas  de  interpretación  de  la  Sentencia  sobre  fondo,</w:t>
        <w:br/>
        <w:t>reparaciones y costas dictada por la Corte el 31 de  enero  de  2006  en  el</w:t>
        <w:br/>
        <w:t>caso  de  la  Masacre  de  Pueblo  Bello  (en  adelante  “las  demandas   de</w:t>
        <w:br/>
        <w:t>interpretación”), presentadas por el Estado de  Colombia  (en  adelante  “el</w:t>
        <w:br/>
        <w:t>Estado” o “Colombia”) y por los representantes  de  los  familiares  de  las</w:t>
        <w:br/>
        <w:t>víctimas  (en  adelante  “los  representantes”)  el  24  de  mayo  de  2006,</w:t>
        <w:br/>
        <w:t>respectivamente.</w:t>
        <w:br/>
        <w:br/>
        <w:br/>
        <w:br/>
        <w:t xml:space="preserve">                                      I</w:t>
        <w:br/>
        <w:t xml:space="preserve">               Introducción de las demandas de interpretación</w:t>
        <w:br/>
        <w:br/>
        <w:br/>
        <w:t>1.    El 24 de  mayo  de  2006  tanto  el  Estado  como  los  representantes</w:t>
        <w:br/>
        <w:t>presentaron, respectivamente, una demanda de interpretación de la  Sentencia</w:t>
        <w:br/>
        <w:t>sobre  fondo,  reparaciones  y  costas  en  este  caso  (en   adelante   “la</w:t>
        <w:br/>
        <w:t>Sentencia”), en los términos de los artículos 67 de la Convención y  59  del</w:t>
        <w:br/>
        <w:t>Reglamento.</w:t>
        <w:br/>
        <w:br/>
        <w:br/>
        <w:t xml:space="preserve">      a)    Demanda de interpretación del Estado</w:t>
        <w:br/>
        <w:br/>
        <w:t>2.    En su demanda el Estado solicitó interpretación respecto  del  alcance</w:t>
        <w:br/>
        <w:t>de la forma de reparación establecida por la  Corte  Interamericana  en  los</w:t>
        <w:br/>
        <w:t>párrafos 275 y 276 de la Sentencia, consistente en  “implementar,  tal  como</w:t>
        <w:br/>
        <w:t>lo ha hecho en otros casos, un programa habitacional  de  vivienda  adecuada</w:t>
        <w:br/>
        <w:t>para los  familiares  que  regresen  a  Pueblo  Bello”.  Asimismo,  solicitó</w:t>
        <w:br/>
        <w:t>aclaración sobre el párrafo 240 literal a) de la mencionada Sentencia en  lo</w:t>
        <w:br/>
        <w:t>atinente a la distribución de  las  indemnizaciones  entre  las  cónyuges  o</w:t>
        <w:br/>
        <w:t>compañeras de las personas privadas de la vida o desaparecidas.</w:t>
        <w:br/>
        <w:br/>
        <w:br/>
        <w:t xml:space="preserve">      b)    Demanda de interpretación de los representantes</w:t>
        <w:br/>
        <w:br/>
        <w:t>3.    En su demanda de interpretación los representantes señalaron  diversas</w:t>
        <w:br/>
        <w:t>dudas  relacionadas  con  la  determinación  de  los  beneficiarios  de  las</w:t>
        <w:br/>
        <w:t>indemnizaciones fijadas en  la  Sentencia,  de  acuerdo  con  los  criterios</w:t>
        <w:br/>
        <w:t>establecidos por el Tribunal en los  párrafos  233  a  241  de  aquélla.  En</w:t>
        <w:br/>
        <w:t>particular, los  representantes  estimaron  que  esos  criterios  no  fueron</w:t>
        <w:br/>
        <w:t>tomados  en  cuenta  respecto  de  algunas  personas  que  no  habrían  sido</w:t>
        <w:br/>
        <w:t>incluidas por el Tribunal en el Anexo II de la Sentencia como familiares  de</w:t>
        <w:br/>
        <w:t>las víctimas, pese a que  supuestamente  demostraron  “oportunamente  y  con</w:t>
        <w:br/>
        <w:t>documentos idóneos […] la relación de parentesco […]  y  los  requerimientos</w:t>
        <w:br/>
        <w:t>del  Tribunal  para  ostentar  la  condición   de   beneficiarios   de   las</w:t>
        <w:br/>
        <w:t>indemnizaciones”.   De  tal  manera,  solicitaron  que   en   sentencia   de</w:t>
        <w:br/>
        <w:t>interpretación se declare que las personas  mencionadas  en  su  escrito  de</w:t>
        <w:br/>
        <w:t>demanda son beneficiarias de las indemnizaciones en las  mismas  condiciones</w:t>
        <w:br/>
        <w:t>de las personas señaladas en la Sentencia  y,  además,  solicitaron  que  se</w:t>
        <w:br/>
        <w:t>corrigieran los nombres de dos familiares incluidos en el mencionado Anexo.</w:t>
        <w:br/>
        <w:br/>
        <w:br/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4.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5.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 En esta ocasión, la Corte se integra con los mismos  jueces[1]</w:t>
        <w:br/>
        <w:t>que  dictaron  la  Sentencia  sobre  fondo,  reparaciones  y  costas,   cuya</w:t>
        <w:br/>
        <w:t>interpretación ha sido solicitada.</w:t>
        <w:br/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6.    La Sentencia sobre fondo, reparaciones y costas fue dictada el  31  de</w:t>
        <w:br/>
        <w:t>enero de 2006 y notificada  al  Estado,  a  la  Comisión  Interamericana  de</w:t>
        <w:br/>
        <w:t>Derechos Humanos (en adelante “la Comisión” o “la Comisión  Interamericana”)</w:t>
        <w:br/>
        <w:t>y a los representantes el 27 de febrero de 2006.</w:t>
        <w:br/>
        <w:br/>
        <w:t>7.    El 13 y 14 de junio de 2006, de conformidad con  lo  dispuesto  en  el</w:t>
        <w:br/>
        <w:t>artículo 59.2 del Reglamento y siguiendo instrucciones del Presidente de  la</w:t>
        <w:br/>
        <w:t>Corte (en adelante “el Presidente”), la Secretaría de la Corte (en  adelante</w:t>
        <w:br/>
        <w:t>“la Secretaría”) transmitió copia de las demandas  de  interpretación  a  la</w:t>
        <w:br/>
        <w:t>Comisión Interamericana, a los representantes y al Estado,  respectivamente,</w:t>
        <w:br/>
        <w:t>y les comunicó que se les otorgaba un plazo improrrogable  hasta  el  14  de</w:t>
        <w:br/>
        <w:t>agosto de 2006 para que presentaran las respectivas  observaciones  escritas</w:t>
        <w:br/>
        <w:t>que  estimaran  pertinentes.   Asimismo,  se  recordó  al  Estado  que,   de</w:t>
        <w:br/>
        <w:t>conformidad con lo dispuesto en  el  artículo  59.4  del  Reglamento,  “[l]a</w:t>
        <w:br/>
        <w:t>demanda de interpretación no suspende la ejecución de la sentencia”.</w:t>
        <w:br/>
        <w:br/>
        <w:br/>
        <w:t>8.    El 14 de agosto  de  2006  la  Comisión  Interamericana  presentó  sus</w:t>
        <w:br/>
        <w:t>observaciones escritas a las demandas de interpretación presentadas  por  el</w:t>
        <w:br/>
        <w:t>Estado y por los representantes. En esa misma fecha el Estado  presentó  sus</w:t>
        <w:br/>
        <w:t>alegatos escritos sobre la demanda de  interpretación  interpuesta  por  los</w:t>
        <w:br/>
        <w:t>representantes y los representantes presentaron sus alegatos escritos  sobre</w:t>
        <w:br/>
        <w:t>la demanda de interpretación interpuesta por el Estado.</w:t>
        <w:br/>
        <w:br/>
        <w:br/>
        <w:br/>
        <w:t xml:space="preserve">                                     IV</w:t>
        <w:br/>
        <w:t xml:space="preserve">                                Admisibilidad</w:t>
        <w:br/>
        <w:br/>
        <w:br/>
        <w:t>9.    Corresponde a la Corte verificar si los términos de  las  demandas  de</w:t>
        <w:br/>
        <w:t>interpretación  satisfacen  los  requisitos  establecidos  en   las   normas</w:t>
        <w:br/>
        <w:t>aplicables, a saber el artículo  67  de  la  Convención  y  29.3  y  59  del</w:t>
        <w:br/>
        <w:t>Reglamento.</w:t>
        <w:br/>
        <w:br/>
        <w:t>10.   El artículo 59 del Reglamento dispone que:</w:t>
        <w:br/>
        <w:br/>
        <w:t xml:space="preserve">      1.  La demanda de interpretación a que se refiere el artículo 67 de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2.    El Secretario comunicará la  demanda  de  interpretación  a  las</w:t>
        <w:br/>
        <w:t xml:space="preserve">      partes en el caso y les invitará a presentar las alegaciones  escritas</w:t>
        <w:br/>
        <w:t xml:space="preserve">      que estimen pertinentes dentro del plazo fijado por el Presidente.</w:t>
        <w:br/>
        <w:br/>
        <w:br/>
        <w:t xml:space="preserve">      3.    Para el examen de la  demanda  de  interpretación  la  Corte  se</w:t>
        <w:br/>
        <w:t xml:space="preserve">      reunirá, si es posible, con la composición  que  tenía  al  dictar  la</w:t>
        <w:br/>
        <w:t xml:space="preserve">      sentencia respectiva. Sin embargo, en caso de fallecimiento, renuncia,</w:t>
        <w:br/>
        <w:t xml:space="preserve">      impedimento, excusa o inhabilitación, se sustituirá al juez de que  se</w:t>
        <w:br/>
        <w:t xml:space="preserve">      trate según el artículo 16 de este Reglamento.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11.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12.   La Corte ha constatado que tanto el  Estado  como  los  representantes</w:t>
        <w:br/>
        <w:t>interpusieron,  respectivamente,   las   demandas   de   interpretación   de</w:t>
        <w:br/>
        <w:t>sentencia, dentro del plazo establecido en el artículo 67 de la  Convención,</w:t>
        <w:br/>
        <w:t>ya que la Sentencia fue notificada a las partes el 27  de  febrero  de  2006</w:t>
        <w:br/>
        <w:t>(supra párrs. 4 y 6).</w:t>
        <w:br/>
        <w:br/>
        <w:t>13.    Por  otro  lado,  tal  como  lo  ha  dispuesto   anteriormente   este</w:t>
        <w:br/>
        <w:t>Tribunal[2],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tanto, no  se  puede  pedir  la  modificación  o</w:t>
        <w:br/>
        <w:t>anulación  de  la  sentencia  respectiva  a  través  de   una   demanda   de</w:t>
        <w:br/>
        <w:t>interpretación.</w:t>
        <w:br/>
        <w:br/>
        <w:t>14.   Asimismo, la Corte ha establecido que la demanda de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decisión[3].</w:t>
        <w:br/>
        <w:br/>
        <w:t>15.   Para  analizar  la  procedencia  de  las  demandas  de  interpretación</w:t>
        <w:br/>
        <w:t>presentadas respectivamente por el Estado y por los representantes y, en  su</w:t>
        <w:br/>
        <w:t>caso, aclarar el sentido o alcance de la Sentencia de 31 de enero  de  2006,</w:t>
        <w:br/>
        <w:t>seguidamente la Corte analizará de forma separada los  aspectos  principales</w:t>
        <w:br/>
        <w:t>planteados en  las  mismas,  a  saber,  la  determinación  de  las  personas</w:t>
        <w:br/>
        <w:t>consideradas  como  beneficiarias  de  las  indemnizaciones  fijadas  en  la</w:t>
        <w:br/>
        <w:t>Sentencia, los  criterios  de  distribución  de  las  indemnizaciones  y  el</w:t>
        <w:br/>
        <w:t>programa de vivienda como forma de reparación.</w:t>
        <w:br/>
        <w:br/>
        <w:br/>
        <w:br/>
        <w:t xml:space="preserve">                                      V</w:t>
        <w:br/>
        <w:t xml:space="preserve">    Determinación de las personas consideradas como beneficiarias de las</w:t>
        <w:br/>
        <w:t xml:space="preserve">                   indemnizaciones fijadas en la Sentencia</w:t>
        <w:br/>
        <w:br/>
        <w:br/>
        <w:t xml:space="preserve">   Alegatos de los representantes</w:t>
        <w:br/>
        <w:br/>
        <w:t>16.   Los representantes alegaron que en los  criterios  y  alcance  de  las</w:t>
        <w:br/>
        <w:t>consideraciones contenidas en los párrafos 233 a  241  de  la  Sentencia,  a</w:t>
        <w:br/>
        <w:t>partir de  las  cuales  la  Corte  determinó  a  los  beneficiarios  de  las</w:t>
        <w:br/>
        <w:t>indemnizaciones fijadas, el  Tribunal  no  habría  tomado  en  cuenta  a  62</w:t>
        <w:br/>
        <w:t>personas  respecto  de  quienes  habrían  demostrado  “oportunamente  y  con</w:t>
        <w:br/>
        <w:t>documentos  idóneos  [tanto  su  parentesco  con  las  víctimas  como]   los</w:t>
        <w:br/>
        <w:t>requerimientos del Tribunal para ostentar la condición  de  beneficiario  de</w:t>
        <w:br/>
        <w:t>las indemnizaciones”. Al respecto, anexaron a la demanda  de  interpretación</w:t>
        <w:br/>
        <w:t>una lista con los nombres de éstos. Además, “para ilustrar  algunas  de  las</w:t>
        <w:br/>
        <w:t>situaciones constatadas  respecto  de  las  personas  que  ent[ienden  como]</w:t>
        <w:br/>
        <w:t>beneficiarios de las indemnizaciones” a pesar de no haber sido incluidas  en</w:t>
        <w:br/>
        <w:t>la sentencia, enumeraron ocho supuestos  con  sus  respectivos  ejemplos,  a</w:t>
        <w:br/>
        <w:t>saber:</w:t>
        <w:br/>
        <w:br/>
        <w:br/>
        <w:t xml:space="preserve">     1) Se relacionan algunos hermanos de las víctimas y otros no  a  pesar</w:t>
        <w:br/>
        <w:t xml:space="preserve">        de haber remitido oportunamente la  documentación  pertinente  para</w:t>
        <w:br/>
        <w:t xml:space="preserve">        acreditar su condición. Estos son los casos, por  ejemplo,  de  los</w:t>
        <w:br/>
        <w:t xml:space="preserve">        hermanos de Camilo Antonio Durango Moreno.</w:t>
        <w:br/>
        <w:br/>
        <w:t xml:space="preserve">     2) Se reconoce la calidad de beneficiario  de  las  indemnizaciones  a</w:t>
        <w:br/>
        <w:t xml:space="preserve">        hermanos ya fallecidos pero con posterioridad a la desaparición  de</w:t>
        <w:br/>
        <w:t xml:space="preserve">        la víctima.  Pese a ello, algunos de los hermanos que se encuentran</w:t>
        <w:br/>
        <w:t xml:space="preserve">        en la misma condición respecto de  otras  de  las  víctimas  no  se</w:t>
        <w:br/>
        <w:t xml:space="preserve">        incluyeron.  Este es el caso, por ejemplo, del  hermano  de  Camilo</w:t>
        <w:br/>
        <w:t xml:space="preserve">        Antonio Durango Moreno, Belarmino Durango Moreno. Esta  persona  se</w:t>
        <w:br/>
        <w:t xml:space="preserve">        suicidó, según  lo  manifestó  su  madre  ante  la  Corte,  por  la</w:t>
        <w:br/>
        <w:t xml:space="preserve">        depresión que le produjo la desaparición de su hermano.</w:t>
        <w:br/>
        <w:br/>
        <w:t xml:space="preserve">     3) Se incluyen algunos hijos de las víctimas  y  se  dejan  por  fuera</w:t>
        <w:br/>
        <w:t xml:space="preserve">        otros igualmente mencionados y acreditados ante la Corte.  Este  es</w:t>
        <w:br/>
        <w:t xml:space="preserve">        el caso, por ejemplo, de Yenedeth Petro Pérez, hija de José  Manuel</w:t>
        <w:br/>
        <w:t xml:space="preserve">        Petro Hernández.</w:t>
        <w:br/>
        <w:br/>
        <w:t xml:space="preserve">     4) La Corte reconoció en la sentencia la condición  de  hijos  de  las</w:t>
        <w:br/>
        <w:t xml:space="preserve">        víctimas a quienes nacieron con posterioridad a la desaparición  de</w:t>
        <w:br/>
        <w:t xml:space="preserve">        sus  padres.   Sin  embargo,  en  otros  casos,   en   las   mismas</w:t>
        <w:br/>
        <w:t xml:space="preserve">        condiciones,   se   omitió   incluir   hijos   que   nacieron   con</w:t>
        <w:br/>
        <w:t xml:space="preserve">        posterioridad.  Este es el caso, por ejemplo,  de  Sandra  Patricia</w:t>
        <w:br/>
        <w:t xml:space="preserve">        Julio, hija de Miguel Ángel Gutiérrez Arrieta.</w:t>
        <w:br/>
        <w:br/>
        <w:t xml:space="preserve">     5) Se incluyen algunos de los familiares como beneficiarios de una  de</w:t>
        <w:br/>
        <w:t xml:space="preserve">        las víctimas y no se les mencionó  en  relación  con  otro  de  sus</w:t>
        <w:br/>
        <w:t xml:space="preserve">        hermanos.  Es el caso de la desaparición de dos hermanos  medios  y</w:t>
        <w:br/>
        <w:t xml:space="preserve">        respecto de quienes los hermanos son  los  mismos.  Demuestra  esta</w:t>
        <w:br/>
        <w:t xml:space="preserve">        hipótesis, el caso de la señora Ana  Diva  Arroyo  a  quien  se  le</w:t>
        <w:br/>
        <w:t xml:space="preserve">        menciona como beneficiaria del señor José del Carmen Álvarez,  pero</w:t>
        <w:br/>
        <w:t xml:space="preserve">        se omite como beneficiaria de Cristóbal Arroyo Blanco.</w:t>
        <w:br/>
        <w:br/>
        <w:t xml:space="preserve">     6) Se dejaron por fuera  de  los  beneficiarios  a  varias  compañeras</w:t>
        <w:br/>
        <w:t xml:space="preserve">        permanentes cuya convivencia con la víctima se acreditó a través de</w:t>
        <w:br/>
        <w:t xml:space="preserve">        declaraciones extrajuicio.  Este es el caso, por ejemplo, de Elvira</w:t>
        <w:br/>
        <w:t xml:space="preserve">        Julio, compañera permanente de Miguel Ángel Gutiérrez Arrieta.</w:t>
        <w:br/>
        <w:br/>
        <w:t xml:space="preserve">     7) La Corte pudo constatar que entre las víctimas y sus familiares  se</w:t>
        <w:br/>
        <w:t xml:space="preserve">        establecían  relaciones  de  parentesco  en  diversas  condiciones.</w:t>
        <w:br/>
        <w:t xml:space="preserve">        Algunas víctimas eran los compañeros permanentes de una mujer que a</w:t>
        <w:br/>
        <w:t xml:space="preserve">        su vez era hermana de una de  las  víctimas  de  desaparición.   La</w:t>
        <w:br/>
        <w:t xml:space="preserve">        Corte, al concretar los beneficiarios, no incluyó a esa persona  en</w:t>
        <w:br/>
        <w:t xml:space="preserve">        una de esas relaciones.  Este es el caso, por ejemplo, de la señora</w:t>
        <w:br/>
        <w:t xml:space="preserve">        Rafaela Pérez, hermana de Benito José Pérez  Pedroza  y  a  la  vez</w:t>
        <w:br/>
        <w:t xml:space="preserve">        esposa de José Manuel Petro Hernández.  En la sentencia, la  señora</w:t>
        <w:br/>
        <w:t xml:space="preserve">        Rafaela no se mencionó como beneficiaria de su hermano a  pesar  de</w:t>
        <w:br/>
        <w:t xml:space="preserve">        estar dentro de las categorías definidas por la Corte.</w:t>
        <w:br/>
        <w:br/>
        <w:t xml:space="preserve">     8) Otra de las situaciones presentadas corresponde a la de la  omisión</w:t>
        <w:br/>
        <w:t xml:space="preserve">        de uno de los hijos de las víctimas que compareció ante la Corte  y</w:t>
        <w:br/>
        <w:t xml:space="preserve">        declaró durante  la  audiencia  de  pruebas  y  cuya  condición  se</w:t>
        <w:br/>
        <w:t xml:space="preserve">        acreditó con la documentación  requerida  y,  sin  embargo,  no  se</w:t>
        <w:br/>
        <w:t xml:space="preserve">        encuentra dentro de los beneficiarios. Este es  el  caso  de  Ángel</w:t>
        <w:br/>
        <w:t xml:space="preserve">        Emiro Jiménez, hijo de Ángel Benito Jiménez Julio.</w:t>
        <w:br/>
        <w:br/>
        <w:t>17.   Asimismo, los representantes solicitaron a la Corte  que,  al  momento</w:t>
        <w:br/>
        <w:t>de  dictar  la  sentencia  de  interpretación,  declare  que  las   personas</w:t>
        <w:br/>
        <w:t>mencionadas en el anexo de su demanda de  interpretación  son  beneficiarias</w:t>
        <w:br/>
        <w:t>de las indemnizaciones en las mismas condiciones de las  personas  señaladas</w:t>
        <w:br/>
        <w:t>en la  Sentencia  de  fondo,  reparaciones  y  costas,  de  acuerdo  con  el</w:t>
        <w:br/>
        <w:t>parentesco acreditado.</w:t>
        <w:br/>
        <w:br/>
        <w:t>18.   Finalmente, los representantes alegaron que  en  el  Anexo  II  de  la</w:t>
        <w:br/>
        <w:t>Sentencia de fondo, reparaciones y costas se habría  incurrido  “en  algunos</w:t>
        <w:br/>
        <w:t>errores al señalar los nombres de algunos beneficiarios que podrían  generar</w:t>
        <w:br/>
        <w:t>dificultades en su reclamación ante las  autoridades  colombianas”,  por  lo</w:t>
        <w:br/>
        <w:t>que solicitaron que la Corte aclare:</w:t>
        <w:br/>
        <w:br/>
        <w:t xml:space="preserve">   a) el nombre de Elida Fuentes Marimón, hermana de Wilson  Uberto  Fuentes</w:t>
        <w:br/>
        <w:t xml:space="preserve">      Marimón, quien supuestamente aparece en el citado anexo con el  nombre</w:t>
        <w:br/>
        <w:t xml:space="preserve">      de Eliy Calixto Fuentes Marimón, en calidad de hermana, y</w:t>
        <w:br/>
        <w:br/>
        <w:t xml:space="preserve">   b) el nombre de Carmen Alfonso Melo, hermana de Carlos Antonio Melo Uribe</w:t>
        <w:br/>
        <w:t xml:space="preserve">      y Mario Melo Palacio, quien supuestamente  aparece  en  el  mencionado</w:t>
        <w:br/>
        <w:t xml:space="preserve">      anexo con el nombre de Alfonso Melo Palacio, en calidad de hermano.</w:t>
        <w:br/>
        <w:br/>
        <w:br/>
        <w:t xml:space="preserve">      Alegatos del Estado</w:t>
        <w:br/>
        <w:br/>
        <w:t>19.   Respecto del alegato de los representantes referente  a  las  personas</w:t>
        <w:br/>
        <w:t>que no habrían sido incluidas como beneficiarias en la Sentencia, el  Estado</w:t>
        <w:br/>
        <w:t>solicitó  a  la  Corte  que  declare  improcedente   el   escrito   de   los</w:t>
        <w:br/>
        <w:t>representantes “por ser materialmente una apelación del fallo  emitido”  por</w:t>
        <w:br/>
        <w:t>aquélla. Al respecto manifestaron, inter alia, que:</w:t>
        <w:br/>
        <w:br/>
        <w:t xml:space="preserve">   a) los  representantes  pretenden,  bajo  la  forma  de  una  demanda  de</w:t>
        <w:br/>
        <w:t xml:space="preserve">      interpretación, ampliar el contenido  y  alcance  de  la  providencia,</w:t>
        <w:br/>
        <w:t xml:space="preserve">      “cuando no cabe duda sobre el  sentido  y  alcance”  de  la  sentencia</w:t>
        <w:br/>
        <w:t xml:space="preserve">      dictada por la Corte;</w:t>
        <w:br/>
        <w:br/>
        <w:t xml:space="preserve">   b) tampoco se trata de una situación superviniente o un vicio  sustancial</w:t>
        <w:br/>
        <w:t xml:space="preserve">      que amerite la modificación de la sentencia;</w:t>
        <w:br/>
        <w:br/>
        <w:t xml:space="preserve">   c) la Corte fijó directamente los criterios para saber quiénes debían ser</w:t>
        <w:br/>
        <w:t xml:space="preserve">      considerados como “parte lesionada” en los párrafos 234 y  235  de  la</w:t>
        <w:br/>
        <w:t xml:space="preserve">      Sentencia;</w:t>
        <w:br/>
        <w:br/>
        <w:t xml:space="preserve">   d) según el Reglamento de la Corte y de conformidad con la jurisprudencia</w:t>
        <w:br/>
        <w:t xml:space="preserve">      de la misma, tanto la Comisión como  los  representantes  tuvieron  la</w:t>
        <w:br/>
        <w:t xml:space="preserve">      oportunidad procesal en la demanda y en el escrito  de  solicitudes  y</w:t>
        <w:br/>
        <w:t xml:space="preserve">      argumentos, respectivamente, para individualizar a  los  familiares  y</w:t>
        <w:br/>
        <w:t xml:space="preserve">      aportar todos los medios probatorios que  acreditaran  el  vínculo  de</w:t>
        <w:br/>
        <w:t xml:space="preserve">      parentesco de aquéllos con las víctimas. No obstante, por tratarse  de</w:t>
        <w:br/>
        <w:t xml:space="preserve">      familiares  de  víctimas,  consistente  con   su   práctica   y   para</w:t>
        <w:br/>
        <w:t xml:space="preserve">      salvaguardar el principio de igualdad armas, la Corte solicitó  a  los</w:t>
        <w:br/>
        <w:t xml:space="preserve">      representantes las pruebas que consideró que faltaban para  determinar</w:t>
        <w:br/>
        <w:t xml:space="preserve">      la condición de familiar o víctima;</w:t>
        <w:br/>
        <w:br/>
        <w:t xml:space="preserve">   e) los representantes tuvieron su oportunidad procesal para referirse  al</w:t>
        <w:br/>
        <w:t xml:space="preserve">      tema de los beneficiarios y sin embargo no lo hicieron.  Por  ende  no</w:t>
        <w:br/>
        <w:t xml:space="preserve">      pueden,  vía  una  demanda  de  interpretación,  excepcional  por   su</w:t>
        <w:br/>
        <w:t xml:space="preserve">      naturaleza, argumentar nuevamente sobre hechos o derechos que debieron</w:t>
        <w:br/>
        <w:t xml:space="preserve">      demostrar en las oportunidades procesales correspondientes;</w:t>
        <w:br/>
        <w:br/>
        <w:t xml:space="preserve">   f) los representantes no  acreditaron  en  debida  forma  el  vínculo  de</w:t>
        <w:br/>
        <w:t xml:space="preserve">      parentesco entre el familiar y la víctima directa correspondiente, con</w:t>
        <w:br/>
        <w:t xml:space="preserve">      lo cual  varios  familiares  fueron  excluidos  del  Anexo  II  de  la</w:t>
        <w:br/>
        <w:t xml:space="preserve">      Sentencia. En este sentido, el Estado no consideró que hubiera  habido</w:t>
        <w:br/>
        <w:t xml:space="preserve">      un error; por el contrario, al realizar el examen y  valorar  en  sana</w:t>
        <w:br/>
        <w:t xml:space="preserve">      crítica la documentación aportada, la Corte  no  encontró  suficiencia</w:t>
        <w:br/>
        <w:t xml:space="preserve">      probatoria para incluir a estas personas como parte lesionada;</w:t>
        <w:br/>
        <w:br/>
        <w:t xml:space="preserve">   g) la Corte, salvaguardando los derechos de la  víctimas  y  considerando</w:t>
        <w:br/>
        <w:t xml:space="preserve">      que  algunos  de  los  documentos   aportados  no  eran  idóneos  para</w:t>
        <w:br/>
        <w:t xml:space="preserve">      demostrar el vínculo de parentesco, y para que las mismas no  quedaran</w:t>
        <w:br/>
        <w:t xml:space="preserve">      desamparadas, consagró un mecanismo de solución, consistente en  darle</w:t>
        <w:br/>
        <w:t xml:space="preserve">      a eventuales familiares de víctimas la posibilidad de acudir ante  las</w:t>
        <w:br/>
        <w:t xml:space="preserve">      autoridades colombianas competentes para  reclamar  la  indemnización,</w:t>
        <w:br/>
        <w:t xml:space="preserve">      siempre y cuando se acredite en debida forma el parentesco,  según  lo</w:t>
        <w:br/>
        <w:t xml:space="preserve">      establecido en el párrafo 237 de la Sentencia, y</w:t>
        <w:br/>
        <w:br/>
        <w:t xml:space="preserve">   h) por tanto, resulta  indiscutible  que  el  fallo  fue  preciso  en  lo</w:t>
        <w:br/>
        <w:t xml:space="preserve">      relativo  a  la  determinación  de  la  parte  lesionada,   plenamente</w:t>
        <w:br/>
        <w:t xml:space="preserve">      identificada en la mencionada Sentencia y en cuanto a la solución  que</w:t>
        <w:br/>
        <w:t xml:space="preserve">      dio para el caso  de  que  se  presentaran  familiares  inmediatos  no</w:t>
        <w:br/>
        <w:t xml:space="preserve">      incluidos en la misma, en el  sentido  de  darles  la  posibilidad  de</w:t>
        <w:br/>
        <w:t xml:space="preserve">      probar en el ámbito jurídico interno su derecho a la indemnización.</w:t>
        <w:br/>
        <w:br/>
        <w:br/>
        <w:t xml:space="preserve">      Alegatos de la Comisión</w:t>
        <w:br/>
        <w:br/>
        <w:t>20.   En relación con el alegato  de  los  representantes  respecto  de  las</w:t>
        <w:br/>
        <w:t>personas que no habrían sido incluidas como beneficiarios en  la  Sentencia,</w:t>
        <w:br/>
        <w:t>la  Comisión  consideró  que,  en  la  medida  que  dichas  personas  no  se</w:t>
        <w:br/>
        <w:t>encontraran comprendidas  en  el  supuesto  ya  previsto  por  la  Corte  de</w:t>
        <w:br/>
        <w:t>“familiares inmediatos de quienes no se ha aportado documentación oficial  o</w:t>
        <w:br/>
        <w:t>que la aportada no acredite el parentesco” (párrafo 237  de  la  Sentencia),</w:t>
        <w:br/>
        <w:t>cuando exista en el expediente evidencia de que  tales  personas  resultaron</w:t>
        <w:br/>
        <w:t>lesionadas como consecuencia  de  los  hechos;  de  su  parentesco  con  las</w:t>
        <w:br/>
        <w:t>víctimas, y/o de que ostenten la  calidad  de  herederos  de  las  víctimas,</w:t>
        <w:br/>
        <w:t>“resultaría útil que se haga constar expresamente que son  beneficiarios  de</w:t>
        <w:br/>
        <w:t>la reparación.”</w:t>
        <w:br/>
        <w:br/>
        <w:br/>
        <w:t>Consideraciones de la Corte</w:t>
        <w:br/>
        <w:br/>
        <w:t>21.   En la Sentencia de referencia (supra párr. 6), específicamente  en  la</w:t>
        <w:br/>
        <w:t>sección de “beneficiarios” de  las  reparaciones,  la  Corte  Interamericana</w:t>
        <w:br/>
        <w:t>consideró lo siguiente:</w:t>
        <w:br/>
        <w:br/>
        <w:t xml:space="preserve">      235.  […] De conformidad con  su  jurisprudencia  […],  este  Tribunal</w:t>
        <w:br/>
        <w:t xml:space="preserve">      considera como familiares inmediatos  adecuadamente  identificados  de</w:t>
        <w:br/>
        <w:t xml:space="preserve">      las personas desaparecidas y privadas de su  vida,  a  saber,  madres,</w:t>
        <w:br/>
        <w:t xml:space="preserve">      padres, hermanas, hermanos, esposas,  compañeras,  hijas  e  hijos,  a</w:t>
        <w:br/>
        <w:t xml:space="preserve">      quienes se hace referencia en  un  documento  expedido  por  autoridad</w:t>
        <w:br/>
        <w:t xml:space="preserve">      competente que acredite su parentesco, como lo es  un  certificado  de</w:t>
        <w:br/>
        <w:t xml:space="preserve">      nacimiento o, en su caso, un acta de bautismo,  presentado  ante  este</w:t>
        <w:br/>
        <w:t xml:space="preserve">      Tribunal.</w:t>
        <w:br/>
        <w:br/>
        <w:br/>
        <w:t xml:space="preserve">      236.   Los  familiares  de  las  víctimas  serán  acreedores  de   las</w:t>
        <w:br/>
        <w:t xml:space="preserve">      reparaciones que el Tribunal fije por concepto de daño inmaterial  y/o</w:t>
        <w:br/>
        <w:t xml:space="preserve">      material, en su propio carácter de víctimas de las  violaciones  a  la</w:t>
        <w:br/>
        <w:t xml:space="preserve">      Convención declaradas, así como de aquellas que fije la  Corte  en  su</w:t>
        <w:br/>
        <w:t xml:space="preserve">      carácter de derechohabientes de las 37 víctimas desaparecidas  o  seis</w:t>
        <w:br/>
        <w:t xml:space="preserve">      privadas de su vida.</w:t>
        <w:br/>
        <w:br/>
        <w:br/>
        <w:t xml:space="preserve">      237.  En lo que se refiere a los familiares inmediatos de  quienes  no</w:t>
        <w:br/>
        <w:t xml:space="preserve">      se ha aportado documentación oficial o que la aportada no acredite  el</w:t>
        <w:br/>
        <w:t xml:space="preserve">      parentesco,  este  Tribunal  dispone  que  la  compensación  que   les</w:t>
        <w:br/>
        <w:t xml:space="preserve">      corresponda por el daño inmaterial sufrido se ceñirá a los  parámetros</w:t>
        <w:br/>
        <w:t xml:space="preserve">      de los familiares identificados de las víctimas  (supra  párr.  236  e</w:t>
        <w:br/>
        <w:t xml:space="preserve">      infra párr. 240),  siempre  que  se  presenten  ante  las  autoridades</w:t>
        <w:br/>
        <w:t xml:space="preserve">      competentes del Estado, dentro de los veinticuatro meses siguientes  a</w:t>
        <w:br/>
        <w:t xml:space="preserve">      la fecha de notificación de esta Sentencia y  aporten  la  información</w:t>
        <w:br/>
        <w:t xml:space="preserve">      oficial necesaria para su identificación y comprobación de parentesco.</w:t>
        <w:br/>
        <w:br/>
        <w:br/>
        <w:br/>
        <w:br/>
        <w:t xml:space="preserve">      […]</w:t>
        <w:br/>
        <w:br/>
        <w:br/>
        <w:t>22.   La Corte observa que el asunto planteado  por  los  representantes  se</w:t>
        <w:br/>
        <w:t>reduce  a  cuestionar  las  razones  por  las   cuales   ciertas   personas,</w:t>
        <w:br/>
        <w:t>presumiblemente familiares de las víctimas desaparecidas y  privadas  de  su</w:t>
        <w:br/>
        <w:t>vida, no se encuentran incluidas  en  el  Anexo  II  de  la  Sentencia  como</w:t>
        <w:br/>
        <w:t>beneficiarios de  indemnizaciones.  Es  de  notar  que,  en  su  demanda  de</w:t>
        <w:br/>
        <w:t>interpretación, los representantes hacen afirmaciones respecto de  supuestos</w:t>
        <w:br/>
        <w:t>generales y sólo brindan algunos “ejemplos” de una lista con 62  nombres  de</w:t>
        <w:br/>
        <w:t>personas que se encontrarían en  alguno  de  tales  supuestos.  Aunque  este</w:t>
        <w:br/>
        <w:t>Tribunal  se  limitara  a  los   casos   específicos   señalados   por   los</w:t>
        <w:br/>
        <w:t>representantes, su planteamiento puede llevar a la Corte  a  revisar  si  la</w:t>
        <w:br/>
        <w:t>documentación  aportada  al  Tribunal  permite  probar   la   existencia   y</w:t>
        <w:br/>
        <w:t>parentesco de las personas según  los  criterios  fijados  en  los  párrafos</w:t>
        <w:br/>
        <w:t>citados. Es decir, que su demanda de interpretación no es tal, en la  medida</w:t>
        <w:br/>
        <w:t>en que no versa sobre cuestiones precisas y concretas acerca del  sentido  y</w:t>
        <w:br/>
        <w:t>alcance de lo dispuesto en la Sentencia, que requiera de una  interpretación</w:t>
        <w:br/>
        <w:t>por parte  del  Tribunal,  en  los  términos  de  los  artículos  67  de  la</w:t>
        <w:br/>
        <w:t>Convención y 29.3 y 59 del Reglamento (supra párrs. 4, 5 y  9  a  11),  sino</w:t>
        <w:br/>
        <w:t>que pretende un examen de cuestiones de hecho ya analizadas y  resueltas  en</w:t>
        <w:br/>
        <w:t>Sentencia. En consecuencia, la Corte considera improcedente  la  demanda  de</w:t>
        <w:br/>
        <w:t>interpretación de los representantes, debido a  que  no  se  adecua  en  sus</w:t>
        <w:br/>
        <w:t>términos a lo previsto en dichas normas.</w:t>
        <w:br/>
        <w:br/>
        <w:t>23.   Sin perjuicio de lo anterior, el Tribunal estima conveniente  recordar</w:t>
        <w:br/>
        <w:t>que en el presente caso se presentaron numerosas  dificultades  en  relación</w:t>
        <w:br/>
        <w:t>con la determinación de los familiares de las 43  víctimas  privadas  de  su</w:t>
        <w:br/>
        <w:t>vida o  desaparecidas.  En  efecto,  las  listas  de  presuntas  víctimas  y</w:t>
        <w:br/>
        <w:t>familiares aportadas por  la  Comisión  y  los  representantes,  presentadas</w:t>
        <w:br/>
        <w:t>respectivamente en la demanda y en el escrito de solicitudes,  argumentos  y</w:t>
        <w:br/>
        <w:t>pruebas  (en  adelante  “escrito  de  solicitudes   y   argumentos”),   eran</w:t>
        <w:br/>
        <w:t>diferentes y, en algunos casos,  la  documentación  aportada  era  ilegible,</w:t>
        <w:br/>
        <w:t>incompleta o de alguna manera insuficiente para acreditar  la  existencia  o</w:t>
        <w:br/>
        <w:t>parentesco  de  determinadas  personas  con  las  víctimas  desaparecidas  o</w:t>
        <w:br/>
        <w:t>privadas de su vida. Ante la situación descrita, el Tribunal se  vio  en  la</w:t>
        <w:br/>
        <w:t>necesidad de efectuar un laborioso examen  de  la  prueba  aportada  por  la</w:t>
        <w:br/>
        <w:t>Comisión y los representantes orientado a reunir  los  elementos  necesarios</w:t>
        <w:br/>
        <w:t>para la identificación precisa de las presuntas víctimas y  sus  familiares,</w:t>
        <w:br/>
        <w:t>así  como  de  solicitar  a  los  representantes  que  presentaran  ulterior</w:t>
        <w:br/>
        <w:t>documentación  como  prueba  para  mejor  resolver.  Luego  de  declarar  la</w:t>
        <w:br/>
        <w:t>violación de los artículos 5.1, 8  y  25  de  la  Convención  Americana,  en</w:t>
        <w:br/>
        <w:t>relación con el artículo 1.1 de la misma, en perjuicio  “de  los  familiares</w:t>
        <w:br/>
        <w:t>inmediatos individualizados en este  proceso”  (párrafo  162),  el  Tribunal</w:t>
        <w:br/>
        <w:t>fijó las reparaciones considerando como “parte lesionada” a esos  familiares</w:t>
        <w:br/>
        <w:t>inmediatos  de  aquellas  43  víctimas  que  hubiesen   sido   adecuadamente</w:t>
        <w:br/>
        <w:t>identificados. A efectos de  determinar  a  esos  familiares  inmediatos,  a</w:t>
        <w:br/>
        <w:t>saber las madres, padres, hermanas, hermanos, esposas, compañeras,  hijas  e</w:t>
        <w:br/>
        <w:t>hijos,  el  Tribunal  tomó  en  cuenta  la  documentación  “expedid[a]   por</w:t>
        <w:br/>
        <w:t>autoridad competente” que acreditara su parentesco con  aquéllas,  tal  como</w:t>
        <w:br/>
        <w:t>un certificado de nacimiento o, en su caso, un acta de  bautismo,  según  lo</w:t>
        <w:br/>
        <w:t>que fue efectivamente aportado por las partes al proceso (párrafo 235 de  la</w:t>
        <w:br/>
        <w:t>Sentencia).</w:t>
        <w:br/>
        <w:br/>
        <w:t>24.   De tal manera, el Tribunal  estableció,  con  base  en  los  criterios</w:t>
        <w:br/>
        <w:t>antedichos y  en  la  documentación  idónea  aportada  por  las  partes,  la</w:t>
        <w:br/>
        <w:t>relación  de  familiares  inmediatos  de  las  víctimas  que  pudieron   ser</w:t>
        <w:br/>
        <w:t>adecuadamente identificados en el proceso ante la  Corte,  cuyos  nombres  y</w:t>
        <w:br/>
        <w:t>parentesco están consignados en el Anexo II de la Sentencia,  y  procedió  a</w:t>
        <w:br/>
        <w:t>fijar las  correspondientes  reparaciones.  Sin  embargo,  ante  la  posible</w:t>
        <w:br/>
        <w:t>existencia de otros familiares de las víctimas que en  los  términos  de  la</w:t>
        <w:br/>
        <w:t>Sentencia  no   fueron   adecuadamente   identificados   en   este   proceso</w:t>
        <w:br/>
        <w:t>internacional, el Tribunal adoptó disposiciones, contenidas en los  párrafos</w:t>
        <w:br/>
        <w:t>237 y 250, para salvaguardar su derecho a reclamar  reparaciones  por  daños</w:t>
        <w:br/>
        <w:t>materiales o inmateriales sufridos.</w:t>
        <w:br/>
        <w:br/>
        <w:t>25.   Así, en cuanto a la compensación  por  daño  material,  la  Corte  “se</w:t>
        <w:br/>
        <w:t>abst[uvo] de ordenar indemnizaciones a favor de los  familiares  de  las  37</w:t>
        <w:br/>
        <w:t>personas desaparecidas y de las seis privadas de su vida  en  este  proceso,</w:t>
        <w:br/>
        <w:t>respecto de otras pérdidas de carácter material en que hayan incurrido.  Sin</w:t>
        <w:br/>
        <w:t>embargo, el Tribunal aclar[ó] que la determinación de  las  reparaciones  en</w:t>
        <w:br/>
        <w:t>esta instancia internacional no obstaculiza ni precluye  la  posibilidad  de</w:t>
        <w:br/>
        <w:t>esos familiares de plantear los reclamos pertinentes  ante  las  autoridades</w:t>
        <w:br/>
        <w:t>nacionales” (párrafo 250 de la Sentencia).</w:t>
        <w:br/>
        <w:br/>
        <w:t>26.   En similar sentido, respecto del daño inmaterial, en  el  párrafo  237</w:t>
        <w:br/>
        <w:t>de la Sentencia fue dispuesto que los familiares  “de  quienes  no  se  haya</w:t>
        <w:br/>
        <w:t>aportado  documentación  oficial  o  que  la  aportada  no  acredit[ara]  el</w:t>
        <w:br/>
        <w:t>parentesco”, podrían recibir “la compensación que  les  corresponda  por  el</w:t>
        <w:br/>
        <w:t>daño  inmaterial  sufrido”,  según  “los  parámetros   de   los   familiares</w:t>
        <w:br/>
        <w:t>identificados de  las  víctimas  […]  siempre  que  se  presenten  ante  las</w:t>
        <w:br/>
        <w:t>autoridades  competentes  del  Estado  dentro  de  los  veinticuatro   meses</w:t>
        <w:br/>
        <w:t>siguientes a la fecha  de  notificación  de  esta  Sentencia  y  aporten  la</w:t>
        <w:br/>
        <w:t>información oficial necesaria  para  su  identificación  y  comprobación  de</w:t>
        <w:br/>
        <w:t>parentesco”.</w:t>
        <w:br/>
        <w:br/>
        <w:t>27.   Es decir, es claro que la consignación de familiares  de  aquellas  43</w:t>
        <w:br/>
        <w:t>víctimas en el referido Anexo  II  de  la  Sentencia  no  fue  realizada  de</w:t>
        <w:br/>
        <w:t>ninguna manera taxativa o preclusiva del derecho de cualquier otro  familiar</w:t>
        <w:br/>
        <w:t>de  solicitar  su  correspondiente  compensación  por  daños  materiales   o</w:t>
        <w:br/>
        <w:t>inmateriales ante las autoridades nacionales  competentes,  siempre  que  lo</w:t>
        <w:br/>
        <w:t>haga bajo las condiciones estipuladas.  Esto desde luego es aplicable a  las</w:t>
        <w:br/>
        <w:t>personas señaladas por los representantes en su demanda  de  interpretación,</w:t>
        <w:br/>
        <w:t>así como a cualquier otra persona que demuestre  tal  carácter  bajo  dichas</w:t>
        <w:br/>
        <w:t>condiciones.</w:t>
        <w:br/>
        <w:br/>
        <w:t>28.   Los demás supuestos  planteados  por  los  representantes  podrán  ser</w:t>
        <w:br/>
        <w:t>analizados en la etapa de  supervisión  de  cumplimiento  de  la  Sentencia,</w:t>
        <w:br/>
        <w:t>cuando ello sea pertinente.</w:t>
        <w:br/>
        <w:br/>
        <w:br/>
        <w:br/>
        <w:br/>
        <w:br/>
        <w:br/>
        <w:t xml:space="preserve">                                     VI</w:t>
        <w:br/>
        <w:t xml:space="preserve">              Criterios de distribución de las indemnizaciones</w:t>
        <w:br/>
        <w:br/>
        <w:br/>
        <w:t xml:space="preserve">      Alegatos del Estado</w:t>
        <w:br/>
        <w:br/>
        <w:t>29.   Respecto de la distribución de las  indemnizaciones  ordenadas  en  la</w:t>
        <w:br/>
        <w:t>Sentencia, el Estado solicitó a la  Corte  la  aclaración  del  párrafo  240</w:t>
        <w:br/>
        <w:t>literal  a)  de  la  misma  en  lo  atinente  a  la  distribución   de   las</w:t>
        <w:br/>
        <w:t>indemnizaciones entre los familiares de las personas privadas de la  vida  o</w:t>
        <w:br/>
        <w:t>desaparecidas. Al respecto, realizó las siguientes preguntas específicas:</w:t>
        <w:br/>
        <w:br/>
        <w:br/>
        <w:t xml:space="preserve">     1) En el  caso  de  que  existan  cónyuge  y  compañera(o)  permanente</w:t>
        <w:br/>
        <w:t xml:space="preserve">        respecto [de] algunas de las víctimas (distintas  a  las  señaladas</w:t>
        <w:br/>
        <w:t xml:space="preserve">        expresamente en la parte final del literal citado), [¿]cuál de  las</w:t>
        <w:br/>
        <w:t xml:space="preserve">        dos personas es la beneficiaria de la indemnización? [, y]</w:t>
        <w:br/>
        <w:br/>
        <w:t xml:space="preserve">     2) [¿]Para ser beneficiaria(o) de las  indemnizaciones,  es  necesario</w:t>
        <w:br/>
        <w:t xml:space="preserve">        acreditar la convivencia con la víctima al momento  de  la  muerte?</w:t>
        <w:br/>
        <w:t xml:space="preserve">        Se formula la aclaración, por cuanto  de  acuerdo  al  ordenamiento</w:t>
        <w:br/>
        <w:t xml:space="preserve">        interno se precisa acreditar la convivencia.  Lo anterior  teniendo</w:t>
        <w:br/>
        <w:t xml:space="preserve">        en cuenta lo dispuesto en el artículo 68 de la [Convención].</w:t>
        <w:br/>
        <w:br/>
        <w:br/>
        <w:br/>
        <w:t xml:space="preserve">      Alegatos de los representantes</w:t>
        <w:br/>
        <w:br/>
        <w:t>30.   Respecto de  la  aclaración  solicitada  por  el  Estado  relativa  la</w:t>
        <w:br/>
        <w:t>distribución  de  las  indemnizaciones  ordenadas  en  la   Sentencia,   los</w:t>
        <w:br/>
        <w:t>representantes consideraron que:</w:t>
        <w:br/>
        <w:br/>
        <w:t xml:space="preserve">   a) en caso de que exista otra víctima simultáneamente con  la  cónyuge  y</w:t>
        <w:br/>
        <w:t xml:space="preserve">      compañera permanente, debe aplicarse el mismo criterio establecido por</w:t>
        <w:br/>
        <w:t xml:space="preserve">      la Corte en relación con las personas referidas en el literal  a)  del</w:t>
        <w:br/>
        <w:t xml:space="preserve">      párrafo 240 de la Sentencia.  En consecuencia, se debe reconocer a las</w:t>
        <w:br/>
        <w:t xml:space="preserve">      dos personas  y  distribuir  la  compensación  correspondiente  a  esa</w:t>
        <w:br/>
        <w:t xml:space="preserve">      categoría de beneficiarias en partes iguales, y</w:t>
        <w:br/>
        <w:br/>
        <w:br/>
        <w:t xml:space="preserve">   b) por otra parte, la condición de convivencia  entre  la  víctima  y  su</w:t>
        <w:br/>
        <w:t xml:space="preserve">      cónyuge y/o compañera permanente es una circunstancia evaluada por  la</w:t>
        <w:br/>
        <w:t xml:space="preserve">      Corte al momento del reconocimiento de beneficiaria de  la  medida  de</w:t>
        <w:br/>
        <w:t xml:space="preserve">      reparación. En este sentido, “no corresponde al  deber  de  reparación</w:t>
        <w:br/>
        <w:t xml:space="preserve">      pronta y oportuna que se imponga  a  los  beneficiarios  la  carga  de</w:t>
        <w:br/>
        <w:t xml:space="preserve">      acreditar ante el Estado situaciones y condiciones ya acreditadas ante</w:t>
        <w:br/>
        <w:t xml:space="preserve">      un órgano jurisdiccional reconocido por el propio Estado, como  lo  es</w:t>
        <w:br/>
        <w:t xml:space="preserve">      la Corte, salvo el hecho de que alguno de  los  beneficiarios  de  las</w:t>
        <w:br/>
        <w:t xml:space="preserve">      indemnizaciones  con  interés  legítimo  impugne  el   hecho   de   la</w:t>
        <w:br/>
        <w:t xml:space="preserve">      convivencia al momento de ocurrencia de los hechos, evento en el  cual</w:t>
        <w:br/>
        <w:t xml:space="preserve">      el Estado deberá exigir la acreditación de tal hecho,  mediante  [...]</w:t>
        <w:br/>
        <w:t xml:space="preserve">      un procedimiento controvertido y público”.</w:t>
        <w:br/>
        <w:br/>
        <w:br/>
        <w:t xml:space="preserve">      Alegatos de la Comisión</w:t>
        <w:br/>
        <w:br/>
        <w:t>31.   Con relación al alegato del Estado relativo a la distribución  de  las</w:t>
        <w:br/>
        <w:t>indemnizaciones cuando existan cónyuge y compañera  respecto  de  una  misma</w:t>
        <w:br/>
        <w:t>víctima, la Comisión consideró que dicho alegato “no propone una duda  sobre</w:t>
        <w:br/>
        <w:t>el alcance de la Sentencia, en cuyo párrafo 240(a) el Tribunal fue claro  al</w:t>
        <w:br/>
        <w:t>determinar que la titular de las indemnizaciones ordenadas será la  cónyuge,</w:t>
        <w:br/>
        <w:t>o compañera permanente de la víctima, al momento de la privación de la  vida</w:t>
        <w:br/>
        <w:t>o desaparición de  ésta”.  En  cuanto  a  la  segunda  pregunta  del  Estado</w:t>
        <w:br/>
        <w:t>respecto de este punto, la Comisión estimó que  “no  puede  exigirse  en  el</w:t>
        <w:br/>
        <w:t>ámbito interno prueba adicional a personas  que  ya  han  sido  expresamente</w:t>
        <w:br/>
        <w:t>declaradas por la Corte [como] víctimas o beneficiarias de las  reparaciones</w:t>
        <w:br/>
        <w:t>ordenadas en  el  procedimiento  contencioso  [en]  que  han  acreditado  su</w:t>
        <w:br/>
        <w:t>derecho”. Por ende,  “el  pedido  de  interpretación  de  esta  sección  […]</w:t>
        <w:br/>
        <w:t>resulta innecesario e impertinente”.</w:t>
        <w:br/>
        <w:br/>
        <w:br/>
        <w:t xml:space="preserve">      Consideraciones de la Corte</w:t>
        <w:br/>
        <w:br/>
        <w:t>32.   El Tribunal observa que  las  preguntas  del  Estado  se  refieren  al</w:t>
        <w:br/>
        <w:t>supuesto en que cónyuges y  compañeras,  de  alguna  o  algunas  de  las  43</w:t>
        <w:br/>
        <w:t>personas privadas de la vida o desaparecidas no incluidas en el  literal  a)</w:t>
        <w:br/>
        <w:t>del párrafo 240 de la Sentencia, concurrieren a reclamar la  reparación  por</w:t>
        <w:br/>
        <w:t>concepto del daño material  e  inmaterial  correspondiente  a  las  personas</w:t>
        <w:br/>
        <w:t>privadas de la vida o desaparecidas. Además, dichas preguntas se refieren  a</w:t>
        <w:br/>
        <w:t>si en tal supuesto es necesario acreditar la convivencia de aquéllas con  la</w:t>
        <w:br/>
        <w:t>víctima  al  momento  de  su  muerte  o  desaparición,  a  efectos  de   ser</w:t>
        <w:br/>
        <w:t>beneficiarias de las indemnizaciones, lo cual según el Estado  es  requerido</w:t>
        <w:br/>
        <w:t>por el ordenamiento interno colombiano.</w:t>
        <w:br/>
        <w:br/>
        <w:t>33.   En relación con la primera pregunta del Estado, en caso de  que  otras</w:t>
        <w:br/>
        <w:t>cónyuges y compañeras no incluidas en la Sentencia plantearan reclamos  ante</w:t>
        <w:br/>
        <w:t>autoridades nacionales por concepto de los daños materiales  o  inmateriales</w:t>
        <w:br/>
        <w:t>correspondientes a aquellas 43 víctimas, ambas  serán  beneficiarias  cuando</w:t>
        <w:br/>
        <w:t>demuestren tal condición. En ese supuesto, deberá distribuirse el 50% de  la</w:t>
        <w:br/>
        <w:t>compensación correspondiente en partes iguales entre ambas personas, en  los</w:t>
        <w:br/>
        <w:t>mismos términos dispuestos en el literal a) del párrafo 240 de la  Sentencia</w:t>
        <w:br/>
        <w:t>de referencia.</w:t>
        <w:br/>
        <w:br/>
        <w:t>34.   En cuanto a la segunda pregunta del Estado, la  Corte  señala  que  la</w:t>
        <w:br/>
        <w:t>determinación de los beneficiarios de las reparaciones,  como  parte  de  la</w:t>
        <w:br/>
        <w:t>obligación de reparar, ya fue realizada al momento de dictar  la  Sentencia,</w:t>
        <w:br/>
        <w:t>con base en los criterios señalados y la prueba aportada al  proceso,  a  la</w:t>
        <w:br/>
        <w:t>luz de la normativa de la Convención  Americana  y  los  principios  que  la</w:t>
        <w:br/>
        <w:t>informan. Es decir, que esa determinación no puede  ser  modificada  por  el</w:t>
        <w:br/>
        <w:t>Estado invocando disposiciones de su derecho interno. En razón de  ello,  la</w:t>
        <w:br/>
        <w:t>Corte coincide con lo señalado por los  representantes  y  la  Comisión,  en</w:t>
        <w:br/>
        <w:t>cuanto a que en el ámbito interno no puede exigirse prueba adicional  de  su</w:t>
        <w:br/>
        <w:t>condición de víctimas o beneficiarias de las reparaciones a personas que  ya</w:t>
        <w:br/>
        <w:t>han sido expresamente declaradas como tales por la Corte  en  la  Sentencia,</w:t>
        <w:br/>
        <w:t>pues esto implicaría reabrir cuestiones de hecho y de derecho  ya  decididas</w:t>
        <w:br/>
        <w:t>en la misma.  Por otro lado,  en  el  supuesto  considerado  en  el  párrafo</w:t>
        <w:br/>
        <w:t>anterior (supra párr. 33), la persona que fuere esposa  o  compañera  de  la</w:t>
        <w:br/>
        <w:t>víctima al momento de su fallecimiento o desaparición deberá  acreditar  tal</w:t>
        <w:br/>
        <w:t>calidad según las disposiciones aplicables de derecho interno.</w:t>
        <w:br/>
        <w:br/>
        <w:t>35.    De  conformidad  con  lo  anteriormente  señalado,  el  Tribunal   ha</w:t>
        <w:br/>
        <w:t>determinado el sentido y alcance de lo dispuesto en el párrafo  240  literal</w:t>
        <w:br/>
        <w:t>a) de la Sentencia.</w:t>
        <w:br/>
        <w:br/>
        <w:br/>
        <w:br/>
        <w:t xml:space="preserve">                                     VII</w:t>
        <w:br/>
        <w:t xml:space="preserve">                            Programa de vivienda</w:t>
        <w:br/>
        <w:br/>
        <w:br/>
        <w:t>Alegatos del Estado</w:t>
        <w:br/>
        <w:br/>
        <w:t>36.   El Estado solicitó interpretación respecto del alcance de la forma  de</w:t>
        <w:br/>
        <w:t>reparación establecida en los  párrafos  275  y  276  de  la  Sentencia.  Al</w:t>
        <w:br/>
        <w:t>estimar que “el hecho probado en que se sustenta la reparación es  sumamente</w:t>
        <w:br/>
        <w:t>general [para saber] a ciencia cierta  si  está  o  no  cumpliendo  con  los</w:t>
        <w:br/>
        <w:t>parámetros esperados por el Tribunal”,  el  Estado  realizó  las  siguientes</w:t>
        <w:br/>
        <w:t>preguntas específicas:</w:t>
        <w:br/>
        <w:br/>
        <w:br/>
        <w:t xml:space="preserve">     1. La Sentencia dispone en el Anexo I [sic], el grupo de beneficiarios</w:t>
        <w:br/>
        <w:t xml:space="preserve">        que corresponden a cada víctima. ¿El Estado  debe  entender  que  a</w:t>
        <w:br/>
        <w:t xml:space="preserve">        cada grupo familiar corresponde una vivienda?</w:t>
        <w:br/>
        <w:br/>
        <w:t xml:space="preserve">     2. ¿Cuál  es  el  plazo  para  que  estas  personas  puedan  hacer  su</w:t>
        <w:br/>
        <w:t xml:space="preserve">        reclamación al Estado?</w:t>
        <w:br/>
        <w:br/>
        <w:t xml:space="preserve">     3. ¿Qué pruebas deben allegarse para ser beneficiario de  esta  medida</w:t>
        <w:br/>
        <w:t xml:space="preserve">        de reparación?</w:t>
        <w:br/>
        <w:br/>
        <w:t xml:space="preserve">     4. ¿Cuál es el plazo para que el Estado satisfaga la  obligación,  una</w:t>
        <w:br/>
        <w:t xml:space="preserve">        vez  acreditada  la  condición  de  beneficiario  del  programa  de</w:t>
        <w:br/>
        <w:t xml:space="preserve">        vivienda?</w:t>
        <w:br/>
        <w:br/>
        <w:t xml:space="preserve">     5. De acuerdo con el ordenamiento jurídico  interno,  una  persona  no</w:t>
        <w:br/>
        <w:t xml:space="preserve">        puede  ser  beneficiaria  dos  veces  de  programas   de   vivienda</w:t>
        <w:br/>
        <w:t xml:space="preserve">        estatales. ¿Si alguno de  los  beneficiarios  (de  acuerdo  con  la</w:t>
        <w:br/>
        <w:t xml:space="preserve">        respuesta a la pregunta número 1) fue favorecido con un programa de</w:t>
        <w:br/>
        <w:t xml:space="preserve">        vivienda estatal, puede entenderse cumplida la obligación  ordenada</w:t>
        <w:br/>
        <w:t xml:space="preserve">        en la Sentencia?</w:t>
        <w:br/>
        <w:br/>
        <w:br/>
        <w:t>Alegatos de la Comisión</w:t>
        <w:br/>
        <w:br/>
        <w:t>37.   Respecto de la solicitud del Estado referente a la implementación  del</w:t>
        <w:br/>
        <w:t>programa habitacional, la Comisión  Interamericana  manifestó,  inter  alia,</w:t>
        <w:br/>
        <w:t>que:</w:t>
        <w:br/>
        <w:br/>
        <w:t xml:space="preserve">   a) el efecto útil de dicha medida de satisfacción está relacionado con la</w:t>
        <w:br/>
        <w:t xml:space="preserve">      reparación de pérdidas sufridas y la procuración  de  las  condiciones</w:t>
        <w:br/>
        <w:t xml:space="preserve">      necesarias para el regreso a Pueblo  Bello.  La  Comisión  estimó  que</w:t>
        <w:br/>
        <w:t xml:space="preserve">      cualquier ejecución que se dé al programa diseñado debe tener presente</w:t>
        <w:br/>
        <w:t xml:space="preserve">      los objetivos a que hace referencia el Tribunal;</w:t>
        <w:br/>
        <w:br/>
        <w:t xml:space="preserve">   b) respecto del plazo, tal como lo estableció la Corte en el párrafo 287,</w:t>
        <w:br/>
        <w:t xml:space="preserve">      la Comisión consideró que el Estado deberá dar  cumplimiento  a  dicha</w:t>
        <w:br/>
        <w:t xml:space="preserve">      obligación en un “plazo razonable”.  “Lo  anterior  no  significa  que</w:t>
        <w:br/>
        <w:t xml:space="preserve">      esta obligación no deba estar sujeta al  escrutinio  constante  de  la</w:t>
        <w:br/>
        <w:t xml:space="preserve">      Corte, por el período en que se mantenga pendiente”.  Al respecto,  la</w:t>
        <w:br/>
        <w:t xml:space="preserve">      Comisión estimó que “una primera valoración sobre el  cumplimiento  de</w:t>
        <w:br/>
        <w:t xml:space="preserve">      estas obligaciones deberá efectuarse  cuando  el  Estado  presente  su</w:t>
        <w:br/>
        <w:t xml:space="preserve">      [primer] informe de cumplimiento, un año después de la notificación de</w:t>
        <w:br/>
        <w:t xml:space="preserve">      la Sentencia”;</w:t>
        <w:br/>
        <w:br/>
        <w:t xml:space="preserve">   c) respecto de las pruebas que deben allegarse para ser  beneficiario  de</w:t>
        <w:br/>
        <w:t xml:space="preserve">      esta medida de reparación, la Comisión consideró que “el texto  de  la</w:t>
        <w:br/>
        <w:t xml:space="preserve">      Sentencia es claro y que ésta constituye un  instrumento  idóneo  para</w:t>
        <w:br/>
        <w:t xml:space="preserve">      dar ejecución directa a las obligaciones establecidas  por  la  Corte.</w:t>
        <w:br/>
        <w:t xml:space="preserve">      En este sentido, salvo los procesos de acreditación de identidad”,  la</w:t>
        <w:br/>
        <w:t xml:space="preserve">      Comisión consideró que “no sería por ejemplo pertinente exigir  en  el</w:t>
        <w:br/>
        <w:t xml:space="preserve">      ámbito interno prueba adicional a quienes  ya  han  sido  expresamente</w:t>
        <w:br/>
        <w:t xml:space="preserve">      declarados por la Corte Interamericana víctimas o beneficiarios de las</w:t>
        <w:br/>
        <w:t xml:space="preserve">      reparaciones ordenadas”, y</w:t>
        <w:br/>
        <w:br/>
        <w:t xml:space="preserve">   d) respecto a si se considera  cumplida  la  obligación  ordenada  en  la</w:t>
        <w:br/>
        <w:t xml:space="preserve">      Sentencia cuando alguno de los beneficiarios haya sido favorecido  por</w:t>
        <w:br/>
        <w:t xml:space="preserve">      algún programa de vivienda estatal, la  Comisión  manifestó  que  este</w:t>
        <w:br/>
        <w:t xml:space="preserve">      asunto “no es materia de interpretación  de  la  sentencia”,  pues  no</w:t>
        <w:br/>
        <w:t xml:space="preserve">      corresponde a la necesidad de la “precisión  de  un  texto,  [...]  en</w:t>
        <w:br/>
        <w:t xml:space="preserve">      cuanto a lo decidido en sus puntos resolutivos  [o]  en  cuanto  a  la</w:t>
        <w:br/>
        <w:t xml:space="preserve">      determinación  del  alcance,  el  sentido  y  la  finalidad   de   sus</w:t>
        <w:br/>
        <w:t xml:space="preserve">      consideraciones”.  De  pronunciarse  sobre  esta  cuestión,  la  Corte</w:t>
        <w:br/>
        <w:t xml:space="preserve">      “tendría que proponer una opinión en abstracto que podría  afectar  el</w:t>
        <w:br/>
        <w:t xml:space="preserve">      proceso de cumplimiento de este tipo de  obligación  en  este  caso  u</w:t>
        <w:br/>
        <w:t xml:space="preserve">      otros,  sin  haber  tenido  en  consideración  todos   los   elementos</w:t>
        <w:br/>
        <w:t xml:space="preserve">      necesarios de juicio.” Asimismo, aclaró que “el ejercicio de responder</w:t>
        <w:br/>
        <w:t xml:space="preserve">      consultas genéricas o abstractas corresponde más  a  un  ejercicio  de</w:t>
        <w:br/>
        <w:t xml:space="preserve">      competencia consultiva que de jurisprudencia contenciosa”. Por  tanto,</w:t>
        <w:br/>
        <w:t xml:space="preserve">      para que la Corte se pronuncie sobre  este  tipo  de  situaciones  “es</w:t>
        <w:br/>
        <w:t xml:space="preserve">      indispensable que la consulta se ubique en el contexto de  situaciones</w:t>
        <w:br/>
        <w:t xml:space="preserve">      concretas, en que tanto el Estado como el  potencial  afectado  puedan</w:t>
        <w:br/>
        <w:t xml:space="preserve">      hacer llegar sus puntos de vista  al  Tribunal.”   Por  lo  tanto,  la</w:t>
        <w:br/>
        <w:t xml:space="preserve">      Comisión estimó “que este tipo de consulta debe solventarse como parte</w:t>
        <w:br/>
        <w:t xml:space="preserve">      del proceso de cumplimiento de sentencia”.</w:t>
        <w:br/>
        <w:br/>
        <w:br/>
        <w:t>Alegatos de los representantes</w:t>
        <w:br/>
        <w:br/>
        <w:t>38.   Respecto de la mencionada solicitud  del  Estado,  los  representantes</w:t>
        <w:br/>
        <w:t>manifestaron, en lo conducente, que:</w:t>
        <w:br/>
        <w:br/>
        <w:br/>
        <w:t xml:space="preserve">   a) la  determinación del alcance de la medida de reparación ordenada  por</w:t>
        <w:br/>
        <w:t xml:space="preserve">      la Corte y el sentido que como tal tiene para los  familiares  de  las</w:t>
        <w:br/>
        <w:t xml:space="preserve">      víctimas  impone  la  necesidad  de  considerar  las   circunstancias,</w:t>
        <w:br/>
        <w:t xml:space="preserve">      gravedad y naturaleza de los hechos conocidos por el Tribunal;</w:t>
        <w:br/>
        <w:br/>
        <w:t xml:space="preserve">   b) debe interpretarse el alcance de la medida de reparación  aludida  por</w:t>
        <w:br/>
        <w:t xml:space="preserve">      el Estado en función de la jurisprudencia invocada por la propia Corte</w:t>
        <w:br/>
        <w:t xml:space="preserve">      para dar soporte a la determinación de la misma, específicamente a  lo</w:t>
        <w:br/>
        <w:t xml:space="preserve">      dispuesto en el caso Masacre de “Plan de Sánchez” vs. Guatemala;</w:t>
        <w:br/>
        <w:br/>
        <w:t xml:space="preserve">   c) el programa de vivienda tiene que respetar las agrupaciones familiares</w:t>
        <w:br/>
        <w:t xml:space="preserve">      actuales, es decir, cada familiar que fue desplazado tiene  derecho  a</w:t>
        <w:br/>
        <w:t xml:space="preserve">      una vivienda.  Los familiares que siguen  viviendo  juntos  (como  por</w:t>
        <w:br/>
        <w:t xml:space="preserve">      ejemplo, los padres  de  la  víctima)  recibirán  una  sola  vivienda,</w:t>
        <w:br/>
        <w:t xml:space="preserve">      mientras que los demás (hermanos o hijos que han salido de la  casa  y</w:t>
        <w:br/>
        <w:t xml:space="preserve">      creado sus propias  familias)  recibirán  sus  propias  viviendas.  Al</w:t>
        <w:br/>
        <w:t xml:space="preserve">      respecto,  los  representantes  manifestaron  que  “[n]o  es  realista</w:t>
        <w:br/>
        <w:t xml:space="preserve">      esperar que todos los miembros de  un grupo familiar, más sus  esposos</w:t>
        <w:br/>
        <w:t xml:space="preserve">      e hijos (que en algunas familias podrían llegar a 50 o  más  personas)</w:t>
        <w:br/>
        <w:t xml:space="preserve">      pudieran vivir en una sola vivienda, tomando en cuenta  la  obligación</w:t>
        <w:br/>
        <w:t xml:space="preserve">      de ‘ofrecer espacio adecuado’”. Además, muchos de  los  familiares  de</w:t>
        <w:br/>
        <w:t xml:space="preserve">      las víctimas, al momento de los hechos, no necesariamente vivían en el</w:t>
        <w:br/>
        <w:t xml:space="preserve">      mismo lugar de habitación con  las  víctimas,  porque  tenían  lugares</w:t>
        <w:br/>
        <w:t xml:space="preserve">      diferentes pero próximos a las mismas. Es decir, debe  entenderse  que</w:t>
        <w:br/>
        <w:t xml:space="preserve">      “la medida de reparación ordenada por la  Corte  debe  corresponder  a</w:t>
        <w:br/>
        <w:t xml:space="preserve">      cada grupo familiar de cada uno de  los  familiares  de  las  víctimas</w:t>
        <w:br/>
        <w:t xml:space="preserve">      determinados en la sentencia y los que se establezcan a nivel  interno</w:t>
        <w:br/>
        <w:t xml:space="preserve">      en correspondencia con lo previsto en el párrafo 237 de la sentencia”;</w:t>
        <w:br/>
        <w:br/>
        <w:t xml:space="preserve">   d) en cuanto a los plazos, la  Corte  no  estableció  ningún  plazo  fijo</w:t>
        <w:br/>
        <w:t xml:space="preserve">      porque, tal como lo destacó en  los  párrafos  275  y  276,  exige  la</w:t>
        <w:br/>
        <w:t xml:space="preserve">      concreción de  ciertas  condiciones  establecidas  en  Sentencia  para</w:t>
        <w:br/>
        <w:t xml:space="preserve">      determinar el momento en que  los  familiares  de  la  víctimas  deben</w:t>
        <w:br/>
        <w:t xml:space="preserve">      acudir ante el Estado a exigir su cumplimiento. El plazo  para  exigir</w:t>
        <w:br/>
        <w:t xml:space="preserve">      del Estado el cumplimiento de esta obligación está sometido a  que  el</w:t>
        <w:br/>
        <w:t xml:space="preserve">      mismo complete la investigación, esclarezca los hechos  y  sancione  a</w:t>
        <w:br/>
        <w:t xml:space="preserve">      los responsables de los hechos;</w:t>
        <w:br/>
        <w:br/>
        <w:t xml:space="preserve">   e) además, lo anterior tiene relación con el deber del Estado de  brindar</w:t>
        <w:br/>
        <w:t xml:space="preserve">      las condiciones de seguridad necesarias para que  los  familiares  que</w:t>
        <w:br/>
        <w:t xml:space="preserve">      decidan regresar puedan hacerlo.  En este  supuesto,  las  actividades</w:t>
        <w:br/>
        <w:t xml:space="preserve">      concretas   de   verificación   y   consulta   que   deben   emprender</w:t>
        <w:br/>
        <w:t xml:space="preserve">      representantes oficiales del Estado, quienes  deben  ser  funcionarios</w:t>
        <w:br/>
        <w:t xml:space="preserve">      civiles, deberán ser puestas en conocimiento de los familiares  y  sus</w:t>
        <w:br/>
        <w:t xml:space="preserve">      representantes, a efectos de contar con elementos de juicio para  que,</w:t>
        <w:br/>
        <w:t xml:space="preserve">      una vez que se haya llegado a una  conclusión  y  evaluación  conjunta</w:t>
        <w:br/>
        <w:t xml:space="preserve">      entre  esos  representantes  oficiales  y  la   comunidad   sobre   la</w:t>
        <w:br/>
        <w:t xml:space="preserve">      verificación de dichas condiciones de seguridad, los familiares de las</w:t>
        <w:br/>
        <w:t xml:space="preserve">      víctimas beneficiarios de las medidas estarán en condiciones de acudir</w:t>
        <w:br/>
        <w:t xml:space="preserve">      ante el Estado en demanda del cumplimiento de  esta  reparación.  Esta</w:t>
        <w:br/>
        <w:t xml:space="preserve">      información debe ser igualmente remitida a la  Corte  con  el  fin  de</w:t>
        <w:br/>
        <w:t xml:space="preserve">      poder evaluar periódicamente los avances sobre dichos  aspectos  y  el</w:t>
        <w:br/>
        <w:t xml:space="preserve">      momento en que estarían dadas las condiciones para dicho cumplimiento.</w:t>
        <w:br/>
        <w:t xml:space="preserve">      Una vez presentada la  solicitud  por  el  familiar  beneficiario,  el</w:t>
        <w:br/>
        <w:t xml:space="preserve">      Estado deberá dar cumplimiento al plan de  vivienda  en  un  plazo  no</w:t>
        <w:br/>
        <w:t xml:space="preserve">      mayor de un año. Sin perjuicio de lo anterior, el Estado deberá  tomar</w:t>
        <w:br/>
        <w:t xml:space="preserve">      las medidas de planeación y ordenamiento territorial que  correspondan</w:t>
        <w:br/>
        <w:t xml:space="preserve">      para que, al momento en que un familiar o varios  decidan  regresar  a</w:t>
        <w:br/>
        <w:t xml:space="preserve">      Pueblo Bello, existan las provisiones y condiciones  para  atender  el</w:t>
        <w:br/>
        <w:t xml:space="preserve">      requerimiento del plan de vivienda, y</w:t>
        <w:br/>
        <w:br/>
        <w:t xml:space="preserve">   f) específicamente, respecto de los  beneficiarios  de  dicha  medida  de</w:t>
        <w:br/>
        <w:t xml:space="preserve">      reparación, los representantes manifestaron, inter alia, que:</w:t>
        <w:br/>
        <w:br/>
        <w:br/>
        <w:br/>
        <w:t xml:space="preserve">        i. debe entenderse que los beneficiarios de la medida de reparación</w:t>
        <w:br/>
        <w:t xml:space="preserve">           son todos aquellos que la  Corte  reconoció  como  tales  en  la</w:t>
        <w:br/>
        <w:t xml:space="preserve">           sentencia y aquellos que permitió el  Tribunal  que  acreditaran</w:t>
        <w:br/>
        <w:t xml:space="preserve">           tal condición ante las  autoridades  colombianas.  Dado  que  la</w:t>
        <w:br/>
        <w:t xml:space="preserve">           Corte no fijó condiciones especiales para  ser  beneficiario  de</w:t>
        <w:br/>
        <w:t xml:space="preserve">           esta medida de reparación, no  debe  entenderse  que  existirían</w:t>
        <w:br/>
        <w:t xml:space="preserve">           esas  limitaciones  más  allá  de   lo   establecido   para   el</w:t>
        <w:br/>
        <w:t xml:space="preserve">           reconocimiento de beneficiarios indicado en la propia Sentencia;</w:t>
        <w:br/>
        <w:br/>
        <w:br/>
        <w:br/>
        <w:t xml:space="preserve">       ii. a pesar de que el Estado se refirió a la existencia de una norma</w:t>
        <w:br/>
        <w:t xml:space="preserve">           de derecho interno que impediría  el  eventual  cumplimiento  de</w:t>
        <w:br/>
        <w:t xml:space="preserve">           esta medida respecto de personas ya beneficiarias de  planes  de</w:t>
        <w:br/>
        <w:t xml:space="preserve">           vivienda, no aportó prueba de la existencia  de  esa  norma,  ni</w:t>
        <w:br/>
        <w:t xml:space="preserve">           tampoco la precisó;</w:t>
        <w:br/>
        <w:br/>
        <w:t xml:space="preserve">      iii. de acuerdo con lo previsto en el artículo 27 de la Convención de</w:t>
        <w:br/>
        <w:t xml:space="preserve">           Viena, el  Estado  no  puede  alegar  disposiciones  de  derecho</w:t>
        <w:br/>
        <w:t xml:space="preserve">           interno  para  negarse  a   satisfacer   las   obligaciones   de</w:t>
        <w:br/>
        <w:t xml:space="preserve">           implementar y cumplir con las medidas  de  reparación  ordenadas</w:t>
        <w:br/>
        <w:t xml:space="preserve">           por la Corte, y</w:t>
        <w:br/>
        <w:br/>
        <w:t xml:space="preserve">       iv. si el Estado ha reconocido y beneficiado  a  cualquiera  de  los</w:t>
        <w:br/>
        <w:t xml:space="preserve">           familiares de este caso con un proyecto  de  vivienda,  no  debe</w:t>
        <w:br/>
        <w:t xml:space="preserve">           entenderse que con ello dicho  familiar  queda  excluido  de  la</w:t>
        <w:br/>
        <w:t xml:space="preserve">           medida de reparación, ya que ese plan no habría estado destinado</w:t>
        <w:br/>
        <w:t xml:space="preserve">           a reparar los daños causados por este hecho específico.</w:t>
        <w:br/>
        <w:br/>
        <w:br/>
        <w:t>Consideraciones de la Corte</w:t>
        <w:br/>
        <w:br/>
        <w:t>39.   La Corte ha constatado que este aspecto al que se  refirió  el  Estado</w:t>
        <w:br/>
        <w:t>en su demanda de interpretación plantea dudas válidas acerca del  alcance  y</w:t>
        <w:br/>
        <w:t>modalidad de cumplimiento de una de las formas  de  reparación  ordenada  en</w:t>
        <w:br/>
        <w:t>los párrafos 275 y 276 de la Sentencia,  consistente  en  la  obligación  de</w:t>
        <w:br/>
        <w:t>“implementar […] un programa habitacional  de  vivienda  adecuada  para  los</w:t>
        <w:br/>
        <w:t>familiares  [desplazados]  que  regresen  a  Pueblo   Bello”.   Por   tanto,</w:t>
        <w:br/>
        <w:t>corresponde declarar admisible este aspecto de la demanda de  interpretación</w:t>
        <w:br/>
        <w:t>del Estado, por lo que el Tribunal pasa ahora a resolverlo.</w:t>
        <w:br/>
        <w:br/>
        <w:t>40.   En la Sentencia de referencia la Corte tuvo por probado que:</w:t>
        <w:br/>
        <w:br/>
        <w:t xml:space="preserve">      Los familiares de las presuntas víctimas han sufrido daños  materiales</w:t>
        <w:br/>
        <w:t xml:space="preserve">      e inmateriales como consecuencia directa de los hechos; ha afectado su</w:t>
        <w:br/>
        <w:t xml:space="preserve">      salud física y psicológica, ha impactado  sus  relaciones  sociales  y</w:t>
        <w:br/>
        <w:t xml:space="preserve">      laborales, ha alterado la dinámica  de  sus  familias  y,  en  algunos</w:t>
        <w:br/>
        <w:t xml:space="preserve">      casos, ha puesto en riesgo la vida e integridad personal de algunos de</w:t>
        <w:br/>
        <w:t xml:space="preserve">      sus miembros, perdieron sus bienes y recibieron múltiples amenazas por</w:t>
        <w:br/>
        <w:t xml:space="preserve">      parte de los paramilitares. […] Como consecuencia de  los  hechos,  en</w:t>
        <w:br/>
        <w:t xml:space="preserve">      especial los  daños  sufridos  por  las  familias,  el  miedo  de  los</w:t>
        <w:br/>
        <w:t xml:space="preserve">      familiares a  que  se  repitieran  hechos  similares  y  las  amenazas</w:t>
        <w:br/>
        <w:t xml:space="preserve">      recibidas por algunos de ellos, varias familias  de  Pueblo  Bello  se</w:t>
        <w:br/>
        <w:t xml:space="preserve">      desplazaron  internamente.  Esta  situación  se  ha   manifestado   de</w:t>
        <w:br/>
        <w:t xml:space="preserve">      diferentes maneras: hay personas o  familias  que  se  han  desplazado</w:t>
        <w:br/>
        <w:t xml:space="preserve">      temporalmente y  han  regresado  al  corregimiento;  otras  se  vieron</w:t>
        <w:br/>
        <w:t xml:space="preserve">      forzadas a desplazarse en forma intermitente desde el momento  de  los</w:t>
        <w:br/>
        <w:t xml:space="preserve">      hechos o posteriormente.  Además, hay quienes se  vieron  obligados  a</w:t>
        <w:br/>
        <w:t xml:space="preserve">      salir de Colombia. (párrafo 95.161 de la Sentencia).</w:t>
        <w:br/>
        <w:br/>
        <w:t>41.   Como consecuencia de esos hechos y de haber declarado dicha  violación</w:t>
        <w:br/>
        <w:t>del derecho a la integridad personal, la Corte dispuso,  específicamente  en</w:t>
        <w:br/>
        <w:t>el acápite de “Otras formas  de  reparación”,  la  obligación  a  cargo  del</w:t>
        <w:br/>
        <w:t>Estado de adoptar medidas adecuadas de seguridad para los  familiares  y  ex</w:t>
        <w:br/>
        <w:t>habitantes del municipio de Pueblo Bello que decidieran regresar. Dentro  de</w:t>
        <w:br/>
        <w:t>las medidas dispuestas, el Estado debe implementar un programa de  vivienda,</w:t>
        <w:br/>
        <w:t>considerando que muchos de los habitantes  de  Pueblo  Bello  perdieron  sus</w:t>
        <w:br/>
        <w:t>bienes materiales como consecuencia de los hechos del caso.</w:t>
        <w:br/>
        <w:br/>
        <w:t>42.   La Corte observa que  las  preguntas  del  Estado  están  dirigidas  a</w:t>
        <w:br/>
        <w:t>dilucidar  concretamente  algunas  modalidades   de   cumplimiento   de   la</w:t>
        <w:br/>
        <w:t>obligación específica de implementar un  programa  de  vivienda  adecuada  a</w:t>
        <w:br/>
        <w:t>favor de los familiares de las víctimas que deseen regresar a Pueblo  Bello.</w:t>
        <w:br/>
        <w:t>En primer lugar, es  necesario  hacer  notar  que  del  párrafo  276  de  la</w:t>
        <w:br/>
        <w:t>Sentencia ciertamente no  se  desprenden  las  características  y  contenido</w:t>
        <w:br/>
        <w:t>específicos de ese programa habitacional. Al momento de ordenar  esta  forma</w:t>
        <w:br/>
        <w:t>de reparación, la Corte tomó en cuenta el contexto  en  que  ocurrieron  los</w:t>
        <w:br/>
        <w:t>hechos del presente caso, que se enmarcan en una situación  generalizada  de</w:t>
        <w:br/>
        <w:t>desplazamiento forzado interno que afecta algunas  regiones  de  Colombia  y</w:t>
        <w:br/>
        <w:t>que es causada por el conflicto armado interno.</w:t>
        <w:br/>
        <w:br/>
        <w:t>43.   De tal manera, el desplazamiento que  los  familiares  han  enfrentado</w:t>
        <w:br/>
        <w:t>debido a la situación que han vivido  en  este  caso,  puede  haberse  visto</w:t>
        <w:br/>
        <w:t>exacerbado por no haber recibido las condiciones necesarias para regresar  a</w:t>
        <w:br/>
        <w:t>Pueblo Bello, en caso de que así lo hayan deseado.  La  complejidad  de  ese</w:t>
        <w:br/>
        <w:t>fenómeno determina, asimismo, las posibilidades de  un  eventual  retorno  y</w:t>
        <w:br/>
        <w:t>las condiciones y modalidades  en  que  el  mismo  podría  darse.  En  forma</w:t>
        <w:br/>
        <w:t>consecuente con ello, al fijar la reparación correspondiente a la  situación</w:t>
        <w:br/>
        <w:t>de desplazamiento forzado descrita, el Tribunal optó por requerir al  Estado</w:t>
        <w:br/>
        <w:t>la implementación de un “programa habitacional de  vivienda  adecuada”,  por</w:t>
        <w:br/>
        <w:t>estar las autoridades estatales en la posibilidad de hacerlo de  manera  más</w:t>
        <w:br/>
        <w:t>informada y directa con los beneficiarios del mismo.  En  tanto  “programa”,</w:t>
        <w:br/>
        <w:t>el Estado tiene cierto margen para disponer la  estructura  y  modalidad  de</w:t>
        <w:br/>
        <w:t>determinados  aspectos  relativos  a  la   disposición   de   los   recursos</w:t>
        <w:br/>
        <w:t>necesarios, la planeación, ejecución y supervisión del mismo, en función  de</w:t>
        <w:br/>
        <w:t>los objetivos trazados en la  Sentencia  y  las  necesidades  de  protección</w:t>
        <w:br/>
        <w:t>requeridas  para  asegurar  una  adecuada  reparación   específicamente   de</w:t>
        <w:br/>
        <w:t>aquellos familiares de las víctimas que decidan volver a  Pueblo  Bello.  En</w:t>
        <w:br/>
        <w:t>este  entendido,  la  Corte  pasa  a  considerar  los   puntos   específicos</w:t>
        <w:br/>
        <w:t>planteados por el Estado.</w:t>
        <w:br/>
        <w:br/>
        <w:t>44.   En cuanto a la primera pregunta del Estado, la Corte  observa  que  no</w:t>
        <w:br/>
        <w:t>constaba en el expediente  la  información  suficiente  para  determinar  la</w:t>
        <w:br/>
        <w:t>forma en la que cada grupo familiar vivía antes de  los  hechos  del  14  de</w:t>
        <w:br/>
        <w:t>enero de 1990, ni  tampoco  para  realizar  una  valoración  de  los  bienes</w:t>
        <w:br/>
        <w:t>materiales perdidos.  Sin embargo, el Tribunal no limitó esta  reparación  a</w:t>
        <w:br/>
        <w:t>grupos  familiares,  sino  dispuso  implementar  el   programa   “para   los</w:t>
        <w:br/>
        <w:t>familiares que regresen a Pueblo Bello”.  Es  razonable  suponer  que  puede</w:t>
        <w:br/>
        <w:t>haber variado la composición de esos grupos familiares de aquel entonces  y,</w:t>
        <w:br/>
        <w:t>además, fue probado que  los  hechos  alteraron  el  modo  de  vida  de  las</w:t>
        <w:br/>
        <w:t>familias. Por ende, es igualmente razonable disponer que las necesidades  de</w:t>
        <w:br/>
        <w:t>vivienda de cada persona o grupo familiar deberán  ser  determinadas  previa</w:t>
        <w:br/>
        <w:t>evaluación de cada caso, en  el  marco  del  programa  habitacional  que  se</w:t>
        <w:br/>
        <w:t>establezca.</w:t>
        <w:br/>
        <w:br/>
        <w:t>45.   Respecto de la segunda pregunta, referente  al  plazo  para  hacer  la</w:t>
        <w:br/>
        <w:t>reclamación pertinente, la dinámica misma  del  fenómeno  de  desplazamiento</w:t>
        <w:br/>
        <w:t>observada implica que cada  beneficiario  del  programa  puede  efectuar  su</w:t>
        <w:br/>
        <w:t>reclamación al momento en que decida regresar a Pueblo Bello,  tal  como  lo</w:t>
        <w:br/>
        <w:t>establece el párrafo 275 de la Sentencia. Ciertamente  ese  momento  variará</w:t>
        <w:br/>
        <w:t>según las circunstancias particulares de cada persona y  en  función  de  la</w:t>
        <w:br/>
        <w:t>verificación de las condiciones de seguridad de  la  zona,  por  lo  que  se</w:t>
        <w:br/>
        <w:t>señaló un “plazo razonable” para esos efectos. Por ende, en  atención  a  la</w:t>
        <w:br/>
        <w:t>situación  de  desplazamiento  que  los  familiares  han  enfrentado  en  el</w:t>
        <w:br/>
        <w:t>contexto del conflicto armado y a las particularidades propias del  presente</w:t>
        <w:br/>
        <w:t>caso, la Corte estima pertinente precisar que el plazo máximo para  plantear</w:t>
        <w:br/>
        <w:t>esas reclamaciones es de 5 años, el cual deberá ser contado a partir  de  la</w:t>
        <w:br/>
        <w:t>fecha de notificación de  la  Sentencia  de  fondo,  reparaciones  y  costas</w:t>
        <w:br/>
        <w:t>(supra párr. 6).</w:t>
        <w:br/>
        <w:br/>
        <w:t>46.   En relación con la tercera pregunta referente a las pruebas que  deben</w:t>
        <w:br/>
        <w:t>allegarse para que los familiares de las víctimas puedan  ser  beneficiarios</w:t>
        <w:br/>
        <w:t>del  programa  habitacional,  aquéllos   serán   considerados   como   tales</w:t>
        <w:br/>
        <w:t>únicamente acreditando esa condición, ya  sea  por  estar  incluidos  en  el</w:t>
        <w:br/>
        <w:t>Anexo II de la  Sentencia  o  por  acreditarlo  así  posteriormente  en  los</w:t>
        <w:br/>
        <w:t>términos antedichos (supra párrs. 24 a 27).</w:t>
        <w:br/>
        <w:br/>
        <w:t>47.   En cuanto a la cuarta pregunta referente al plazo para que  el  Estado</w:t>
        <w:br/>
        <w:t>satisfaga dicha obligación, la  Corte  estima  procedente  precisar  que,  a</w:t>
        <w:br/>
        <w:t>partir del momento  en  que  sea  debidamente  acreditada  la  condición  de</w:t>
        <w:br/>
        <w:t>beneficiario del programa, el Estado deberá cumplir con  esa  reparación  en</w:t>
        <w:br/>
        <w:t>un plazo máximo de 18 meses.</w:t>
        <w:br/>
        <w:br/>
        <w:t>48.   Por último, en cuanto a la quinta pregunta, en caso de que  familiares</w:t>
        <w:br/>
        <w:t>hayan sido favorecidos por algún  programa  de  vivienda  estatal  que  haya</w:t>
        <w:br/>
        <w:t>procurado  reparar,  o  de   alguna   manera   paliar,   los   efectos   del</w:t>
        <w:br/>
        <w:t>desplazamiento forzado,  la  Corte  estima  que  la  participación  en  esos</w:t>
        <w:br/>
        <w:t>programas compensaría los efectos de los daños causados.</w:t>
        <w:br/>
        <w:br/>
        <w:t>49.    De  conformidad  con  lo  anteriormente  señalado,  el  Tribunal   ha</w:t>
        <w:br/>
        <w:t>determinado el sentido y alcance de lo dispuesto en los párrafos 275, 276  y</w:t>
        <w:br/>
        <w:t>287 de la Sentencia.</w:t>
        <w:br/>
        <w:br/>
        <w:br/>
        <w:br/>
        <w:t xml:space="preserve">                                    VIII</w:t>
        <w:br/>
        <w:br/>
        <w:t xml:space="preserve">                             PUNTOS RESOLUTIVOS</w:t>
        <w:br/>
        <w:br/>
        <w:br/>
        <w:br/>
        <w:br/>
        <w:br/>
        <w:t>50.   Por las razones expuestas,</w:t>
        <w:br/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</w:t>
        <w:br/>
        <w:br/>
        <w:br/>
        <w:t>Decide:</w:t>
        <w:br/>
        <w:br/>
        <w:br/>
        <w:t>Por unanimidad,</w:t>
        <w:br/>
        <w:br/>
        <w:br/>
        <w:t>1.    Que se desestima por improcedente la demanda de interpretación  de  la</w:t>
        <w:br/>
        <w:t>Sentencia  sobre  fondo,  reparaciones   y   costas,   planteada   por   los</w:t>
        <w:br/>
        <w:t>representantes, en los términos de los párrafos  21  a  28  de  la  presente</w:t>
        <w:br/>
        <w:t>Sentencia de interpretación.</w:t>
        <w:br/>
        <w:br/>
        <w:br/>
        <w:t>2.    Que el sentido y alcance de lo dispuesto en el párrafo 240 literal  a)</w:t>
        <w:br/>
        <w:t>de la mencionada Sentencia, en relación con los  puntos  resolutivos  décimo</w:t>
        <w:br/>
        <w:t>sexto y décimo séptimo de la misma, ha sido determinado en los  párrafos  32</w:t>
        <w:br/>
        <w:t>a 35 de la presente Sentencia de interpretación.</w:t>
        <w:br/>
        <w:br/>
        <w:br/>
        <w:t>3.    Que el sentido y alcance de lo dispuesto en los párrafos  275,  276  y</w:t>
        <w:br/>
        <w:t>287 de la mencionada Sentencia, en relación con el punto  resolutivo  décimo</w:t>
        <w:br/>
        <w:t>segundo de la misma, ha sido determinado en los  párrafos  39  a  49  de  la</w:t>
        <w:br/>
        <w:t>presente Sentencia de interpretación.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       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|Juan Carlos Esguerra Portocarrero |</w:t>
        <w:br/>
        <w:t>|                                  |Juez ad hoc                       |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br/>
        <w:t>*     El Juez Oliver Jackman informó a la Corte que, por razones  de  fuerza</w:t>
        <w:br/>
        <w:t>mayor, no podía estar  presente  durante  el  LXXIII  Período  Ordinario  de</w:t>
        <w:br/>
        <w:t>Sesiones, por lo cual  no  participó  en  la  deliberación  y  firma  de  la</w:t>
        <w:br/>
        <w:t>presente Sentencia.</w:t>
        <w:br/>
        <w:t>[1]   Con excepción del Juez Oliver Jackman, quien  por  razones  de  fuerza</w:t>
        <w:br/>
        <w:t>mayor no estuvo presente, según fue señalado.</w:t>
        <w:br/>
        <w:br/>
        <w:t>[2]   Cfr. Caso de la Comunidad Moiwana. Solicitud de Interpretación  de  la</w:t>
        <w:br/>
        <w:t>Sentencia sobre Fondo, Reparaciones y Costas (art. 67  Convención  Americana</w:t>
        <w:br/>
        <w:t>sobre Derechos Humanos). Sentencia de 8 de febrero  de  2005.  Serie  C  No.</w:t>
        <w:br/>
        <w:t>145, párr. 14;  Caso  Raxcacó  Reyes.  Solicitud  de  Interpretación  de  la</w:t>
        <w:br/>
        <w:t>Sentencia sobre Fondo, Reparaciones y Costas. (art. 67 Convención  Americana</w:t>
        <w:br/>
        <w:t>sobre Derechos Humanos). Sentencia de 6 de febrero  de  2006.  Serie  C  No.</w:t>
        <w:br/>
        <w:t>143,  párr.  15,  y  Caso  Comunidad  Indígena  Yakye  Axa.   Solicitud   de</w:t>
        <w:br/>
        <w:t>Interpretación de la Sentencia sobre Fondo, Reparaciones y Costas. (art.  67</w:t>
        <w:br/>
        <w:t>Convención Americana sobre Derechos Humanos). Sentencia de 6 de  febrero  de</w:t>
        <w:br/>
        <w:t>2006. Serie C No. 142, párr. 15.</w:t>
        <w:br/>
        <w:br/>
        <w:t>[3]   Cfr. Caso de la Comunidad Moiwana. Solicitud de Interpretación  de  la</w:t>
        <w:br/>
        <w:t>Sentencia sobre Fondo, Reparaciones y Costas, supra nota 2, párr.  15;  Caso</w:t>
        <w:br/>
        <w:t>Raxcacó Reyes. Solicitud de Interpretación  de  la  Sentencia  sobre  Fondo,</w:t>
        <w:br/>
        <w:t>Reparaciones y Costas, supra nota 2, párr. 16,  y  Caso  Comunidad  Indígena</w:t>
        <w:br/>
        <w:t>Yakye  Axa.  Solicitud  de  Interpretación  de  la  Sentencia  sobre  Fondo,</w:t>
        <w:br/>
        <w:t>Reparaciones y Costas, supra nota 2, párr. 16.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