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Aloeboetoe y otros Vs. Surinam</w:t>
        <w:br/>
        <w:br/>
        <w:br/>
        <w:t xml:space="preserve">                    Sentencia de 10 de septiembre de 1993</w:t>
        <w:br/>
        <w:t xml:space="preserve">                           (Reparaciones y Costas)</w:t>
        <w:br/>
        <w:br/>
        <w:br/>
        <w:t>En el caso Aloeboetoe y otros,</w:t>
        <w:br/>
        <w:br/>
        <w:t>la Corte Interamericana de Derechos Humanos, integrada  por  los  siguientes</w:t>
        <w:br/>
        <w:t>jueces:</w:t>
        <w:br/>
        <w:br/>
        <w:t xml:space="preserve">      Rafael Nieto Navia, Presidente</w:t>
        <w:br/>
        <w:t xml:space="preserve">      Sonia Picado Sotela, Vicepresidente</w:t>
        <w:br/>
        <w:t xml:space="preserve">      Héctor Fix-Zamudio, Juez</w:t>
        <w:br/>
        <w:t xml:space="preserve">      Julio A. Barberis, Juez</w:t>
        <w:br/>
        <w:t xml:space="preserve">      Asdrúbal Aguiar-Aranguren, Juez</w:t>
        <w:br/>
        <w:t xml:space="preserve">      Antônio A. Cançado Trindade, Juez ad hoc;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</w:t>
        <w:br/>
        <w:br/>
        <w:t>de acuerdo con el artículo 44.1 del Reglamento de  la  Corte  Interamericana</w:t>
        <w:br/>
        <w:t>de Derechos Humanos (en adelante “el Reglamento”), vigente para los  asuntos</w:t>
        <w:br/>
        <w:t>sometidos a su consideración antes  del  31  de  julio  de  1991,  dicta  la</w:t>
        <w:br/>
        <w:t>siguiente sentencia en la acción iniciada por la Comisión Interamericana  de</w:t>
        <w:br/>
        <w:t>Derechos  Humanos  (en  adelante  “la  Comisión”)  contra  la  República  de</w:t>
        <w:br/>
        <w:t>Suriname (en adelante “el Gobierno” o “Suriname”) y en  cumplimiento  de  la</w:t>
        <w:br/>
        <w:t>decisión de 4 diciembre de 1991 (Caso Aloeboetoe y otros, Sentencia de 4  de</w:t>
        <w:br/>
        <w:t>diciembre de 1991.  Serie C  No. 11).</w:t>
        <w:br/>
        <w:t>I</w:t>
        <w:br/>
        <w:br/>
        <w:br/>
        <w:t>1.    El presente caso fue sometido a la Corte  Interamericana  de  Derechos</w:t>
        <w:br/>
        <w:t>Humanos (en adelante “la Corte”) por la Comisión el 27 de agosto de 1990  en</w:t>
        <w:br/>
        <w:t>nota con la que acompañó el informe  03/90,  originado  en  la  denuncia  Nº</w:t>
        <w:br/>
        <w:t>10.150 de 15 de enero de 1988 contra Suriname.</w:t>
        <w:br/>
        <w:br/>
        <w:t>La Comisión afirmó en su escrito que “el  Gobierno  de  Suriname  violó  los</w:t>
        <w:br/>
        <w:t>artículos 1, 2, 4(1), 5(1), 5(2), 7(1), 7(2), 7(3),  25(1)  y  25(2)  de  la</w:t>
        <w:br/>
        <w:t>Convención Americana sobre Derechos Humanos” (en adelante “la Convención”  o</w:t>
        <w:br/>
        <w:t>“la Convención Americana”), en virtud de lo  cual  solicitó  “que  la  Corte</w:t>
        <w:br/>
        <w:t>decida sobre este caso conforme a las disposiciones de  la  Convención,  que</w:t>
        <w:br/>
        <w:t>determine la responsabilidad por la violación señalada  y  que  otorgue  una</w:t>
        <w:br/>
        <w:t>justa compensación a los familiares de la víctima”.</w:t>
        <w:br/>
        <w:br/>
        <w:t>2.    La Comisión presentó su memoria el 1 de abril de 1991.</w:t>
        <w:br/>
        <w:br/>
        <w:t>Los hechos materia de la denuncia habrían sucedido el  31  de  diciembre  de</w:t>
        <w:br/>
        <w:t>1987  en  Atjoni  (aldea  de  Pokigron,  Distrito  de   Sipaliwini)   y   en</w:t>
        <w:br/>
        <w:t>Tjongalangapassi, Distrito de Brokopondo.  En Atjoni, más de  20  cimarrones</w:t>
        <w:br/>
        <w:t>(maroons / bushnegroes) varones inermes habrían  sido  atacados,  vejados  y</w:t>
        <w:br/>
        <w:t>golpeados con las culatas de sus armas por un grupo de militares  y  algunos</w:t>
        <w:br/>
        <w:t>de ellos habrían sido heridos con bayonetas y cuchillos y detenidos bajo  la</w:t>
        <w:br/>
        <w:t>sospecha de que eran miembros del grupo  subversivo  Comando  de  la  Selva.</w:t>
        <w:br/>
        <w:t>Habría habido unos 50 testigos.</w:t>
        <w:br/>
        <w:br/>
        <w:t>3.    Según la denuncia, todos los implicados negaron que  pertenecieran  al</w:t>
        <w:br/>
        <w:t>Comando  de  la  Selva.   El  Capitán  de  la  aldea   de   Gujaba   informó</w:t>
        <w:br/>
        <w:t>explícitamente a un comandante a cargo de los soldados  que  se  trataba  de</w:t>
        <w:br/>
        <w:t>civiles de varias aldeas, pero éste desatendió la información.</w:t>
        <w:br/>
        <w:br/>
        <w:t>4.    La denuncia afirma que los militares permitieron que  algunos  de  los</w:t>
        <w:br/>
        <w:t>cimarrones prosiguieran su viaje, pero siete personas, entre ellas un  menor</w:t>
        <w:br/>
        <w:t>de 15 años, fueron arrastradas con los  ojos  vendados  al  interior  de  un</w:t>
        <w:br/>
        <w:t>vehículo militar y llevadas por Tjongalangapassi rumbo  a  Paramaribo.   Los</w:t>
        <w:br/>
        <w:t>nombres de las personas que los militares se llevaron, su lugar de origen  y</w:t>
        <w:br/>
        <w:t>fecha  de  nacimiento  cuando  se  conoce  son   los   siguientes:    Daison</w:t>
        <w:br/>
        <w:t>Aloeboetoe, de Gujaba nacido el 7 de junio de 1960; Dedemanu Aloeboetoe,  de</w:t>
        <w:br/>
        <w:t>Gujaba; Mikuwendje Aloeboetoe, de Gujaba, nacido el 4 de  febrero  de  1973;</w:t>
        <w:br/>
        <w:t>John Amoida, de Asindonhopo (vivía en Gujaba); Richenel Voola,  alias  Aside</w:t>
        <w:br/>
        <w:t>o Ameikanbuka, de Grantatai (encontrado  vivo);  Martin  Indisie  Banai,  de</w:t>
        <w:br/>
        <w:t>Gujaba, nacido el 3 de junio de 1955 y Beri Tiopo, de  Gujaba  (cfr.  infra,</w:t>
        <w:br/>
        <w:t>párrs. 65 y 66).</w:t>
        <w:br/>
        <w:br/>
        <w:t>5.    Continúa la denuncia diciendo que a la  altura  del  kilómetro  30  el</w:t>
        <w:br/>
        <w:t>vehículo se detuvo y los militares ordenaron a las víctimas salir  de  él  o</w:t>
        <w:br/>
        <w:t>fueron sacadas a la fuerza.  Se les  dio  una  pala  y  se  les  ordenó  que</w:t>
        <w:br/>
        <w:t>comenzaran a excavar.  Aside fue herido al tratar de escapar, aunque  no  lo</w:t>
        <w:br/>
        <w:t>persiguieron.  Los otros seis cimarrones fueron asesinados.</w:t>
        <w:br/>
        <w:br/>
        <w:t>6.    Expresa la denuncia que el sábado  2  de  enero  de  1988  hombres  de</w:t>
        <w:br/>
        <w:t>Gujaba y de Grantatai  salieron  con  destino  a  Paramaribo  para  demandar</w:t>
        <w:br/>
        <w:t>información  de  las autoridades sobre las  siete  víctimas.   Visitaron  al</w:t>
        <w:br/>
        <w:t>Coordinador del Interior en Volksmobilisatie  y  a  la  Policía  Militar  en</w:t>
        <w:br/>
        <w:t>Fuerte Zeelandia, en donde trataron de ver  al  Jefe  del  S-2.   Sin  haber</w:t>
        <w:br/>
        <w:t>obtenido información sobre el paradero de las víctimas, el lunes 4 de  enero</w:t>
        <w:br/>
        <w:t>regresaron a Tjongalangapassi y en  el  kilómetro  30  encontraron  a  Aside</w:t>
        <w:br/>
        <w:t>gravemente herido y en estado crítico, así como los cadáveres de  las  otras</w:t>
        <w:br/>
        <w:t>víctimas.  Aside, que tenía una bala en el muslo derecho, indicó que él  era</w:t>
        <w:br/>
        <w:t>el único sobreviviente de la masacre,  cuyas  víctimas  ya  habían  sido  en</w:t>
        <w:br/>
        <w:t>parte devoradas por los buitres.  La herida de Aside  se  hallaba  infectada</w:t>
        <w:br/>
        <w:t>de gusanos y sobre el omóplato derecho tenía una cortada en forma de  equis.</w:t>
        <w:br/>
        <w:t xml:space="preserve"> El grupo regresó a Paramaribo con la información.  Después de 24  horas  de</w:t>
        <w:br/>
        <w:t>negociación  con  las  autoridades  el  representante  de   la   Cruz   Roja</w:t>
        <w:br/>
        <w:t>Internacional  obtuvo  permiso  para  evacuar  al  señor  Aside.   Este  fue</w:t>
        <w:br/>
        <w:t>admitido en el Hospital Académico de Paramaribo el 6 de enero de  1988  pero</w:t>
        <w:br/>
        <w:t>falleció pese a los cuidados que recibió.  La Policía  Militar  impidió  que</w:t>
        <w:br/>
        <w:t>los parientes lo visitaran en  el  hospital.   Hasta  el   6  de  enero  los</w:t>
        <w:br/>
        <w:t>familiares de las  otras  víctimas  no  habían  obtenido  autorización  para</w:t>
        <w:br/>
        <w:t>enterrar sus cuerpos.</w:t>
        <w:br/>
        <w:br/>
        <w:t>7.    El denunciante original dice haber hablado dos veces con  Aside  sobre</w:t>
        <w:br/>
        <w:t>los acontecimientos y que la historia relatada  por  éste  coincide  con  la</w:t>
        <w:br/>
        <w:t>obtenida de los testigos de los sucesos y participantes en la búsqueda.</w:t>
        <w:br/>
        <w:br/>
        <w:t>8.    La memoria de la Comisión contiene toda la documentación relativa al</w:t>
        <w:br/>
        <w:t>caso, cuyo procedimiento inició el 1 de febrero de 1988 y continuó hasta el</w:t>
        <w:br/>
        <w:t>15 de mayo de 1990, fecha en que, de acuerdo con el artículo 50 de la</w:t>
        <w:br/>
        <w:t>Convención, adoptó el informe Nº 03/90, en el que resolvió:</w:t>
        <w:br/>
        <w:br/>
        <w:t xml:space="preserve">            1. Admitir el presente caso.</w:t>
        <w:br/>
        <w:br/>
        <w:br/>
        <w:t xml:space="preserve">            2. Declarar que las partes no han podido arribar a una  solución</w:t>
        <w:br/>
        <w:t xml:space="preserve">      amistosa.</w:t>
        <w:br/>
        <w:br/>
        <w:br/>
        <w:t xml:space="preserve">            3. Declarar  que  el  Gobierno  de  Suriname  ha  faltado  a  su</w:t>
        <w:br/>
        <w:t xml:space="preserve">      obligación de respetar los derechos y  libertades  consagradas  en  la</w:t>
        <w:br/>
        <w:t xml:space="preserve">      Convención Americana sobre Derechos Humanos y de garantizar su libre y</w:t>
        <w:br/>
        <w:t xml:space="preserve">      pleno ejercicio tal como lo  disponen  los  artículos  1  y  2  de  la</w:t>
        <w:br/>
        <w:t xml:space="preserve">      Convención.</w:t>
        <w:br/>
        <w:br/>
        <w:br/>
        <w:t xml:space="preserve">            4. Declarar que el Gobierno de Suriname ha violado los  derechos</w:t>
        <w:br/>
        <w:t xml:space="preserve">      humanos de las personas a que  se  refiere  este  caso,  tal  como  lo</w:t>
        <w:br/>
        <w:t xml:space="preserve">      proveen (sic) los artículos 1, 2, 4(1), 5(1), 5(2), 7(1), 7(2),  7(3),</w:t>
        <w:br/>
        <w:t xml:space="preserve">      25(1) y 25(2) de la Convención Americana sobre Derechos Humanos.</w:t>
        <w:br/>
        <w:br/>
        <w:br/>
        <w:t xml:space="preserve">            5. Recomendar al Gobierno de Suriname que adopte las  siguientes</w:t>
        <w:br/>
        <w:t xml:space="preserve">      medidas:</w:t>
        <w:br/>
        <w:br/>
        <w:br/>
        <w:t xml:space="preserve">           a.    Dar efecto a  los  artículos  1  y  2  de  la  Convención,</w:t>
        <w:br/>
        <w:t xml:space="preserve">                 garantizando el  respecto  y  goce  de  los  derechos  allí</w:t>
        <w:br/>
        <w:t xml:space="preserve">                 consignados;</w:t>
        <w:br/>
        <w:br/>
        <w:br/>
        <w:t xml:space="preserve">           b.    Investigar  las   violaciones   que   ocurrieron  en  este</w:t>
        <w:br/>
        <w:t xml:space="preserve">                 caso, enjuiciar y castigar  a  los  responsables  de  estos</w:t>
        <w:br/>
        <w:t xml:space="preserve">                 hechos;</w:t>
        <w:br/>
        <w:br/>
        <w:br/>
        <w:t xml:space="preserve">           c.    Tomar las medidas necesarias para evitar  su  reocurrencia</w:t>
        <w:br/>
        <w:t xml:space="preserve">                 (sic);</w:t>
        <w:br/>
        <w:br/>
        <w:br/>
        <w:t xml:space="preserve">           d.    Pagar una  justa  compensación  a  los  parientes  de  las</w:t>
        <w:br/>
        <w:t xml:space="preserve">                 víctimas.</w:t>
        <w:br/>
        <w:br/>
        <w:br/>
        <w:t xml:space="preserve">            6. Transmitir este informe al Gobierno de Suriname y  establecer</w:t>
        <w:br/>
        <w:t xml:space="preserve">      un  plazo  de  90  días  para  implementar  las  recomendaciones  allí</w:t>
        <w:br/>
        <w:t xml:space="preserve">      contenidas.  El período de 90 días comenzará a correr a partir  de  la</w:t>
        <w:br/>
        <w:t xml:space="preserve">      fecha de envío del presente informe.  Durante los 90 días en cuestión,</w:t>
        <w:br/>
        <w:t xml:space="preserve">      el Gobierno no podrá publicar este  informe,  de  conformidad  con  el</w:t>
        <w:br/>
        <w:t xml:space="preserve">      artículo 47.6 del Reglamento de la Comisión.</w:t>
        <w:br/>
        <w:br/>
        <w:br/>
        <w:t xml:space="preserve">            7. Someter este caso  a  la  Corte  Interamericana  de  Derechos</w:t>
        <w:br/>
        <w:t xml:space="preserve">      Humanos  en  el  caso  que  el  Gobierno  de  Suriname  no  de   (sic)</w:t>
        <w:br/>
        <w:t xml:space="preserve">      cumplimiento a todas las recomendaciones contenidas en el punto 5.</w:t>
        <w:br/>
        <w:br/>
        <w:t>9.    En su memoria del 1 de abril de 1991 la Comisión solicitó a  la  Corte</w:t>
        <w:br/>
        <w:t>lo siguiente:</w:t>
        <w:br/>
        <w:br/>
        <w:t xml:space="preserve">            [. . .]</w:t>
        <w:br/>
        <w:br/>
        <w:br/>
        <w:t xml:space="preserve">            Que la Ilustrísima Corte decida que el  Estado  de  Suriname  es</w:t>
        <w:br/>
        <w:t xml:space="preserve">      responsable  de  la  muerte  de  los   señores   Aloeboetoe,   Daison;</w:t>
        <w:br/>
        <w:t xml:space="preserve">      Aloeboetoe, Dedemanu; Aloeboetoe,  Mikuwendje;  Amoida,  John;  Voola,</w:t>
        <w:br/>
        <w:t xml:space="preserve">      Richenel, alias Aside [o] Ameikanbuka (encontrado vivo); Banai, Martin</w:t>
        <w:br/>
        <w:t xml:space="preserve">       Indisie, y Tiopo, Beri, mientras  se  encontraban  detenidos,  y  que</w:t>
        <w:br/>
        <w:t xml:space="preserve">      dicha muerte es una violación de los artículos 1(1) (2), 4 (1), 5  (1)</w:t>
        <w:br/>
        <w:t xml:space="preserve">      (2), 7 (1) (2) (3) y 25 de  la  Convención  Americana  sobre  Derechos</w:t>
        <w:br/>
        <w:t xml:space="preserve">      Humanos.</w:t>
        <w:br/>
        <w:br/>
        <w:br/>
        <w:t xml:space="preserve">            Que la Corte decida que Suriname debe  reparar  adecuadamente  a</w:t>
        <w:br/>
        <w:t xml:space="preserve">      los familiares de las víctimas y que, por lo tanto, ordene:   el  pago</w:t>
        <w:br/>
        <w:t xml:space="preserve">      de una indemnización por daño emergente y  lucro  cesante,  reparación</w:t>
        <w:br/>
        <w:t xml:space="preserve">      del daño moral, incluyendo el pago de indemnización y la  adopción  de</w:t>
        <w:br/>
        <w:t xml:space="preserve">      medidas de rehabilitación del buen nombre de las víctimas,  y  que  se</w:t>
        <w:br/>
        <w:t xml:space="preserve">      investigue el crimen cometido y se provea el castigo de  quienes  sean</w:t>
        <w:br/>
        <w:t xml:space="preserve">      encontrados culpables.</w:t>
        <w:br/>
        <w:br/>
        <w:br/>
        <w:t xml:space="preserve">            [. . .]</w:t>
        <w:br/>
        <w:br/>
        <w:br/>
        <w:t xml:space="preserve">            Que la Corte ordene que Suriname pague las costas incurridas por</w:t>
        <w:br/>
        <w:t xml:space="preserve">      la Comisión y las víctimas en el presente caso.</w:t>
        <w:br/>
        <w:br/>
        <w:br/>
        <w:t xml:space="preserve">            [. . .]</w:t>
        <w:br/>
        <w:br/>
        <w:t>10.   La contra-memoria de Suriname fue recibida  por  la  Corte  el  28  de</w:t>
        <w:br/>
        <w:t>junio de 1991 y en ella el Gobierno opuso excepciones preliminares.</w:t>
        <w:br/>
        <w:br/>
        <w:t>En ese documento el Gobierno solicitó a la Corte declarar que:</w:t>
        <w:br/>
        <w:br/>
        <w:t xml:space="preserve">      1.-   No se puede tener como responsable a Suriname de la desaparición</w:t>
        <w:br/>
        <w:t xml:space="preserve">      y muerte de los sujetos indicados por la Comisión.</w:t>
        <w:br/>
        <w:t xml:space="preserve">      2.-   Que por  no  haberse  demostrado  la  gestión  de  la  violación</w:t>
        <w:br/>
        <w:t xml:space="preserve">      imputada a Suriname no se le obligue a pago de indemnización  de  tipo</w:t>
        <w:br/>
        <w:t xml:space="preserve">      alguno por la muerte y desaparición de las personas que se  indica  en</w:t>
        <w:br/>
        <w:t xml:space="preserve">      el informe de la Comisión.</w:t>
        <w:br/>
        <w:br/>
        <w:br/>
        <w:t xml:space="preserve">      3.-   Que se le exonere del pago de las costas de la  presente  acción</w:t>
        <w:br/>
        <w:t xml:space="preserve">      pues no se ha  demostrado  la  responsabilidad  de  Suriname  con  las</w:t>
        <w:br/>
        <w:t xml:space="preserve">      ejecuciones que se le imputan.</w:t>
        <w:br/>
        <w:br/>
        <w:t>11.   En la audiencia pública del 2 de diciembre de 1991, convocada  por  la</w:t>
        <w:br/>
        <w:t>Corte para tratar sobre las excepciones preliminares, Suriname reconoció  su</w:t>
        <w:br/>
        <w:t>responsabilidad en el caso (cfr. Caso  Aloeboetoe  y  otros,  supra  párrafo</w:t>
        <w:br/>
        <w:t>inicial, párr. 22).</w:t>
        <w:br/>
        <w:br/>
        <w:t>12.   En consecuencia, la Corte por unanimidad adoptó el 4 de  diciembre  de</w:t>
        <w:br/>
        <w:t>1991 una sentencia según la cual</w:t>
        <w:br/>
        <w:br/>
        <w:t xml:space="preserve">      1.    Toma nota del reconocimiento de responsabilidad efectuado por la</w:t>
        <w:br/>
        <w:t xml:space="preserve">      República de Suriname y decide que ha cesado la controversia acerca de</w:t>
        <w:br/>
        <w:t xml:space="preserve">      los hechos que dieron origen al presente caso.</w:t>
        <w:br/>
        <w:br/>
        <w:br/>
        <w:t xml:space="preserve">      2.    Decide dejar abierto el procedimiento para los  efectos  de  las</w:t>
        <w:br/>
        <w:t xml:space="preserve">      reparaciones y costas del presente  caso  (Caso  Aloeboetoe  y  otros,</w:t>
        <w:br/>
        <w:t xml:space="preserve">      supra párrafo inicial, parte resolutiva).</w:t>
        <w:br/>
        <w:br/>
        <w:br/>
        <w:t xml:space="preserve">                                     II</w:t>
        <w:br/>
        <w:br/>
        <w:t>13.   El Presidente de la Corte (en adelante “el  Presidente”)  resolvió  el</w:t>
        <w:br/>
        <w:t>18 de enero de 1992 otorgar a la Comisión plazo hasta  el  31  de  marzo  de</w:t>
        <w:br/>
        <w:t>1992 para ofrecer y presentar  las  pruebas  de  que  dispusiere  sobre  las</w:t>
        <w:br/>
        <w:t>reparaciones y costas en este caso; y al Gobierno hasta el  15  de  mayo  de</w:t>
        <w:br/>
        <w:t>1992 para formular sus observaciones al texto de la Comisión.  En  la  misma</w:t>
        <w:br/>
        <w:t>resolución el Presidente convocó a las partes a una audiencia pública  sobre</w:t>
        <w:br/>
        <w:t>esta materia para el día 23 de junio de 1992 a las 10:00  horas.   Ante  una</w:t>
        <w:br/>
        <w:t>solicitud de la Comisión y con  la  anuencia  del  Gobierno,  el  Presidente</w:t>
        <w:br/>
        <w:t>resolvió el 24 de marzo de 1992 posponer la audiencia antes mencionada  para</w:t>
        <w:br/>
        <w:t>el 7 de julio de ese mismo año a la misma hora.</w:t>
        <w:br/>
        <w:br/>
        <w:t>14.   La Comisión presentó su escrito sobre reparaciones y costas el  31  de</w:t>
        <w:br/>
        <w:t>marzo de 1992 y el 8 de mayo su traducción al castellano.</w:t>
        <w:br/>
        <w:br/>
        <w:t>15.   En él considera que, de acuerdo con el artículo 63.1 de la  Convención</w:t>
        <w:br/>
        <w:t>Americana  y  los  principios  de  derecho   internacional   aplicables,  el</w:t>
        <w:br/>
        <w:t>Gobierno debe indemnizar a la parte  lesionada  los  perjuicios  resultantes</w:t>
        <w:br/>
        <w:t>del incumplimiento de sus obligaciones, de manera que las  consecuencias  de</w:t>
        <w:br/>
        <w:t>la violación sean reparadas en virtud de la regla  in  integrum  restitutio.</w:t>
        <w:br/>
        <w:t>En su opinión,  el  Gobierno  debería  indemnizar  los  daños  materiales  y</w:t>
        <w:br/>
        <w:t>morales, otorgar otras reparaciones no pecuniarias y restituir los gastos  y</w:t>
        <w:br/>
        <w:t>costas en que incurrieron los familiares de las víctimas.   La  Comisión  se</w:t>
        <w:br/>
        <w:t>refiere en su escrito al monto de los daños y costas, propone un  método  de</w:t>
        <w:br/>
        <w:t>pago y enumera las medidas no pecuniarias solicitadas por  las  familias  de</w:t>
        <w:br/>
        <w:t>las víctimas.</w:t>
        <w:br/>
        <w:br/>
        <w:t>16.   La Comisión efectúa una  distinción  entre  la  indemnización  de  los</w:t>
        <w:br/>
        <w:t>daños  y  perjuicios  materiales  debida  a   los   hijos   menores   y   la</w:t>
        <w:br/>
        <w:t>correspondiente  a  los  mayores  adultos,  dependientes  de  las   personas</w:t>
        <w:br/>
        <w:t>asesinadas.  Propone la creación de un fideicomiso para los  hijos  menores,</w:t>
        <w:br/>
        <w:t>cuya suma básica consistiría en un importe proporcional a la  proyección  de</w:t>
        <w:br/>
        <w:t>ingresos estimados de la víctima descontado lo que  habría  sido  su  propio</w:t>
        <w:br/>
        <w:t>consumo material, todo determinado de acuerdo con la metodología  del  valor</w:t>
        <w:br/>
        <w:t>actual  o  presente  neto.   Esta  metodología  supone  aplicar,  según   la</w:t>
        <w:br/>
        <w:t>Comisión, principios  generalmente  aceptados  compatibles  con  el  derecho</w:t>
        <w:br/>
        <w:t>internacional.  En relación con los dependientes adultos, la  Comisión  pide</w:t>
        <w:br/>
        <w:t>una cantidad global disponible en un fideicomiso y exigible en la  fecha  de</w:t>
        <w:br/>
        <w:t>la sentencia, calculada con base en los ingresos que tenían las víctimas  en</w:t>
        <w:br/>
        <w:t>la fecha de su asesinato o mediante pagos anuales que se extiendan hasta  la</w:t>
        <w:br/>
        <w:t>muerte de los beneficiarios en valores que mantengan el  poder  adquisitivo.</w:t>
        <w:br/>
        <w:t>Las sumas reclamadas en florines  de  Suriname  (en  adelante  “Sf”),  deben</w:t>
        <w:br/>
        <w:t>ajustarse para que reflejen el  valor  actual  de  esa  moneda,  ya  que  se</w:t>
        <w:br/>
        <w:t>calcularon “en valores monetarios de 1988”.</w:t>
        <w:br/>
        <w:br/>
        <w:t>17.   Respecto de las personas que  tendrían  derecho  a  una  indemnización</w:t>
        <w:br/>
        <w:t>material, la Comisión explica que  es  preciso  tomar  en  consideración  la</w:t>
        <w:br/>
        <w:t>estructura familiar de los maroons  a  la  cual  pertenecen  los  saramacas,</w:t>
        <w:br/>
        <w:t>tribu de las víctimas, y que es esencialmente matriarcal(*) , en la cual  es</w:t>
        <w:br/>
        <w:t>frecuente la poligamia.  En Suriname los matrimonios deben registrarse  para</w:t>
        <w:br/>
        <w:t>ser reconocidos por el Estado, pero por la escasez de oficinas  de  registro</w:t>
        <w:br/>
        <w:t>civil en el interior del país generalmente no lo son, lo  cual,  a  criterio</w:t>
        <w:br/>
        <w:t>de la Comisión, no  debería  afectar  el  derecho  a  indemnización  de  los</w:t>
        <w:br/>
        <w:t>parientes o cónyuges  de  matrimonios  no  registrados.   Se  alega  que  el</w:t>
        <w:br/>
        <w:t>cuidado de los miembros de la familia está a cargo de un grupo  comunal  que</w:t>
        <w:br/>
        <w:t>sigue la línea materna, lo que debería tenerse en cuenta para  determinar  a</w:t>
        <w:br/>
        <w:t>qué familiares indemnizar.  Los perjuicios personales directos  de  carácter</w:t>
        <w:br/>
        <w:t>pecuniario que  dan  derecho  a  obtener  indemnización  se  deberían  medir</w:t>
        <w:br/>
        <w:t>principalmente por el grado de dependencia financiera que existió  entre  el</w:t>
        <w:br/>
        <w:t>reclamante y el difunto.  La nómina de las partes perjudicadas  con  derecho</w:t>
        <w:br/>
        <w:t>a ser indemnizadas fue parcialmente confeccionada por la Comisión  con  base</w:t>
        <w:br/>
        <w:t>en declaraciones juradas de parientes de las víctimas.</w:t>
        <w:br/>
        <w:br/>
        <w:t>18.   Según la Comisión, el Gobierno estaría  obligado,  además,  a  reparar</w:t>
        <w:br/>
        <w:t>los  perjuicios   morales  sufridos  como   consecuencia   de   las   graves</w:t>
        <w:br/>
        <w:t>repercusiones  psicológicas  que  produjeron  los   asesinatos   sobre   los</w:t>
        <w:br/>
        <w:t>familiares  de  las  víctimas,  hombres  que  trabajaban  y  constituían  la</w:t>
        <w:br/>
        <w:t>principal o única fuente de ingresos para aquellos.</w:t>
        <w:br/>
        <w:br/>
        <w:t>La falta de reacción, investigación o castigo  por  parte  del  Gobierno  es</w:t>
        <w:br/>
        <w:t>presentada como una expresión de que éste asigna poco valor  a  la  vida  de</w:t>
        <w:br/>
        <w:t>los maroons, lo que habría herido su dignidad y autoestima.  En seis de  los</w:t>
        <w:br/>
        <w:t>siete casos, los cuerpos de las  víctimas  no  fueron  entregados  para  ser</w:t>
        <w:br/>
        <w:t>enterrados,  las  autoridades  no  informaron  acerca  del  lugar  donde  se</w:t>
        <w:br/>
        <w:t>hallaban, no pudieron ser identificados ni se  expidieron  los  certificados</w:t>
        <w:br/>
        <w:t>de defunción correspondientes.</w:t>
        <w:br/>
        <w:br/>
        <w:t>19.   Sostiene  la  Comisión  que  los  saramacas  también  habrían  sufrido</w:t>
        <w:br/>
        <w:t>perjuicios morales directos y deberían ser indemnizados.  Lo explica en  los</w:t>
        <w:br/>
        <w:t>términos siguientes:</w:t>
        <w:br/>
        <w:br/>
        <w:t xml:space="preserve">            En la sociedad  Maroon  tradicional,  una  persona  no  es  sólo</w:t>
        <w:br/>
        <w:t xml:space="preserve">      miembro de su grupo familiar, sino también  miembro  de  su  comunidad</w:t>
        <w:br/>
        <w:t xml:space="preserve">      aldeana y del grupo tribal.  En este caso, el perjuicio  experimentado</w:t>
        <w:br/>
        <w:t xml:space="preserve">      por los aldeanos debido a la pérdida de miembros de su grupo debe  ser</w:t>
        <w:br/>
        <w:t xml:space="preserve">      indemnizado.  Como los aldeanos constituyen en la práctica una familia</w:t>
        <w:br/>
        <w:t xml:space="preserve">      en sentido amplio, [. . .] han sufrido perjuicios emocionales directos</w:t>
        <w:br/>
        <w:t xml:space="preserve">      como resultado de las violaciones de la Convención.</w:t>
        <w:br/>
        <w:br/>
        <w:t>Los  hechos  por  los  que  asumió  responsabilidad  el   Gobierno   habrían</w:t>
        <w:br/>
        <w:t>ocasionado perjuicios a la tribu Saramaca,  agravados  por  las  actividades</w:t>
        <w:br/>
        <w:t>ulteriores del Gobierno de no reconocer “los  derechos  de  los  negros  del</w:t>
        <w:br/>
        <w:t>Bush”.  A criterio de la Comisión, habría una relación conflictiva entre  el</w:t>
        <w:br/>
        <w:t>Gobierno  y  la  tribu  Saramaca  y  se  presentan   los   asesinatos   como</w:t>
        <w:br/>
        <w:t>consecuencia de esa situación.</w:t>
        <w:br/>
        <w:br/>
        <w:t>20.   La Comisión expresa que las  familias  de  las  víctimas  reclaman  la</w:t>
        <w:br/>
        <w:t>adopción de medidas no pecuniarias tales como que el Presidente de  Suriname</w:t>
        <w:br/>
        <w:t>se disculpe públicamente por los asesinatos y que  los  jefes  de  la  tribu</w:t>
        <w:br/>
        <w:t>Saramaca sean invitados a concurrir al Congreso de Suriname para que se  les</w:t>
        <w:br/>
        <w:t>presenten disculpas y que el Gobierno publique la parte dispositiva de  esta</w:t>
        <w:br/>
        <w:t>sentencia.  Se pide también que el Gobierno  desentierre  los  cadáveres  de</w:t>
        <w:br/>
        <w:t>las seis víctimas y sean devueltos a sus familias respectivas, que se dé  el</w:t>
        <w:br/>
        <w:t>nombre de la tribu Saramaca a un parque, una plaza o una calle en  un  lugar</w:t>
        <w:br/>
        <w:t>prominente de  Paramaribo  y  que  el  Gobierno  investigue  los  asesinatos</w:t>
        <w:br/>
        <w:t>cometidos y castigue a los culpables.</w:t>
        <w:br/>
        <w:br/>
        <w:t>21.   La Comisión reclama que el Gobierno pague los gastos y costas  en  que</w:t>
        <w:br/>
        <w:t>habrían incurrido los familiares  de  las  víctimas  para  hacer  valer  sus</w:t>
        <w:br/>
        <w:t>derechos ante la justicia surinamesa, la Comisión y la Corte.</w:t>
        <w:br/>
        <w:br/>
        <w:t>En su escrito la  Comisión  detalla  algunos  aspectos  de  esta  labor  que</w:t>
        <w:br/>
        <w:t>incluiría la visita del abogado  de  las  víctimas  a  Suriname,  visita  al</w:t>
        <w:br/>
        <w:t>interior del país por parte de  Moiwana  86,  designación  de  ayudantes  de</w:t>
        <w:br/>
        <w:t>investigación para preparar  las  tres  audiencias  para  el  caso  ante  la</w:t>
        <w:br/>
        <w:t>Comisión y el memorándum inicial ante la Corte, contratación de un  profesor</w:t>
        <w:br/>
        <w:t>adjunto para que se haga cargo del curso universitario  que  el  abogado  de</w:t>
        <w:br/>
        <w:t>las víctimas no habría podido dictar por atender este caso.</w:t>
        <w:br/>
        <w:br/>
        <w:t>22.   En el escrito de la Comisión se concluye:</w:t>
        <w:br/>
        <w:br/>
        <w:t xml:space="preserve">            [. . .]</w:t>
        <w:br/>
        <w:br/>
        <w:br/>
        <w:t xml:space="preserve">            En virtud de lo que antecede, la Comisión de Derechos Humanos  y</w:t>
        <w:br/>
        <w:t xml:space="preserve">      los abogados de las familias de las víctimas solicitan respetuosamente</w:t>
        <w:br/>
        <w:t xml:space="preserve">      a la Corte que condene al pago de las siguientes sumas:</w:t>
        <w:br/>
        <w:br/>
        <w:br/>
        <w:t xml:space="preserve">            Una suma global de Sf 5.114.484, formada por</w:t>
        <w:br/>
        <w:br/>
        <w:br/>
        <w:t xml:space="preserve">                 Sf 1.114.484 por concepto de daños materiales, para</w:t>
        <w:br/>
        <w:t xml:space="preserve">                 los hijos;</w:t>
        <w:br/>
        <w:br/>
        <w:br/>
        <w:t xml:space="preserve">                 Sf 660.000 por concepto de daños morales, para los</w:t>
        <w:br/>
        <w:t xml:space="preserve">                 hijos;</w:t>
        <w:br/>
        <w:br/>
        <w:br/>
        <w:t xml:space="preserve">                 Sf 1.340.000 por concepto de daños morales, para los</w:t>
        <w:br/>
        <w:t xml:space="preserve">                 dependientes adultos;</w:t>
        <w:br/>
        <w:br/>
        <w:br/>
        <w:t xml:space="preserve">                 Sf 2.000.000 por concepto de daños morales, para la</w:t>
        <w:br/>
        <w:t xml:space="preserve">                 tribu de las víctimas;</w:t>
        <w:br/>
        <w:br/>
        <w:br/>
        <w:t xml:space="preserve">           una suma anual de Sf 84.040, ajustada en forma incremental,  por</w:t>
        <w:br/>
        <w:t xml:space="preserve">           concepto de daños materiales, para los dependientes adultos,</w:t>
        <w:br/>
        <w:br/>
        <w:br/>
        <w:t xml:space="preserve">           y una suma global por concepto de costas de  Sf  715.618  y  US$</w:t>
        <w:br/>
        <w:t xml:space="preserve">           18.533; y una suma global por concepto de costos de US$ 32.375.</w:t>
        <w:br/>
        <w:br/>
        <w:br/>
        <w:t xml:space="preserve">                 Para que se mantenga el valor  adquisitivo  de  las  sumas</w:t>
        <w:br/>
        <w:t xml:space="preserve">           denominadas en moneda de Suriname, solicitamos respetuosamente a</w:t>
        <w:br/>
        <w:t xml:space="preserve">           la Corte que ordene al Gobierno dar acceso  al  tipo  de  cambio</w:t>
        <w:br/>
        <w:t xml:space="preserve">           oficial.  En caso contrario, los montos deben  ser  recalculados</w:t>
        <w:br/>
        <w:t xml:space="preserve">           al tipo de cambio de mercado de 20:1.</w:t>
        <w:br/>
        <w:br/>
        <w:br/>
        <w:t>La Corte ha comprobado diferencias  entre  las  versiones  en  inglés  y  en</w:t>
        <w:br/>
        <w:t>castellano del escrito de la Comisión y  entre  las  cifras  y  nombres  del</w:t>
        <w:br/>
        <w:t>texto y sus anexos.</w:t>
        <w:br/>
        <w:br/>
        <w:t>23.   El 13 de mayo de 1992 el agente de  Suriname  solicitó  al  Presidente</w:t>
        <w:br/>
        <w:t>una  extensión  del  plazo  otorgado  al   Gobierno   para   presentar   sus</w:t>
        <w:br/>
        <w:t>observaciones al escrito de la Comisión sobre  reparaciones  y  costas,  por</w:t>
        <w:br/>
        <w:t>cuanto la versión oficial en castellano fue remitida al agente el día 12  de</w:t>
        <w:br/>
        <w:t>mayo de 1992, “exactamente tres días antes de la conclusión del  plazo  dado</w:t>
        <w:br/>
        <w:t>por esta Corte” a su representada.  El Presidente accedió a la  solicitud  y</w:t>
        <w:br/>
        <w:t>estableció que las observaciones debían ser presentadas en la  Secretaría  a</w:t>
        <w:br/>
        <w:t>más tardar el 22 de mayo de 1992.</w:t>
        <w:br/>
        <w:br/>
        <w:t>El Gobierno las presentó el lunes 25 de mayo de 1992, o sea, el  primer  día</w:t>
        <w:br/>
        <w:t>hábil posterior al vencimiento del plazo otorgado.   En  ellas  el  Gobierno</w:t>
        <w:br/>
        <w:t>sostiene que el hecho de que la Comisión  haya  remitido  su  escrito  sobre</w:t>
        <w:br/>
        <w:t>reparaciones y costas en idioma inglés y que la traducción al castellano  le</w:t>
        <w:br/>
        <w:t>fuera entregada al agente cuatro días antes del cumplimiento del  plazo  que</w:t>
        <w:br/>
        <w:t>le había otorgado la Corte, “produjo una  indirecta  disminución  del  plazo</w:t>
        <w:br/>
        <w:t>concedido  [. . .]  para la presentación de su Contra-Memorial y  en  cierta</w:t>
        <w:br/>
        <w:t>medida perjudicó nuevamente nuestra defensa ante esta Corte”  (subrayado  en</w:t>
        <w:br/>
        <w:t>el original) ya que Suriname habría contado únicamente con un plazo de  diez</w:t>
        <w:br/>
        <w:t>días para responder el escrito de la Comisión sobre reparaciones y costas.</w:t>
        <w:br/>
        <w:br/>
        <w:t>24.   El escrito destaca  como  hecho  significativo  que  Suriname  hubiera</w:t>
        <w:br/>
        <w:t>reconocido expresamente ante la Corte  su  responsabilidad  en  esta  causa,</w:t>
        <w:br/>
        <w:t>conducta que tuvo como “fundamento  esencial”  la  circunstancia  de  que  a</w:t>
        <w:br/>
        <w:t>partir del 25 de mayo de 1991 el país  hubiera  retomado  el  camino  de  la</w:t>
        <w:br/>
        <w:t>democracia  y  que  su  Presidente,  el   doctor   Venetiaan,   se   hubiera</w:t>
        <w:br/>
        <w:t>comprometido “a respetar y promover  el  cumplimiento  de  las  obligaciones</w:t>
        <w:br/>
        <w:t>referidas al campo de los  derechos  humanos”.   Recuerda  que  la  Comisión</w:t>
        <w:br/>
        <w:t>expresó en su Informe Anual de 1991 que,  desde  que  asumió  el  Presidente</w:t>
        <w:br/>
        <w:t>Venetiaan, no ha recibido quejas por supuestas violaciones de  los  derechos</w:t>
        <w:br/>
        <w:t>humanos.</w:t>
        <w:br/>
        <w:br/>
        <w:t>25.   El Gobierno no pretende desconocer la responsabilidad asumida ante  la</w:t>
        <w:br/>
        <w:t>Corte, pero estima que  las  indemnizaciones  y  costas  reclamadas  por  la</w:t>
        <w:br/>
        <w:t>Comisión  son  excesivamente  onerosas  y  “desvirtúan  el  sentido  de   lo</w:t>
        <w:br/>
        <w:t>establecido en el artículo 63.1 de la Convención”.  Añade que  los  ingresos</w:t>
        <w:br/>
        <w:t>posibles de las víctimas presentados por la Comisión no  corresponden  a  la</w:t>
        <w:br/>
        <w:t>realidad.</w:t>
        <w:br/>
        <w:br/>
        <w:t>26.   Suriname  agrega  que,  según  su  legislación  interna,  sólo  le  es</w:t>
        <w:br/>
        <w:t>permitido efectuar pagos en moneda nacional y que, por lo tanto, abonará  en</w:t>
        <w:br/>
        <w:t>esa moneda todas las  obligaciones  monetarias  que  sean  fijadas  en  esta</w:t>
        <w:br/>
        <w:t>sentencia.</w:t>
        <w:br/>
        <w:br/>
        <w:t>27.   En cuanto a la indemnización de los  daños  materiales  ocurridos,  el</w:t>
        <w:br/>
        <w:t>Gobierno manifiesta que ésta debe fundarse en la Convención Americana  y  en</w:t>
        <w:br/>
        <w:t>los principios de derecho internacional vigentes en la materia, tal como  lo</w:t>
        <w:br/>
        <w:t>indicó la Corte en el caso Godínez Cruz [Caso  Godínez  Cruz,  Indemnización</w:t>
        <w:br/>
        <w:t>Compensatoria, Sentencia de 21 de  julio  de  1989,  (art.  63.1  Convención</w:t>
        <w:br/>
        <w:t>Americana sobre Derechos Humanos). Serie C No. 8,  párr.  29].   Las  normas</w:t>
        <w:br/>
        <w:t>consuetudinarias de la tribu Saramaca no deben ser  vinculantes  para  fijar</w:t>
        <w:br/>
        <w:t>el monto de la  indemnización  que  se  otorgue  a  los  familiares  de  las</w:t>
        <w:br/>
        <w:t>víctimas, cuyo vínculo familiar debe  ser  acreditado  según  la  Convención</w:t>
        <w:br/>
        <w:t>Americana y los principios de derecho internacional atinentes a la materia.</w:t>
        <w:br/>
        <w:br/>
        <w:t>28.   Suriname  admite  la  indemnización  por  daños  morales  y  cita  los</w:t>
        <w:br/>
        <w:t>precedentes de los casos Velásquez Rodríguez  y  Godínez  Cruz  en  los  que</w:t>
        <w:br/>
        <w:t>dicha indemnización habría sido otorgada después de  haberse  demostrado  el</w:t>
        <w:br/>
        <w:t>perjuicio psíquico en los familiares de las víctimas según  peritaje  médico</w:t>
        <w:br/>
        <w:t>[Caso Velásquez Rodríguez, Indemnización compensatoria, Sentencia de  21  de</w:t>
        <w:br/>
        <w:t>julio de 1989, (art. 63.1  Convención  Americana  sobre  Derechos  Humanos).</w:t>
        <w:br/>
        <w:t>Serie C No. 7, párr. 51; Caso  Godínez  Cruz,  Indemnización  Compensatoria,</w:t>
        <w:br/>
        <w:t>supra 27, párr. 49], lo cual, según el Gobierno, no habría ocurrido en  este</w:t>
        <w:br/>
        <w:t>caso en el que no se han aportado pruebas al respecto.</w:t>
        <w:br/>
        <w:br/>
        <w:t>29.   Suriname se opone a la solicitud de  la  Comisión  de  indemnizar  por</w:t>
        <w:br/>
        <w:t>perjuicios morales a la tribu Saramaca, pues nada solicitó para ella  en  el</w:t>
        <w:br/>
        <w:t>proceso de fondo.  En su escrito expresa:</w:t>
        <w:br/>
        <w:br/>
        <w:t xml:space="preserve">      Admitir en la presente etapa de INDEMNIZACION COMPENSATORIA una  nueva</w:t>
        <w:br/>
        <w:t xml:space="preserve">      causal indemnizatoria, equivaldría admitir la violación de  una  nueva</w:t>
        <w:br/>
        <w:t xml:space="preserve">      obligación de carácter internacional -(no identificada ni imputada  al</w:t>
        <w:br/>
        <w:t xml:space="preserve">      presente momento por la Comisión)- no presentada por  la  Comisión  en</w:t>
        <w:br/>
        <w:t xml:space="preserve">      sus alegatos previos; no analizada por la Corte durante  las  diversas</w:t>
        <w:br/>
        <w:t xml:space="preserve">      etapas del proceso, ni desvirtuada por la defensa de Suriname  durante</w:t>
        <w:br/>
        <w:t xml:space="preserve">      las audiencias previas -(aparte de la  evidente  indefensión  que  eso</w:t>
        <w:br/>
        <w:t xml:space="preserve">      causa a nuestra parte)-.</w:t>
        <w:br/>
        <w:br/>
        <w:t>30.   Argumenta el Gobierno que la Comisión actúa con abogados externos  que</w:t>
        <w:br/>
        <w:t>aparecen como abogados de las víctimas,  en  funciones  que  deberían  haber</w:t>
        <w:br/>
        <w:t>sido desempeñadas por sus propios  funcionarios  y  con  honorarios  de  250</w:t>
        <w:br/>
        <w:t>dólares de los Estados Unidos de América (en  adelante  “dólares”  o  “US$”)</w:t>
        <w:br/>
        <w:t>por hora, tarifa que no se  ajusta  a  la  realidad  “interamericana”.   Los</w:t>
        <w:br/>
        <w:t>familiares de las víctimas, además, no interpusieron ninguna  denuncia  ante</w:t>
        <w:br/>
        <w:t>la justicia surinamesa y la Comisión conoció  el  caso  apenas  quince  días</w:t>
        <w:br/>
        <w:t>después de ocurridos los hechos.</w:t>
        <w:br/>
        <w:br/>
        <w:t>31.   En cuanto a la reparación no pecuniaria solicitada  por  la  Comisión,</w:t>
        <w:br/>
        <w:t>considera  el  Gobierno  que  el  reconocimiento  de  responsabilidad  hecho</w:t>
        <w:br/>
        <w:t>público mediante la sentencia de esta  Corte  de  4  de  diciembre  de  1991</w:t>
        <w:br/>
        <w:t>constituye una forma de reparación y satisfacción moral de  significación  e</w:t>
        <w:br/>
        <w:t>importancia para los familiares de las víctimas y para la tribu Saramaca.</w:t>
        <w:br/>
        <w:br/>
        <w:t>32.   Suriname recusa en su escrito a los expertos  que  la  Comisión  había</w:t>
        <w:br/>
        <w:t>ofrecido para que declararan en la audiencia fijada para el 7  de  julio  de</w:t>
        <w:br/>
        <w:t>1992.  Dice que los expertos deberían deponer mediante  declaración  jurada,</w:t>
        <w:br/>
        <w:t>para lo cual ya habría vencido la etapa  procesal  respectiva,  y  que  sólo</w:t>
        <w:br/>
        <w:t>serían admisibles en la audiencia declaraciones testimoniales.  El  Gobierno</w:t>
        <w:br/>
        <w:t>ofrece en su escrito las pruebas correspondientes.</w:t>
        <w:br/>
        <w:br/>
        <w:t>33.   A título de conclusión, el escrito de Suriname manifiesta:</w:t>
        <w:br/>
        <w:br/>
        <w:t xml:space="preserve">      Suriname desea expresar a la Corte, que en su opinión la indemnización</w:t>
        <w:br/>
        <w:t xml:space="preserve">      en el presente caso contencioso, deberá  de  abarcar  fundamentalmente</w:t>
        <w:br/>
        <w:t xml:space="preserve">      medidas  de  carácter  no  financiero  que  incluyen  facilidades   de</w:t>
        <w:br/>
        <w:t xml:space="preserve">      consecución sin costo alguno de vivienda  propia,  propiedad  agraria,</w:t>
        <w:br/>
        <w:t xml:space="preserve">      seguridad  social,  laboral,  médica  y  educativa.   Por   tal  razón</w:t>
        <w:br/>
        <w:t xml:space="preserve">      Suriname está en la disposición de brindar en un   plazo  razonable  a</w:t>
        <w:br/>
        <w:t xml:space="preserve">      los familiares de las víctimas las facilidades  antes  descritas;  las</w:t>
        <w:br/>
        <w:t xml:space="preserve">      cuales serían cuantificadas  como  parte  de  la  justa  indemnización</w:t>
        <w:br/>
        <w:t xml:space="preserve">      patrimonial que se obligaría a pagar.</w:t>
        <w:br/>
        <w:br/>
        <w:t>34.   El  Gobierno  considera  fuera  de  la  realidad  social  y  económica</w:t>
        <w:br/>
        <w:t>existente en Suriname  los  criterios  indemnizatorios  sustentados  por  la</w:t>
        <w:br/>
        <w:t>Comisión.  Expresa que Suriname se ha presentado ante la Corte “con  el  fin</w:t>
        <w:br/>
        <w:t>de  rectificar  el  desviado  camino  previamente  seguido  por   anteriores</w:t>
        <w:br/>
        <w:t>gobiernos, así como mostrar a la  Corte  y  la  comunidad  internacional  la</w:t>
        <w:br/>
        <w:t>seriedad de las intenciones que en materia de  protección  de  los  derechos</w:t>
        <w:br/>
        <w:t>humanos tiene el Gobierno del Presidente Venetiaan”,  actitud  que  no  debe</w:t>
        <w:br/>
        <w:t>servir como pretexto para imponer al país  indemnizaciones  millonarias  que</w:t>
        <w:br/>
        <w:t>lo empobrezcan aún más.</w:t>
        <w:br/>
        <w:br/>
        <w:br/>
        <w:t xml:space="preserve">                                     III</w:t>
        <w:br/>
        <w:br/>
        <w:t>35.   Frente a lo expresado por las  partes,  las  pruebas  ofrecidas  y  la</w:t>
        <w:br/>
        <w:t>recusación efectuada por Suriname respecto de los peritos propuestos por  la</w:t>
        <w:br/>
        <w:t>Comisión, el Presidente resolvió el 19 de junio de  1992  que  la  audiencia</w:t>
        <w:br/>
        <w:t>convocada para el 7 de julio de 1992  (ver  supra,  párr.  13)  tendría  por</w:t>
        <w:br/>
        <w:t>objeto escuchar los  argumentos  de  Suriname  y  las  observaciones  de  la</w:t>
        <w:br/>
        <w:t>Comisión acerca de las recusaciones planteadas  y  recibir,  si  procediere,</w:t>
        <w:br/>
        <w:t>las declaraciones ofrecidas por las partes y escuchar los alegatos de  éstas</w:t>
        <w:br/>
        <w:t>sobre las reparaciones y las costas.</w:t>
        <w:br/>
        <w:br/>
        <w:t>36.   La audiencia pública sobre reparaciones y  costas  tuvo  lugar  en  la</w:t>
        <w:br/>
        <w:t>sede de la Corte el día 7 de julio de 1992.</w:t>
        <w:br/>
        <w:br/>
        <w:t>Comparecieron ante la Corte</w:t>
        <w:br/>
        <w:br/>
        <w:t>a)    por el Gobierno de Suriname:</w:t>
        <w:br/>
        <w:br/>
        <w:t xml:space="preserve">      Carlos Vargas Pizarro, agente</w:t>
        <w:br/>
        <w:br/>
        <w:t xml:space="preserve">      Fred M. Reid, representante del Ministerio de Relaciones</w:t>
        <w:br/>
        <w:t xml:space="preserve">      Exteriores</w:t>
        <w:br/>
        <w:br/>
        <w:t xml:space="preserve">      Jorge Ross Araya, abogado-asesor</w:t>
        <w:br/>
        <w:br/>
        <w:t>b)    por la Comisión Interamericana de Derechos Humanos:</w:t>
        <w:br/>
        <w:br/>
        <w:t xml:space="preserve">      Oliver H. Jackman, delegado</w:t>
        <w:br/>
        <w:br/>
        <w:t xml:space="preserve">      David J. Padilla, delegado</w:t>
        <w:br/>
        <w:br/>
        <w:t xml:space="preserve">      Claudio Grossman, asesor</w:t>
        <w:br/>
        <w:br/>
        <w:t>c)    a solicitud de la Comisión:</w:t>
        <w:br/>
        <w:br/>
        <w:t xml:space="preserve">      Richard Price</w:t>
        <w:br/>
        <w:br/>
        <w:t xml:space="preserve">      Stanley Rensch</w:t>
        <w:br/>
        <w:br/>
        <w:t>d)    a solicitud del Gobierno:</w:t>
        <w:br/>
        <w:br/>
        <w:t xml:space="preserve">      Ramón de Freitas.</w:t>
        <w:br/>
        <w:br/>
        <w:t>37.   En la audiencia la Corte  rechazó  las  recusaciones  presentadas  por</w:t>
        <w:br/>
        <w:t>Suriname  y  recibió  las  declaraciones   “reservándose   el   derecho   de</w:t>
        <w:br/>
        <w:t>valorar[las] posteriormente”.  Los testigos y  peritos  propuestos  por  las</w:t>
        <w:br/>
        <w:t>partes respondieron a los interrogatorios de éstas y de los jueces.</w:t>
        <w:br/>
        <w:br/>
        <w:t>38.   En el curso de este litigio, se recibió en calidad  de  amicus  curiae</w:t>
        <w:br/>
        <w:t>un escrito de la Comisión Internacional de Juristas.</w:t>
        <w:br/>
        <w:br/>
        <w:br/>
        <w:t xml:space="preserve">                                     IV</w:t>
        <w:br/>
        <w:br/>
        <w:t>39.   Por considerarlo necesario para obtener una información  más  completa</w:t>
        <w:br/>
        <w:t>para  determinar  el  monto  de  las  indemnizaciones  y  las   costas,   el</w:t>
        <w:br/>
        <w:t>Presidente, oído el parecer de la Comisión  Permanente,  decidió  el  24  de</w:t>
        <w:br/>
        <w:t>septiembre de 1992 utilizar los  servicios  como  expertos  de  los  señores</w:t>
        <w:br/>
        <w:t>Christopher Healy y Merina Eduards.  Mediante resolución de 16 de  marzo  de</w:t>
        <w:br/>
        <w:t>1993 la Corte resolvió  “[d]ar  vista  oportunamente  a  las  partes  de  la</w:t>
        <w:br/>
        <w:t>información  suministrada  por  los  peritos  en  este  caso”.    Igualmente</w:t>
        <w:br/>
        <w:t>solicitó a las partes aclaraciones e informaciones adicionales.</w:t>
        <w:br/>
        <w:br/>
        <w:t>En efecto, el 18 de marzo de 1993 pidió a la  Comisión  que  remitiera  “una</w:t>
        <w:br/>
        <w:t>lista definitiva con los nombres correctos de las  personas  que  alega  que</w:t>
        <w:br/>
        <w:t>son los hijos y los cónyuges de las víctimas” en este caso y el 20 de  marzo</w:t>
        <w:br/>
        <w:t>de 1993 al Gobierno que enviara “a la Corte los datos y consideraciones  que</w:t>
        <w:br/>
        <w:t>el Gobierno de Suriname  estime  convenientes  aportar  al  respecto”.   Una</w:t>
        <w:br/>
        <w:t>lista definitiva de las esposas, hijos y otros dependientes de las  víctimas</w:t>
        <w:br/>
        <w:t>de fecha 8 de abril de 1993 elaborada por la Comisión, fue entregada  en  la</w:t>
        <w:br/>
        <w:t>Secretaría de la Corte el 14 de ese mes.  Por nota de 26 de  abril  de  1993</w:t>
        <w:br/>
        <w:t>el Presidente otorgó al Gobierno un plazo de  20  días  para  que  formulara</w:t>
        <w:br/>
        <w:t>observaciones a la documentación remitida por la Comisión a  la  Corte.   El</w:t>
        <w:br/>
        <w:t>Gobierno no realizó observación alguna ni presentó la información que se  le</w:t>
        <w:br/>
        <w:t>había solicitado.</w:t>
        <w:br/>
        <w:br/>
        <w:t>40.   Durante el período extraordinario de sesiones celebrado del 15  al  18</w:t>
        <w:br/>
        <w:t>de marzo de 1993, la Corte decidió que  su  Secretaria  adjunta,  Ana  María</w:t>
        <w:br/>
        <w:t>Reina, viajara a Suriname para obtener información adicional  acerca  de  la</w:t>
        <w:br/>
        <w:t>situación económica, financiera y bancaria del país, así como  para  conocer</w:t>
        <w:br/>
        <w:t>la aldea de Gujaba, a fin de obtener información enderezada a  facilitar  al</w:t>
        <w:br/>
        <w:t>Tribunal  dictar  una  sentencia  ajustada   a   la   realidad   surinamesa.</w:t>
        <w:br/>
        <w:t>Oportunamente se informó a las partes sobre lo anterior.</w:t>
        <w:br/>
        <w:br/>
        <w:t>La información y los datos obtenidos en esta visita mediante  entrevistas  y</w:t>
        <w:br/>
        <w:t>documentos, tanto en Paramaribo  como  en  la  aldea  de  Gujaba,  han  sido</w:t>
        <w:br/>
        <w:t>también  utilizados  por  la  Corte  para  la  fijación  del  monto  de  las</w:t>
        <w:br/>
        <w:t>indemnizaciones.</w:t>
        <w:br/>
        <w:br/>
        <w:br/>
        <w:t xml:space="preserve">                                      V</w:t>
        <w:br/>
        <w:br/>
        <w:br/>
        <w:t>41.   En el presente caso la Corte es competente para decidir sobre el  pago</w:t>
        <w:br/>
        <w:t>de reparaciones y  costas.   Suriname  es  Estado  Parte  de  la  Convención</w:t>
        <w:br/>
        <w:t>Americana desde el 12 de noviembre de 1987, fecha en que aceptó  también  la</w:t>
        <w:br/>
        <w:t>competencia contenciosa de la Corte.  El caso fue presentado a la Corte  por</w:t>
        <w:br/>
        <w:t>la Comisión de acuerdo con los artículos 51 y 61 de la Convención  Americana</w:t>
        <w:br/>
        <w:t>y 50 de su Reglamento y fallado por la Corte en cuanto  al  fondo  el  4  de</w:t>
        <w:br/>
        <w:t>diciembre de 1991.</w:t>
        <w:br/>
        <w:br/>
        <w:br/>
        <w:t xml:space="preserve">                                     VI</w:t>
        <w:br/>
        <w:br/>
        <w:t>42.   En este litigio, Suriname ha reconocido  su  responsabilidad  por  los</w:t>
        <w:br/>
        <w:t>hechos articulados en la memoria de la Comisión.  Por ello, y  tal  como  lo</w:t>
        <w:br/>
        <w:t>expresó la Corte en su sentencia de 4 de diciembre de 1991,  “ha  cesado  la</w:t>
        <w:br/>
        <w:t>controversia en cuanto a los hechos que  dieron  origen  al  presente  caso”</w:t>
        <w:br/>
        <w:t>(Caso Aloeboetoe y otros, supra párrafo inicial, párr. 23).  Esto  significa</w:t>
        <w:br/>
        <w:t>que se tienen por ciertos aquellos expuestos en la memoria  de  la  Comisión</w:t>
        <w:br/>
        <w:t>del 27 de agosto de 1990.  Pero, en cambio, existen  diferencias  entre  las</w:t>
        <w:br/>
        <w:t>partes acerca de otros hechos que se relacionan con las  reparaciones  y  el</w:t>
        <w:br/>
        <w:t>alcance de las mismas.  La controversia sobre estas materias  será  decidida</w:t>
        <w:br/>
        <w:t>por la Corte en la presente sentencia.</w:t>
        <w:br/>
        <w:br/>
        <w:t>43.   La disposición aplicable a las reparaciones es el artículo 63.1 de  la</w:t>
        <w:br/>
        <w:t>Convención Americana que prescribe lo siguiente:</w:t>
        <w:br/>
        <w:br/>
        <w:t xml:space="preserve">            1. Cuando decida que hubo violación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 si  ello  fuera   procedente,   que    se    reparen    las</w:t>
        <w:br/>
        <w:t xml:space="preserve">      consecuencias de  la  medida  o  situación   que   ha  configurado  la</w:t>
        <w:br/>
        <w:t xml:space="preserve">      vulneración de esos derechos y el pago de una justa indemnización a la</w:t>
        <w:br/>
        <w:t xml:space="preserve">      parte lesionada.</w:t>
        <w:br/>
        <w:br/>
        <w:t>Este artículo constituye una norma consuetudinaria que es,  además,  uno  de</w:t>
        <w:br/>
        <w:t>los principios fundamentales del actual derecho de gentes tal  como  lo  han</w:t>
        <w:br/>
        <w:t>reconocido  esta  Corte  (cfr.  Caso  Velásquez   Rodríguez,   Indemnización</w:t>
        <w:br/>
        <w:t>Compensatoria,  supra  28,  párr.  25;  Caso  Godínez  Cruz,   Indemnización</w:t>
        <w:br/>
        <w:t>Compensatoria, supra 27, párr. 23) y la jurisprudencia de  otros  tribunales</w:t>
        <w:br/>
        <w:t>(cfr. Usine de Chorzów, compétence, arrêt  N° 8, 1927,  C.P.J.I.,  Série  A,</w:t>
        <w:br/>
        <w:t>N° 9, p. 21; Usine de Chorzów, fond, arrêt N° 13, 1928, C.P.J.I.,  Série  A,</w:t>
        <w:br/>
        <w:t>N° 17, p. 29; Interprétation des traités de paix conclus avec  la  Bulgarie,</w:t>
        <w:br/>
        <w:t>la Hongrie  et  la  Roumanie,  deuxième  phase,  avis  consultatif,  C.I.J.,</w:t>
        <w:br/>
        <w:t>Recueil 1950 , p. 228).</w:t>
        <w:br/>
        <w:br/>
        <w:t>44.   La obligación contenida en el artículo 63.1 de  la  Convención  es  de</w:t>
        <w:br/>
        <w:t>derecho internacional y éste rige todos sus aspectos como, por  ejemplo,  su</w:t>
        <w:br/>
        <w:t>extensión, sus modalidades, sus beneficiarios, etc.  Por ello,  la  presente</w:t>
        <w:br/>
        <w:t>sentencia impondrá obligaciones de derecho internacional que no  pueden  ser</w:t>
        <w:br/>
        <w:t>modificadas ni  suspendidas  en  su  cumplimiento  por  el  Estado  obligado</w:t>
        <w:br/>
        <w:t>invocando  para  ello  disposiciones  de  su  derecho  interno  (cfr.   Caso</w:t>
        <w:br/>
        <w:t>Velásquez Rodríguez, Indemnización Compensatoria, supra 28, párr.  30;  Caso</w:t>
        <w:br/>
        <w:t>Godínez   Cruz,   Indemnización   Compensatoria,   supra   27,   párr.   28;</w:t>
        <w:br/>
        <w:t>Jurisdiction of the Courts of  Danzig,  advisory  opinion,  1928,  P.C.I.J.,</w:t>
        <w:br/>
        <w:t>Series B, No. 15, pp. 26 y 27; Question  des  “communautés”  gréco-bulgares,</w:t>
        <w:br/>
        <w:t>avis consultatif, 1930, C.P.J.I., Série B, N° 17, pp. 32 y 35;  Affaire  des</w:t>
        <w:br/>
        <w:t>zones franches de la Haute-Savoie  et  du  pays  de  Gex  (deuxième  phase),</w:t>
        <w:br/>
        <w:t>ordonnance du 6 decembre 1930, C.P.J.I., Série A, N°  24,  p.  12;   Affaire</w:t>
        <w:br/>
        <w:t>des zones franches de la Haute-Savoie  et  du  pays  de  Gex,  arrêt,  1932,</w:t>
        <w:br/>
        <w:t>C.P.J.I., Série A/B, N° 46, p. 167; Traitement  des  nationaux  polonais  et</w:t>
        <w:br/>
        <w:t>des autres personnes d’origine ou de langue polonaise dans le territoire  de</w:t>
        <w:br/>
        <w:t>Dantzig, avis consultatif, 1932, C.P.J.I., Série A/B, N° 44, p. 24).</w:t>
        <w:br/>
        <w:br/>
        <w:br/>
        <w:br/>
        <w:br/>
        <w:t xml:space="preserve">                                     VII</w:t>
        <w:br/>
        <w:br/>
        <w:t>45.   Una vez precisado que la obligación de reparar  pertenece  al  derecho</w:t>
        <w:br/>
        <w:t>de gentes y está  regida  por  él,  la  Corte  estima  conveniente  examinar</w:t>
        <w:br/>
        <w:t>detalladamente su extensión.</w:t>
        <w:br/>
        <w:br/>
        <w:t>46.   El artículo 63.1 de la Convención distingue entre la conducta  que  el</w:t>
        <w:br/>
        <w:t>Estado responsable de una violación debe observar desde  el  momento  de  la</w:t>
        <w:br/>
        <w:t>sentencia de la Corte y las consecuencias de la actitud del mismo Estado  en</w:t>
        <w:br/>
        <w:t>el pasado, o sea, mientras duró la  violación.   En  cuanto  al  futuro,  el</w:t>
        <w:br/>
        <w:t>artículo 63.1 dispone que se ha de  garantizar  al  lesionado  el  goce  del</w:t>
        <w:br/>
        <w:t>derecho o de la libertad  conculcados.   Respecto  del  tiempo  pasado,  esa</w:t>
        <w:br/>
        <w:t>prescripción  faculta  a  la  Corte  a  imponer  una  reparación   por   las</w:t>
        <w:br/>
        <w:t>consecuencias de la violación y una justa indemnización.</w:t>
        <w:br/>
        <w:br/>
        <w:t>En lo que se refiere a violaciones al derecho a la vida, como en este  caso,</w:t>
        <w:br/>
        <w:t>la  reparación,  dada  la   naturaleza   del   derecho   violado,   adquiere</w:t>
        <w:br/>
        <w:t>fundamentalmente la forma de una indemnización  pecuniaria  (Caso  Velásquez</w:t>
        <w:br/>
        <w:t>Rodríguez, Sentencia de 29 de julio de 1988.  Serie  C  No.  4,  párr.  189;</w:t>
        <w:br/>
        <w:t>Caso Godínez Cruz, Sentencia de 20 de enero de 1989.  Serie C No.  5,  párr.</w:t>
        <w:br/>
        <w:t>199).</w:t>
        <w:br/>
        <w:br/>
        <w:t>47.   La Comisión interpreta  el  artículo  63.1  de  la  Convención  en  el</w:t>
        <w:br/>
        <w:t>sentido de que instituye como regla la obligación de  restablecer  el  statu</w:t>
        <w:br/>
        <w:t>quo ante.  En otro pasaje de su escrito, la Comisión  se  refiere  a  la  in</w:t>
        <w:br/>
        <w:t>integrum  restitutio,  a   la   que   parece   tomar   como   sinónimo   del</w:t>
        <w:br/>
        <w:t>restablecimiento del statu quo ante.  Independientemente de la  terminología</w:t>
        <w:br/>
        <w:t>empleada, la Comisión sostiene que la indemnización a pagar por Suriname  ha</w:t>
        <w:br/>
        <w:t>de  ser  de  un  monto  tal  que  repare  todas  las  consecuencias  de  las</w:t>
        <w:br/>
        <w:t>violaciones ocurridas.</w:t>
        <w:br/>
        <w:br/>
        <w:t>48.   Antes de analizar estas reglas en el plano jurídico, es preciso  hacer</w:t>
        <w:br/>
        <w:t>algunas consideraciones sobre los actos humanos en general y cómo  éstos  se</w:t>
        <w:br/>
        <w:t>presentan en la realidad.</w:t>
        <w:br/>
        <w:br/>
        <w:t>Todo acto humano es causa de muchas consecuencias,  próximas  unas  y  otras</w:t>
        <w:br/>
        <w:t>remotas.  Un viejo aforismo dice en este sentido:   causa  causæ  est  causa</w:t>
        <w:br/>
        <w:t>causati.  Piénsese en la imagen de una piedra que se arroja a un lago y  que</w:t>
        <w:br/>
        <w:t>va produciendo en las aguas círculos concéntricos cada  vez  más  lejanos  y</w:t>
        <w:br/>
        <w:t>menos perceptibles.   Así,  cada  acto  humano  produce  efectos  remotos  y</w:t>
        <w:br/>
        <w:t>lejanos.</w:t>
        <w:br/>
        <w:br/>
        <w:t>Obligar al autor de un hecho ilícito a borrar todas  las  consecuencias  que</w:t>
        <w:br/>
        <w:t>su acto causó es enteramente imposible porque su acción tuvo efectos que  se</w:t>
        <w:br/>
        <w:t>multiplicaron de modo inconmensurable.</w:t>
        <w:br/>
        <w:br/>
        <w:t>49.   El Derecho se  ha  ocupado  de  tiempo  atrás  del  tema  de  cómo  se</w:t>
        <w:br/>
        <w:t>presentan los actos  humanos  en  la  realidad,  de  sus  efectos  y  de  la</w:t>
        <w:br/>
        <w:t>responsabilidad que originan.   En  el  orden  internacional,  la  sentencia</w:t>
        <w:br/>
        <w:t>arbitral en el caso del “Alabama” se  ocupa  ya  de  esta  cuestión  (Moore,</w:t>
        <w:br/>
        <w:t>History and Digest of International Arbitrations to which the United  States</w:t>
        <w:br/>
        <w:t>has been a Party,  Washington, D.C., 1898, vol. I, pp. 653-659).</w:t>
        <w:br/>
        <w:br/>
        <w:t>La solución que da el  Derecho  en  esta  materia  consiste  en  exigir  del</w:t>
        <w:br/>
        <w:t>responsable la reparación de los efectos inmediatos de los  actos  ilícitos,</w:t>
        <w:br/>
        <w:t>pero sólo en la medida jurídicamente tutelada.  Por otra parte, en cuanto  a</w:t>
        <w:br/>
        <w:t>las diversas formas y modalidades de reparación, la regla de la in  integrum</w:t>
        <w:br/>
        <w:t>restitutio se refiere a un modo como puede ser  reparado  el  efecto  de  un</w:t>
        <w:br/>
        <w:t>acto ilícito internacional,  pero  no  es  la  única  forma  como  debe  ser</w:t>
        <w:br/>
        <w:t>reparado,  porque  puede  haber  casos  en  que  aquella  no  sea   posible,</w:t>
        <w:br/>
        <w:t>suficiente o adecuada  (cfr. Usine de Chorzów, fond , supra 43, p. 48).   De</w:t>
        <w:br/>
        <w:t>esta manera, a juicio de la Corte, debe ser interpretado  el  artículo  63.1</w:t>
        <w:br/>
        <w:t>de la Convención Americana.</w:t>
        <w:br/>
        <w:br/>
        <w:br/>
        <w:t xml:space="preserve">                                    VIII</w:t>
        <w:br/>
        <w:br/>
        <w:t>50.   Se ha expresado anteriormente que en lo que hace al derecho a la  vida</w:t>
        <w:br/>
        <w:t>no resulta posible devolver su goce a las  víctimas.   En  estos  casos,  la</w:t>
        <w:br/>
        <w:t>reparación ha de asumir otras formas  sustitutivas,  como  la  indemnización</w:t>
        <w:br/>
        <w:t>pecuniaria (supra, párr. 46).</w:t>
        <w:br/>
        <w:br/>
        <w:t>Esta indemnización se  refiere  primeramente  a  los  perjuicios  materiales</w:t>
        <w:br/>
        <w:t>sufridos.  La jurisprudencia arbitral  considera  que,  según  un  principio</w:t>
        <w:br/>
        <w:t>general de derecho, éstos comprenden tanto el daño emergente como  el  lucro</w:t>
        <w:br/>
        <w:t>cesante (cfr. Chemin de fer de la baie de Delagoa, sentence, 29  mars  1900,</w:t>
        <w:br/>
        <w:t>Martens, Nouveau Recueil Général de Traités, 2ème  Série,  t.  30,  p.  402;</w:t>
        <w:br/>
        <w:t>Case of Cape Horn Pigeon, 29 November 1902,  Papers relating to the  Foreign</w:t>
        <w:br/>
        <w:t>Relations of the  United  States,  Washington,  D.C.:   Government  Printing</w:t>
        <w:br/>
        <w:t>Office, 1902, Appendix I, p. 470).  También, la indemnización  debe  incluir</w:t>
        <w:br/>
        <w:t>el daño moral sufrido por las  víctimas.   Así  lo  han  decidido  la  Corte</w:t>
        <w:br/>
        <w:t>Permanente de  Justicia  Internacional  [Traité  de  Neuilly,  article  179,</w:t>
        <w:br/>
        <w:t>annexe, paragraphe 4 (interprétation), arrêt N° 3, 1924, C.P.J.I., Série  A,</w:t>
        <w:br/>
        <w:t>N° 3, p. 9] y los tribunales arbitrales (Maal Case, 1 June 1903, Reports  of</w:t>
        <w:br/>
        <w:t>International Arbitral Awards, vol. X, pp. 732 y 733  y  Campbell  Case,  10</w:t>
        <w:br/>
        <w:t>June 1931, Reports of International Arbitral Awards, vol. II, p. 1158).</w:t>
        <w:br/>
        <w:br/>
        <w:t>51.    En  el  presente  caso,  las  víctimas  muertas  en  Tjongalangapassi</w:t>
        <w:br/>
        <w:t>sufrieron un perjuicio moral al ser vejadas por una  banda  armada  que  las</w:t>
        <w:br/>
        <w:t>privó de su libertad y luego las  asesinó.   Las  agresiones  recibidas,  el</w:t>
        <w:br/>
        <w:t>dolor de verse condenado a muerte sin razón alguna,  el  suplicio  de  tener</w:t>
        <w:br/>
        <w:t>que cavar su propia fosa constituyen una parte del perjuicio  moral  sufrido</w:t>
        <w:br/>
        <w:t>por las víctimas.  Además, aquella que no murió en un primer  momento  debió</w:t>
        <w:br/>
        <w:t>soportar que sus heridas fueran invadidas por los  gusanos  y  ver  que  los</w:t>
        <w:br/>
        <w:t>cuerpos de sus compañeros servían de alimento a los buitres.</w:t>
        <w:br/>
        <w:br/>
        <w:t>52.   El daño moral infligido a  las  víctimas,  a  criterio  de  la  Corte,</w:t>
        <w:br/>
        <w:t>resulta evidente pues es propio de la naturaleza  humana  que  toda  persona</w:t>
        <w:br/>
        <w:t>sometida  a  las  agresiones  y   vejámenes   mencionados   experimente   un</w:t>
        <w:br/>
        <w:t>sufrimiento moral.  La Corte estima que no se requieren pruebas para  llegar</w:t>
        <w:br/>
        <w:t>a esta conclusión y resulta suficiente el reconocimiento de  responsabilidad</w:t>
        <w:br/>
        <w:t>efectuado por Suriname en su momento.</w:t>
        <w:br/>
        <w:br/>
        <w:t>53.   El perjuicio material es objeto de  análisis  en  los  párrafos  88  y</w:t>
        <w:br/>
        <w:t>siguientes de esta sentencia.</w:t>
        <w:br/>
        <w:br/>
        <w:br/>
        <w:t xml:space="preserve">                                     IX</w:t>
        <w:br/>
        <w:br/>
        <w:br/>
        <w:t>54.   Los daños sufridos por las víctimas hasta el momento de su muerte  dan</w:t>
        <w:br/>
        <w:t>derecho a una indemnización.  Ese derecho de las víctimas se  transmite  por</w:t>
        <w:br/>
        <w:t>sucesión a sus herederos.</w:t>
        <w:br/>
        <w:br/>
        <w:t>La indemnización que se debe pagar por el hecho de haber privado  a  alguien</w:t>
        <w:br/>
        <w:t>de su vida  es  un  derecho  propio  que  corresponde  a  aquellos  que  han</w:t>
        <w:br/>
        <w:t>resultado  perjudicados.   Por  esta  razón,  la   jurisprudencia   de   los</w:t>
        <w:br/>
        <w:t>tribunales internos de los Estados acepta generalmente  que  el  derecho  de</w:t>
        <w:br/>
        <w:t>solicitar la indemnización por la muerte de una persona  corresponde  a  los</w:t>
        <w:br/>
        <w:t>sobrevivientes  que  resultan  afectados  por  ella.    Esa   jurisprudencia</w:t>
        <w:br/>
        <w:t>establece una distinción entre los sucesores y  los  terceros  perjudicados.</w:t>
        <w:br/>
        <w:t>En cuanto a los primeros, se presume que la muerte  de  la  víctima  les  ha</w:t>
        <w:br/>
        <w:t>causado un perjuicio material y moral y estaría a cargo  de  la  contraparte</w:t>
        <w:br/>
        <w:t>probar que tal perjuicio no ha existido.  Pero los reclamantes  que  no  son</w:t>
        <w:br/>
        <w:t>sucesores, tal como se expone más  abajo  (cfr.  infra,   párr.  68),  deben</w:t>
        <w:br/>
        <w:t>aportar determinadas pruebas para justificar el derecho a ser indemnizados.</w:t>
        <w:br/>
        <w:br/>
        <w:t>55.   En el caso presente, en cuanto a la determinación de los sucesores  de</w:t>
        <w:br/>
        <w:t>las víctimas, existe disparidad de criterios entre las partes:  la  Comisión</w:t>
        <w:br/>
        <w:t>reclama la aplicación de las costumbres de la tribu Saramaca, en  tanto  que</w:t>
        <w:br/>
        <w:t>Suriname solicita la aplicación de su derecho civil.</w:t>
        <w:br/>
        <w:br/>
        <w:t>La Corte manifestó anteriormente que la obligación de  reparar  prevista  en</w:t>
        <w:br/>
        <w:t>el artículo 63.1 de la Convención Americana es  una  obligación  de  derecho</w:t>
        <w:br/>
        <w:t>internacional, el cual rige también  sus  modalidades  y  sus  beneficiarios</w:t>
        <w:br/>
        <w:t>(supra, párr. 44).   Sin  embargo,  conviene  precisar  el  derecho  interno</w:t>
        <w:br/>
        <w:t>vigente en cuanto al régimen de familia pues éste  puede  ser  aplicable  en</w:t>
        <w:br/>
        <w:t>algunos aspectos.</w:t>
        <w:br/>
        <w:br/>
        <w:t>56.   Los saramacas son una tribu que vive en el territorio  de  Suriname  y</w:t>
        <w:br/>
        <w:t>que se constituyó con los esclavos africanos que huían de  los  propietarios</w:t>
        <w:br/>
        <w:t>holandeses.  El escrito de la Comisión sostiene que los saramacas  gozan  de</w:t>
        <w:br/>
        <w:t>autonomía interna en virtud de un tratado del 19 de septiembre de  1762,  el</w:t>
        <w:br/>
        <w:t>cual les permitiría regirse por sus propias leyes.   Allí  expresa  que  ese</w:t>
        <w:br/>
        <w:t>pueblo “adquirió sus derechos sobre la base de un tratado celebrado con  los</w:t>
        <w:br/>
        <w:t>Países Bajos, por el cual se les reconoce, entre otras cosas,  la  autoridad</w:t>
        <w:br/>
        <w:t>local de los Saramaca (sic) sobre su propio territorio”.   A  dicho  escrito</w:t>
        <w:br/>
        <w:t>se acompaña el texto  de  la  convención  mencionada  y  se  añade  que  las</w:t>
        <w:br/>
        <w:t>“obligaciones del tratado son aplicables por sucesión  al  estado  (sic)  de</w:t>
        <w:br/>
        <w:t>Suriname”.</w:t>
        <w:br/>
        <w:br/>
        <w:t>57.   La Corte no considera necesario investigar si  dicho  convenio  es  un</w:t>
        <w:br/>
        <w:t>tratado internacional.  Sólo  se  limita  a  observar que  si  así   hubiera</w:t>
        <w:br/>
        <w:t>sido, el  tratado  hoy sería nulo por ser contrario a reglas de  jus  cogens</w:t>
        <w:br/>
        <w:t>superveniens.  En efecto, en ese convenio los saramacas  se  obligan,  entre</w:t>
        <w:br/>
        <w:t>otras cosas, a  capturar  los  esclavos  que  hayan  desertado,  a  hacerlos</w:t>
        <w:br/>
        <w:t>prisioneros y a devolverlos al Gobernador de  Suriname,  quien   les  pagará</w:t>
        <w:br/>
        <w:t>entre 10 y 50 florines por cada uno, según la  distancia  del  lugar  de  su</w:t>
        <w:br/>
        <w:t>captura.  Otro artículo faculta a los saramacas a vender a  los  holandeses,</w:t>
        <w:br/>
        <w:t>en calidad  de  esclavos,  otros  prisioneros  que  pudieren  capturar.   Un</w:t>
        <w:br/>
        <w:t>convenio  de  esta  índole  no  puede  ser   invocado   ante   un   tribunal</w:t>
        <w:br/>
        <w:t>internacional de derechos humanos.</w:t>
        <w:br/>
        <w:br/>
        <w:t>58.   La  Comisión  ha  puntualizado  que  no  pretende  que  los  saramacas</w:t>
        <w:br/>
        <w:t>constituyan actualmente una comunidad con subjetividad  internacional,  sino</w:t>
        <w:br/>
        <w:t>que la autonomía que reclama para la tribu es de derecho público interno.</w:t>
        <w:br/>
        <w:br/>
        <w:t>La Corte no estima necesario averiguar si los saramacas gozan  de  autonomía</w:t>
        <w:br/>
        <w:t>legislativa y jurisdiccional dentro de  la  región  que  ocupan.   La  única</w:t>
        <w:br/>
        <w:t>cuestión que aquí interesa consiste  en  saber  si  las  leyes  de  Suriname</w:t>
        <w:br/>
        <w:t>relativas a derecho de familia se aplican a  la  tribu  Saramaca.   En  este</w:t>
        <w:br/>
        <w:t>sentido, las pruebas producidas permiten deducir que las leyes  de  Suriname</w:t>
        <w:br/>
        <w:t>sobre esa  materia  no  tienen  eficacia  respecto  de  aquella  tribu;  sus</w:t>
        <w:br/>
        <w:t>integrantes las desconocen y se rigen por sus propias reglas  y  el  Estado,</w:t>
        <w:br/>
        <w:t>por su parte, no mantiene  la  estructura  necesaria  para  el  registro  de</w:t>
        <w:br/>
        <w:t>matrimonios, nacimientos y  defunciones,  requisito  indispensable  para  la</w:t>
        <w:br/>
        <w:t>aplicación de la ley surinamesa.  Además,  los  conflictos  que  ocurren  en</w:t>
        <w:br/>
        <w:t>estas materias no son sometidos por  los  saramacas  a  los  tribunales  del</w:t>
        <w:br/>
        <w:t>Estado y la intervención de éstos en las materias mencionadas,  respecto  de</w:t>
        <w:br/>
        <w:t>los saramacas, es prácticamente inexistente.  Cabe señalar  también  que  en</w:t>
        <w:br/>
        <w:t>este proceso Suriname reconoció la existencia de un derecho  consuetudinario</w:t>
        <w:br/>
        <w:t>saramaca.</w:t>
        <w:br/>
        <w:br/>
        <w:t>La única prueba que aparece en  sentido  contrario  es  la  declaración  del</w:t>
        <w:br/>
        <w:t>señor Ramón de Freitas, pero la Corte se ha formado un concepto del  testigo</w:t>
        <w:br/>
        <w:t>a través de la forma cómo declaró, de la actitud asumida en la  audiencia  y</w:t>
        <w:br/>
        <w:t>de  la  personalidad  demostrada  en  ella,  que  la  lleva  a  desechar  su</w:t>
        <w:br/>
        <w:t>testimonio.</w:t>
        <w:br/>
        <w:br/>
        <w:t>59.   La Comisión ha ofrecido  diversas  pruebas  acerca  de  la  estructura</w:t>
        <w:br/>
        <w:t>social de los saramacas según la cual esta tribu presenta una  configuración</w:t>
        <w:br/>
        <w:t>familiar fuertemente matriarcal(*), con casos frecuentes de  poligamia.   El</w:t>
        <w:br/>
        <w:t>principal conjunto de parientes  sería  el  “bêè”,  formado  por  todas  las</w:t>
        <w:br/>
        <w:t>personas que  descienden  de  una  misma  mujer.   Este  grupo  asumiría  la</w:t>
        <w:br/>
        <w:t>responsabilidad por los actos de cualesquiera de sus miembros y, en  teoría,</w:t>
        <w:br/>
        <w:t>cada uno de éstos  sería  responsable  ante  el  grupo  en  conjunto.   Esto</w:t>
        <w:br/>
        <w:t>significaría que la indemnización que deba pagarse a una persona, se  da  al</w:t>
        <w:br/>
        <w:t>“bêè” y su representante la distribuye entre sus miembros.</w:t>
        <w:br/>
        <w:br/>
        <w:t>60.   La  Comisión  solicita  también  una  indemnización  a  favor  de  los</w:t>
        <w:br/>
        <w:t>afectados y su  distribución  entre  ellos.  Si  se  examina   su   escrito,</w:t>
        <w:br/>
        <w:t>puede   advertirse   que   la  determinación  de  los  beneficiarios  de  la</w:t>
        <w:br/>
        <w:t>indemnización no ha sido hecha según la costumbre  saramaca,  al  menos  tal</w:t>
        <w:br/>
        <w:t>como la Comisión la ha expuesto ante la Corte.  No es posible precisar  cuál</w:t>
        <w:br/>
        <w:t>es la norma jurídica aplicada por la Comisión en  esta  materia.   Parecería</w:t>
        <w:br/>
        <w:t>que simplemente se ha guiado por un criterio pragmático.</w:t>
        <w:br/>
        <w:br/>
        <w:t>De  la  misma  manera,  al  tratar  del  monto  de  la  indemnización  y  su</w:t>
        <w:br/>
        <w:t>distribución, el escrito de la  Comisión  indica  que  ha  recurrido  a  “un</w:t>
        <w:br/>
        <w:t>sistema de equilibrio” que incluye los factores siguientes:  la edad  de  la</w:t>
        <w:br/>
        <w:t>víctima, sus ingresos reales y potenciales, el número de sus dependientes  y</w:t>
        <w:br/>
        <w:t>las costumbres y solicitudes de los bushnegroes.</w:t>
        <w:br/>
        <w:br/>
        <w:t>61.   El convenio Nº 169 de la O.I.T. sobre pueblos indígenas y tribales  en</w:t>
        <w:br/>
        <w:t>países independientes (1989) no ha  sido  aprobado  por  Suriname  y  en  el</w:t>
        <w:br/>
        <w:t>derecho de gentes no existe ninguna norma  convencional  ni  consuetudinaria</w:t>
        <w:br/>
        <w:t>que determine quiénes son los sucesores de una persona.   Por  consiguiente,</w:t>
        <w:br/>
        <w:t>es preciso aplicar los principios generales  de  derecho  (art.  38.1.c  del</w:t>
        <w:br/>
        <w:t>Estatuto de la Corte Internacional de Justicia).</w:t>
        <w:br/>
        <w:br/>
        <w:t>62.   Es una regla  común  en  la  mayoría  de  las  legislaciones  que  los</w:t>
        <w:br/>
        <w:t>sucesores de una persona son sus hijos.  Se acepta también generalmente  que</w:t>
        <w:br/>
        <w:t>el cónyuge participa de  los  bienes  adquiridos  durante  el  matrimonio  y</w:t>
        <w:br/>
        <w:t>algunas legislaciones le otorgan además un derecho sucesorio junto  con  los</w:t>
        <w:br/>
        <w:t>hijos.  Si no existen hijos ni cónyuge, el derecho  privado  común  reconoce</w:t>
        <w:br/>
        <w:t>como herederos a los ascendientes.  Estas reglas generalmente  admitidas  en</w:t>
        <w:br/>
        <w:t>el concierto de las naciones deben ser aplicadas, a criterio  de  la  Corte,</w:t>
        <w:br/>
        <w:t>en el presente litigio a fin de determinar los sucesores de las víctimas  en</w:t>
        <w:br/>
        <w:t>lo relativo a la indemnización.</w:t>
        <w:br/>
        <w:br/>
        <w:t>Estos principios generales de derecho se refieren  a  “hijos”,  “cónyuge”  y</w:t>
        <w:br/>
        <w:t>“ascendientes”.  Estos términos deben ser  interpretados  según  el  derecho</w:t>
        <w:br/>
        <w:t>local.  Este, como ya se ha indicado (supra, párr. 58),  no  es  el  derecho</w:t>
        <w:br/>
        <w:t>surinamés porque no es eficaz en la región en cuanto a derecho  de  familia.</w:t>
        <w:br/>
        <w:t>Corresponde pues tener en cuenta la costumbre saramaca.  Esta será  aplicada</w:t>
        <w:br/>
        <w:t>para interpretar aquellos términos en la medida en que no  sea  contraria  a</w:t>
        <w:br/>
        <w:t>la Convención Americana.  Así, al referirse a los “ascendientes”,  la  Corte</w:t>
        <w:br/>
        <w:t>no hará ninguna distinción de sexos, aún cuando  ello  sea  contrario  a  la</w:t>
        <w:br/>
        <w:t>costumbre saramaca.</w:t>
        <w:br/>
        <w:br/>
        <w:t>63.   La identificación de los hijos de las víctimas,  de  sus  cónyuges  y,</w:t>
        <w:br/>
        <w:t>eventualmente, de sus ascendientes ha ofrecido graves dificultades  en  este</w:t>
        <w:br/>
        <w:t>caso.  Se trata de miembros de una  tribu  que  vive  en  la  selva,  en  el</w:t>
        <w:br/>
        <w:t>interior de  Suriname  y  se  expresa  sólo  en  su  lenguaje  nativo.   Los</w:t>
        <w:br/>
        <w:t>matrimonios y los nacimientos no han sido registrados  en  muchos  casos  y,</w:t>
        <w:br/>
        <w:t>cuando así ha ocurrido, no se han incluido datos suficientes para  acreditar</w:t>
        <w:br/>
        <w:t>enteramente la filiación de las personas.  La cuestión de la  identificación</w:t>
        <w:br/>
        <w:t>se torna aún más  difícil  en  una  comunidad  en  la  que  se  practica  la</w:t>
        <w:br/>
        <w:t>poligamia.</w:t>
        <w:br/>
        <w:br/>
        <w:t>64.   Suriname ha efectuado en sus  observaciones  una  crítica  general  al</w:t>
        <w:br/>
        <w:t>escrito de la Comisión acerca  de  las  pruebas  aportadas  por  ella.   Así</w:t>
        <w:br/>
        <w:t>afirma “que requerimos conocer, basados en datos  racionales  y  ciertamente</w:t>
        <w:br/>
        <w:t>comprobables, detalles específicos  de  todas  las  víctimas,  respecto  del</w:t>
        <w:br/>
        <w:t>elenco familiar que quedó desprotegido [. . .]”.</w:t>
        <w:br/>
        <w:br/>
        <w:t>Es cierto que la identidad  de  las  personas  debe  probarse,  en  general,</w:t>
        <w:br/>
        <w:t>mediante la documentación correspondiente.  Pero  la  situación  en  que  se</w:t>
        <w:br/>
        <w:t>encuentran los saramacas se debe en gran medida a que el Estado no  mantiene</w:t>
        <w:br/>
        <w:t>en la región los registros civiles en número suficiente y por ello no  puede</w:t>
        <w:br/>
        <w:t>otorgar la documentación a todos  los  habitantes  con  base  en  los  datos</w:t>
        <w:br/>
        <w:t>obrantes en ellos.  Suriname no puede  exigir  entonces  que  se  pruebe  la</w:t>
        <w:br/>
        <w:t>filiación  y  la  identidad  de  las  personas  mediante  elementos  que  no</w:t>
        <w:br/>
        <w:t>suministra a todos sus  habitantes  en  aquella  región.   Por  otra  parte,</w:t>
        <w:br/>
        <w:t>Suriname no ha ofrecido en este litigio suplir su inacción  aportando  otras</w:t>
        <w:br/>
        <w:t>pruebas sobre la identidad y la filiación de las víctimas y sus sucesores.</w:t>
        <w:br/>
        <w:br/>
        <w:t>A fin de precisar los datos relativos a los sucesores, la Corte  solicitó  a</w:t>
        <w:br/>
        <w:t>la Comisión datos complementarios acerca de ellos.  La Corte estima que  las</w:t>
        <w:br/>
        <w:t>pruebas producidas, teniendo en cuenta  las  circunstancias  del  caso,  son</w:t>
        <w:br/>
        <w:t>verosímiles y pueden ser admitidas.</w:t>
        <w:br/>
        <w:br/>
        <w:t>65.    En  los  datos  de  la  Comisión  aparecen,  sin   embargo,   algunas</w:t>
        <w:br/>
        <w:t>diferencias en los nombres de las víctimas con los  que  fueron  mencionados</w:t>
        <w:br/>
        <w:t>en la denuncia (ver supra, párr. 4).  Así,  Deede-Manoe  Aloeboetoe  aparece</w:t>
        <w:br/>
        <w:t>en la denuncia como Dedemanu Aloeboetoe, lo cual se explica porque en  ambos</w:t>
        <w:br/>
        <w:t>casos la pronunciación es igual.  El nombre de Bernard Tiopo  figura  en  la</w:t>
        <w:br/>
        <w:t>denuncia como Beri Tiopo, que era uno de sus sobrenombres o  apodos  ya  que</w:t>
        <w:br/>
        <w:t>era conocido como Beri o Finsié.  Ha habido también una confusión en  cuanto</w:t>
        <w:br/>
        <w:t>al nombre de Indie Hendrik Banai,  que  apareció  primeramente  como  Martín</w:t>
        <w:br/>
        <w:t>Indisie Banai, pero su identificación no ha ofrecido reparos.   Respecto  de</w:t>
        <w:br/>
        <w:t>la víctima que figuraba en la denuncia como John  Amoida,  se  trata  de  un</w:t>
        <w:br/>
        <w:t>hijo de Pagai  Amoida  llamado  Asipee  Adame.   Su  identificación  tampoco</w:t>
        <w:br/>
        <w:t>ofreció reparos.</w:t>
        <w:br/>
        <w:br/>
        <w:t>66.   De conformidad con lo expuesto anteriormente ha sido posible  elaborar</w:t>
        <w:br/>
        <w:t>una lista de los sucesores de las víctimas.  Dicha lista hace  referencia  a</w:t>
        <w:br/>
        <w:t>la situación existente en el  momento  del  asesinato.   Por  lo  tanto,  se</w:t>
        <w:br/>
        <w:t>incluye en ella a personas que fallecieron posteriormente  y  se  excluye  a</w:t>
        <w:br/>
        <w:t>aquellas esposas que en aquel momento estaban divorciadas de las víctimas.</w:t>
        <w:br/>
        <w:br/>
        <w:t>Daison Aloeboetoe</w:t>
        <w:br/>
        <w:br/>
        <w:t>sus esposas:     sus hijos:</w:t>
        <w:br/>
        <w:br/>
        <w:t>Wenke Asodanoe         Podini Asodanoe</w:t>
        <w:br/>
        <w:t xml:space="preserve">            Maradona Asodanoe</w:t>
        <w:br/>
        <w:br/>
        <w:t>Aingifesie Aloeboetoe       Leona Aloeboetoe</w:t>
        <w:br/>
        <w:br/>
        <w:br/>
        <w:t>Deede-Manoe Aloeboetoe</w:t>
        <w:br/>
        <w:br/>
        <w:t>sus esposas:     sus hijos:</w:t>
        <w:br/>
        <w:br/>
        <w:t>Asoidamoeje Tiopo           Klucion Tiopo</w:t>
        <w:br/>
        <w:br/>
        <w:t>Norma Aloeboetoe</w:t>
        <w:br/>
        <w:br/>
        <w:t xml:space="preserve">            Moitia Foto</w:t>
        <w:br/>
        <w:br/>
        <w:t>Mikuwendje Aloeboetoe</w:t>
        <w:br/>
        <w:br/>
        <w:t>su madre:        Andeja Aloeboetoe</w:t>
        <w:br/>
        <w:t>su padre:        Masatin Koedemoesoe</w:t>
        <w:br/>
        <w:br/>
        <w:br/>
        <w:t>Richenel Voola</w:t>
        <w:br/>
        <w:br/>
        <w:t>sus esposas:     sus hijos:</w:t>
        <w:br/>
        <w:br/>
        <w:t>Mangoemaw Adjako (fallecida)           Stefan Adjako</w:t>
        <w:br/>
        <w:t xml:space="preserve">            Bertholina Adjako</w:t>
        <w:br/>
        <w:t xml:space="preserve">            John Adjako</w:t>
        <w:br/>
        <w:t xml:space="preserve">            Godfried  Franklin Adjako</w:t>
        <w:br/>
        <w:t xml:space="preserve">            Pamela Jaja Adjako</w:t>
        <w:br/>
        <w:br/>
        <w:t>Senda Palestina Esje Lugard</w:t>
        <w:br/>
        <w:br/>
        <w:t xml:space="preserve">            Baba Tiopo</w:t>
        <w:br/>
        <w:br/>
        <w:br/>
        <w:t>Indie Hendrik Banai</w:t>
        <w:br/>
        <w:br/>
        <w:t>su esposa:  sus hijos:</w:t>
        <w:br/>
        <w:br/>
        <w:t>Adelia Koedemoesoe          Elbes Koedemoesoe</w:t>
        <w:br/>
        <w:t xml:space="preserve">            Chris Enoi Vorswijk</w:t>
        <w:br/>
        <w:t xml:space="preserve">            Aike Karo Vorswijk</w:t>
        <w:br/>
        <w:t xml:space="preserve">            Robert Vorswijk</w:t>
        <w:br/>
        <w:t xml:space="preserve">            Etty Vorswijk</w:t>
        <w:br/>
        <w:t xml:space="preserve">            Etmelia Adipi</w:t>
        <w:br/>
        <w:t xml:space="preserve">            Jenny Alfonsoewa</w:t>
        <w:br/>
        <w:br/>
        <w:br/>
        <w:t>Bernard Tiopo</w:t>
        <w:br/>
        <w:br/>
        <w:t>sus esposas:     sus hijos:</w:t>
        <w:br/>
        <w:br/>
        <w:t>Dina Abauna      Bakapina Abauna</w:t>
        <w:br/>
        <w:br/>
        <w:t>Ajemoe Sampi           Seneja Sampi</w:t>
        <w:br/>
        <w:t xml:space="preserve">            Arisin Sampi</w:t>
        <w:br/>
        <w:t xml:space="preserve">            Maritia Vivian Sampi</w:t>
        <w:br/>
        <w:br/>
        <w:t xml:space="preserve">            Anthea Vorswijk</w:t>
        <w:br/>
        <w:t xml:space="preserve">            Apintimonie Vorswijk</w:t>
        <w:br/>
        <w:br/>
        <w:t>Glenda Lita Toy</w:t>
        <w:br/>
        <w:br/>
        <w:br/>
        <w:t>Asipee Adame</w:t>
        <w:br/>
        <w:br/>
        <w:t>su padre:   Pagai Amoida</w:t>
        <w:br/>
        <w:t>su madre:   Aoedoe Adame (fallecida el 29.V.1989).</w:t>
        <w:br/>
        <w:br/>
        <w:br/>
        <w:t xml:space="preserve">                                      X</w:t>
        <w:br/>
        <w:br/>
        <w:t>67.   La obligación de reparar el daño causado  se  extiende  en  ocasiones,</w:t>
        <w:br/>
        <w:t>dentro de los límites impuestos por el orden jurídico, a personas  que,  sin</w:t>
        <w:br/>
        <w:t>ser sucesores de la  víctima,  han  sufrido  alguna  consecuencia  del  acto</w:t>
        <w:br/>
        <w:t>ilícito, cuestión que ha sido  objeto  de  numerosas  decisiones  por  parte</w:t>
        <w:br/>
        <w:t>de  los  tribunales  internos.  La  jurisprudencia  establece  sin  embargo,</w:t>
        <w:br/>
        <w:t>ciertas  condiciones  para  admitir  la  demanda  de  reparación  de   daños</w:t>
        <w:br/>
        <w:t>planteada por un tercero.</w:t>
        <w:br/>
        <w:br/>
        <w:t>68.   En primer lugar, el pago reclamado debe estar fundado en  prestaciones</w:t>
        <w:br/>
        <w:t>efectuadas realmente por la víctima al reclamante con  independencia  de  si</w:t>
        <w:br/>
        <w:t>se trata de una obligación legal de alimentos.  No puede  tratarse  sólo  de</w:t>
        <w:br/>
        <w:t>aportes esporádicos, sino de pagos hechos regular y efectivamente en  dinero</w:t>
        <w:br/>
        <w:t>o en especie  o  en  servicios.   Lo  importante  es  la  efectividad  y  la</w:t>
        <w:br/>
        <w:t>regularidad de la misma.</w:t>
        <w:br/>
        <w:br/>
        <w:t>En segundo lugar, la relación entre la víctima y el reclamante debió ser  de</w:t>
        <w:br/>
        <w:t>naturaleza tal que permita suponer con cierto fundamento que  la  prestación</w:t>
        <w:br/>
        <w:t>habría continuado si no hubiera ocurrido el homicidio de aquella.</w:t>
        <w:br/>
        <w:br/>
        <w:t>Por último, el reclamante debe haber  tenido  una  necesidad  económica  que</w:t>
        <w:br/>
        <w:t>regularmente era satisfecha con la prestación efectuada por la víctima.   En</w:t>
        <w:br/>
        <w:t>este orden de cosas, no se  trata  necesariamente  de  una  persona  que  se</w:t>
        <w:br/>
        <w:t>encuentre en la indigencia,  sino  de  alguien  que  con  la  prestación  se</w:t>
        <w:br/>
        <w:t>beneficiaba de algo que, si no fuera  por  la  actitud  de  la  víctima,  no</w:t>
        <w:br/>
        <w:t>habría podido obtener por sí sola.</w:t>
        <w:br/>
        <w:br/>
        <w:t>69.   La Comisión ha presentado una  lista  de  25  personas  que,  sin  ser</w:t>
        <w:br/>
        <w:t>sucesores de las víctimas, reclaman una  indemnización como dependientes  de</w:t>
        <w:br/>
        <w:t>ellas.  Según la  Comisión,  se  trata  de  personas  que  recibían  de  las</w:t>
        <w:br/>
        <w:t>víctimas ayuda económica  en  dinero,  en  especie  o  mediante  aportes  de</w:t>
        <w:br/>
        <w:t>trabajo personal.</w:t>
        <w:br/>
        <w:br/>
        <w:t>Estos dependientes, según el  escrito  de  la  Comisión,  son  parientes  de</w:t>
        <w:br/>
        <w:t>alguna de las víctimas, salvo el caso de  un  antiguo  educador  de  una  de</w:t>
        <w:br/>
        <w:t>ellas.</w:t>
        <w:br/>
        <w:br/>
        <w:t>La Comisión presenta estos hechos en su escrito sobre reparaciones y  agrega</w:t>
        <w:br/>
        <w:t>una ficha correspondiente a cada una de las víctimas.   Además,  incluye  la</w:t>
        <w:br/>
        <w:t>declaración jurada del padre o la madre de  cada  víctima.   No  existen  en</w:t>
        <w:br/>
        <w:t>estas actuaciones otras  pruebas  relativas  a  la  dependencia  de  las  25</w:t>
        <w:br/>
        <w:t>personas  respecto  de  las  víctimas,  ni  en  cuanto  a  los  montos,   la</w:t>
        <w:br/>
        <w:t>regularidad, la efectividad u otras características de las prestaciones  que</w:t>
        <w:br/>
        <w:t>las víctimas habrían efectuado a dichas personas.</w:t>
        <w:br/>
        <w:br/>
        <w:t>70.   La Comisión ha invocado  en  reiterados  pasajes  de  su  escrito  los</w:t>
        <w:br/>
        <w:t>precedentes del “Lusitania”, caso que fue resuelto por  una  Comisión  mixta</w:t>
        <w:br/>
        <w:t>constituida por los Estados Unidos  y  Alemania.   Pero,  en  cuanto  a  las</w:t>
        <w:br/>
        <w:t>reclamaciones  de  los  dependientes,  aquella  Comisión  decidió   que   la</w:t>
        <w:br/>
        <w:t>indemnización sólo era procedente si se habían probado la efectividad  y  la</w:t>
        <w:br/>
        <w:t>regularidad  de las prestaciones hechas  por  la  víctima  (cfr.  los  casos</w:t>
        <w:br/>
        <w:t>Henry W. Williamson and others y Ellen Williamson Hodges,  administratix  of</w:t>
        <w:br/>
        <w:t>the estate of Charles Francis Williamson, February  21,  1924,  Reports   of</w:t>
        <w:br/>
        <w:t>International Arbitral Awards, vol. VII,  pp. 256 y 257 y Henry  Groves  and</w:t>
        <w:br/>
        <w:t>Joseph Groves, February 21, 1924, Reports of International Arbitral  Awards,</w:t>
        <w:br/>
        <w:t>vol. VII, pp. 257-259).</w:t>
        <w:br/>
        <w:br/>
        <w:t>71.    La  Corte  ha  efectuado  anteriormente  una  distinción   entre   la</w:t>
        <w:br/>
        <w:t>reparación correspondiente a los sucesores y la debida a los  reclamantes  o</w:t>
        <w:br/>
        <w:t>dependientes.  A los primeros, la Corte otorgará  la  reparación  solicitada</w:t>
        <w:br/>
        <w:t>porque existe una presunción de  que  la  muerte  de  las  víctimas  les  ha</w:t>
        <w:br/>
        <w:t>causado  perjuicio,  quedando  a  cargo  de  la  contraparte  la  prueba  en</w:t>
        <w:br/>
        <w:t>contrario (cfr. supra, párr. 54).  Pero, respecto de los  otros  reclamantes</w:t>
        <w:br/>
        <w:t>o dependientes, el onus probandi corresponde  a  la  Comisión.   Y  ésta,  a</w:t>
        <w:br/>
        <w:t>criterio de la Corte, no ha aportado las  pruebas  necesarias  que  permitan</w:t>
        <w:br/>
        <w:t>demostrar el cumplimiento de las condiciones indicadas.</w:t>
        <w:br/>
        <w:br/>
        <w:t>72.   La Corte es consciente de las dificultades  que  este  caso  presenta:</w:t>
        <w:br/>
        <w:t>se trata de hechos relativos a una comunidad que habita en la  selva,  cuyos</w:t>
        <w:br/>
        <w:t>integrantes son prácticamente analfabetos y no usan  documentación  escrita.</w:t>
        <w:br/>
        <w:t>No obstante se podrían haber utilizado otros medios de prueba.</w:t>
        <w:br/>
        <w:br/>
        <w:t>73.   En  virtud  de  lo  expuesto,  la  Corte  rechaza  la  reclamación  de</w:t>
        <w:br/>
        <w:t>indemnización por daño material para los dependientes.</w:t>
        <w:br/>
        <w:br/>
        <w:br/>
        <w:t xml:space="preserve">                                     XI</w:t>
        <w:br/>
        <w:br/>
        <w:t>74.   La Comisión reclama  también  una  indemnización  por  el  daño  moral</w:t>
        <w:br/>
        <w:t>sufrido  por  personas  que,  sin  ser  sucesores  de  las  víctimas,   eran</w:t>
        <w:br/>
        <w:t>dependientes de ellas.</w:t>
        <w:br/>
        <w:br/>
        <w:t>75.   La Corte estima que, al igual que en el  caso  de  la  reparación  por</w:t>
        <w:br/>
        <w:t>perjuicios materiales alegados por  los  dependientes,  el  daño  moral,  en</w:t>
        <w:br/>
        <w:t>general, debe ser probado.  En el presente litigio, a criterio de la  Corte,</w:t>
        <w:br/>
        <w:t>no existen pruebas suficientes para demostrar el daño en los dependientes.</w:t>
        <w:br/>
        <w:br/>
        <w:t>76.   Entre los llamados dependientes de las víctimas figuran los padres  de</w:t>
        <w:br/>
        <w:t>éstas.  Los padres de Mikuwendje Aloeboetoe y de Asipee Adame  ya  han  sido</w:t>
        <w:br/>
        <w:t>declarados sucesores (supra, párr. 66) y  obtendrán  una  indemnización  por</w:t>
        <w:br/>
        <w:t>daño moral.  Pero esa no es la situación de los padres de  las  otras  cinco</w:t>
        <w:br/>
        <w:t>víctimas.  No obstante,  en  este  caso  particular,  se  puede  admitir  la</w:t>
        <w:br/>
        <w:t>presunción de que los padres han sufrido moralmente por la muerte  cruel  de</w:t>
        <w:br/>
        <w:t>sus hijos,  pues  es  propio  de  la  naturaleza  humana  que  toda  persona</w:t>
        <w:br/>
        <w:t>experimente dolor ante el suplicio de su hijo.</w:t>
        <w:br/>
        <w:br/>
        <w:t>77.   Por estas razones, la Corte considera procedente  que  los  padres  de</w:t>
        <w:br/>
        <w:t>las víctimas  que  no  han  sido  declarados  sucesores,  participen  en  la</w:t>
        <w:br/>
        <w:t>distribución por daño moral.</w:t>
        <w:br/>
        <w:br/>
        <w:t>78.   Las personas beneficiarias de la indemnización por daño moral son  las</w:t>
        <w:br/>
        <w:t>siguientes:</w:t>
        <w:br/>
        <w:br/>
        <w:br/>
        <w:t xml:space="preserve">      Daison Aloeboetoe</w:t>
        <w:br/>
        <w:t xml:space="preserve">      su padre:  Abinotoe Banai (fallecido)</w:t>
        <w:br/>
        <w:t xml:space="preserve">      su madre:  Ajong Aloeboetoe</w:t>
        <w:br/>
        <w:br/>
        <w:br/>
        <w:t xml:space="preserve">      Deede-Manoe Aloeboetoe</w:t>
        <w:br/>
        <w:t xml:space="preserve">      su padre:  Abinotoe Banai (fallecido)</w:t>
        <w:br/>
        <w:t xml:space="preserve">      su madre:  Ajong Aloeboetoe</w:t>
        <w:br/>
        <w:br/>
        <w:br/>
        <w:t xml:space="preserve">      Richenel Voola</w:t>
        <w:br/>
        <w:t xml:space="preserve">      su madre:  Dadda Aside</w:t>
        <w:br/>
        <w:br/>
        <w:br/>
        <w:t xml:space="preserve">      Indie Hendrik Banai</w:t>
        <w:br/>
        <w:t xml:space="preserve">      su padre:  Eketo Tiopo</w:t>
        <w:br/>
        <w:t xml:space="preserve">      su madre:  Goensikonde Banai</w:t>
        <w:br/>
        <w:br/>
        <w:br/>
        <w:t xml:space="preserve">      Bernard Tiopo</w:t>
        <w:br/>
        <w:t xml:space="preserve">      su madre:  Angaloemoeje Tiopo.</w:t>
        <w:br/>
        <w:br/>
        <w:br/>
        <w:t xml:space="preserve">                                     XII</w:t>
        <w:br/>
        <w:br/>
        <w:t>79.   La Corte estima adecuado que se reintegren a  los  familiares  de  las</w:t>
        <w:br/>
        <w:t>víctimas los gastos efectuados para obtener informaciones  acerca  de  ellas</w:t>
        <w:br/>
        <w:t>después de su asesinato  y  los  realizados  para  buscar  sus  cadáveres  y</w:t>
        <w:br/>
        <w:t>efectuar gestiones ante las autoridades surinamesas.  En el caso  particular</w:t>
        <w:br/>
        <w:t>de las víctimas Daison y Deede-Manoe Aloeboetoe, la Comisión  reclama  sumas</w:t>
        <w:br/>
        <w:t>iguales con motivo de los gastos efectuados por cada  uno.   Se  trataba  de</w:t>
        <w:br/>
        <w:t>dos hermanos.  Parece, pues, razonable pensar que  los  familiares  hicieron</w:t>
        <w:br/>
        <w:t>la misma gestión para ambos e incurrieron en una  sola  erogación.   Por  lo</w:t>
        <w:br/>
        <w:t>tanto, la Corte considera apropiado reconocer un sólo  reembolso  en  nombre</w:t>
        <w:br/>
        <w:t>de las dos víctimas.</w:t>
        <w:br/>
        <w:br/>
        <w:t>La Comisión señala en su escrito  que  estos  gastos  fueron  realizados  en</w:t>
        <w:br/>
        <w:t>todos los casos por la madre de cada víctima y, a falta de otra  prueba,  el</w:t>
        <w:br/>
        <w:t>reintegro será hecho a esas personas.</w:t>
        <w:br/>
        <w:br/>
        <w:t>80.   En el escrito de  la  Comisión  se  indica  que  las  víctimas  fueron</w:t>
        <w:br/>
        <w:t>despojadas de algunos de sus bienes y  pertenencias  en  el  momento  de  su</w:t>
        <w:br/>
        <w:t>captura.  Sin embargo, la Comisión no  efectúa  ningún  reclamo  sobre  esta</w:t>
        <w:br/>
        <w:t>materia, razón por la cual la Corte se abstiene de analizar la cuestión.</w:t>
        <w:br/>
        <w:br/>
        <w:br/>
        <w:t xml:space="preserve">                                    XIII</w:t>
        <w:br/>
        <w:br/>
        <w:t>81.   La Comisión solicita que la Corte condene a  Suriname  a  pagar  a  la</w:t>
        <w:br/>
        <w:t>tribu Saramaca una indemnización por  daño  moral  y  a  efectuarle  ciertas</w:t>
        <w:br/>
        <w:t>reparaciones no pecuniarias.</w:t>
        <w:br/>
        <w:br/>
        <w:t>Suriname opone a esta reclamación una razón de procedimiento y sostiene  que</w:t>
        <w:br/>
        <w:t>la Comisión efectuó esta demanda en la  etapa  de  la  determinación  de  la</w:t>
        <w:br/>
        <w:t>indemnización y que nada expresó sobre este tema en  su  memoria  del  1  de</w:t>
        <w:br/>
        <w:t>abril de 1991.</w:t>
        <w:br/>
        <w:br/>
        <w:t>La Corte no  estima  fundada  la  argumentación  del  Gobierno  pues  en  el</w:t>
        <w:br/>
        <w:t>procedimiento ante un tribunal internacional una parte  puede  modificar  su</w:t>
        <w:br/>
        <w:t>petición siempre que la contraparte tenga la oportunidad procesal de  emitir</w:t>
        <w:br/>
        <w:t>su opinión al respecto (cfr.  Usine  de  Chorzów,  fond,  supra  43,  p.  7;</w:t>
        <w:br/>
        <w:t>Neuvième rapport annuel de la Cour  permanente  de  Justice  internationale,</w:t>
        <w:br/>
        <w:t>C.P.J.I., Série E, No. 9, p. 163).</w:t>
        <w:br/>
        <w:br/>
        <w:t>82.   En el escrito y en algunos elementos  de  prueba  presentados  por  la</w:t>
        <w:br/>
        <w:t>Comisión se insinúa la idea de  que  los  asesinatos  fueron  cometidos  por</w:t>
        <w:br/>
        <w:t>razones raciales y se los interpreta dentro de una relación conflictiva  que</w:t>
        <w:br/>
        <w:t>habría existido entre el Gobierno y la tribu Saramaca.</w:t>
        <w:br/>
        <w:br/>
        <w:t>En la denuncia de 15 de enero  de  1988,  efectuada  ante  la  Comisión,  se</w:t>
        <w:br/>
        <w:t>afirma: “Más de 20 cimarrones (bushnegroes) fueron golpeados  severamente  y</w:t>
        <w:br/>
        <w:t>torturados en Atjoni.  Todos  eran  varones  e  iban  desarmados,  pero  los</w:t>
        <w:br/>
        <w:t>militares sospechaban que eran miembros del Comando de la Selva”.</w:t>
        <w:br/>
        <w:br/>
        <w:t>La memoria de la Comisión del 1 de abril de 1991 hizo suya esta  denuncia  y</w:t>
        <w:br/>
        <w:t>la  incluyó  como  parte  integrante  de  ella.   En  todo  el   curso   del</w:t>
        <w:br/>
        <w:t>procedimiento, la afirmación de que los militares actuaron  sospechando  que</w:t>
        <w:br/>
        <w:t>los saramacas eran miembros del Comando de la Selva  no  fue  modificada  ni</w:t>
        <w:br/>
        <w:t>desvirtuada.  Por lo tanto, el origen de los hechos, tal como aparece en  la</w:t>
        <w:br/>
        <w:t>memoria del 1 de abril de 1991, no  se  halla  vinculado  con  una  cuestión</w:t>
        <w:br/>
        <w:t>racial, sino con una situación de subversión entonces  imperante.   Si  bien</w:t>
        <w:br/>
        <w:t>se hace referencia en algún pasaje del escrito de 31 de marzo de 1992  y  en</w:t>
        <w:br/>
        <w:t>la declaración de un experto  a  la  relación conflictiva que  habría  entre</w:t>
        <w:br/>
        <w:t>el Gobierno y los saramacas, no se ha probado en estas  actuaciones  que  en</w:t>
        <w:br/>
        <w:t>el asesinato del 31 de diciembre de 1987  el  factor  racial  haya  sido  un</w:t>
        <w:br/>
        <w:t>móvil del crimen.  Es cierto que  las  víctimas  del  asesinato  pertenecían</w:t>
        <w:br/>
        <w:t>todas a la tribu Saramaca, pero esa circunstancia por  sí  sola  no  permite</w:t>
        <w:br/>
        <w:t>llegar a la conclusión de que hubo en el crimen un factor racial.</w:t>
        <w:br/>
        <w:br/>
        <w:t>83.    En  su  escrito  explica  la  Comisión  que  en  la  sociedad  maroon</w:t>
        <w:br/>
        <w:t>tradicional, una persona no sólo es  miembro  de  su  grupo  familiar  sino,</w:t>
        <w:br/>
        <w:t>también,  de  su  comunidad  aldeana  y  del  grupo  tribal.   Los  aldeanos</w:t>
        <w:br/>
        <w:t>constituyen, según ella, una familia en el  sentido  amplio,  razón  por  la</w:t>
        <w:br/>
        <w:t>cual el perjuicio causado a uno de  sus  miembros  constituiría  también  un</w:t>
        <w:br/>
        <w:t>daño a la comunidad, que tendría que ser indemnizado.</w:t>
        <w:br/>
        <w:br/>
        <w:t>La Corte considera, respecto del argumento que funda la reclamación  de  una</w:t>
        <w:br/>
        <w:t>indemnización por daño moral en  la  particular  estructura  social  de  los</w:t>
        <w:br/>
        <w:t>saramacas que se habrían perjudicado en  general  por  los  asesinatos,  que</w:t>
        <w:br/>
        <w:t>todo individuo, además de ser miembro  de  su  familia  y  ciudadano  de  un</w:t>
        <w:br/>
        <w:t>Estado, pertenece generalmente a comunidades intermedias.  En  la  práctica,</w:t>
        <w:br/>
        <w:t>la obligación de pagar una indemnización moral no se  extiende  a  favor  de</w:t>
        <w:br/>
        <w:t>ellas ni a favor del Estado  en  que  la  víctima  participaba,  los  cuales</w:t>
        <w:br/>
        <w:t>quedan satisfechos con la realización del orden jurídico.  Si en algún  caso</w:t>
        <w:br/>
        <w:t>excepcional se ha otorgado  una  indemnización  en  esta  hipótesis,  se  ha</w:t>
        <w:br/>
        <w:t>tratado de una comunidad que ha sufrido un daño directo.</w:t>
        <w:br/>
        <w:br/>
        <w:t>84.   Según la Comisión el tercer fundamento del pago  de  la  indemnización</w:t>
        <w:br/>
        <w:t>moral a favor de los saramacas concierne  a  los  derechos  que  esta  tribu</w:t>
        <w:br/>
        <w:t>tendría sobre el territorio que ocupa y la violación que habría cometido  el</w:t>
        <w:br/>
        <w:t>Ejército surinamés al haber ingresado en él.  La Comisión ha  expresado  que</w:t>
        <w:br/>
        <w:t>la autonomía adquirida por los saramacas, si bien tendría su  fundamento  en</w:t>
        <w:br/>
        <w:t>un tratado, se referiría actualmente sólo al derecho  público  interno  pues</w:t>
        <w:br/>
        <w:t>no se reclama para la tribu ningún tipo de personalidad internacional  (cfr.</w:t>
        <w:br/>
        <w:t>supra,  párr.  58).   La  Comisión,  pues,  funda  la  procedencia   de   la</w:t>
        <w:br/>
        <w:t>indemnización moral en  la  presunta  violación  de  una  norma  de  derecho</w:t>
        <w:br/>
        <w:t>interno relativa a autonomía territorial.</w:t>
        <w:br/>
        <w:br/>
        <w:t>En estas actuaciones, la Comisión ha presentado sólo  el  tratado  de  1762.</w:t>
        <w:br/>
        <w:t>La  Corte  ya  ha  expresado  su  opinión  sobre   este   presunto   tratado</w:t>
        <w:br/>
        <w:t>internacional  (cfr. supra, párr. 57).  Ninguna otra disposición de  derecho</w:t>
        <w:br/>
        <w:t>interno escrita o consuetudinaria  ha  sido  presentada  para  demostrar  la</w:t>
        <w:br/>
        <w:t>autonomía de los saramacas.</w:t>
        <w:br/>
        <w:br/>
        <w:t>La Corte ha considerado que el móvil racial propuesto por la Comisión no  ha</w:t>
        <w:br/>
        <w:t>sido debidamente probado y  ha  hallado  improcedente  el  argumento  de  la</w:t>
        <w:br/>
        <w:t>particular estructura social de la tribu Saramaca.  El supuesto de que  para</w:t>
        <w:br/>
        <w:t>la violación  del  derecho  a  la vida  se  haya  transgredido   una   norma</w:t>
        <w:br/>
        <w:t>interna  sobre jurisdicción territorial no  fundamentaría  por  sí  solo  la</w:t>
        <w:br/>
        <w:t>indemnización moral reclamada en favor de la tribu.  Los  saramacas  podrían</w:t>
        <w:br/>
        <w:t>plantear este presunto incumplimiento del derecho público  interno  ante  la</w:t>
        <w:br/>
        <w:t>jurisdicción competente, pero no pueden presentarlo  como  el  elemento  que</w:t>
        <w:br/>
        <w:t>justificaría el pago de una indemnización moral a toda la tribu.</w:t>
        <w:br/>
        <w:br/>
        <w:br/>
        <w:t xml:space="preserve">                                     XIV</w:t>
        <w:br/>
        <w:br/>
        <w:t>85.   En las sentencias de 21 de julio  de  1989,  en  los  casos  Velásquez</w:t>
        <w:br/>
        <w:t>Rodríguez y Godínez Cruz, la Corte expuso su  criterio  acerca  del  cálculo</w:t>
        <w:br/>
        <w:t>del  monto  de  las  indemnizaciones  que  deben  pagarse  (Caso   Velásquez</w:t>
        <w:br/>
        <w:t>Rodríguez, Indemnización Compensatoria, supra 28,  párr.  40  y  siguientes;</w:t>
        <w:br/>
        <w:t>Caso Godínez  Cruz,  Indemnización  Compensatoria,  supra  27,  párr.  38  y</w:t>
        <w:br/>
        <w:t>siguientes).</w:t>
        <w:br/>
        <w:br/>
        <w:t>En esas decisiones la Corte sostuvo que cuando la  víctima  ha  fallecido  y</w:t>
        <w:br/>
        <w:t>los beneficiarios de la indemnización  son  sus  herederos,  los  familiares</w:t>
        <w:br/>
        <w:t>tienen la posibilidad actual o futura de trabajar o de  tener  ingresos  por</w:t>
        <w:br/>
        <w:t>sí mismos.  Los  hijos,  a  quienes  debe  garantizarse  la  posibilidad  de</w:t>
        <w:br/>
        <w:t>estudiar hasta cierta edad, pueden luego trabajar.  A criterio de la  Corte,</w:t>
        <w:br/>
        <w:t>“[n]o es procedente, entonces, en estos casos atenerse a  criterios  rígidos</w:t>
        <w:br/>
        <w:t xml:space="preserve"> [. . .] sino hacer una  apreciación  prudente  de  los  daños,  vistas  las</w:t>
        <w:br/>
        <w:t>circunstancias de cada caso” (ibid. párr. 48; ibid. párr. 46).</w:t>
        <w:br/>
        <w:br/>
        <w:t>86.   En cuanto a la determinación del monto de la  indemnización  por  daño</w:t>
        <w:br/>
        <w:t>moral, la Corte expresó en sus sentencias de 21 de julio  de  1989  que  “su</w:t>
        <w:br/>
        <w:t>liquidación debe ajustarse a los principios de  equidad”  (ibid.  párr.  27;</w:t>
        <w:br/>
        <w:t>ibid. párr. 25).</w:t>
        <w:br/>
        <w:br/>
        <w:t>87.   En el presente caso, la Corte ha seguido los precedentes  mencionados.</w:t>
        <w:br/>
        <w:t xml:space="preserve"> Para la indemnización del  lucro  cesante  ha  efectuado  “una  apreciación</w:t>
        <w:br/>
        <w:t>prudente de los daños” y  para  la  del  daño  moral  ha  recurrido  a  “los</w:t>
        <w:br/>
        <w:t>principios de equidad”.</w:t>
        <w:br/>
        <w:br/>
        <w:t>Las expresiones  “apreciación  prudente  de  los  daños”  y  “principios  de</w:t>
        <w:br/>
        <w:t>equidad” no significan que la Corte puede actuar discrecionalmente al  fijar</w:t>
        <w:br/>
        <w:t>los montos indemnizatorios.  En este tema, la Corte se  ha  ajustado  en  la</w:t>
        <w:br/>
        <w:t>presente sentencia a métodos seguidos regularmente por la  jurisprudencia  y</w:t>
        <w:br/>
        <w:t>ha actuado con prudencia y razonabilidad al  haber  verificado  in  situ,  a</w:t>
        <w:br/>
        <w:t>través de su Secretaria adjunta, las cifras que  sirvieron  de  base  a  sus</w:t>
        <w:br/>
        <w:t>cálculos.</w:t>
        <w:br/>
        <w:br/>
        <w:t>88.   Para la determinación del monto de la reparación por daños  materiales</w:t>
        <w:br/>
        <w:t>que percibirán los sucesores de las  víctimas,  se  siguió  el  criterio  de</w:t>
        <w:br/>
        <w:t>relacionarlo con  los  ingresos  que  éstas habrían obtenido a lo  largo  de</w:t>
        <w:br/>
        <w:t>su  vida  laboral  si  no hubiera ocurrido su asesinato.   Con  ese  objeto,</w:t>
        <w:br/>
        <w:t>la Corte decidió efectuar  averiguaciones  para  estimar  los  ingresos  que</w:t>
        <w:br/>
        <w:t>habrían obtenido las víctimas en el mes de junio de  1993,  de  acuerdo  con</w:t>
        <w:br/>
        <w:t>las actividades económicas que cada una desarrollaba.  La elección  de  esta</w:t>
        <w:br/>
        <w:t>fecha obedeció al hecho de que coincidió con el establecimiento del  mercado</w:t>
        <w:br/>
        <w:t>libre  de  cambio  en  Suriname.   De  este  modo,  pudieron  salvarse   las</w:t>
        <w:br/>
        <w:t>distorsiones  que  producía,  en  la  determinación   del   monto   de   las</w:t>
        <w:br/>
        <w:t>reparaciones, el sistema de cambios fijos frente  al  proceso  inflacionario</w:t>
        <w:br/>
        <w:t>en que se desenvuelve la economía  del  país.   En  efecto,  esta  situación</w:t>
        <w:br/>
        <w:t>restaba confiabilidad a las proyecciones de largo plazo.   Por  otra  parte,</w:t>
        <w:br/>
        <w:t>los datos sobre los ingresos de las víctimas aportados por  la  Comisión  no</w:t>
        <w:br/>
        <w:t>contaban con suficiente respaldo documental como para adoptarlos  como  base</w:t>
        <w:br/>
        <w:t>del cálculo sin una verificación in situ.</w:t>
        <w:br/>
        <w:br/>
        <w:t>89.   La Corte calculó el monto anual de los ingresos  de  cada  víctima  en</w:t>
        <w:br/>
        <w:t>florines surinameses y luego los convirtió en  dólares  al  tipo  de  cambio</w:t>
        <w:br/>
        <w:t>vigente en el mercado libre.</w:t>
        <w:br/>
        <w:br/>
        <w:t>El haber anual se utilizó para determinar los ingresos caídos en el  período</w:t>
        <w:br/>
        <w:t>transcurrido entre los años  1988  y  1993,  ambos  incluidos.   A  la  suma</w:t>
        <w:br/>
        <w:t>obtenida para cada una de  las  víctimas  se  le  adicionó  un  interés  con</w:t>
        <w:br/>
        <w:t>carácter resarcitorio, que está en relación con las  tasas  vigentes  en  el</w:t>
        <w:br/>
        <w:t>mercado internacional.  A este monto se sumó el valor presente neto  de  los</w:t>
        <w:br/>
        <w:t>ingresos correspondientes al resto de la vida  laboral  de  cada  individuo.</w:t>
        <w:br/>
        <w:t>En el caso del adolescente Mikuwendje Aloeboetoe, se supuso  que  comenzaría</w:t>
        <w:br/>
        <w:t>a percibir ingresos a la edad  de  18  años  por  un  monto  similar  al  de</w:t>
        <w:br/>
        <w:t>aquellos que trabajaban como obreros de la construcción.</w:t>
        <w:br/>
        <w:br/>
        <w:t>90.   Los cálculos realizados de acuerdo con lo  indicado  en  los  párrafos</w:t>
        <w:br/>
        <w:t>anteriores arrojan las cifras siguientes:</w:t>
        <w:br/>
        <w:br/>
        <w:t>Daison Aloeboetoe      US$ 29.173.-</w:t>
        <w:br/>
        <w:t>Deede-Manoe Aloeboetoe         26.504.-</w:t>
        <w:br/>
        <w:t>Mikuwendje Aloeboetoe           35.988.-</w:t>
        <w:br/>
        <w:t>Richenel Voola            19.986.-</w:t>
        <w:br/>
        <w:t>Indie Hendrik Banai             55.991.-</w:t>
        <w:br/>
        <w:t>Bernard Tiopo             22.716.-</w:t>
        <w:br/>
        <w:t>Asipee Adame              42.060.-</w:t>
        <w:br/>
        <w:br/>
        <w:t>91.   En cuanto a la reparación por daño  moral,  la  Corte  considera  que,</w:t>
        <w:br/>
        <w:t>habida  consideración  de  la  situación   económica   y   social   de   los</w:t>
        <w:br/>
        <w:t>beneficiarios, debe otorgarse en una suma de dinero que debe ser igual  para</w:t>
        <w:br/>
        <w:t>todas las víctimas, con excepción de Richenel Voola, a quien  se  le  asignó</w:t>
        <w:br/>
        <w:t>una reparación que supera en un tercio a la de los otros.   Como  ya  se  ha</w:t>
        <w:br/>
        <w:t>señalado esta persona estuvo sometida a mayores padecimientos  derivados  de</w:t>
        <w:br/>
        <w:t>su  agonía.  No existen en cambio elementos para  suponer  que  haya  habido</w:t>
        <w:br/>
        <w:t>diferencias entre las injurias y malos  tratos  de  que  fueron  objeto  las</w:t>
        <w:br/>
        <w:t>demás víctimas.</w:t>
        <w:br/>
        <w:br/>
        <w:t>92.   A falta de otros elementos y por considerarlo equitativo la  Corte  ha</w:t>
        <w:br/>
        <w:t>tomado el monto total reclamado por la Comisión por daño moral.</w:t>
        <w:br/>
        <w:br/>
        <w:t>Los montos reclamados para cada  víctima  por  la  Comisión  en  Sf   fueron</w:t>
        <w:br/>
        <w:t>ajustados por un coeficiente representativo de la evolución de  los  precios</w:t>
        <w:br/>
        <w:t>internos en Suriname en el período.   El  monto  obtenido  en  florines  fue</w:t>
        <w:br/>
        <w:t>convertido a dólares al tipo de cambio del mercado libre e incrementado  con</w:t>
        <w:br/>
        <w:t>los intereses resarcitorios calculados a  la  tasa  vigente  en  el  mercado</w:t>
        <w:br/>
        <w:t>internacional.  Luego se procedió a distribuir el total entre  las  víctimas</w:t>
        <w:br/>
        <w:t>en la forma indicada en el párrafo anterior.</w:t>
        <w:br/>
        <w:br/>
        <w:t>93. Los cálculos realizados dan el resultado siguiente:</w:t>
        <w:br/>
        <w:br/>
        <w:t>Daison Aloeboetoe      US$ 29.070.-</w:t>
        <w:br/>
        <w:t>Deede-Manoe Aloeboetoe         29.070.-</w:t>
        <w:br/>
        <w:t>Mikuwendje Aloeboetoe          29.070.-</w:t>
        <w:br/>
        <w:t>Richenel Voola           38.755.-</w:t>
        <w:br/>
        <w:t>Indie Hendrik Banai            29.070.-</w:t>
        <w:br/>
        <w:t>Bernard Tiopo            29.070.-</w:t>
        <w:br/>
        <w:t>Asipee Adame             29.070.-</w:t>
        <w:br/>
        <w:br/>
        <w:t>94.   Los gastos incurridos por las familias en razón de la desaparición  de</w:t>
        <w:br/>
        <w:t>las víctimas fueron determinados a partir de los montos  reclamados  por  la</w:t>
        <w:br/>
        <w:t>Comisión,  excepto  en  el  caso  de  los  hermanos  Daison  y   Deede-Manoe</w:t>
        <w:br/>
        <w:t>Aloeboetoe según se  explicó  precedentemente.   Para  determinar  su  valor</w:t>
        <w:br/>
        <w:t>actualizado  se  aplicó  idéntico  procedimiento  al  ya  descrito  para  la</w:t>
        <w:br/>
        <w:t>reparación por daño moral.</w:t>
        <w:br/>
        <w:br/>
        <w:t>95. Los resultados de ese cálculo son los siguientes:</w:t>
        <w:br/>
        <w:br/>
        <w:t>Daison Aloeboetoe      US$ 1.030.-</w:t>
        <w:br/>
        <w:t>Deede-Manoe Aloeboetoe         1.030.-</w:t>
        <w:br/>
        <w:t>Mikuwendje Aloeboetoe             242.-</w:t>
        <w:br/>
        <w:t>Richenel Voola           1.575.-</w:t>
        <w:br/>
        <w:t>Indie Hendrik Banai            1.453.-</w:t>
        <w:br/>
        <w:t>Bernard Tiopo            1.453.-</w:t>
        <w:br/>
        <w:t>Asipee Adame                726.-</w:t>
        <w:br/>
        <w:br/>
        <w:t>96.   En la indemnización fijada para los herederos de las  víctimas  se  ha</w:t>
        <w:br/>
        <w:t>previsto  una  suma  para  que  los  menores  puedan  estudiar   hasta   una</w:t>
        <w:br/>
        <w:t>determinada edad.  Sin embargo, estos objetivos no se logran sólo  otorgando</w:t>
        <w:br/>
        <w:t>una indemnización, sino que es preciso también que se ofrezca  a  los  niños</w:t>
        <w:br/>
        <w:t>una escuela donde puedan recibir una enseñanza  adecuada  y  una  asistencia</w:t>
        <w:br/>
        <w:t>médica básica.  En el momento  actual,  ello  no  ocurre  en  varias  aldeas</w:t>
        <w:br/>
        <w:t>saramacas.</w:t>
        <w:br/>
        <w:br/>
        <w:t>Los hijos de las víctimas viven, en su mayoría, en Gujaba, donde la  escuela</w:t>
        <w:br/>
        <w:t>y el dispensario están cerrados.  La Corte considera que, como parte  de  la</w:t>
        <w:br/>
        <w:t>indemnización, Suriname está obligado a reabrir la escuela  de  Gujaba  y  a</w:t>
        <w:br/>
        <w:t>dotarla  de  personal   docente   y   administrativo   para   que   funcione</w:t>
        <w:br/>
        <w:t>permanentemente  a  partir  de  1994.   Igualmente,  se  ordenará   que   el</w:t>
        <w:br/>
        <w:t>dispensario allí existente sea puesto en condiciones operativas y  reabierto</w:t>
        <w:br/>
        <w:t>en el curso de ese año.</w:t>
        <w:br/>
        <w:br/>
        <w:br/>
        <w:t xml:space="preserve">                                     XV</w:t>
        <w:br/>
        <w:br/>
        <w:t>97.   En cuanto a la  distribución  de  los  montos  determinados  para  los</w:t>
        <w:br/>
        <w:t>diferentes conceptos, la  Corte  estima  equitativo  adoptar  los  criterios</w:t>
        <w:br/>
        <w:t>siguientes:</w:t>
        <w:br/>
        <w:br/>
        <w:t xml:space="preserve">      a.    De la  reparación  del  daño  material  correspondiente  a  cada</w:t>
        <w:br/>
        <w:t xml:space="preserve">      víctima se adjudica un tercio a las esposas, que se lo  dividirán  por</w:t>
        <w:br/>
        <w:t xml:space="preserve">      partes iguales entre ellas si hubiere más de una, y dos tercios a  los</w:t>
        <w:br/>
        <w:t xml:space="preserve">      hijos, que también se dividirá por igual entre ellos si hubiere más de</w:t>
        <w:br/>
        <w:t xml:space="preserve">      uno.</w:t>
        <w:br/>
        <w:br/>
        <w:br/>
        <w:t xml:space="preserve">      b.    La reparación del daño moral correspondiente a cada víctima será</w:t>
        <w:br/>
        <w:t xml:space="preserve">      dividida así:  una mitad se adjudica a los hijos; un cuarto  para  las</w:t>
        <w:br/>
        <w:t xml:space="preserve">      esposas y el otro cuarto para  los  padres.   Si  hubiere  más  de  un</w:t>
        <w:br/>
        <w:t xml:space="preserve">      beneficiario en alguna de estas categorías, el monto se dividirá entre</w:t>
        <w:br/>
        <w:t xml:space="preserve">      ellos por igual.</w:t>
        <w:br/>
        <w:br/>
        <w:br/>
        <w:t xml:space="preserve">      c.    El reintegro de gastos será pagado a la persona  que,  según  el</w:t>
        <w:br/>
        <w:t xml:space="preserve">      escrito de la Comisión, lo efectuó.</w:t>
        <w:br/>
        <w:br/>
        <w:t>98.   De acuerdo con estas reglas, la distribución  de  las  reparaciones  y</w:t>
        <w:br/>
        <w:t>del reintegro de gastos da el resultado siguiente:</w:t>
        <w:br/>
        <w:br/>
        <w:t>Daison Aloeboetoe</w:t>
        <w:br/>
        <w:br/>
        <w:t>a sus esposas</w:t>
        <w:br/>
        <w:t xml:space="preserve">      Wenke Asodanoe              US$  8.496.-</w:t>
        <w:br/>
        <w:t xml:space="preserve">      Aingifesie Aloeboetoe            8.496.-</w:t>
        <w:br/>
        <w:br/>
        <w:t>a sus hijos</w:t>
        <w:br/>
        <w:t xml:space="preserve">      Podini Asodanoe             US$  11.328.-</w:t>
        <w:br/>
        <w:t xml:space="preserve">      Maradona Asodanoe                11.328.-</w:t>
        <w:br/>
        <w:t xml:space="preserve">      Leona Aloeboetoe                 11.328.-</w:t>
        <w:br/>
        <w:br/>
        <w:t>a sus padres</w:t>
        <w:br/>
        <w:t xml:space="preserve">      Abinotoe Banai (fallecido)       US$   3.634.-</w:t>
        <w:br/>
        <w:t xml:space="preserve">      Ajong Aloeboetoe                 4.664.-</w:t>
        <w:br/>
        <w:br/>
        <w:t>Deede-Manoe Aloeboetoe</w:t>
        <w:br/>
        <w:br/>
        <w:t>a sus esposas</w:t>
        <w:br/>
        <w:t xml:space="preserve">      Asoidamoeje Tiopo           US$  8.050.-</w:t>
        <w:br/>
        <w:t xml:space="preserve">      Norma Aloeboetoe                 8.050.-</w:t>
        <w:br/>
        <w:br/>
        <w:t>a sus hijos</w:t>
        <w:br/>
        <w:t xml:space="preserve">      Klucion Tiopo               US$  16.104.-</w:t>
        <w:br/>
        <w:t xml:space="preserve">      Moitia Foto                            16.104.-</w:t>
        <w:br/>
        <w:br/>
        <w:t>a sus padres</w:t>
        <w:br/>
        <w:t xml:space="preserve">      Abinotoe Banai (fallecido)       US$   3.633.-</w:t>
        <w:br/>
        <w:t xml:space="preserve">      Ajong Aloeboetoe                 4.663.-</w:t>
        <w:br/>
        <w:br/>
        <w:t>Mikuwendje Aloeboetoe</w:t>
        <w:br/>
        <w:br/>
        <w:t>a sus padres</w:t>
        <w:br/>
        <w:t xml:space="preserve">      Andeja Aloeboetoe                US$   32.771.-</w:t>
        <w:br/>
        <w:t xml:space="preserve">      Masatin Koedemoesoe              32.529.-</w:t>
        <w:br/>
        <w:br/>
        <w:t>Richenel Voola</w:t>
        <w:br/>
        <w:br/>
        <w:t>a sus esposas</w:t>
        <w:br/>
        <w:t xml:space="preserve">      Mangoemaw Adjako (fallecida)     US$   8.173.-</w:t>
        <w:br/>
        <w:t xml:space="preserve">      Senda Palestina Esje Lugard      8.173.-</w:t>
        <w:br/>
        <w:br/>
        <w:t>a sus hijos</w:t>
        <w:br/>
        <w:t xml:space="preserve">      Stefan Adjako               US$  5.451.-</w:t>
        <w:br/>
        <w:t xml:space="preserve">      Bertholina Adjako                      5.451.-</w:t>
        <w:br/>
        <w:t xml:space="preserve">      John Adjako                            5.451.-</w:t>
        <w:br/>
        <w:t xml:space="preserve">      Godfried Franklin Adjako               5.451.-</w:t>
        <w:br/>
        <w:t xml:space="preserve">      Pamela Jaja Adjako                     5.451.-</w:t>
        <w:br/>
        <w:t xml:space="preserve">      Baba Tiopo                       5.451.-</w:t>
        <w:br/>
        <w:br/>
        <w:t>a su madre</w:t>
        <w:br/>
        <w:t xml:space="preserve">      Dadda Aside                      US$   11.263.-</w:t>
        <w:br/>
        <w:br/>
        <w:br/>
        <w:t>Indie Hendrik Banai</w:t>
        <w:br/>
        <w:br/>
        <w:t>a su esposa</w:t>
        <w:br/>
        <w:t xml:space="preserve">      Adelia Koedemoesoe          US$  25.935.-</w:t>
        <w:br/>
        <w:t>a sus hijos</w:t>
        <w:br/>
        <w:t xml:space="preserve">      Elbes Koedemoesoe           US$  7.408.-</w:t>
        <w:br/>
        <w:t xml:space="preserve">      Chris Enoi Vorswijk              7.408.-</w:t>
        <w:br/>
        <w:t xml:space="preserve">      Aike Karo Vorswijk               7.408.-</w:t>
        <w:br/>
        <w:t xml:space="preserve">      Robert Vorswijk                  7.408.-</w:t>
        <w:br/>
        <w:t xml:space="preserve">      Etty Vorswijk                    7.408.-</w:t>
        <w:br/>
        <w:t xml:space="preserve">      Etmelia Adipi                    7.408.-</w:t>
        <w:br/>
        <w:t xml:space="preserve">      Jenny Alfonsoewa                 7.408.-</w:t>
        <w:br/>
        <w:br/>
        <w:t>a sus padres</w:t>
        <w:br/>
        <w:t xml:space="preserve">      Eketo Tiopo                      US$   3.635.-</w:t>
        <w:br/>
        <w:t xml:space="preserve">      Goensikonde Banai                      5.088.-</w:t>
        <w:br/>
        <w:br/>
        <w:br/>
        <w:t>Bernard Tiopo</w:t>
        <w:br/>
        <w:br/>
        <w:t>a sus esposas</w:t>
        <w:br/>
        <w:t xml:space="preserve">      Dina Abauna                      US$   4.946.-</w:t>
        <w:br/>
        <w:t xml:space="preserve">      Ajemoe Sampi                     4.946.-</w:t>
        <w:br/>
        <w:t xml:space="preserve">      Glenda Lita Toy                  4.946.-</w:t>
        <w:br/>
        <w:br/>
        <w:t>a sus hijos</w:t>
        <w:br/>
        <w:t xml:space="preserve">      Bakapina Abauna             US$  4.947.-</w:t>
        <w:br/>
        <w:t xml:space="preserve">      Seneja Sampi                     4.947.-</w:t>
        <w:br/>
        <w:t xml:space="preserve">      Arisin Sampi                     4.947.-</w:t>
        <w:br/>
        <w:t xml:space="preserve">      Maritia Vivian Sampi             4.947.-</w:t>
        <w:br/>
        <w:t xml:space="preserve">      Anthea Vorswijk                  4.947.-</w:t>
        <w:br/>
        <w:t xml:space="preserve">      Apintimonie Vorswijk             4.947.-</w:t>
        <w:br/>
        <w:br/>
        <w:t>a su madre</w:t>
        <w:br/>
        <w:t xml:space="preserve">      Angaloemoeje Tiopo          US$  8.719.-</w:t>
        <w:br/>
        <w:br/>
        <w:br/>
        <w:t>Asipee Adame</w:t>
        <w:br/>
        <w:br/>
        <w:t>a sus padres</w:t>
        <w:br/>
        <w:t xml:space="preserve">      Pagai Amoida                US$  35.565.-</w:t>
        <w:br/>
        <w:t xml:space="preserve">      Aoedoe Adame (fallecida)               36.291.-</w:t>
        <w:br/>
        <w:br/>
        <w:br/>
        <w:t xml:space="preserve">                                     XVI</w:t>
        <w:br/>
        <w:br/>
        <w:t>99.   A fin de dar cumplimiento a  la  indemnización  pecuniaria  fijada  en</w:t>
        <w:br/>
        <w:t>esta sentencia, el Gobierno debe depositar antes del 1 de abril de  1994  el</w:t>
        <w:br/>
        <w:t>monto de  US$453.102.-  (cuatrocientos  cincuenta  y  tres  mil  ciento  dos</w:t>
        <w:br/>
        <w:t>dólares) en el Surinaamse Trustmaatschappij N.V.  (Suritrust),  Gravenstraat</w:t>
        <w:br/>
        <w:t>32, de la ciudad de Paramaribo.</w:t>
        <w:br/>
        <w:br/>
        <w:t>El Gobierno podrá también cumplir con esta obligación depositando  una  suma</w:t>
        <w:br/>
        <w:t>equivalente en florines holandeses.  Para  determinar  esa  equivalencia  se</w:t>
        <w:br/>
        <w:t>utilizará el tipo de cambio vendedor del dólar estadounidense y  del  florín</w:t>
        <w:br/>
        <w:t>holandés en la plaza de Nueva York el día anterior al del pago.</w:t>
        <w:br/>
        <w:br/>
        <w:t>100.  Con los fondos recibidos, Suritrust mantendrá fideicomisos en  dólares</w:t>
        <w:br/>
        <w:t>en las condiciones más favorables de acuerdo  con  la  práctica  bancaria  a</w:t>
        <w:br/>
        <w:t>favor de los beneficiarios indicados.   Los  que  hubieren  fallecido  serán</w:t>
        <w:br/>
        <w:t>sustituidos por sus herederos.</w:t>
        <w:br/>
        <w:br/>
        <w:t>Se constituirán dos fideicomisos, uno a favor de los  beneficiarios  menores</w:t>
        <w:br/>
        <w:t>de edad y otro en favor de los beneficiarios mayores.</w:t>
        <w:br/>
        <w:br/>
        <w:t>Una fundación (en  adelante  “la  Fundación”)  a  la  que  se  refieren  los</w:t>
        <w:br/>
        <w:t>párrafos 103 y siguientes de esta sentencia, actuará como fideicomitente.</w:t>
        <w:br/>
        <w:br/>
        <w:t>101.  El fideicomiso de los menores se constituirá con  las  indemnizaciones</w:t>
        <w:br/>
        <w:t>que deben recibir todos aquellos beneficiarios  que  no  hayan  cumplido  21</w:t>
        <w:br/>
        <w:t>años de edad y que no hubieren contraído matrimonio.</w:t>
        <w:br/>
        <w:br/>
        <w:t>Este fideicomiso de los menores operará  el  tiempo  que  resulte  necesario</w:t>
        <w:br/>
        <w:t>para que el último de  los  beneficiarios  alcance  la  mayoría  de  edad  o</w:t>
        <w:br/>
        <w:t>contraiga matrimonio.  A medida que cada uno de ellos reúna esta  condición,</w:t>
        <w:br/>
        <w:t>sus  aportes  pasarán  a  ser  regidos  por  las  disposiciones   sobre   el</w:t>
        <w:br/>
        <w:t>fideicomiso para los mayores (infra, párr. 102).</w:t>
        <w:br/>
        <w:br/>
        <w:t>102.  Los beneficiarios mayores podrán retirar  hasta  el  25%  (veinticinco</w:t>
        <w:br/>
        <w:t>por ciento) de lo que les corresponde en el momento en que  el  Gobierno  de</w:t>
        <w:br/>
        <w:t>Suriname efectúe el depósito.   Con  la  suma  restante  se  constituirá  el</w:t>
        <w:br/>
        <w:t>fideicomiso para los mayores.  Tendrá un plazo mínimo  de  tres  años  y  un</w:t>
        <w:br/>
        <w:t>máximo de 17 años y podrán hacerse retiros semestrales.  La Fundación  podrá</w:t>
        <w:br/>
        <w:t>establecer por razones especiales un régimen distinto.</w:t>
        <w:br/>
        <w:br/>
        <w:br/>
        <w:t xml:space="preserve">                                    XVII</w:t>
        <w:br/>
        <w:br/>
        <w:t>103.  Con el propósito de brindar a  los  beneficiarios  la  posibilidad  de</w:t>
        <w:br/>
        <w:t>obtener los mejores resultados de la aplicación de los montos recibidos  por</w:t>
        <w:br/>
        <w:t>reparaciones, la Corte dispone la creación de una Fundación.  Esta  entidad,</w:t>
        <w:br/>
        <w:t>sin fines de lucro, se constituirá en la ciudad de  Paramaribo,  capital  de</w:t>
        <w:br/>
        <w:t>Suriname, y estará integrada por las siguientes  personas,  quienes  ya  han</w:t>
        <w:br/>
        <w:t>manifestado su aceptación y se desempeñarán ad honórem:</w:t>
        <w:br/>
        <w:br/>
        <w:t xml:space="preserve">            Albert Jozef Brahim</w:t>
        <w:br/>
        <w:t xml:space="preserve">            Ilse Labadie</w:t>
        <w:br/>
        <w:t xml:space="preserve">            John C. de Miranda</w:t>
        <w:br/>
        <w:t xml:space="preserve">            Antonius H. te Dorsthorst</w:t>
        <w:br/>
        <w:t xml:space="preserve">            John Kent</w:t>
        <w:br/>
        <w:t xml:space="preserve">            Rodney R. Vrede</w:t>
        <w:br/>
        <w:t xml:space="preserve">            Armand Ronald Tjong A Hung.</w:t>
        <w:br/>
        <w:br/>
        <w:t>104.  La Corte testimonia su agradecimiento a las personas que han  aceptado</w:t>
        <w:br/>
        <w:t>integrar la Fundación, como un modo  de  contribuir  a  una  real  y  eficaz</w:t>
        <w:br/>
        <w:t>protección de los derechos humanos en América.</w:t>
        <w:br/>
        <w:br/>
        <w:t>105.  Los miembros de la Fundación, en reunión plenaria, definirán,  con  la</w:t>
        <w:br/>
        <w:t>colaboración de la  Secretaría  ejecutiva  de  la  Corte,  su  organización,</w:t>
        <w:br/>
        <w:t>estatuto y reglamento así como la forma de operación  de  los  fideicomisos.</w:t>
        <w:br/>
        <w:t>La Fundación comunicará a la Corte los textos definitivamente aprobados.</w:t>
        <w:br/>
        <w:br/>
        <w:t>La Fundación estará destinada a actuar como  fideicomitente  de  los  fondos</w:t>
        <w:br/>
        <w:t>depositados en Suritrust y a asesorar a los beneficiarios en  la  aplicación</w:t>
        <w:br/>
        <w:t>de las reparaciones recibidas o de las rentas que perciban del fideicomiso.</w:t>
        <w:br/>
        <w:br/>
        <w:t>106.  La Fundación prestará asesoramiento a los beneficiarios.  Si bien  los</w:t>
        <w:br/>
        <w:t>hijos de las víctimas se cuentan entre los  principales  beneficiarios,  sus</w:t>
        <w:br/>
        <w:t>madres o los tutores que los tienen a su cargo no  quedan  relevados  de  la</w:t>
        <w:br/>
        <w:t>obligación de  prestarles  gratuitamente  asistencia,  alimento,  vestido  y</w:t>
        <w:br/>
        <w:t>educación.  La Fundación tratará que las indemnizaciones percibidas por  los</w:t>
        <w:br/>
        <w:t>hijos menores de las víctimas sean utilizadas  para  gastos  posteriores  de</w:t>
        <w:br/>
        <w:t>estudio o para formar un pequeño capital cuando comiencen a  trabajar  o  se</w:t>
        <w:br/>
        <w:t>casen y que sólo se inviertan en gastos comunes  cuando  razones  serias  de</w:t>
        <w:br/>
        <w:t>economía familiar o de salud así lo exigieren.</w:t>
        <w:br/>
        <w:br/>
        <w:t>107.   Para  sus  operaciones,  el  Gobierno  de  Suriname  entregará  a  la</w:t>
        <w:br/>
        <w:t>Fundación, dentro de los 30 días de su  constitución,  un  aporte  único  de</w:t>
        <w:br/>
        <w:t>US$4.000 (cuatro mil dólares) o su equivalente en moneda local  al  tipo  de</w:t>
        <w:br/>
        <w:t>cambio vendedor vigente en el mercado libre  al  momento  de  efectuarse  el</w:t>
        <w:br/>
        <w:t>pago.</w:t>
        <w:br/>
        <w:br/>
        <w:t>108.  Suriname no podrá restringir o gravar las actividades de la  Fundación</w:t>
        <w:br/>
        <w:t>o la operación de los fideicomisos más allá de lo actualmente  existente  ni</w:t>
        <w:br/>
        <w:t>modificar las  condiciones  vigentes  hoy,  salvo  en  lo  que  pudiere  ser</w:t>
        <w:br/>
        <w:t>favorable, ni intervenir en las decisiones de aquella.</w:t>
        <w:br/>
        <w:br/>
        <w:br/>
        <w:t xml:space="preserve">                                    XVIII</w:t>
        <w:br/>
        <w:br/>
        <w:t>109.  Tal como lo expresó la  Corte  en  los  casos  Velásquez  Rodríguez  y</w:t>
        <w:br/>
        <w:t>Godínez Cruz “el derecho de los familiares de la víctima de conocer [. .  .]</w:t>
        <w:br/>
        <w:t>dónde se encuentran sus restos, representa  una  justa  expectativa  que  el</w:t>
        <w:br/>
        <w:t>Estado debe satisfacer  con  los  medios  a  su  alcance”   (Caso  Velásquez</w:t>
        <w:br/>
        <w:t>Rodríguez, supra 46, párr. 181; Caso Godínez Cruz,  supra  46,  párr.  191);</w:t>
        <w:br/>
        <w:t>esta  obligación  tiene  particular  importancia  en  el  caso  presente  en</w:t>
        <w:br/>
        <w:t>consideración a la relación familiar imperante entre los saramacas.</w:t>
        <w:br/>
        <w:br/>
        <w:br/>
        <w:t xml:space="preserve">                                     XIX</w:t>
        <w:br/>
        <w:br/>
        <w:t>110.  La Comisión  solicita  se  condene  a  Suriname  a  pagar  las  costas</w:t>
        <w:br/>
        <w:t>relativas a las gestiones realizadas ante el Gobierno y las  devengadas  por</w:t>
        <w:br/>
        <w:t>el procedimiento llevado a cabo ante ella misma y ante la Corte.</w:t>
        <w:br/>
        <w:br/>
        <w:t>111.  La Corte ya  decidió  que  el  Gobierno  debe  reintegrar  los  gastos</w:t>
        <w:br/>
        <w:t>efectuados por las familias de las víctimas por gestiones  hechas  ante  las</w:t>
        <w:br/>
        <w:t>autoridades surinamesas, tal como lo solicitó la Comisión (supra, párrs.  94</w:t>
        <w:br/>
        <w:t>y 95).</w:t>
        <w:br/>
        <w:br/>
        <w:t>112.  En el presente caso, los hechos ocurrieron el 31 de diciembre de  1987</w:t>
        <w:br/>
        <w:t>y la denuncia fue recibida por la Secretaría de la Comisión el 15  de  enero</w:t>
        <w:br/>
        <w:t>de 1988, o sea, quince días después.   A  partir  de  esa  fecha  estuvo  en</w:t>
        <w:br/>
        <w:t>conocimiento  de  la  Comisión  primeramente  y  luego  de  la  Corte.   Los</w:t>
        <w:br/>
        <w:t>familiares   de   las   víctimas   no   necesitaron   efectuar   prolongadas</w:t>
        <w:br/>
        <w:t>tramitaciones  para  someterlo  a  la  Comisión,  pues  ella  se  ocupó   de</w:t>
        <w:br/>
        <w:t>inmediato.   Por  esta  razón  no  se  vieron  obligados   a   requerir   el</w:t>
        <w:br/>
        <w:t>asesoramiento de un profesional y, por ello, no lo  designaron.   El  doctor</w:t>
        <w:br/>
        <w:t>Claudio  Grossman,  que  la  Comisión  hace  figurar  como  abogado  de  los</w:t>
        <w:br/>
        <w:t>familiares de las víctimas, actuó como su asesor legal cuando  el  caso  fue</w:t>
        <w:br/>
        <w:t>presentado a la Corte  (Caso Aloeboetoe  y  otros,  supra  párrafo  inicial,</w:t>
        <w:br/>
        <w:t>párr. 7 y cfr. supra, párr. 36).</w:t>
        <w:br/>
        <w:br/>
        <w:t>113.  La Convención Americana ha instituido un sistema  para  la  protección</w:t>
        <w:br/>
        <w:t>de  los  derechos  humanos  en  el  continente  y  ha  atribuido   funciones</w:t>
        <w:br/>
        <w:t>principalmente a dos órganos, la  Comisión  y  la  Corte,  cuyos  costos  se</w:t>
        <w:br/>
        <w:t>financian  dentro  del  presupuesto  de  la  Organización  de  los   Estados</w:t>
        <w:br/>
        <w:t>Americanos.</w:t>
        <w:br/>
        <w:br/>
        <w:t>114.  La Comisión ha preferido, en este proceso, cumplir las  funciones  que</w:t>
        <w:br/>
        <w:t>la  Convención  Americana  le  impone  recurriendo  a  la  contratación   de</w:t>
        <w:br/>
        <w:t>profesionales en lugar de hacerlo con su personal  propio.   Esta  modalidad</w:t>
        <w:br/>
        <w:t>de trabajo de la Comisión es una cuestión  de  organización  interna  en  la</w:t>
        <w:br/>
        <w:t>cual la Corte no debe intervenir.  Pero  la  Comisión  no  puede  exigir  el</w:t>
        <w:br/>
        <w:t>reintegro de los gastos que le exige  su  modalidad  interna  de  trabajo  a</w:t>
        <w:br/>
        <w:t>través de la imposición de costas.  El funcionamiento  de  los  órganos  del</w:t>
        <w:br/>
        <w:t>sistema americano de derechos humanos es pagado  por  los  Estados  Miembros</w:t>
        <w:br/>
        <w:t>mediante su cuota anual.</w:t>
        <w:br/>
        <w:br/>
        <w:t>La Corte tampoco podría imponer como  costas  los  gastos  de  viaje  de  su</w:t>
        <w:br/>
        <w:t>Secretaria adjunta a Suriname, ni  el  asesoramiento  requerido  en  materia</w:t>
        <w:br/>
        <w:t>económica o actuarial, pues se trata de gastos que el  Tribunal  debe  hacer</w:t>
        <w:br/>
        <w:t>como órgano del sistema para cumplir debidamente con las  funciones  que  la</w:t>
        <w:br/>
        <w:t>Convención Americana le impone.</w:t>
        <w:br/>
        <w:br/>
        <w:t>115.  Habida consideración de lo anterior y de que  Suriname  ha  reconocido</w:t>
        <w:br/>
        <w:t>expresamente  su  responsabilidad  internacional  y  no  ha  dificultado  el</w:t>
        <w:br/>
        <w:t>procedimiento para  determinar  las  reparaciones,  la  Corte  desestima  la</w:t>
        <w:br/>
        <w:t>solicitud de condenación en costas pedida por la Comisión.</w:t>
        <w:br/>
        <w:br/>
        <w:br/>
        <w:t xml:space="preserve">                                     XX</w:t>
        <w:br/>
        <w:br/>
        <w:t>116.  Por tanto,</w:t>
        <w:br/>
        <w:br/>
        <w:t>LA CORTE,</w:t>
        <w:br/>
        <w:br/>
        <w:t>por unanimidad</w:t>
        <w:br/>
        <w:br/>
        <w:t>1.    Fija en US$453.102 (cuatrocientos cincuenta  y  tres  mil  ciento  dos</w:t>
        <w:br/>
        <w:t>dólares) o su equivalente en florines holandeses el monto que el  Estado  de</w:t>
        <w:br/>
        <w:t>Suriname debe pagar antes del 1 de abril de 1994, en carácter de  reparación</w:t>
        <w:br/>
        <w:t>a las personas indicadas en  el  párrafo  98  ó  a  sus  herederos,  en  los</w:t>
        <w:br/>
        <w:t>términos indicados en el párrafo 99.</w:t>
        <w:br/>
        <w:br/>
        <w:br/>
        <w:t>2.    Dispone el establecimiento de dos fideicomisos y la  creación  de  una</w:t>
        <w:br/>
        <w:t>Fundación según lo previsto en los párrafos 100 a 108.</w:t>
        <w:br/>
        <w:br/>
        <w:br/>
        <w:t>3.    Decide que Suriname no podrá restringir o gravar  las  actividades  de</w:t>
        <w:br/>
        <w:t>la Fundación o la operación de los fideicomisos más allá de  lo  actualmente</w:t>
        <w:br/>
        <w:t>existente, ni modificar las  condiciones  vigentes  hoy,  salvo  en  lo  que</w:t>
        <w:br/>
        <w:t>pudiere serles favorable, ni intervenir en las decisiones de aquella.</w:t>
        <w:br/>
        <w:br/>
        <w:br/>
        <w:t>4.    Ordena al Estado de Suriname que entregue  a  la  Fundación  para  sus</w:t>
        <w:br/>
        <w:t>operaciones, dentro de los 30 días siguientes a su constitución,  un  aporte</w:t>
        <w:br/>
        <w:t>único de US$4.000 (cuatro mil dólares) o su equivalente en moneda  local  al</w:t>
        <w:br/>
        <w:t>tipo de cambio vigente en el mercado  libre  al  momento  de  efectuarse  el</w:t>
        <w:br/>
        <w:t>pago.</w:t>
        <w:br/>
        <w:br/>
        <w:br/>
        <w:t>5.    Ordena al Estado de Suriname igualmente, con carácter  de  reparación,</w:t>
        <w:br/>
        <w:t>reabrir  la  escuela  sita  en  Gujaba  y  dotarla  de  personal  docente  y</w:t>
        <w:br/>
        <w:t>administrativo para que funcione permanentemente a partir de  1994  y  poner</w:t>
        <w:br/>
        <w:t>en operación en el curso de ese año el dispensario existente en ese lugar.</w:t>
        <w:br/>
        <w:br/>
        <w:br/>
        <w:t>6.     Resuelve  que  supervisará  el  cumplimiento  de   las   reparaciones</w:t>
        <w:br/>
        <w:t>acordadas y que sólo después archivará el expediente.</w:t>
        <w:br/>
        <w:br/>
        <w:br/>
        <w:t>7.    Decide que no hay condena en costas.</w:t>
        <w:br/>
        <w:br/>
        <w:t>Redactada en castellano y en inglés, haciendo fe el texto en castellano,  en</w:t>
        <w:br/>
        <w:t>San José, Costa Rica, el día 10 de septiembre de 1993.</w:t>
        <w:br/>
        <w:br/>
        <w:br/>
        <w:t>Rafael Nieto Navia</w:t>
        <w:br/>
        <w:t>Presidente</w:t>
        <w:br/>
        <w:br/>
        <w:br/>
        <w:t>Sonia Picado Sotela</w:t>
        <w:br/>
        <w:br/>
        <w:br/>
        <w:t>Héctor Fix-Zamudio</w:t>
        <w:br/>
        <w:br/>
        <w:br/>
        <w:t>Julio A. Barberis</w:t>
        <w:br/>
        <w:br/>
        <w:br/>
        <w:t>Asdrúbal Aguiar-Aranguren</w:t>
        <w:br/>
        <w:br/>
        <w:br/>
        <w:t>Antônio A. Cançado Trindade</w:t>
        <w:br/>
        <w:br/>
        <w:br/>
        <w:t>Manuel E. Ventura Robles</w:t>
        <w:br/>
        <w:t>Secretario</w:t>
        <w:br/>
        <w:br/>
        <w:br/>
        <w:t>Comuníquese y ejecútese,</w:t>
        <w:br/>
        <w:br/>
        <w:br/>
        <w:t>Rafael Nieto Navia</w:t>
        <w:br/>
        <w:t>Presidente</w:t>
        <w:br/>
        <w:br/>
        <w:br/>
        <w:t>Manuel E. Ventura Robles</w:t>
        <w:br/>
        <w:t>Secretario</w:t>
        <w:br/>
        <w:t>________________________</w:t>
        <w:br/>
        <w:br/>
        <w:t xml:space="preserve">      El Juez Thomas Buergenthal, mediante  nota  de  4  de  junio  de  1993</w:t>
        <w:br/>
        <w:t>dirigida al Presidente de la Corte,  se  excusó  por  razones  de  salud  de</w:t>
        <w:br/>
        <w:t>seguir participando en este caso.</w:t>
        <w:br/>
        <w:t xml:space="preserve">      El Juez Asdrúbal Aguiar-Aranguren,  elegido  por  los  Estados  Partes</w:t>
        <w:br/>
        <w:t>durante la Asamblea General de la OEA celebrada en Nassau, Bahamas, en  mayo</w:t>
        <w:br/>
        <w:t>de 1992, participa en este caso desde las audiencias  sobre  reparaciones  y</w:t>
        <w:br/>
        <w:t>costas.</w:t>
        <w:br/>
        <w:br/>
        <w:br/>
        <w:t>(*) Matrilineal sería probablemente un término antropológico más preciso.</w:t>
        <w:br/>
        <w:t>(*) Matrilineal sería probablemente un término antropológico más preciso.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