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Caso del Penal Miguel Castro Castro Vs. Perú</w:t>
        <w:br/>
        <w:br/>
        <w:br/>
        <w:t xml:space="preserve">                    Sentencia de 25 de noviembre de 2006</w:t>
        <w:br/>
        <w:t xml:space="preserve">                       (Fondo, Reparaciones y Costas)</w:t>
        <w:br/>
        <w:br/>
        <w:br/>
        <w:br/>
        <w:br/>
        <w:t>En el caso del Penal Miguel Castro Castro,</w:t>
        <w:br/>
        <w:br/>
        <w:t>la Corte Interamericana de Derechos Humanos  (en  adelante  “la  Corte</w:t>
        <w:br/>
        <w:t>Interamericana”, “la  Corte”  o  “el  Tribunal”),  integrada  por  los</w:t>
        <w:br/>
        <w:t>siguientes jueces(:</w:t>
        <w:br/>
        <w:br/>
        <w:t xml:space="preserve">      Sergio García Ramírez, Presidente;</w:t>
        <w:br/>
        <w:t xml:space="preserve">      Alirio Abreu Burelli, Vicepresidente;</w:t>
        <w:br/>
        <w:t xml:space="preserve">      Antônio A. Cançado Trindade, Juez;</w:t>
        <w:br/>
        <w:t xml:space="preserve">      Cecilia Medina Quiroga, Jueza; y</w:t>
        <w:br/>
        <w:t xml:space="preserve">      Manuel E. Ventura Robles, Juez,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acuerdo con los artículos 62.3 y 63.1 de  la  Convención  Americana</w:t>
        <w:br/>
        <w:t>sobre Derechos Humanos (en adelante “la Convención  Americana”  o  “la</w:t>
        <w:br/>
        <w:t>Convención”) y con los artículos  29,  31,  53.2,  55,  56  y  58  del</w:t>
        <w:br/>
        <w:t>Reglamento de  la  Corte  (en  adelante  “el  Reglamento”),  dicta  la</w:t>
        <w:br/>
        <w:t>siguiente Sentencia.</w:t>
        <w:br/>
        <w:br/>
        <w:br/>
        <w:br/>
        <w:t xml:space="preserve">                                      I</w:t>
        <w:br/>
        <w:br/>
        <w:br/>
        <w:t xml:space="preserve">                          Introducción de la Causa</w:t>
        <w:br/>
        <w:br/>
        <w:br/>
        <w:t>1.    El 9 de septiembre de 2004, de conformidad con lo  dispuesto  en</w:t>
        <w:br/>
        <w:t>los artículos  50  y  61  de  la  Convención  Americana,  la  Comisión</w:t>
        <w:br/>
        <w:t>Interamericana de Derechos Humanos (en adelante “la  Comisión”  o  “la</w:t>
        <w:br/>
        <w:t>Comisión Interamericana”) sometió ante la Corte una demanda contra  el</w:t>
        <w:br/>
        <w:t>Estado del Perú (en adelante “el Estado” o “el Perú”).  Dicha  demanda</w:t>
        <w:br/>
        <w:t>se originó en las denuncias No.  11.015  y  11.769,  recibidas  en  la</w:t>
        <w:br/>
        <w:t>Secretaría de la Comisión el 18 de mayo de 1992 y el  5  de  junio  de</w:t>
        <w:br/>
        <w:t>1997, respectivamente.</w:t>
        <w:br/>
        <w:br/>
        <w:t>2.    La Comisión presentó la demanda con  el  fin  de  que  la  Corte</w:t>
        <w:br/>
        <w:t>declare que el Estado es responsable por la violación de los  derechos</w:t>
        <w:br/>
        <w:t>consagrados en los artículos 4 (Derecho a la Vida) y 5 (Derecho  a  la</w:t>
        <w:br/>
        <w:t>Integridad Personal) de la Convención Americana, en  relación  con  la</w:t>
        <w:br/>
        <w:t>obligación establecida en el artículo 1.1 (Obligación de Respetar  los</w:t>
        <w:br/>
        <w:t>Derechos) de la misma, en perjuicio de  “al  menos  42”  reclusos  que</w:t>
        <w:br/>
        <w:t>fallecieron; la violación del artículo  5  (Derecho  a  la  Integridad</w:t>
        <w:br/>
        <w:t>Personal) de la Convención, en relación con la obligación  establecida</w:t>
        <w:br/>
        <w:t>en el artículo  1.1  (Obligación  de  Respetar  los  Derechos)  de  la</w:t>
        <w:br/>
        <w:t>Convención, en perjuicio de “al menos  175”  reclusos  que  resultaron</w:t>
        <w:br/>
        <w:t>heridos  y  de   322   reclusos   “que   habiendo   resultado   ilesos</w:t>
        <w:br/>
        <w:t>[supuestamente]  fueron  sometidos   a   trato   cruel,   inhumano   y</w:t>
        <w:br/>
        <w:t>degradante”; y por  la  violación  de  los  artículos  8.1  (Garantías</w:t>
        <w:br/>
        <w:t>Judiciales) y 25 (Protección Judicial) de la Convención,  en  relación</w:t>
        <w:br/>
        <w:t>con la obligación  establecida  en  el  artículo  1.1  (Obligación  de</w:t>
        <w:br/>
        <w:t>Respetar los Derechos) de la misma, en perjuicio de  “las  [presuntas]</w:t>
        <w:br/>
        <w:t>víctimas y sus familiares”.</w:t>
        <w:br/>
        <w:br/>
        <w:t>3.    Los hechos expuestos por  la  Comisión  en  la  demanda  habrían</w:t>
        <w:br/>
        <w:t>ocurrido a partir del  6 de mayo de 1992 y se refieren a la  ejecución</w:t>
        <w:br/>
        <w:t>del “Operativo Mudanza 1”  dentro  del  Penal  Miguel  Castro  Castro,</w:t>
        <w:br/>
        <w:t>durante el cual el Estado, supuestamente,  produjo  la  muerte  de  al</w:t>
        <w:br/>
        <w:t>menos 42 internos, hirió a 175 internos,  y  sometió  a  trato  cruel,</w:t>
        <w:br/>
        <w:t>inhumano y degradante a otros 322  internos.  Los  hechos  también  se</w:t>
        <w:br/>
        <w:t>refieren al supuesto trato cruel, inhumano y degradante  experimentado</w:t>
        <w:br/>
        <w:t>por las presuntas víctimas con posterioridad al “Operativo Mudanza 1”.</w:t>
        <w:br/>
        <w:br/>
        <w:br/>
        <w:t>4.    Asimismo, la Comisión solicitó a la Corte  que,  de  conformidad</w:t>
        <w:br/>
        <w:t>con el artículo 63.1 de la Convención, ordene  al  Estado  que  adopte</w:t>
        <w:br/>
        <w:t>determinadas medidas  de  reparación  indicadas  en  la  demanda.  Por</w:t>
        <w:br/>
        <w:t>último, solicitó al Tribunal que ordene  al  Estado  el  pago  de  las</w:t>
        <w:br/>
        <w:t>costas y gastos generados en la tramitación del caso.</w:t>
        <w:br/>
        <w:br/>
        <w:br/>
        <w:t xml:space="preserve">                                     II</w:t>
        <w:br/>
        <w:br/>
        <w:t xml:space="preserve">                                 Competencia</w:t>
        <w:br/>
        <w:br/>
        <w:br/>
        <w:t>5.    La Corte es competente para conocer el  presente  caso,  en  los</w:t>
        <w:br/>
        <w:t>términos de los artículos 62 y 63.1 de la Convención, en razón de  que</w:t>
        <w:br/>
        <w:t>Perú es Estado Parte en la Convención Americana desde el 28  de  julio</w:t>
        <w:br/>
        <w:t>de 1978 y reconoció la competencia contenciosa de la Corte  el  21  de</w:t>
        <w:br/>
        <w:t>enero de 1981. Además, el Estado ratificó la Convención Interamericana</w:t>
        <w:br/>
        <w:t>para Prevenir y Sancionar la Tortura el 28  de  marzo  de  1991  y  la</w:t>
        <w:br/>
        <w:t>Convención Interamericana para  Prevenir,  Sancionar  y  Erradicar  la</w:t>
        <w:br/>
        <w:t>Violencia contra la Mujer el 4 de junio de 1996.</w:t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br/>
        <w:t>6.     El 18 de mayo de  1992  la  señora  Sabina  Astete  remitió  una</w:t>
        <w:br/>
        <w:t>denuncia ante la  Comisión  Interamericana[1],  la  cual  se  encuentra</w:t>
        <w:br/>
        <w:t>firmada por personas que indican ser miembros del Comité de  Familiares</w:t>
        <w:br/>
        <w:t>de Presos  Políticos  y  Prisioneros  de  Guerra.  Dicha  denuncia  fue</w:t>
        <w:br/>
        <w:t>identificada bajo el número  11.015,  y  se  refería  a  los  supuestos</w:t>
        <w:br/>
        <w:t>“genocidio del 6 al 9 de mayo de 1992” en  el  Penal  Castro  Castro  y</w:t>
        <w:br/>
        <w:t>falta de información “a los familiares y opinión pública” acerca de los</w:t>
        <w:br/>
        <w:t>sobrevivientes, fallecidos y heridos. Asimismo se refería  a  supuestos</w:t>
        <w:br/>
        <w:t>“traslad[os] clandestin[os] a diferentes penales” de Perú, sin permitir</w:t>
        <w:br/>
        <w:t>el “acceso […] de los familiares [y] abogados”.</w:t>
        <w:br/>
        <w:br/>
        <w:t>7.    Los días 12 de junio, 9 de julio, 10, 12 y 21 de agosto de 1992,</w:t>
        <w:br/>
        <w:t>17 de agosto de 2000, 23 de enero y 7 de febrero de 2001, y 31 de mayo</w:t>
        <w:br/>
        <w:t>de  2001  la  Comisión  transmitió  al  Estado  información  adicional</w:t>
        <w:br/>
        <w:t>respecto al caso. Esta información se refería, inter alia, a los malos</w:t>
        <w:br/>
        <w:t>tratos, “torturas”, “requisas” y  “aislamiento”  a  que  supuestamente</w:t>
        <w:br/>
        <w:t>fueron sometidas las presuntas víctimas de los hechos del Penal Miguel</w:t>
        <w:br/>
        <w:t>Castro Castro, con posterioridad al 9 de mayo de 1992  y  durante  los</w:t>
        <w:br/>
        <w:t>traslados de los internos a  otros  penales  del  Perú.  Asimismo,  se</w:t>
        <w:br/>
        <w:t>refería  a  las  alegadas  condiciones  “infrahumanas”   en   que   se</w:t>
        <w:br/>
        <w:t>encontraban las presuntas víctimas en los centros  a  los  que  fueron</w:t>
        <w:br/>
        <w:t>trasladadas. Además se informó del “hostigamiento” a los familiares de</w:t>
        <w:br/>
        <w:t>las presuntas víctimas por parte del Estado.</w:t>
        <w:br/>
        <w:br/>
        <w:t>8.    El 18 de agosto de  1992  la  Comisión  solicitó  al  Estado  la</w:t>
        <w:br/>
        <w:t>adopción de medidas cautelares en relación a los hechos  ocurridos  en</w:t>
        <w:br/>
        <w:t>el Penal Miguel Castro Castro, de conformidad con lo establecido en el</w:t>
        <w:br/>
        <w:t>artículo  29  del  Reglamento  de  la  Comisión.  Entre  las   medidas</w:t>
        <w:br/>
        <w:t>solicitadas se encontraba la autorización de “visitas de familiares  y</w:t>
        <w:br/>
        <w:t>abogados de los detenidos”, y  el  ingreso  de  “ropas  y  medicinas”.</w:t>
        <w:br/>
        <w:t>Asimismo, se solicitó que  el  Estado  brindara  “atención  médica”  a</w:t>
        <w:br/>
        <w:t>quiénes la requirieran y que remitiera a la Comisión “la lista oficial</w:t>
        <w:br/>
        <w:t>de […] muertos y desaparecid[os] a partir de los  hechos  [del]  Penal</w:t>
        <w:br/>
        <w:t>‘Miguel Castro Castro’”.</w:t>
        <w:br/>
        <w:br/>
        <w:t>9.    El 11 de septiembre de  1992  el  Estado  presentó  un  escrito,</w:t>
        <w:br/>
        <w:t>mediante el cual remitió información “sobre las medidas  adoptadas  en</w:t>
        <w:br/>
        <w:t>relación con la solicitud formulada por la Comisión” respecto  a  “los</w:t>
        <w:br/>
        <w:t>‘sucesos’ ocurridos a partir del 6 de mayo  de[  1992]”  en  el  Penal</w:t>
        <w:br/>
        <w:t>Miguel Castro Castro”. El 21 de octubre de 1992 el Estado presentó  un</w:t>
        <w:br/>
        <w:t>escrito y anexos, mediante los cuales remitió el informe elaborado por</w:t>
        <w:br/>
        <w:t>la Fiscalía de la Nación del Perú, respecto de los  sucesos  ocurridos</w:t>
        <w:br/>
        <w:t>“en el penal Castro Castro el 6 de mayo de [1992]”.</w:t>
        <w:br/>
        <w:br/>
        <w:t>10.   El 9 de noviembre de 1992 el Estado presentó un  escrito  y  sus</w:t>
        <w:br/>
        <w:t>anexos, mediante los  cuales  remitió  el  informe  elaborado  por  la</w:t>
        <w:br/>
        <w:t>Fiscalía de la Nación respecto de la información adicional que le  fue</w:t>
        <w:br/>
        <w:t>transmitida (supra párr. 7).</w:t>
        <w:br/>
        <w:br/>
        <w:t>11.   El 25 de noviembre de 1992 la Comisión presentó al  Tribunal  un</w:t>
        <w:br/>
        <w:t>escrito y sus anexos, mediante los cuales  remitió  una  solicitud  de</w:t>
        <w:br/>
        <w:t>medidas provisionales en relación con  los casos 11.015  y  11.048  en</w:t>
        <w:br/>
        <w:t>trámite  ante  la  Comisión,  sobre  la  grave  situación  en  que  se</w:t>
        <w:br/>
        <w:t>encontrarían los centros penales peruanos Miguel Castro Castro y Santa</w:t>
        <w:br/>
        <w:t>Mónica en Lima, Cristo Rey en Ica y Yanamayo en Puno.</w:t>
        <w:br/>
        <w:br/>
        <w:t>12.   El 14 de diciembre  de  1992  el  Presidente  de  la  Corte  (en</w:t>
        <w:br/>
        <w:t>adelante “el Presidente”) emitió  una  Resolución,  mediante  la  cual</w:t>
        <w:br/>
        <w:t>resolvió “[q]ue no proced[ía]  solicitar  por  el  momento[…]  medidas</w:t>
        <w:br/>
        <w:t>urgentes de carácter preliminar” y decidió “[s]ometer a la Corte en su</w:t>
        <w:br/>
        <w:t>próximo período ordinario de sesiones la solicitud presentada  por  la</w:t>
        <w:br/>
        <w:t>Comisión Interamericana”.</w:t>
        <w:br/>
        <w:br/>
        <w:t>13.   El 27 de  enero  de  1993  el  Tribunal  emitió  una  Resolución</w:t>
        <w:br/>
        <w:t>respecto de la solicitud de medidas  provisionales  realizada  por  la</w:t>
        <w:br/>
        <w:t>Comisión (supra párr. 11), mediante la cual resolvió “[n]o dictar, por</w:t>
        <w:br/>
        <w:t>el momento, las medidas provisionales […] solicitadas”.  Asimismo,  la</w:t>
        <w:br/>
        <w:t>Corte  consideró  necesario  “[s]olicitar  a  [la  Comisión]  que   en</w:t>
        <w:br/>
        <w:t>ejercicio de las atribuciones  que  le  confieren  la  Convención,  el</w:t>
        <w:br/>
        <w:t>Estatuto y el Reglamento, solicit[ara] las pruebas o  reali[zara]  las</w:t>
        <w:br/>
        <w:t>investigaciones necesarias para cerciorarse de  la  veracidad  de  los</w:t>
        <w:br/>
        <w:t>hechos” señalados en la solicitud de medidas.</w:t>
        <w:br/>
        <w:br/>
        <w:t>14.    El  5  de  junio  de  1997  el  señor   Curtis   Doebbler,   en</w:t>
        <w:br/>
        <w:t>representación de la señora Mónica Feria Tinta, presentó una  denuncia</w:t>
        <w:br/>
        <w:t>ante la Comisión, la cual fue  identificada  bajo  el  número  11.769.</w:t>
        <w:br/>
        <w:t>Dicha denuncia se refería, inter alia,  a  los  sucesos  en  el  Penal</w:t>
        <w:br/>
        <w:t>Miguel Castro Castro a partir del 6 de mayo de 1992,  así  como  a  la</w:t>
        <w:br/>
        <w:t>“tortura”,  tratos  crueles,  inhumanos  y  degradantes  a   los   que</w:t>
        <w:br/>
        <w:t>supuestamente fueron sometidas las presuntas  víctimas  en  este  caso</w:t>
        <w:br/>
        <w:t>durante el “ataque” al referido penal y con posterioridad al mismo.</w:t>
        <w:br/>
        <w:br/>
        <w:t>15.   El 29 de junio de 2000 el  caso  11.769  (supra  párr.  14)  fue</w:t>
        <w:br/>
        <w:t>desglosado en dos expedientes: 11.769-A y 11.769-B, en  aplicación  de</w:t>
        <w:br/>
        <w:t>lo establecido en el artículo  40.1  del  Reglamento  de  la  Comisión</w:t>
        <w:br/>
        <w:t>vigente en esa época. El expediente 11.769-B se refería a “los  hechos</w:t>
        <w:br/>
        <w:t>denunciados […] que conciernen a los sucesos ocurridos en  la  prisión</w:t>
        <w:br/>
        <w:t>Castro Castro, de Lima, en  mayo  de  199[2]”,  y  el  11.769-A  a  la</w:t>
        <w:br/>
        <w:t>“detención,  juicio  y  demás  hechos  […]  concernientes  directa   y</w:t>
        <w:br/>
        <w:t>personalmente a la [señora] Mónica Feria Tinta”.</w:t>
        <w:br/>
        <w:br/>
        <w:t>16.   El 29 de junio de 2000 el caso 11.769-B  (supra  párr.  15)  fue</w:t>
        <w:br/>
        <w:t>acumulado al caso identificado como 11.015 (supra  párr.  6)  para  su</w:t>
        <w:br/>
        <w:t>tramitación en forma conjunta.</w:t>
        <w:br/>
        <w:br/>
        <w:t>17.   El 5 de marzo de 2001 la Comisión aprobó el  Informe  Nº  43/01,</w:t>
        <w:br/>
        <w:t>mediante el cual declaró admisible el caso. El 21 de marzo de 2001  la</w:t>
        <w:br/>
        <w:t>Comisión se puso a disposición de las partes con el objeto de alcanzar</w:t>
        <w:br/>
        <w:t>una solución amistosa.</w:t>
        <w:br/>
        <w:br/>
        <w:t>18.   El 16 de marzo de 2001 el Estado presentó un  informe,  mediante</w:t>
        <w:br/>
        <w:t>el cual señaló el nombre de las presuntas víctimas “fallecidas en  los</w:t>
        <w:br/>
        <w:t>sucesos […] del 6 al 10 de mayo de 1992”.</w:t>
        <w:br/>
        <w:br/>
        <w:t>19.   El 2 de abril de 2001 la  señora  Mónica  Feria  Tinta  presentó</w:t>
        <w:br/>
        <w:t>observaciones al Informe de admisibilidad del caso (supra  párr.  17).</w:t>
        <w:br/>
        <w:t>Entre sus observaciones expresó,  inter  alia,  que  creía  importante</w:t>
        <w:br/>
        <w:t>resaltar  que  “fue  un  ataque  originalmente  dirigido  contra   las</w:t>
        <w:br/>
        <w:t>prisioneras[, …] entre las que habría mujeres embarazadas”, y que  “en</w:t>
        <w:br/>
        <w:t>la denuncia presentada […] se especific[ó] que  a  la  cabeza  de  los</w:t>
        <w:br/>
        <w:t>responsables directos por  los  hechos  figura  […]  Alberto  Fujimori</w:t>
        <w:br/>
        <w:t>Fujimori[,] quien ordenó el ataque y las  ejecuciones  extrajudiciales</w:t>
        <w:br/>
        <w:t>de prisioneros del 6 [al] 9 de mayo[,] así como el régimen que se  les</w:t>
        <w:br/>
        <w:t>aplicó a los sobrevivientes posterior a la masacre”.</w:t>
        <w:br/>
        <w:br/>
        <w:t>20.   El 18 de abril de 2001 la señora Mónica Feria Tinta informó a la</w:t>
        <w:br/>
        <w:t>Comisión que no tenía interés en que se llevara a cabo el  proceso  de</w:t>
        <w:br/>
        <w:t>solución amistosa (supra párr. 17). El 23 de abril de 2001  el  Estado</w:t>
        <w:br/>
        <w:t>presentó un informe,  mediante  el  cual  expresó  que  “no  desea[ba]</w:t>
        <w:br/>
        <w:t>someterse […] al procedimiento de solución amistosa” (supra párr. 17).</w:t>
        <w:br/>
        <w:br/>
        <w:br/>
        <w:t>21.   El 24 de abril de 2001 la Comisión solicitó a las  peticionarias</w:t>
        <w:br/>
        <w:t>y al Estado que presentaran “sus  argumentos  y  pruebas  respecto  al</w:t>
        <w:br/>
        <w:t>fondo del caso” debido a la “controversia entre las partes respecto  a</w:t>
        <w:br/>
        <w:t>los hechos denunciados”.  También requirió al Estado  que  presentara:</w:t>
        <w:br/>
        <w:t>“[e]l nombre y la explicación de las circunstancias específicas en que</w:t>
        <w:br/>
        <w:t>muri[eron…] las personas […] en mayo de 1992 en el Centro Penal Castro</w:t>
        <w:br/>
        <w:t>Castro,  incluyendo  las  pericias  forenses  efectuadas  […  y]   los</w:t>
        <w:br/>
        <w:t>respectivos certificados de  defunción”;  “[e]l  nombre  [y]  tipo  de</w:t>
        <w:br/>
        <w:t>lesiones, […] las circunstancias […] en  que  dichas  lesiones  fueron</w:t>
        <w:br/>
        <w:t>causadas, […] y las pericias  forenses  que  se  hayan  efectuado  [al</w:t>
        <w:br/>
        <w:t>respecto]; e “[i]nformación sobre las investigaciones  administrativas</w:t>
        <w:br/>
        <w:t>y judiciales que se hayan efectuado respecto a los hechos ocurridos en</w:t>
        <w:br/>
        <w:t>mayo de 1992 en el  Centro  Penal  Castro  Castro”.  Esta  información</w:t>
        <w:br/>
        <w:t>también fue solicitada a  las  peticionarias,  sin  necesidad  de  que</w:t>
        <w:br/>
        <w:t>presentaran los documentos oficiales.</w:t>
        <w:br/>
        <w:br/>
        <w:t>22.   El 1 de noviembre de 2001 el  Estado  presentó  sus  alegatos  y</w:t>
        <w:br/>
        <w:t>pruebas respecto al fondo  del  asunto  (supra  párr.  21),  tras  dos</w:t>
        <w:br/>
        <w:t>prórrogas que le fueron otorgadas. Asimismo, manifestó que completaría</w:t>
        <w:br/>
        <w:t>su argumentación respecto al fondo del  asunto  durante  la  audiencia</w:t>
        <w:br/>
        <w:t>convocada para el 14 de noviembre de 2001 (infra párr. 23).</w:t>
        <w:br/>
        <w:br/>
        <w:t>23.   El 14 de noviembre de 2001 se celebró  una  audiencia  sobre  el</w:t>
        <w:br/>
        <w:t>fondo del caso ante la Comisión.</w:t>
        <w:br/>
        <w:br/>
        <w:t>24.   El 20 de octubre de 2003 la señora Mónica Feria  Tinta  presentó</w:t>
        <w:br/>
        <w:t>sus alegatos respecto al caso (supra párr. 21),  después  de  diversas</w:t>
        <w:br/>
        <w:t>prórrogas que le fueron otorgadas.</w:t>
        <w:br/>
        <w:br/>
        <w:t>25.   El 23 de octubre de 2003 la  Comisión,  de  conformidad  con  el</w:t>
        <w:br/>
        <w:t>artículo 50 de la Convención, aprobó el Informe Nº 94/03, en  el  cual</w:t>
        <w:br/>
        <w:t>concluyó que el  Estado  “es  responsable  por  la  violación  de  los</w:t>
        <w:br/>
        <w:t>derechos a  la  vida,  integridad  personal,  garantías  judiciales  y</w:t>
        <w:br/>
        <w:t>protección judicial, consagrados en los artículos 4, 5, 8 y 25  de  la</w:t>
        <w:br/>
        <w:t>Convención Americana, en relación con la obligación general de respeto</w:t>
        <w:br/>
        <w:t>y garantía de los derechos humanos establecida en el artículo 1(1) del</w:t>
        <w:br/>
        <w:t>mismo instrumento, en perjuicio de las víctimas individualizadas en el</w:t>
        <w:br/>
        <w:t>párrafo 43 de [dicho] informe”. Además, la  Comisión  indicó  que  “el</w:t>
        <w:br/>
        <w:t>objeto de[ … ese] informe trasc[endía] lo relativo a la promulgación y</w:t>
        <w:br/>
        <w:t>aplicación de la legislación antiterrorista en el Perú, en  virtud  de</w:t>
        <w:br/>
        <w:t>la cual  algunas  de  las  víctimas  se  encontraban  privadas  de  la</w:t>
        <w:br/>
        <w:t>libertad, toda vez que no e[ran] materia de los hechos  denunciados  y</w:t>
        <w:br/>
        <w:t>probados”.  Asimismo,  la  Comisión  recomendó  al  Estado:  “[l]levar</w:t>
        <w:br/>
        <w:t>adelante una  investigación  completa,  efectiva  e  imparcial  en  la</w:t>
        <w:br/>
        <w:t>jurisdicción  interna,  con  el  propósito  de  establecer  la  verdad</w:t>
        <w:br/>
        <w:t>histórica de los hechos; procesar y sancionar a los responsables de la</w:t>
        <w:br/>
        <w:t>masacre cometida contra los internos del Centro Penal  ‘Miguel  Castro</w:t>
        <w:br/>
        <w:t>Castro’ de la ciudad de Lima, entre los días 6 y 9 de mayo  de  1992”;</w:t>
        <w:br/>
        <w:t>“[a]doptar las medidas necesarias para identificar los  cadáveres  aún</w:t>
        <w:br/>
        <w:t>no reconocidos y entregar los restos a sus familiares”; “[a]doptar las</w:t>
        <w:br/>
        <w:t>medidas necesarias para  que  los  afectados  reciban  una  reparación</w:t>
        <w:br/>
        <w:t>adecuada por las violaciones a los derechos humanos padecidas a  causa</w:t>
        <w:br/>
        <w:t>de las acciones del Estado”; y “[a]doptar las medidas necesarias  para</w:t>
        <w:br/>
        <w:t>evitar que hechos similares vuelvan a cometerse,  en  cumplimiento  de</w:t>
        <w:br/>
        <w:t>los deberes de prevención y garantía  de  los  derechos  fundamentales</w:t>
        <w:br/>
        <w:t>reconocidos por la Convención Americana”.</w:t>
        <w:br/>
        <w:br/>
        <w:t>26.   El 9 de enero de 2004 la Comisión notificó el  referido  informe</w:t>
        <w:br/>
        <w:t>al Estado y le otorgó un plazo de dos meses, contado a  partir  de  la</w:t>
        <w:br/>
        <w:t>fecha  de  su  transmisión,  para  que  informara  sobre  las  medidas</w:t>
        <w:br/>
        <w:t>adoptadas con el fin de cumplir las recomendaciones formuladas.</w:t>
        <w:br/>
        <w:br/>
        <w:t>27.   El 9 de enero de 2004 la Comisión comunicó a  las  peticionarias</w:t>
        <w:br/>
        <w:t>la aprobación del informe (supra  párr.  25)  de  conformidad  con  el</w:t>
        <w:br/>
        <w:t>artículo 50 de la Convención y les solicitó  que  presentaran,  dentro</w:t>
        <w:br/>
        <w:t>del plazo de un mes, su posición sobre el sometimiento del caso  a  la</w:t>
        <w:br/>
        <w:t>Corte. También les solicitó que presentaran los datos de las víctimas;</w:t>
        <w:br/>
        <w:t>los poderes que acreditaran su calidad de  representantes;  la  prueba</w:t>
        <w:br/>
        <w:t>documental, testimonial y pericial adicional a la  presentada  durante</w:t>
        <w:br/>
        <w:t>el trámite del caso ante la Comisión; y sus pretensiones en materia de</w:t>
        <w:br/>
        <w:t>reparaciones y costas.</w:t>
        <w:br/>
        <w:br/>
        <w:t>28.   Los días 4 de marzo, 7 de abril y 9 de julio de 2004, el  Estado</w:t>
        <w:br/>
        <w:t>solicitó prórrogas para informar a la Comisión del cumplimiento de las</w:t>
        <w:br/>
        <w:t>recomendaciones contenidas en el Informe Nº 94/03 (supra párrs.  25  y</w:t>
        <w:br/>
        <w:t>26). La Comisión concedió las  prórrogas  solicitadas,  la  última  de</w:t>
        <w:br/>
        <w:t>ellas hasta el 9 de agosto de 2004.</w:t>
        <w:br/>
        <w:br/>
        <w:t>29.    Los días 6 de febrero y 7 de marzo de  2004  las  peticionarias</w:t>
        <w:br/>
        <w:t>presentaron dos comunicaciones a la Comisión, en las cuales declararon</w:t>
        <w:br/>
        <w:t>su interés en que la Comisión remitiera el  caso  a  la  Corte  (supra</w:t>
        <w:br/>
        <w:t>párr. 27).</w:t>
        <w:br/>
        <w:br/>
        <w:t>30.   El 7 de marzo de 2004 la señora Mónica Feria Tinta  presentó  un</w:t>
        <w:br/>
        <w:t>escrito y sus anexos,  mediante  los  cuales  remitió  la  información</w:t>
        <w:br/>
        <w:t>solicitada por la Comisión en la comunicación de 9 de  enero  de  2004</w:t>
        <w:br/>
        <w:t>(supra párr. 27). Asimismo,  observó,  inter  alia,  que  “los  hechos</w:t>
        <w:br/>
        <w:t>fueron planeados como masacre[…]”, que se  entregó  información  a  la</w:t>
        <w:br/>
        <w:t>Comisión “sobre el tipo de tortura durante y posterior  a  la  masacre</w:t>
        <w:br/>
        <w:t>infligido contra los prisioneros”, y que “subraya[ron] las violaciones</w:t>
        <w:br/>
        <w:t>físicas perpetradas contra las mujeres heridas  en  el  hospital”.  La</w:t>
        <w:br/>
        <w:t>señora Feria Tinta indicó que  “[l]a  falta  de  referencia  a  es[os]</w:t>
        <w:br/>
        <w:t>hechos horrendos en el reporte de la Comisión no m[ostró] la  magnitud</w:t>
        <w:br/>
        <w:t>y horror de los hechos vividos  por  los  prisioneros”.  Asimismo,  la</w:t>
        <w:br/>
        <w:t>señora Mónica Feria Tinta expresó,  inter  alia,  que  “considera[ban]</w:t>
        <w:br/>
        <w:t>como parte del objeto de es[a] demanda no sólo a los hechos  ocurridos</w:t>
        <w:br/>
        <w:t>durante el 6 [al] 9 de mayo de 1992”,  sino  también  “el  terrible  y</w:t>
        <w:br/>
        <w:t>deshumanizante régimen  carcelario  al  que  se  […]  sometió  [a  los</w:t>
        <w:br/>
        <w:t>internos] con el intento de destruirlos como seres humanos”,  respecto</w:t>
        <w:br/>
        <w:t>de lo que se había presentado información a la Comisión.  Asimismo, la</w:t>
        <w:br/>
        <w:t>señora Feria Tinta  resaltó  que  “[e]l  alcance  del  reporte  de  la</w:t>
        <w:br/>
        <w:t>Comisión […] no reflej[ó]  que  esos  hechos  [fueran]  parte  de  las</w:t>
        <w:br/>
        <w:t>violaciones incurridas por el Estado”.</w:t>
        <w:br/>
        <w:br/>
        <w:t>31.   El 5 de agosto de  2004  el  Estado  remitió  un  informe  a  la</w:t>
        <w:br/>
        <w:t>Comisión en respuesta a las recomendaciones del Informe  de  fondo  Nº</w:t>
        <w:br/>
        <w:t>94/03 (supra párrs. 25, 26 y 28). Los anexos fueron presentados el  24</w:t>
        <w:br/>
        <w:t>de agosto de 2004.</w:t>
        <w:br/>
        <w:br/>
        <w:br/>
        <w:t>32.   El 13 de agosto  de  2004,  “ante  la  falta  de  implementación</w:t>
        <w:br/>
        <w:t>satisfactoria de las recomendaciones contenidas en el  informe  94/03”</w:t>
        <w:br/>
        <w:t>(supra párr. 25), la Comisión decidió someter el presente  caso  a  la</w:t>
        <w:br/>
        <w:t>jurisdicción de la Corte.</w:t>
        <w:br/>
        <w:br/>
        <w:br/>
        <w:br/>
        <w:t xml:space="preserve">                                     IV</w:t>
        <w:br/>
        <w:t xml:space="preserve">                         Procedimiento ante la Corte</w:t>
        <w:br/>
        <w:br/>
        <w:br/>
        <w:t>33.   El 9 de septiembre de 2004 la Comisión Interamericana   presentó</w:t>
        <w:br/>
        <w:t>la demanda ante la Corte,  a  la  cual  adjuntó  prueba  documental  y</w:t>
        <w:br/>
        <w:t>ofreció prueba testimonial y pericial. La Comisión presentó los anexos</w:t>
        <w:br/>
        <w:t>a la demanda el 29 de  septiembre  de  2004.  Asimismo,  designó  como</w:t>
        <w:br/>
        <w:t>delegados  a  los  señores  Freddy  Gutiérrez,  Florentín  Meléndez  y</w:t>
        <w:br/>
        <w:t>Santiago A. Canton, y  como  asesores  legales  a  los  señores  Ariel</w:t>
        <w:br/>
        <w:t>Dulitzky, Pedro Díaz, Juan Pablo Albán y Víctor Madrigal.</w:t>
        <w:br/>
        <w:br/>
        <w:t>34.   El 15 de octubre de 2004 la Secretaría de la Corte (en  adelante</w:t>
        <w:br/>
        <w:t>“la Secretaría”), siguiendo instrucciones del Presidente de la  Corte,</w:t>
        <w:br/>
        <w:t>solicitó a la Comisión que coordinara con las presuntas víctimas y sus</w:t>
        <w:br/>
        <w:t>familiares para que designaran, a la brevedad, un interviniente  común</w:t>
        <w:br/>
        <w:t>de los representantes, con el propósito de  proceder  a  notificar  la</w:t>
        <w:br/>
        <w:t>demanda, de conformidad con lo estipulado  en  el  artículo  23.2  del</w:t>
        <w:br/>
        <w:t>Reglamento  del  Tribunal.  Asimismo,   resolvió   que   la   Comisión</w:t>
        <w:br/>
        <w:t>“indi[cara…] quién, a [su] juicio[,  …]  deb[ía]  ser  considerado  el</w:t>
        <w:br/>
        <w:t>interviniente común que represent[aría] a las presuntas  víctimas”  en</w:t>
        <w:br/>
        <w:t>el proceso ante la Corte.</w:t>
        <w:br/>
        <w:br/>
        <w:t>35.   El 16 de noviembre de  2004  la  Comisión  remitió  un  escrito,</w:t>
        <w:br/>
        <w:t>mediante el cual presentó la información solicitada a través  de  nota</w:t>
        <w:br/>
        <w:t>de 15 de  octubre  de  2004  (supra  párr.  34)  en  relación  con  la</w:t>
        <w:br/>
        <w:t>designación de un interviniente común de  los  representantes  de  las</w:t>
        <w:br/>
        <w:t>presuntas víctimas en el presente caso. El 22 de noviembre de 2004  la</w:t>
        <w:br/>
        <w:t>Comisión presentó los anexos de dicho escrito.</w:t>
        <w:br/>
        <w:br/>
        <w:t>36.   El 14 de enero de 2005 la  Secretaría,  siguiendo  instrucciones</w:t>
        <w:br/>
        <w:t>del Presidente, remitió notas a  las  señoras  Mónica  Feria  Tinta  y</w:t>
        <w:br/>
        <w:t>Sabina  Astete,  acreditadas  como  representantes   al   momento   de</w:t>
        <w:br/>
        <w:t>presentación de la demanda de la  Comisión,  y  les  comunicó  que  la</w:t>
        <w:br/>
        <w:t>demanda se encontraba en la etapa de examen preliminar, de conformidad</w:t>
        <w:br/>
        <w:t>con el artículo 34 del Reglamento de la Corte.  Asimismo,  les  indicó</w:t>
        <w:br/>
        <w:t>que del análisis inicial de la referida demanda, el  Presidente  había</w:t>
        <w:br/>
        <w:t>constatado que en el procedimiento ante  la  Comisión  se  presentaron</w:t>
        <w:br/>
        <w:t>diversos problemas de representación, los cuales continuaban  ante  el</w:t>
        <w:br/>
        <w:t>Tribunal y se refirió a esos problemas.  Asimismo, se les solicitó que</w:t>
        <w:br/>
        <w:t>presentaran, a más tardar el 24 de enero de 2005, una lista  final  de</w:t>
        <w:br/>
        <w:t>presuntas víctimas a las que representarían, respecto de  quienes  las</w:t>
        <w:br/>
        <w:t>mencionadas señoras daban fe de conocer su verdadera voluntad  de  ser</w:t>
        <w:br/>
        <w:t>representadas por ellas.</w:t>
        <w:br/>
        <w:br/>
        <w:t>37.   El 24 de enero de 2005  la  señora  Sabina  Astete  presentó  un</w:t>
        <w:br/>
        <w:t>escrito, en respuesta a lo solicitado por el Presidente  (supra  párr.</w:t>
        <w:br/>
        <w:t>36), mediante el cual remitió la lista  final  de  presuntas  víctimas</w:t>
        <w:br/>
        <w:t>“representad[a]s por los [señores] Douglas Cassel y Peter Erlinder  en</w:t>
        <w:br/>
        <w:t>consulta con [la señora Sabina Astete] y la  [señora]  Berta  Flores”.</w:t>
        <w:br/>
        <w:t>Los anexos a dicho escrito fueron presentados el 26 de enero de 2005.</w:t>
        <w:br/>
        <w:br/>
        <w:t>38.   El 25 de enero de 2005 la señora Mónica Feria Tinta  remitió  un</w:t>
        <w:br/>
        <w:t>escrito y su anexo, en respuesta a lo  solicitado  por  el  Presidente</w:t>
        <w:br/>
        <w:t>(supra párr. 36), mediante los  cuales  presentó  la  lista  final  de</w:t>
        <w:br/>
        <w:t>presuntas víctimas a las que representa, respecto de quienes “d[ió] fe</w:t>
        <w:br/>
        <w:t>que conoce la voluntad” de ser representadas por ella.</w:t>
        <w:br/>
        <w:br/>
        <w:t>39.   El 8 de abril de 2005 la Secretaría, siguiendo instrucciones del</w:t>
        <w:br/>
        <w:t>Presidente,  otorgó  a  las  señoras  Feria  Tinta  y   Astete   plazo</w:t>
        <w:br/>
        <w:t>improrrogable hasta el 29 de abril de 2005 para que presentaran  todos</w:t>
        <w:br/>
        <w:t>los poderes de representación que les faltara remitir con el propósito</w:t>
        <w:br/>
        <w:t>de que la Corte resolviera lo conducente. Asimismo, se les aclaró  que</w:t>
        <w:br/>
        <w:t>si remitían nuevos poderes con posterioridad al vencimiento del  plazo</w:t>
        <w:br/>
        <w:t>otorgado, dichos poderes no cambiarían la decisión que el Presidente o</w:t>
        <w:br/>
        <w:t>la Corte hubieren adoptado.</w:t>
        <w:br/>
        <w:br/>
        <w:t>40.   El 4 de octubre de 2005 la Secretaría  comunicó  a  la  Comisión</w:t>
        <w:br/>
        <w:t>Interamericana, al Estado y a  los  representantes  de  las  presuntas</w:t>
        <w:br/>
        <w:t>víctimas y sus familiares que, en lo que respecta al desacuerdo de los</w:t>
        <w:br/>
        <w:t>representantes para designar un interviniente  común,  de  conformidad</w:t>
        <w:br/>
        <w:t>con el artículo 23 del Reglamento del Tribunal, éste resolvió  que  la</w:t>
        <w:br/>
        <w:t>interviniente común que representaría a las presuntas  víctimas  sería</w:t>
        <w:br/>
        <w:t>la señora Mónica Feria Tinta debido a que: del análisis de  todos  los</w:t>
        <w:br/>
        <w:t>poderes que constan en el expediente ante la Corte, se desprendía  que</w:t>
        <w:br/>
        <w:t>la señora Feria Tinta representaba  la  mayor  cantidad  de  presuntas</w:t>
        <w:br/>
        <w:t>víctimas que otorgaron poder; es presunta víctima y asumió gran  parte</w:t>
        <w:br/>
        <w:t>de la representación durante el procedimiento ante la Comisión;  y  se</w:t>
        <w:br/>
        <w:t>presentaron problemas con algunos de los poderes de  representación  a</w:t>
        <w:br/>
        <w:t>favor de la señora Sabina Astete, dado que no expresaban con  claridad</w:t>
        <w:br/>
        <w:t>la voluntad de los poderdantes y tenían una redacción  que  inducía  a</w:t>
        <w:br/>
        <w:t>error o confusión sobre dichas personas, ya que daba a entender que la</w:t>
        <w:br/>
        <w:t>señora Feria Tinta había decidido no representarlas. Asimismo, se  les</w:t>
        <w:br/>
        <w:t>indicó que no debe implicar una limitación al derecho de las presuntas</w:t>
        <w:br/>
        <w:t>víctimas o sus familiares de plantear ante la Corte sus solicitudes  y</w:t>
        <w:br/>
        <w:t>argumentos, así como ofrecer las pruebas correspondientes,  y  que  la</w:t>
        <w:br/>
        <w:t>interviniente  común  “ser[ía   la]   única   autorizad[a]   para   la</w:t>
        <w:br/>
        <w:t>presentación de solicitudes, argumentos y  pruebas  en  el  curso  del</w:t>
        <w:br/>
        <w:t>proceso, [y que] deber[ía] canalizar en los escritos, alegatos  orales</w:t>
        <w:br/>
        <w:t>y ofrecimientos probatorios las diversas pretensiones y argumentos  de</w:t>
        <w:br/>
        <w:t>los  distintos  representantes  de  las  presuntas  víctimas   y   sus</w:t>
        <w:br/>
        <w:t>familiares”. En cuanto a las  presuntas  víctimas  que  no  resultaren</w:t>
        <w:br/>
        <w:t>representadas o no tuvieren representación, el Tribunal indicó que  la</w:t>
        <w:br/>
        <w:t>Comisión “ser[ía] la representante procesal de aquéllas  como  garante</w:t>
        <w:br/>
        <w:t>del interés público bajo la Convención Americana, de modo a evitar  la</w:t>
        <w:br/>
        <w:t>indefensión de las  mismas”,  en  aplicación  del  artículo  33.3  del</w:t>
        <w:br/>
        <w:t>Reglamento de la Corte.</w:t>
        <w:br/>
        <w:br/>
        <w:t>41.   El 4 de octubre de 2005 la Secretaría, previo examen  preliminar</w:t>
        <w:br/>
        <w:t>de la demanda realizado por  el  Presidente,  de  conformidad  con  lo</w:t>
        <w:br/>
        <w:t>dispuesto en el artículo 35.1.b) y  e)  del  Reglamento,  la  notificó</w:t>
        <w:br/>
        <w:t>junto con sus anexos al Estado y  a  la  interviniente  común  de  los</w:t>
        <w:br/>
        <w:t>representantes de las presuntas víctimas y sus familiares (en adelante</w:t>
        <w:br/>
        <w:t>“la interviniente común”). Al Estado también le informó sobre el plazo</w:t>
        <w:br/>
        <w:t>para contestarla y designar su representación en el proceso.  Asimismo</w:t>
        <w:br/>
        <w:t>se informó a la interviniente común el plazo para presentar su escrito</w:t>
        <w:br/>
        <w:t>de  solicitudes,  argumentos  y  pruebas  (en  adelante  “escrito   de</w:t>
        <w:br/>
        <w:t>solicitudes y argumentos”).</w:t>
        <w:br/>
        <w:br/>
        <w:t>42.   El 6 de octubre de  2005  la  interviniente  común  presentó  un</w:t>
        <w:br/>
        <w:t>escrito, mediante el cual  comunicó  que  “h[a]  instruido  al  doctor</w:t>
        <w:br/>
        <w:t>Vaughan Lowe para que haga representaciones legales conjuntamente  con</w:t>
        <w:br/>
        <w:t>la suscrita […]”, y solicitó la adopción del idioma inglés como idioma</w:t>
        <w:br/>
        <w:t>de trabajo, conjuntamente con el español.</w:t>
        <w:br/>
        <w:br/>
        <w:t>43.   El 13 de  octubre  de  2005  la  Secretaría  remitió  una  nota,</w:t>
        <w:br/>
        <w:t>mediante la cual, siguiendo instrucciones del Presidente, informó a la</w:t>
        <w:br/>
        <w:t>interviniente común que el idioma  de  trabajo  del  caso  continuaría</w:t>
        <w:br/>
        <w:t>siendo el español. Lo  anterior  debido  a  que  “el  idioma  empleado</w:t>
        <w:br/>
        <w:t>previamente,  desde  el  inicio  del  trámite  ante  la  Corte  y  sin</w:t>
        <w:br/>
        <w:t>variación, ha[bía] sido el español”,  “el  Estado  demandado  […,]  la</w:t>
        <w:br/>
        <w:t>interviniente  común  de  los  representantes  y  la  mayoría  de  las</w:t>
        <w:br/>
        <w:t>presuntas  víctimas  t[enían]  el  idioma  español”  y  “el   Tribunal</w:t>
        <w:br/>
        <w:t>carec[ía] de recursos para tramitar el caso en dos idiomas o  traducir</w:t>
        <w:br/>
        <w:t>todo el material reunido a un idioma  diferente  del  que  se  ha[bía]</w:t>
        <w:br/>
        <w:t>empleado hasta [ese día]”.</w:t>
        <w:br/>
        <w:br/>
        <w:t>44.   El 17 de octubre de  2005  la  interviniente  común  remitió  un</w:t>
        <w:br/>
        <w:t>escrito y sus anexos, mediante los cuales solicitó una prórroga de  un</w:t>
        <w:br/>
        <w:t>mes para presentar el escrito de solicitudes y argumentos (supra párr.</w:t>
        <w:br/>
        <w:t>41). También solicitó que el Tribunal  requiriera  a  la  Comisión  la</w:t>
        <w:br/>
        <w:t>remisión  de  los  originales  de  algunos  anexos  y  videos  de  los</w:t>
        <w:br/>
        <w:t>testimonios  grabados,  los  cuales  supuestamente  no   habían   sido</w:t>
        <w:br/>
        <w:t>remitidos a la Corte.</w:t>
        <w:br/>
        <w:br/>
        <w:t>45.   El 27 de octubre de 2005 la Comisión presentó un escrito  y  sus</w:t>
        <w:br/>
        <w:t>anexos, mediante los cuales, inter  alia,  solicitó  que  el  Tribunal</w:t>
        <w:br/>
        <w:t>“requ[i]r[iera] al Estado […] la remisión de copias certificadas de la</w:t>
        <w:br/>
        <w:t>totalidad  de  los  documentos  disponibles   relacionados   con   las</w:t>
        <w:br/>
        <w:t>investigaciones desarrolladas en el ámbito de la jurisdicción  interna</w:t>
        <w:br/>
        <w:t>en  relación  con  los  hechos,  así  como  copia  autenticada  de  la</w:t>
        <w:br/>
        <w:t>legislación  y  disposiciones  reglamentarias  aplicables”.  Asimismo,</w:t>
        <w:br/>
        <w:t>reiteró que “lo enviado [como anexos a  la  demanda]  e[ra]  la  mejor</w:t>
        <w:br/>
        <w:t>copia con la que c[ontó] y ha podido obtener”.</w:t>
        <w:br/>
        <w:br/>
        <w:t>46.   El 2 de noviembre de 2005 la Secretaría, siguiendo instrucciones</w:t>
        <w:br/>
        <w:t>del Presidente, informó a la interviniente común que no se concedía la</w:t>
        <w:br/>
        <w:t>prórroga  solicitada  para  presentar  su  escrito  de  solicitudes  y</w:t>
        <w:br/>
        <w:t>argumentos (supra párr. 44) debido  a  que  la  improrrogabilidad  del</w:t>
        <w:br/>
        <w:t>plazo  para  presentar  dicho   escrito   se   encuentra   establecida</w:t>
        <w:br/>
        <w:t>expresamente en el Reglamento de la Corte.</w:t>
        <w:br/>
        <w:br/>
        <w:t>47.   El 2 de noviembre de 2005 la Secretaría, siguiendo instrucciones</w:t>
        <w:br/>
        <w:t>del Presidente,  solicitó  a  la  Comisión  que  remitiera  la  prueba</w:t>
        <w:br/>
        <w:t>indicada por la interviniente común en el escrito de 17 de octubre  de</w:t>
        <w:br/>
        <w:t>2005 (supra párr. 44).</w:t>
        <w:br/>
        <w:br/>
        <w:t>48.   El 4 de noviembre de  2005  la  Comisión  presentó  un  escrito,</w:t>
        <w:br/>
        <w:t>mediante  el  cual  remitió  los  originales  de  3  declaraciones  de</w:t>
        <w:br/>
        <w:t>presuntas víctimas, en respuesta al pedido de prueba realizado el 2 de</w:t>
        <w:br/>
        <w:t>noviembre de 2005 (supra párr. 47).  Los anexos a dicho escrito fueron</w:t>
        <w:br/>
        <w:t>presentados el 7 de noviembre de 2005.</w:t>
        <w:br/>
        <w:br/>
        <w:t>49.   El 6 de noviembre de 2005 la  interviniente  común  presentó  un</w:t>
        <w:br/>
        <w:t>escrito, mediante el cual remitió sus observaciones a la  “subsanación</w:t>
        <w:br/>
        <w:t>de los anexos” realizada por  la  Comisión  e  hizo  referencia  a  la</w:t>
        <w:br/>
        <w:t>“[d]ocumentación relativa al trámite inicial” ante la Comisión. Señaló</w:t>
        <w:br/>
        <w:t>que no se incluía “ninguna de las pruebas actuadas  en  contradictorio</w:t>
        <w:br/>
        <w:t>correspondiente a los años previos a  la  acumulación  del  expediente</w:t>
        <w:br/>
        <w:t>11.015 y el 11.769-B” (supra párr. 16). Debido a lo anterior  solicitó</w:t>
        <w:br/>
        <w:t>que la Comisión “corrig[iera dicha] omisión" y que  el  plazo  de  dos</w:t>
        <w:br/>
        <w:t>meses para  presentar  el  escrito  de  solicitudes  y  argumentos  se</w:t>
        <w:br/>
        <w:t>computará “sobre la base de recepción de [la]  demanda  y  sus  anexos</w:t>
        <w:br/>
        <w:t>legibles o completos”. Respecto a la última solicitud  la  Secretaría,</w:t>
        <w:br/>
        <w:t>siguiendo instrucciones del Tribunal, reiteró  lo  manifestado  en  la</w:t>
        <w:br/>
        <w:t>nota de Secretaría de 2 de noviembre de 2005 (supra párr. 46),  en  el</w:t>
        <w:br/>
        <w:t>sentido de que el plazo para presentar el  escrito  de  solicitudes  y</w:t>
        <w:br/>
        <w:t>argumentos es improrrogable y comienza a computarse desde  el  día  en</w:t>
        <w:br/>
        <w:t>que se le notificó la demanda. Asimismo, se indicó a la  interviniente</w:t>
        <w:br/>
        <w:t>común que posteriormente contaría  con  la  posibilidad  de  presentar</w:t>
        <w:br/>
        <w:t>alegatos finales orales y escritos.</w:t>
        <w:br/>
        <w:br/>
        <w:t>50.   El 10 de noviembre de 2005 el  Estado  designó  como  Agente  al</w:t>
        <w:br/>
        <w:t>señor Oscar Manuel Ayzanoa Vigil.</w:t>
        <w:br/>
        <w:br/>
        <w:t>51.   El 29 noviembre de 2005 la Secretaría,  siguiendo  instrucciones</w:t>
        <w:br/>
        <w:t>del Presidente, solicitó a  la  Comisión  que  “indi[cara]  si  en  el</w:t>
        <w:br/>
        <w:t>trámite ante dicho órgano ha[bía] recibido prueba  ‘en  procedimientos</w:t>
        <w:br/>
        <w:t>contradictorios’  que  no  se  hubiere  allegado   al   Tribunal   con</w:t>
        <w:br/>
        <w:t>anterioridad, de conformidad con lo dispuesto en el artículo 44.2  del</w:t>
        <w:br/>
        <w:t>Reglamento de la Corte, y de ser así la remit[iera]  a  la  brevedad”.</w:t>
        <w:br/>
        <w:t>Asimismo, ese día la Secretaría remitió una nota al  Estado,  mediante</w:t>
        <w:br/>
        <w:t>la cual se le solicitó que en su escrito de contestación a la  demanda</w:t>
        <w:br/>
        <w:t>y observaciones a las solicitudes, argumentos y pruebas  remitiera  la</w:t>
        <w:br/>
        <w:t>documentación relativa a las investigaciones internas y  la  normativa</w:t>
        <w:br/>
        <w:t>aplicable al caso solicitada por la Comisión en el párrafo 202  de  su</w:t>
        <w:br/>
        <w:t>demanda.</w:t>
        <w:br/>
        <w:br/>
        <w:t>52.   El 16 de diciembre de 2005 la Comisión presentó un  escrito  con</w:t>
        <w:br/>
        <w:t>anexos, mediante los cuales  remitió  su  respuesta  a  lo  solicitado</w:t>
        <w:br/>
        <w:t>mediante nota de 29 de noviembre de 2005 (supra párr. 51). La Comisión</w:t>
        <w:br/>
        <w:t>indicó, inter alia, que “no ha[bía] omitido enviar al Tribunal  ningún</w:t>
        <w:br/>
        <w:t>elemento  de  evidencia  que  h[ubiera]  estimado  relevante  para  el</w:t>
        <w:br/>
        <w:t>caso[...]”. Además remitió cuatro  documentos  que  contienen  “alguna</w:t>
        <w:br/>
        <w:t>referencia a los hechos [del] caso”,  dejando  constancia  de  que  la</w:t>
        <w:br/>
        <w:t>Comisión “consideró que únicamente reitera[ba]n evidencia allegada  al</w:t>
        <w:br/>
        <w:t>proceso a través de otras actuaciones”.</w:t>
        <w:br/>
        <w:br/>
        <w:t>53.   El 20 de diciembre de 2005 la  interviniente  común  remitió  su</w:t>
        <w:br/>
        <w:t>escrito  de  solicitudes  y  argumentos,  al  cual   acompañó   prueba</w:t>
        <w:br/>
        <w:t>documental y ofreció prueba testimonial y pericial. Asimismo,  adjuntó</w:t>
        <w:br/>
        <w:t>un escrito de 12 páginas y sus anexos e indicó que era de “un grupo de</w:t>
        <w:br/>
        <w:t>[presuntas] víctimas representadas por otros representantes”. El 26 de</w:t>
        <w:br/>
        <w:t>diciembre de 2005 presentó los anexos  al  escrito  de  solicitudes  y</w:t>
        <w:br/>
        <w:t>argumentos.</w:t>
        <w:br/>
        <w:br/>
        <w:t>54.   El 6 de enero de 2006 la Secretaría, siguiendo instrucciones del</w:t>
        <w:br/>
        <w:t>Presidente, solicitó  a  la  interviniente  común  que  presentara  el</w:t>
        <w:br/>
        <w:t>documento titulado “Lista de Víctimas” en idioma español, “a la  mayor</w:t>
        <w:br/>
        <w:t>brevedad”.  Dicho documento es parte  de  los  anexos  al  escrito  de</w:t>
        <w:br/>
        <w:t>solicitudes y argumentos (supra párr. 53).</w:t>
        <w:br/>
        <w:br/>
        <w:t>55.   El 15 de enero  de  2006  la  interviniente  común  presentó  un</w:t>
        <w:br/>
        <w:t>escrito y sus anexos, mediante los cuales remitió las traducciones  al</w:t>
        <w:br/>
        <w:t>español de diversos documentos que habían sido presentados  en  inglés</w:t>
        <w:br/>
        <w:t>en el trámite ante la Comisión y la Corte. El 19 de enero de  2006  la</w:t>
        <w:br/>
        <w:t>Secretaría indicó que quedaba a la espera de  la  traducción  faltante</w:t>
        <w:br/>
        <w:t>del documento titulado “Lista de Víctimas” (supra párr. 54).</w:t>
        <w:br/>
        <w:br/>
        <w:t>56.   El 12 de febrero de  2006  el  Estado  presentó  el  escrito  de</w:t>
        <w:br/>
        <w:t>contestación a la demanda y observaciones al escrito de solicitudes  y</w:t>
        <w:br/>
        <w:t>argumentos, al  cual  acompañó  prueba  documental  y  ofreció  prueba</w:t>
        <w:br/>
        <w:t>testimonial.  El 20 de febrero de 2006 el Perú remitió los  anexos  de</w:t>
        <w:br/>
        <w:t>dicho escrito. En dicho escrito, el Estado efectúo un  allanamiento  y</w:t>
        <w:br/>
        <w:t>reconocimiento   parcial   de   responsabilidad   internacional    por</w:t>
        <w:br/>
        <w:t>determinadas violaciones alegadas por la Comisión (infra párrs. 129  a</w:t>
        <w:br/>
        <w:t>159). Asimismo, el Perú indicó  que  “se  reserva[ba]  el  derecho  de</w:t>
        <w:br/>
        <w:t>expresar los fundamentos de derecho en un próximo escrito[, …] para lo</w:t>
        <w:br/>
        <w:t>cual solicit[ó] un plazo razonable a fin de poder  desarrollarlos  con</w:t>
        <w:br/>
        <w:t>la propiedad que un caso de la trascendencia de éste amerita[ba]”.</w:t>
        <w:br/>
        <w:br/>
        <w:t>57.   El 3 de marzo de 2006 la Secretaría, siguiendo instrucciones del</w:t>
        <w:br/>
        <w:t>Presidente  y  en  aplicación  de  las  disposiciones  reglamentarias,</w:t>
        <w:br/>
        <w:t>informó al Estado que no se concedía la solicitud de  un  nuevo  plazo</w:t>
        <w:br/>
        <w:t>para que desarrollara los “fundamentos de derecho” (supra  párr.  56),</w:t>
        <w:br/>
        <w:t>debido a que se trataba de un  acto  procesal  no  contemplado  en  el</w:t>
        <w:br/>
        <w:t>Reglamento.  La Secretaría también le indicó que  tendría  oportunidad</w:t>
        <w:br/>
        <w:t>de presentar alegaciones al exponer sus alegatos finales orales en  la</w:t>
        <w:br/>
        <w:t>eventual audiencia pública que se convocara, así como al presentar sus</w:t>
        <w:br/>
        <w:t>alegatos finales escritos.</w:t>
        <w:br/>
        <w:br/>
        <w:t>58.   El 13 de marzo de 2006 la  Secretaría,  siguiendo  instrucciones</w:t>
        <w:br/>
        <w:t>del Presidente, solicitó a las partes que, a más tardar el 24 de marzo</w:t>
        <w:br/>
        <w:t>de 2006, remitieran sus observaciones a la solicitud realizada por  la</w:t>
        <w:br/>
        <w:t>Comisión en el párrafo 203 de su demanda, en  el  sentido  de  que  la</w:t>
        <w:br/>
        <w:t>Corte admitiera como prueba testimonial, “en virtud del  principio  de</w:t>
        <w:br/>
        <w:t>economía procesal”, las declaraciones rendidas bajo juramento por  las</w:t>
        <w:br/>
        <w:t>señoras Mónica Feria Tinta y Avelina García Calderón  Orozco,  durante</w:t>
        <w:br/>
        <w:t>la audiencia sobre el fondo del caso celebrada ante la Comisión el  14</w:t>
        <w:br/>
        <w:t>de noviembre de 2001, contenidas en el Anexo 269 de la demanda.</w:t>
        <w:br/>
        <w:br/>
        <w:t>59.   El 21 de marzo  de  2006  la  interviniente  común  presentó  un</w:t>
        <w:br/>
        <w:t>escrito, mediante el cual indicó que remitía  sus  “observaciones”  al</w:t>
        <w:br/>
        <w:t>escrito de contestación a la demanda presentado por el  Estado  (supra</w:t>
        <w:br/>
        <w:t>párr. 56).</w:t>
        <w:br/>
        <w:br/>
        <w:t>60.   El 24 de marzo de 2006 la  Secretaría,  siguiendo  instrucciones</w:t>
        <w:br/>
        <w:t>del Presidente, informó a la interviniente común que  no  se  admitían</w:t>
        <w:br/>
        <w:t>las referidas “observaciones”  (supra  párr.  59),  debido  a  que  se</w:t>
        <w:br/>
        <w:t>trataba de un acto procesal no contemplado en el Reglamento. Asimismo,</w:t>
        <w:br/>
        <w:t>se reiteró el requerimiento formulado al Perú mediante nota de  29  de</w:t>
        <w:br/>
        <w:t>noviembre de 2005 (supra párr. 51), en el sentido de que remitiera  la</w:t>
        <w:br/>
        <w:t>documentación relativa a las investigaciones internas y a la normativa</w:t>
        <w:br/>
        <w:t>aplicable al caso.</w:t>
        <w:br/>
        <w:br/>
        <w:t>61.   El 24 de marzo  de  2006  la  interviniente  común  presentó  la</w:t>
        <w:br/>
        <w:t>traducción del documento titulado “Lista de Víctimas” (supra párrs. 54</w:t>
        <w:br/>
        <w:t>y 55).</w:t>
        <w:br/>
        <w:br/>
        <w:t>62.   Los días 24 y 27 de marzo de 2006 la interviniente  común  y  el</w:t>
        <w:br/>
        <w:t>Estado, respectivamente, presentaron sus observaciones a la  solicitud</w:t>
        <w:br/>
        <w:t>realizada por la Comisión, en el sentido de que el Tribunal  admitiera</w:t>
        <w:br/>
        <w:t>como prueba testimonial las declaraciones rendidas bajo juramento  por</w:t>
        <w:br/>
        <w:t>las señoras Feria Tinta y García  Calderón  durante  el  procedimiento</w:t>
        <w:br/>
        <w:t>ante la Comisión (supra párr. 58). Al respecto,  el  Estado  manifestó</w:t>
        <w:br/>
        <w:t>que  “no  formula[ba]  objeción”   a   la   referida   solicitud.   La</w:t>
        <w:br/>
        <w:t>interviniente  común  expresó  que  la  señora  Avelina  García  y  la</w:t>
        <w:br/>
        <w:t>interviniente común “ten[ían] la disposición  de  […]  ser  llamada[s]</w:t>
        <w:br/>
        <w:t>ante la  Corte  […]  como  testigo[s]”.  Asimismo,  agregó  que  “[d]e</w:t>
        <w:br/>
        <w:t>considerar la […] Corte que por economía procesal  [fuera]  preferible</w:t>
        <w:br/>
        <w:t>[…] admitir […] las declaraciones rendidas […] en la audiencia  [ante]</w:t>
        <w:br/>
        <w:t>la Comisión […], acepta[ban] lo que la Corte consider[ara] de  acuerdo</w:t>
        <w:br/>
        <w:t>a su mejor entender”.</w:t>
        <w:br/>
        <w:br/>
        <w:t>63.   El 26 de abril de 2006 la Comisión presentó un escrito, mediante</w:t>
        <w:br/>
        <w:t>el cual sometió al Tribunal  una  consulta  realizada  por  “el  señor</w:t>
        <w:br/>
        <w:t>Douglas Cassel, asesor legal del grupo de víctimas representado por la</w:t>
        <w:br/>
        <w:t>denunciante original, Sabina Astete”, “respecto al mecanismo apropiado</w:t>
        <w:br/>
        <w:t>para obtener autorización para que dicho grupo de  víctimas  pu[diera]</w:t>
        <w:br/>
        <w:t>comunicarse directamente con el Tribunal o en  su  defecto,  pu[diera]</w:t>
        <w:br/>
        <w:t>hacerlo a través de la Comisión  y  no  de  la  interviniente  común”.</w:t>
        <w:br/>
        <w:t>Asimismo, la Comisión solicitó a la Corte “que arbitr[ara] las medidas</w:t>
        <w:br/>
        <w:t>necesarias  para  garantizar  que  todas  las   [presuntas]   víctimas</w:t>
        <w:br/>
        <w:t>t[uvieran] acceso y [fueran] escuchadas de  acuerdo  al  procedimiento</w:t>
        <w:br/>
        <w:t>establecido en el Reglamento de la Corte […]”.</w:t>
        <w:br/>
        <w:br/>
        <w:t>64.   El 8 de mayo de 2006 la interviniente común remitió un escrito y</w:t>
        <w:br/>
        <w:t>sus anexos, mediante los cuales se refirió al escrito  presentado  por</w:t>
        <w:br/>
        <w:t>la Comisión el 26 de abril de  2006  (supra  párr.  63),  en  el  cual</w:t>
        <w:br/>
        <w:t>sometió al Tribunal una  consulta  realizada  por  el  señor  Douglass</w:t>
        <w:br/>
        <w:t>Cassel.</w:t>
        <w:br/>
        <w:br/>
        <w:t>65.   El 24 de mayo de 2006 el  Presidente  de  la  Corte  emitió  una</w:t>
        <w:br/>
        <w:t>Resolución, mediante la cual requirió que el señor  Wilfredo  Pedraza,</w:t>
        <w:br/>
        <w:t>propuesto como testigo por la Comisión, los  señores  Michael  Stephen</w:t>
        <w:br/>
        <w:t>Bronstein, Edith Tinta,  Rosario  Falconí  Alvarado,  Liliana  Peralta</w:t>
        <w:br/>
        <w:t>Saldarriaga, Osilia Ernestina Cruzatt viuda de  Juárez,  Eva  Challco,</w:t>
        <w:br/>
        <w:t>Luis Jiménez, Gustavo Adolfo Chávez  Hun,  Mercedes  Villaverde,  Raul</w:t>
        <w:br/>
        <w:t>Basilio  Orihuela  y  Jesús  Julcarima  Antonio,  propuestos  por   la</w:t>
        <w:br/>
        <w:t>interviniente  común,  prestaran   sus   testimonios   a   través   de</w:t>
        <w:br/>
        <w:t>declaraciones rendidas ante fedatario  público  (affidávits).  También</w:t>
        <w:br/>
        <w:t>requirió que el señor Christopher Birkbeck, propuesto como perito  por</w:t>
        <w:br/>
        <w:t>la Comisión, y los señores José Quiroga y Ana C.  Deutsch,  propuestos</w:t>
        <w:br/>
        <w:t>como peritos por la interviniente común, prestaran  sus  dictámenes  a</w:t>
        <w:br/>
        <w:t>través de declaraciones rendidas ante fedatario público  (affidávits).</w:t>
        <w:br/>
        <w:t>Además, requirió que, como prueba para  mejor  resolver,  los  señores</w:t>
        <w:br/>
        <w:t>Miriam Rodríguez Peralta, Cesar Mamani  Valverde,  Alfredo  Poccopachi</w:t>
        <w:br/>
        <w:t>Vallejos y Madelein Valle Rivera, prestaran sus testimonios  a  través</w:t>
        <w:br/>
        <w:t>de  declaraciones  rendidas  ante  fedatario   público   (affidávits).</w:t>
        <w:br/>
        <w:t>Asimismo, en dicha Resolución el Presidente convocó a las partes a una</w:t>
        <w:br/>
        <w:t>audiencia pública que se celebraría en la ciudad de San  Salvador,  El</w:t>
        <w:br/>
        <w:t>Salvador, en la sede de la Corte Suprema de Justicia, los días 26 y 27</w:t>
        <w:br/>
        <w:t>de junio de 2006, para escuchar sus alegatos finales orales  sobre  el</w:t>
        <w:br/>
        <w:t>fondo  y  las  eventuales  reparaciones  y  costas,   así   como   las</w:t>
        <w:br/>
        <w:t>declaraciones testimoniales de las  señoras  Gaby  Balcázar  Medina  y</w:t>
        <w:br/>
        <w:t>Julia Peña Castillo, propuestas por la Comisión, de los  señores  Luis</w:t>
        <w:br/>
        <w:t>Angel Pérez Zapata y Lastenia Eugenia Caballero Mejía, propuestos  por</w:t>
        <w:br/>
        <w:t>la  interviniente  común,  del  señor  Omar  Antonio  Pimentel  Calle,</w:t>
        <w:br/>
        <w:t>propuesto por el Estado, y los dictámenes periciales  de  los  señores</w:t>
        <w:br/>
        <w:t>Nizam Peerwani y Thomas Wenzel, propuestos por la interviniente común.</w:t>
        <w:br/>
        <w:t>Además, en esta Resolución el Presidente  informó  a  las  partes  que</w:t>
        <w:br/>
        <w:t>contaban con plazo hasta el 3 de agosto de  2006  para  presentar  sus</w:t>
        <w:br/>
        <w:t>alegatos finales escritos en relación con el fondo  y  las  eventuales</w:t>
        <w:br/>
        <w:t>reparaciones y costas.</w:t>
        <w:br/>
        <w:br/>
        <w:t>66.   El 30 de mayo  de  2006  la  interviniente  común  solicitó  una</w:t>
        <w:br/>
        <w:t>prórroga para presentar los peritajes a través de declaración  rendida</w:t>
        <w:br/>
        <w:t>ante fedatario público, en respuesta a lo requerido en  la  Resolución</w:t>
        <w:br/>
        <w:t>emitida por el Presidente el 24 de mayo  de  2006  (supra  párr.  65).</w:t>
        <w:br/>
        <w:t>Siguiendo instrucciones del Presidente de  la  Corte  se  concedió  la</w:t>
        <w:br/>
        <w:t>prórroga solicitada hasta el 21 de junio de 2006.</w:t>
        <w:br/>
        <w:br/>
        <w:t>67.   El 2 de mayo de 2006 el señor Douglas Cassel, quien  es  uno  de</w:t>
        <w:br/>
        <w:t>los representantes de las presuntas víctimas y sus  familiares  en  el</w:t>
        <w:br/>
        <w:t>caso, pero no el interviniente  común,  remitió  dos  escritos  y  sus</w:t>
        <w:br/>
        <w:t>anexos,  mediante  los  cuales  presentó  una  solicitud  de   medidas</w:t>
        <w:br/>
        <w:t>provisionales a la Corte, con el objeto, inter alia, de que “el Estado</w:t>
        <w:br/>
        <w:t>asegur[ara] que h[hubiera] una investigación […] pronta y adecuada del</w:t>
        <w:br/>
        <w:t>asalto [sufrido por la señora Madelein Valle Rivera][2]”.</w:t>
        <w:br/>
        <w:br/>
        <w:t>68.   El 31 de mayo de 2006 el Presidente, en consulta con los jueces,</w:t>
        <w:br/>
        <w:t>emitió una Resolución mediante la cual “desestim[ó]  la  solicitud  de</w:t>
        <w:br/>
        <w:t>medidas provisionales presentada por el señor Douglass Cassel” debido,</w:t>
        <w:br/>
        <w:t>inter alia, a que “estim[ó] que no se […] acredit[ó]  que  exist[iera]</w:t>
        <w:br/>
        <w:t>una situación de  extrema  gravedad  y  urgencia  que  amerit[ara]  la</w:t>
        <w:br/>
        <w:t>adopción de medidas urgentes a  favor  de  la  señora  Madelein  Valle</w:t>
        <w:br/>
        <w:t>Rivera, para evitar un daño irreparable a sus derechos”.</w:t>
        <w:br/>
        <w:br/>
        <w:t>69.   El 1 de junio de 2006 la Comisión  solicitó  una  prórroga  para</w:t>
        <w:br/>
        <w:t>presentar el peritaje del  señor  Christopher  Birkbeck  a  través  de</w:t>
        <w:br/>
        <w:t>declaración  rendida  ante  fedatario  público,  en  respuesta  a   lo</w:t>
        <w:br/>
        <w:t>requerido en la Resolución emitida por el Presidente el 24 de mayo  de</w:t>
        <w:br/>
        <w:t>2006 (supra párr.  65).  Siguiendo  instrucciones  del  Presidente  se</w:t>
        <w:br/>
        <w:t>concedió la prórroga solicitada, hasta el 21 de junio de 2006.</w:t>
        <w:br/>
        <w:br/>
        <w:t>70.   El 5 de junio de 2006 la Comisión presentó un escrito,  mediante</w:t>
        <w:br/>
        <w:t>el cual comunicó que “el 31 de mayo de 2006 el señor  Douglass  Cassel</w:t>
        <w:br/>
        <w:t>[…] solicit[ó] a la Comisión que lo incorpor[ara] a él,  a  la  señora</w:t>
        <w:br/>
        <w:t>Sabina Astete y al señor Sean O´Brien, a la delegación de la  Comisión</w:t>
        <w:br/>
        <w:t>para el caso”. Asimismo, solicitó a la Corte “que […] disp[usiera] las</w:t>
        <w:br/>
        <w:t>medidas que consider[ara] necesarias para garantizar la representación</w:t>
        <w:br/>
        <w:t>efectiva de todas las [presuntas] víctimas […]”.</w:t>
        <w:br/>
        <w:br/>
        <w:t>71.   El 6 de junio de 2006 la Secretaría, siguiendo instrucciones del</w:t>
        <w:br/>
        <w:t>Presidente, solicitó a la Comisión que remitiera una copia del escrito</w:t>
        <w:br/>
        <w:t>mediante el cual el señor Cassel  realizó  la  solicitud  a  que  hace</w:t>
        <w:br/>
        <w:t>referencia la comunicación de la Comisión de 5 de junio de 2006 (supra</w:t>
        <w:br/>
        <w:t>párr. 70).</w:t>
        <w:br/>
        <w:br/>
        <w:t>72.   El 7 de junio de 2006 la  Comisión  presentó  un  escrito  y  su</w:t>
        <w:br/>
        <w:t>anexo, mediante los cuales remitió copia de “las partes pertinentes de</w:t>
        <w:br/>
        <w:t>la solicitud formulada a la Comisión el 31 de  mayo  de  2006  por  el</w:t>
        <w:br/>
        <w:t>[señor] Douglass Cassel”, en relación al caso (supra párrs. 70 y  71).</w:t>
        <w:br/>
        <w:t>Según el referido anexo, el 31 de  mayo  de  2006  el  señor  Douglass</w:t>
        <w:br/>
        <w:t>Cassel solicitó a la Comisión que, de acuerdo con el artículo 69 de su</w:t>
        <w:br/>
        <w:t>Reglamento y para los efectos de la audiencia que se  realizaría  ante</w:t>
        <w:br/>
        <w:t>la Corte  los  días  26  y  27  de  junio  de  2006,  designara  a  la</w:t>
        <w:br/>
        <w:t>peticionaria Sabina Astete como  delegada  de  la  Comisión  y  a  los</w:t>
        <w:br/>
        <w:t>abogados Douglass Cassel y Sean O´Brien como delegados o asistentes.</w:t>
        <w:br/>
        <w:br/>
        <w:t>73.   El 8 de junio de 2006 la interviniente común  remitió  copia  de</w:t>
        <w:br/>
        <w:t>las declaraciones escritas de los testigos Michael Stephen Bronstein y</w:t>
        <w:br/>
        <w:t>Luis  F.  Jiménez  (supra  párr.   65).   La   Secretaría,   siguiendo</w:t>
        <w:br/>
        <w:t>instrucciones del Presidente, le solicitó que remitiera la declaración</w:t>
        <w:br/>
        <w:t>del señor Michael Stephen Bronstein en idioma español  a  la  brevedad</w:t>
        <w:br/>
        <w:t>posible.</w:t>
        <w:br/>
        <w:br/>
        <w:t>74.   El 9 de junio de 2006 la Secretaría, siguiendo instrucciones del</w:t>
        <w:br/>
        <w:t>Presidente en consulta con los jueces, remitió una nota a la  Comisión</w:t>
        <w:br/>
        <w:t>en relación con los escritos de 5 y 7 de junio de 2006  (supra  párrs.</w:t>
        <w:br/>
        <w:t>70 y 72), en la cual le indicó que la decisión sobre la integración de</w:t>
        <w:br/>
        <w:t>su delegación para la  audiencia  pública  correspondía  a  la  propia</w:t>
        <w:br/>
        <w:t>Comisión, ya que se trata  de  una  situación  claramente  prevista  y</w:t>
        <w:br/>
        <w:t>resuelta en el artículo 69.2 del Reglamento de la Comisión, y el señor</w:t>
        <w:br/>
        <w:t>Cassel invocó expresamente  la  norma  aplicable  a  dicha  situación.</w:t>
        <w:br/>
        <w:t>Asimismo, se informó a la Comisión que la Corte no tenía inconveniente</w:t>
        <w:br/>
        <w:t>en que se atendiera, en el presente caso, a la  disposición  contenida</w:t>
        <w:br/>
        <w:t>en el Reglamento de la Comisión, en  la  forma  que  ésta  considerara</w:t>
        <w:br/>
        <w:t>pertinente.</w:t>
        <w:br/>
        <w:br/>
        <w:t>75.   El 9 de junio  de  2006  la  interviniente  común  solicitó  una</w:t>
        <w:br/>
        <w:t>prórroga para presentar  los  testimonios  y  peritajes  a  través  de</w:t>
        <w:br/>
        <w:t>declaración rendida ante fedatario público  que  aún  no  habían  sido</w:t>
        <w:br/>
        <w:t>remitidos al Tribunal, en respuesta a lo requerido  en  la  Resolución</w:t>
        <w:br/>
        <w:t>emitida por el Presidente el 24 de mayo  de  2006  (supra  párr.  65).</w:t>
        <w:br/>
        <w:t>Siguiendo  instrucciones  del  Presidente  se  concedió  la   prórroga</w:t>
        <w:br/>
        <w:t>solicitada hasta el 16 de junio de 2006.</w:t>
        <w:br/>
        <w:br/>
        <w:t>76.   El 9 de junio de 2006 la Comisión  solicitó  una  prórroga  para</w:t>
        <w:br/>
        <w:t>presentar el  testimonio  del  señor  Wilfredo  Pedraza  a  través  de</w:t>
        <w:br/>
        <w:t>declaración  rendida  ante  fedatario  público,  en  respuesta  a   lo</w:t>
        <w:br/>
        <w:t>requerido en la Resolución emitida por el Presidente el 24 de mayo  de</w:t>
        <w:br/>
        <w:t>2006 (supra párr.  65).  Siguiendo  instrucciones  del  Presidente  se</w:t>
        <w:br/>
        <w:t>concedió la prórroga solicitada hasta el 21 de junio de 2006.</w:t>
        <w:br/>
        <w:br/>
        <w:t>77.   El 11 de junio de 2006 la interviniente común remitió  copia  de</w:t>
        <w:br/>
        <w:t>la declaración escrita de la testigo Osilia Ernestina Cruzatt viuda de</w:t>
        <w:br/>
        <w:t>Juárez (supra párr. 65).</w:t>
        <w:br/>
        <w:br/>
        <w:t>78.   El 12 de junio  de  2006  la  interviniente  común  presentó  un</w:t>
        <w:br/>
        <w:t>escrito y su anexo, mediante los cuales  manifestó  “su  posición”  en</w:t>
        <w:br/>
        <w:t>relación con la solicitud de “la señora [Sabina] Astete y  el  [señor]</w:t>
        <w:br/>
        <w:t>Douglass  Cassel  de  ser  designados   Delegados   de   la   Comisión</w:t>
        <w:br/>
        <w:t>Interamericana” durante la audiencia pública convocada en el  presente</w:t>
        <w:br/>
        <w:t>caso (supra párrs. 70 y 72). Al respecto, siguiendo instrucciones  del</w:t>
        <w:br/>
        <w:t>Presidente, se  le  informó  que  su  escrito  fue  transmitido  a  la</w:t>
        <w:br/>
        <w:t>Comisión, para los efectos pertinentes.</w:t>
        <w:br/>
        <w:br/>
        <w:t>79.   El 13 de junio de 2006 la interviniente común remitió copias  de</w:t>
        <w:br/>
        <w:t>las declaraciones escritas de las testigos Eva Sofía Challco Hurtado y</w:t>
        <w:br/>
        <w:t>Luz Liliana Peralta Saldarriaga (supra párr. 65).</w:t>
        <w:br/>
        <w:br/>
        <w:t>80.   El 13 de junio de 2006 la Asociación  de  Familiares  de  Presos</w:t>
        <w:br/>
        <w:t>Políticos Desaparecidos y Víctimas de Genocidio,  en  respuesta  a  la</w:t>
        <w:br/>
        <w:t>prueba para mejor resolver requerida por el  Presidente  (supra  párr.</w:t>
        <w:br/>
        <w:t>65), remitió copia de  las  declaraciones  escritas  de  los  testigos</w:t>
        <w:br/>
        <w:t>Nieves Miriam Rodríguez Peralta, Madelein Escolástica Valle  Rivera  y</w:t>
        <w:br/>
        <w:t>Alfredo Poccorpachi Vallejos. Asimismo, presentaron un disco  compacto</w:t>
        <w:br/>
        <w:t>con la grabación de dichas declaraciones.</w:t>
        <w:br/>
        <w:br/>
        <w:t>81.   El 13 de junio de  2006  el  señor  César  Mamani  Valverde,  en</w:t>
        <w:br/>
        <w:t>respuesta al requerimiento de prueba para mejor resolver realizado por</w:t>
        <w:br/>
        <w:t>el Presidente (supra párr. 65), remitió su declaración escrita.</w:t>
        <w:br/>
        <w:br/>
        <w:t>82.   El 16 de junio de 2006 la interviniente común remitió  copia  de</w:t>
        <w:br/>
        <w:t>las declaraciones escritas de las señoras Edith Adriana Tinta Junco de</w:t>
        <w:br/>
        <w:t>Feria  (supra  párr.  65)  y  Rubeth  Feria  Tinta.  Respecto  de   la</w:t>
        <w:br/>
        <w:t>declaración de esta última señaló que “[p]ese a que [dicho  a]ffidávit</w:t>
        <w:br/>
        <w:t>no fue ofrecido […], se hizo necesario pues [la interviniente  común,]</w:t>
        <w:br/>
        <w:t>halló difícil hacer preguntas a su […] madre”, por lo que solicitó  al</w:t>
        <w:br/>
        <w:t>Tribunal que aceptara dicha declaración “como complementari[a]”  a  la</w:t>
        <w:br/>
        <w:t>declaración de la señora Edith  Tinta.  La  Secretaría  informó  a  la</w:t>
        <w:br/>
        <w:t>interviniente común que dicha solicitud sería puesta  en  conocimiento</w:t>
        <w:br/>
        <w:t>de la Corte para los efectos pertinentes.</w:t>
        <w:br/>
        <w:br/>
        <w:t>83.   El 17 de junio de 2006 la interviniente común remitió  copia  de</w:t>
        <w:br/>
        <w:t>la declaración del testigo Raúl Basilio Gil Orihuela (supra párr. 65).</w:t>
        <w:br/>
        <w:t>Asimismo, solicitó una prórroga para presentar los testimonios de  los</w:t>
        <w:br/>
        <w:t>señores Rosario Falconí, Jesús Angel Julcarima, Gustavo Chávez  Hun  y</w:t>
        <w:br/>
        <w:t>Mercedes Villaverde a través de  declaración  rendida  ante  fedatario</w:t>
        <w:br/>
        <w:t>público,  en respuesta a lo requerido en la Resolución emitida por  el</w:t>
        <w:br/>
        <w:t>Presidente de 24 de mayo de 2006  (supra  párr.  65).  La  Secretaría,</w:t>
        <w:br/>
        <w:t>siguiendo instrucciones del Presidente, solicitó  a  la  representante</w:t>
        <w:br/>
        <w:t>que remitiera dichas declaraciones a la brevedad.</w:t>
        <w:br/>
        <w:br/>
        <w:t>84.   El 19 de junio de 2006 el perito Christopher Birkbeck remitió su</w:t>
        <w:br/>
        <w:t>declaración escrita (supra párr. 65).</w:t>
        <w:br/>
        <w:br/>
        <w:t>85.   El 20 de junio de 2006 la Comisión presentó un escrito, mediante</w:t>
        <w:br/>
        <w:t>el cual desistió de la presentación  de  la  declaración  escrita  del</w:t>
        <w:br/>
        <w:t>señor Wilfredo Pedraza (supra párrs. 65 y  76),  debido  a  que  dicho</w:t>
        <w:br/>
        <w:t>señor informó a la Comisión que “a pesar de la prórroga  otorgada  por</w:t>
        <w:br/>
        <w:t>la […] Corte […], por limitaciones de tiempo  no  le  ser[ía]  posible</w:t>
        <w:br/>
        <w:t>cumplir con lo requerido”. Ese  mismo  día  la  Comisión  presentó  un</w:t>
        <w:br/>
        <w:t>escrito mediante el cual indicó  que  “no  t[enía]  observaciones  que</w:t>
        <w:br/>
        <w:t>formular a las declaraciones de los señores Michael Stephen  Bronstein</w:t>
        <w:br/>
        <w:t>[supra párr. 73], Osilia Ernestina  Cruzatt  viuda  de  Juárez  [supra</w:t>
        <w:br/>
        <w:t>párr.  77],  Eva  Sofía  C[h]allco  Hurtado,   Luz   Liliana   Peralta</w:t>
        <w:br/>
        <w:t>Saldarriaga, Nieves Miriam  Rodríguez  Peralta,  Madelein  Escolástica</w:t>
        <w:br/>
        <w:t>Valle Rivera, Alfredo Poccorpachi Vallejos y  César  Mamaní  Valverde”</w:t>
        <w:br/>
        <w:t>(supra párr. 79). Además, en dicho escrito presentó observaciones a la</w:t>
        <w:br/>
        <w:t>declaración del señor Luis F. Jiménez (supra párr. 73) e, inter  alia,</w:t>
        <w:br/>
        <w:t>solicitó a la Corte “agregar al acervo probatorio únicamente  aquellos</w:t>
        <w:br/>
        <w:t>elementos de la declaración que cumpl[ieran] con  el  objeto  señalado</w:t>
        <w:br/>
        <w:t>por el Tribunal”.</w:t>
        <w:br/>
        <w:br/>
        <w:t>86.   El 21 de junio  de  2006  la  interviniente  común  presentó  un</w:t>
        <w:br/>
        <w:t>escrito, mediante el cual remitió copia de los  dictámenes  periciales</w:t>
        <w:br/>
        <w:t>de la señora Ana Deutsch y el señor José Quiroga (supra párr. 65).</w:t>
        <w:br/>
        <w:br/>
        <w:t>87.   El 24 de junio de 2006  la  interviniente  común  remitió  copia</w:t>
        <w:br/>
        <w:t>completa de la declaración escrita del testigo Jesús  Ángel  Julcarima</w:t>
        <w:br/>
        <w:t>Antonio (supra párr. 65).</w:t>
        <w:br/>
        <w:br/>
        <w:t>88.   El 25 de junio  de  2006  la  interviniente  común  presentó  un</w:t>
        <w:br/>
        <w:t>escrito, en el que formuló una “objeción a la participación del  señor</w:t>
        <w:br/>
        <w:t>Diego García Sayán como juez en el presente caso”, por considerar  que</w:t>
        <w:br/>
        <w:t>tendría impedimento para ello. La interviniente  indicó,  inter  alia,</w:t>
        <w:br/>
        <w:t>que el Juez García-Sayán fue Ministro  de  Justicia  y  de  Relaciones</w:t>
        <w:br/>
        <w:t>Exteriores del Perú, y como tal tuvo “responsabilidad como funcionario</w:t>
        <w:br/>
        <w:t>de las políticas y decisiones del Estado  Peruano  en  relación  a  la</w:t>
        <w:br/>
        <w:t>investigación o falta de investigación de los hechos”.</w:t>
        <w:br/>
        <w:br/>
        <w:t>89.   El 25 de junio de 2006 el Perú presentó un escrito, mediante  el</w:t>
        <w:br/>
        <w:t>cual manifestó su “objeción” a la pretensión de la interviniente común</w:t>
        <w:br/>
        <w:t>(supra párr. 88).</w:t>
        <w:br/>
        <w:br/>
        <w:t>90.   El 25 de junio de 2006 la Corte emitió una Resolución,  mediante</w:t>
        <w:br/>
        <w:t>la cual “rechaz[ó] por improcedente la  recusación  planteada  por  la</w:t>
        <w:br/>
        <w:t>interviniente común […] respecto de la participación  del  Juez  Diego</w:t>
        <w:br/>
        <w:t>García-Sayán para  el  conocimiento  del  caso”  (supra  párr.  88)  y</w:t>
        <w:br/>
        <w:t>resolvió que se debía continuar con la tramitación del caso y llevar a</w:t>
        <w:br/>
        <w:t>cabo la audiencia pública convocada. La Corte  tomó  en  consideración</w:t>
        <w:br/>
        <w:t>que la petición fue efectuada el día anterior a la realización  de  la</w:t>
        <w:br/>
        <w:t>audiencia pública y estimó que no se aportó evidencia  alguna  de  que</w:t>
        <w:br/>
        <w:t>los hechos y argumentos expuestos en la solicitud fueran constitutivos</w:t>
        <w:br/>
        <w:t>de alguna de las causales previstas en el artículo 19 del Estatuto  de</w:t>
        <w:br/>
        <w:t>la Corte.</w:t>
        <w:br/>
        <w:br/>
        <w:t>91.   El 26 de junio de 2006 el Juez Diego  García-Sayán  presentó  un</w:t>
        <w:br/>
        <w:t>escrito, mediante el cual se excusó de conocer el  presente  caso.  En</w:t>
        <w:br/>
        <w:t>dicho escrito el Juez García-Sayán  manifestó,  inter  alia,  que  “no</w:t>
        <w:br/>
        <w:t>ha[bía] tenido intervención en los hechos materia de este caso, por lo</w:t>
        <w:br/>
        <w:t>que  la  Resolución  de  [la]  Corte  [emitida  el  día  anterior]  se</w:t>
        <w:br/>
        <w:t>enc[ontró] perfectamente ajustada a las disposiciones de[l] Estatuto”,</w:t>
        <w:br/>
        <w:t>y que “mucho menos, pudo  haber  tenido  intervención  alguna  en  las</w:t>
        <w:br/>
        <w:t>‘políticas  y  decisiones  del  Estado  peruano  en  relación   a   la</w:t>
        <w:br/>
        <w:t>investigación o falta de  investigación  de  los  hechos’”.  Asimismo,</w:t>
        <w:br/>
        <w:t>comunicó que tomó la decisión de excusarse debido a que  “se  [iba]  a</w:t>
        <w:br/>
        <w:t>iniciar […] una audiencia pública cuyo normal desenvolvimiento  podría</w:t>
        <w:br/>
        <w:t>verse afectado por la imprevisible conducta de la [interviniente común</w:t>
        <w:br/>
        <w:t>y que e]l precioso tiempo de la  Corte,  las  partes  y  los  testigos</w:t>
        <w:br/>
        <w:t>deb[ía] concentrarse en los asuntos de fondo y  no  dejar  abierta  la</w:t>
        <w:br/>
        <w:t>posibilidad de que se distra[jera] en asuntos que nada tienen que  ver</w:t>
        <w:br/>
        <w:t>con el caso y la efectiva vigencia de los derechos humanos,  razón  de</w:t>
        <w:br/>
        <w:t>ser de esta Corte”.</w:t>
        <w:br/>
        <w:br/>
        <w:t>92.   El 26 de junio de 2006 la Corte emitió una Resolución,  mediante</w:t>
        <w:br/>
        <w:t>la cual, pese a que estimó que no existía impedimento para que el Juez</w:t>
        <w:br/>
        <w:t>García-Sayán conociera este caso, “acept[ó] la excusa planteada por el</w:t>
        <w:br/>
        <w:t>[referido] Juez […] de continuar conociendo […] el caso” (supra  párr.</w:t>
        <w:br/>
        <w:t>91). Lo anterior, en consideración de lo señalado en los artículos  19</w:t>
        <w:br/>
        <w:t>del Reglamento y Estatuto de la Corte, y del análisis de  los  motivos</w:t>
        <w:br/>
        <w:t>expuestos por el Juez Diego García-Sayán para excusarse  de  continuar</w:t>
        <w:br/>
        <w:t>conociendo el caso.</w:t>
        <w:br/>
        <w:br/>
        <w:t>93.   Los días 26 y 27 de  junio  de  2006  se  celebró  la  audiencia</w:t>
        <w:br/>
        <w:t>pública sobre fondo y eventuales reparaciones y costas, en  la  ciudad</w:t>
        <w:br/>
        <w:t>de San Salvador, El Salvador, en la  cual  comparecieron:  a)  por  la</w:t>
        <w:br/>
        <w:t>Comisión  Interamericana:  Florentín  Meléndez  y   Santiago   Canton,</w:t>
        <w:br/>
        <w:t>delegados; Víctor Madrigal, Juan Pablo Alban, Lilly  Ching  y  Manuela</w:t>
        <w:br/>
        <w:t>Cuvi, asesores legales; b) por la interviniente  común:  Mónica  Feria</w:t>
        <w:br/>
        <w:t>Tinta, representante, y Zoe Harper, asesora: y c) por  el  Estado  del</w:t>
        <w:br/>
        <w:t>Perú: Oscar Manuel Ayzanoa Vigil, Agente. Asimismo comparecieron  ante</w:t>
        <w:br/>
        <w:t>la Corte los testigos y peritos propuestos por las partes y convocados</w:t>
        <w:br/>
        <w:t>por el Presidente (supra párr. 65 e infra párr. 187). La Corte también</w:t>
        <w:br/>
        <w:t>escuchó los alegatos finales de la Comisión, la interviniente común  y</w:t>
        <w:br/>
        <w:t>el Estado. Asimismo, la Corte solicitó al Estado y a la  interviniente</w:t>
        <w:br/>
        <w:t>común que presentaran determinadas explicaciones  y  documentos  junto</w:t>
        <w:br/>
        <w:t>con sus respectivos escritos de alegatos  finales.  Además,  en  dicha</w:t>
        <w:br/>
        <w:t>audiencia la interviniente común presentó documentación  diversa.  Ese</w:t>
        <w:br/>
        <w:t>mismo  día,  la  interviniente  común  remitió  los  anexos   de   las</w:t>
        <w:br/>
        <w:t>declaraciones escritas de las testigos Osilia Ernestina Cruzatt  viuda</w:t>
        <w:br/>
        <w:t>de Juárez y Luz Liliana Peralta Saldarriaga, así como el anexo  No.  2</w:t>
        <w:br/>
        <w:t>del peritaje del señor José Quiroga (supra párr. 65).</w:t>
        <w:br/>
        <w:br/>
        <w:t>94.   El 30 de junio de 2006 la Comisión presentó un escrito, mediante</w:t>
        <w:br/>
        <w:t>el cual informó que “no  t[enía]  observaciones  que  formular  a  las</w:t>
        <w:br/>
        <w:t>declaraciones de los señores Rubeth  Feria  Tinta,  Raúl  Basilio  Gil</w:t>
        <w:br/>
        <w:t>Orihuela, Ana Deutsch y José Quiroga” (supra  párrs.  82,  83  y  86).</w:t>
        <w:br/>
        <w:t>Además, presentó observaciones a la declaración  de  la  señora  Edith</w:t>
        <w:br/>
        <w:t>Feria Tinta e, inter alia, solicitó a  la  Corte  “agregar  al  acervo</w:t>
        <w:br/>
        <w:t>probatorio  únicamente  aquellos  elementos  de  la  declaración   que</w:t>
        <w:br/>
        <w:t>cumpl[ían] con el objeto señalado por el Tribunal, excluyendo aquellos</w:t>
        <w:br/>
        <w:t>que se ref[erían] al asunto que aún pende ante la Comisión”.</w:t>
        <w:br/>
        <w:br/>
        <w:t>95.   El 3 de  julio  de  2006  la  interviniente  común  presentó  un</w:t>
        <w:br/>
        <w:t>escrito, mediante el cual solicitó a la Corte que, en  aplicación  del</w:t>
        <w:br/>
        <w:t>artículo 51 de su Reglamento, “la señora Madelein  Escolástica  Valle,</w:t>
        <w:br/>
        <w:t>la señora Sabina Astete y en general las personas ligadas a ellas  […]</w:t>
        <w:br/>
        <w:t>se [abstuvieran] de  interferir  con  testigos  de  la  [interviniente</w:t>
        <w:br/>
        <w:t>común], amedrentar y desatar una campaña contra los testigos  que  han</w:t>
        <w:br/>
        <w:t>aparecido ante la Corte […] durante la audiencia [pública]”, así  como</w:t>
        <w:br/>
        <w:t>que “tom[ara] las medidas necesarias para que copias  grabadas  de  la</w:t>
        <w:br/>
        <w:t>audiencia no [fueran] objeto de circulación pública  como  pretend[ía]</w:t>
        <w:br/>
        <w:t>la señora Sabina Astete”. Al respecto, la Corte desestimó  la  primera</w:t>
        <w:br/>
        <w:t>petición porque entendió que no  se  encuadraba  en  los  presupuestos</w:t>
        <w:br/>
        <w:t>establecidos en el referido artículo 51 del Reglamento relativo  a  la</w:t>
        <w:br/>
        <w:t>protección de testigos y peritos. En cuanto a la solicitud relativa  a</w:t>
        <w:br/>
        <w:t>la “circulación pública” de las copias grabadas de  la  audiencia,  la</w:t>
        <w:br/>
        <w:t>Corte la desestimó por improcedente, debido a  que  se  trata  de  una</w:t>
        <w:br/>
        <w:t>actuación procesal de carácter público. Asimismo,  se  indicó  que  en</w:t>
        <w:br/>
        <w:t>caso de que la interviniente común hubiere  considerado  que  existían</w:t>
        <w:br/>
        <w:t>circunstancias excepcionales que ameritaban que la Corte recibiera las</w:t>
        <w:br/>
        <w:t>declaraciones de los testigos propuestos por ella en  privado  debería</w:t>
        <w:br/>
        <w:t>haberlo  indicado  al  Tribunal,  con  anterioridad,  para  que   éste</w:t>
        <w:br/>
        <w:t>resolviera lo conducente.</w:t>
        <w:br/>
        <w:br/>
        <w:t>96.   El 4 de  julio  de  2006  la  interviniente  común  presentó  un</w:t>
        <w:br/>
        <w:t>escrito, en el cual manifestó, inter alia, que “la declaración  de  la</w:t>
        <w:br/>
        <w:t>señora Edith Tinta en su totalidad e[ra] pertinente en la  materia  de</w:t>
        <w:br/>
        <w:t>este caso” (supra párrs. 82 y 94).</w:t>
        <w:br/>
        <w:br/>
        <w:t>97.   El 5 de julio de 2006 la Comisión presentó un escrito, en el que</w:t>
        <w:br/>
        <w:t>indicó que “no t[enía] observaciones que  formular  a  la  declaración</w:t>
        <w:br/>
        <w:t>jurada del señor Jesús Ángel Julcamira Antonio” (supra párr. 87).</w:t>
        <w:br/>
        <w:br/>
        <w:t>98.   El 7 de  julio  de  2006  la  interviniente  común  remitió  sus</w:t>
        <w:br/>
        <w:t>observaciones a las declaraciones  escritas  de  la  testigo  Madelein</w:t>
        <w:br/>
        <w:t>Escolástica Valle Rivera y  del  perito  Christopher  Birkbeck  (supra</w:t>
        <w:br/>
        <w:t>párrs. 80 y 84).</w:t>
        <w:br/>
        <w:br/>
        <w:t>99.   El 10 de julio de 2006 la interviniente común remitió  copia  de</w:t>
        <w:br/>
        <w:t>la traducción al idioma español de la declaración escrita rendida  por</w:t>
        <w:br/>
        <w:t>el testigo Stephen Bronstein (supra párr. 73).</w:t>
        <w:br/>
        <w:br/>
        <w:t>100.  El 11 de julio de 2006 la interviniente común remitió  copia  de</w:t>
        <w:br/>
        <w:t>un anexo a la declaración escrita de la perito Ana Deutsch,  “el  cual</w:t>
        <w:br/>
        <w:t>no se remitió con el original  por  error”  (supra  párr.  86)  y,  en</w:t>
        <w:br/>
        <w:t>relación con la declaración  jurada  rendida  por  el  señor  Luis  F.</w:t>
        <w:br/>
        <w:t>Jiménez, solicitó, inter alia, que “su testimonio se integr[ara] en su</w:t>
        <w:br/>
        <w:t>totalidad a la prueba vertida en este caso”.</w:t>
        <w:br/>
        <w:br/>
        <w:t>101.  El 27 de julio de 2006 la  Secretaría,  siguiendo  instrucciones</w:t>
        <w:br/>
        <w:t>del Presidente,  recordó al Estado  y  a  la  interviniente  común  la</w:t>
        <w:br/>
        <w:t>documentación  o  explicaciones  que  la  Corte   les   solicitó   con</w:t>
        <w:br/>
        <w:t>posterioridad a  la  exposición  de  alegatos  finales  orales  en  la</w:t>
        <w:br/>
        <w:t>audiencia pública sobre el  fondo  y  las  eventuales  reparaciones  y</w:t>
        <w:br/>
        <w:t>costas celebrada los días 26 y 27 de junio de 2006 (supra  párr.  93).</w:t>
        <w:br/>
        <w:t>Asimismo, solicitó a la Comisión y a la interviniente común que, a más</w:t>
        <w:br/>
        <w:t>tardar el  3  de  agosto  de  2006,  presentarán  sus  aclaraciones  u</w:t>
        <w:br/>
        <w:t>observaciones  en  relación  con   varios   puntos   respecto   a   la</w:t>
        <w:br/>
        <w:t>determinación de las presuntas víctimas del caso.</w:t>
        <w:br/>
        <w:br/>
        <w:t>102.  El 3 de agosto de 2006 la Comisión presentó un escrito, mediante</w:t>
        <w:br/>
        <w:t>el cual remitió su respuesta a las  aclaraciones  u  observaciones  en</w:t>
        <w:br/>
        <w:t>relación con los asuntos referidos a la determinación de las presuntas</w:t>
        <w:br/>
        <w:t>víctimas del caso (supra párr. 101).</w:t>
        <w:br/>
        <w:br/>
        <w:t>103.  El 3 de agosto de 2006 la Comisión presentó sus alegatos finales</w:t>
        <w:br/>
        <w:t>escritos sobre el fondo y las eventuales reparaciones y  costas.  Como</w:t>
        <w:br/>
        <w:t>“apéndice” a su escrito de alegatos finales  la  Comisión  remitió  un</w:t>
        <w:br/>
        <w:t>escrito del “Grupo Canto Grande 92”, indicando que se  trataba  de  un</w:t>
        <w:br/>
        <w:t>escrito “recibido por la Comisión del grupo  de  [presuntas]  víctimas</w:t>
        <w:br/>
        <w:t>representado por la señora Sabina Astete”. El 11  de  agosto  de  2006</w:t>
        <w:br/>
        <w:t>presentó los anexos al referido escrito de la señora Sabina Astete.</w:t>
        <w:br/>
        <w:br/>
        <w:t>104.  El 3 de agosto  de  2006  la  interviniente  común  presentó  su</w:t>
        <w:br/>
        <w:t>respuesta a las aclaraciones  u  observaciones  en  relación  con  los</w:t>
        <w:br/>
        <w:t>asuntos relativos a la determinación de  las  presuntas  víctimas  del</w:t>
        <w:br/>
        <w:t>caso (supra párr. 101). El 15 de agosto de 2006 presentó los anexos 2,</w:t>
        <w:br/>
        <w:t>3 y 4 del referido escrito.</w:t>
        <w:br/>
        <w:br/>
        <w:t>105.  El 9 de agosto de 2006 el Estado presentó sus  alegatos  finales</w:t>
        <w:br/>
        <w:t>escritos y su respuesta a la solicitud de prueba para  mejor  resolver</w:t>
        <w:br/>
        <w:t>que le fue requerida en la audiencia pública (supra párrs. 93 y  101).</w:t>
        <w:br/>
        <w:t>El 10 de agosto de  2006  el  Estado  presentó  los  anexos  a  dichos</w:t>
        <w:br/>
        <w:t>escritos.</w:t>
        <w:br/>
        <w:br/>
        <w:t>106.  El 18 de agosto de 2006  la  interviniente  común  presentó  sus</w:t>
        <w:br/>
        <w:t>alegatos finales escritos. Asimismo, adjuntó documentos contenidos  en</w:t>
        <w:br/>
        <w:t>6 “Apéndices”.</w:t>
        <w:br/>
        <w:br/>
        <w:t>107.  El 23 de agosto de 2006 la Secretaría  de  la  Corte,  siguiendo</w:t>
        <w:br/>
        <w:t>instrucciones  del  Presidente,  otorgó  un  plazo  hasta  el  23   de</w:t>
        <w:br/>
        <w:t>septiembre de 2006 para que las partes  remitieran  las  observaciones</w:t>
        <w:br/>
        <w:t>que estimaran pertinentes a los referidos escritos mediante los cuales</w:t>
        <w:br/>
        <w:t>la Comisión y la interviniente común presentaron su  respuesta  a  las</w:t>
        <w:br/>
        <w:t>aclaraciones u observaciones en relación con los asuntos  relativos  a</w:t>
        <w:br/>
        <w:t>la determinación de las presuntas víctimas, y la respuesta del  Estado</w:t>
        <w:br/>
        <w:t>a la solicitud de la Corte de prueba para mejor resolver de  la  Corte</w:t>
        <w:br/>
        <w:t>(supra párrs. 102, 104 y 105).</w:t>
        <w:br/>
        <w:br/>
        <w:t>108.   El  25  de  agosto  de  2006   el   Estado   presentó   “prueba</w:t>
        <w:br/>
        <w:t>superviniente[, … en relación con] la denuncia penal formulada por  la</w:t>
        <w:br/>
        <w:t>Quinta Fiscalía Penal Supraprovincial de Lima […]  en  contra  del  ex</w:t>
        <w:br/>
        <w:t>presidente Alberto Fujimori Fujimori […]” en relación con el  presente</w:t>
        <w:br/>
        <w:t>caso.</w:t>
        <w:br/>
        <w:br/>
        <w:t>109.  El 28 de agosto de 2006 la Secretaría,  siguiendo  instrucciones</w:t>
        <w:br/>
        <w:t>del Presidente, otorgó plazo hasta el 23 de septiembre  de  2006  para</w:t>
        <w:br/>
        <w:t>que la Comisión y la interviniente común remitieran las  observaciones</w:t>
        <w:br/>
        <w:t>que estimaran pertinentes al escrito presentado por el Estado el 25 de</w:t>
        <w:br/>
        <w:t>agosto de 2006 (supra párr. 108).</w:t>
        <w:br/>
        <w:br/>
        <w:t>110.  El 31 de agosto de  2006  la  interviniente  común  presentó  un</w:t>
        <w:br/>
        <w:t>escrito y sus anexos, mediante los cuales remitió sus observaciones  a</w:t>
        <w:br/>
        <w:t>las aclaraciones  referentes  a  la  determinación  de  las  presuntas</w:t>
        <w:br/>
        <w:t>víctimas presentadas por la Comisión el 3 de  agosto  de  2006  (supra</w:t>
        <w:br/>
        <w:t>párrs. 102 y 107). En esa misma fecha, la interviniente común presentó</w:t>
        <w:br/>
        <w:t>un escrito y sus anexos, mediante los cuales remitió sus observaciones</w:t>
        <w:br/>
        <w:t>a la “prueba superviniente” presentada por el Estado mediante  escrito</w:t>
        <w:br/>
        <w:t>de 25 de agosto de 2006 (supra párrs. 108 y 109). Los anexos  a  estas</w:t>
        <w:br/>
        <w:t>últimas observaciones fueron presentados el 19 de septiembre de 2006.</w:t>
        <w:br/>
        <w:br/>
        <w:t>111.  El 8 de septiembre de 2006 la interviniente  común  presentó  un</w:t>
        <w:br/>
        <w:t>escrito y su anexo, a través de los  cuales  aportó  “la  […]  noticia</w:t>
        <w:br/>
        <w:t>publicada por el diario  Correo  de  6  de  se[p]tiembre  de  2006  en</w:t>
        <w:br/>
        <w:t>relación al encausamiento de Alberto  Fujimori  Fujimori  por  algunos</w:t>
        <w:br/>
        <w:t>hechos  relativos  al  presente  caso”.  Asimismo,   realizó   algunas</w:t>
        <w:br/>
        <w:t>correcciones a datos que fueron consignados en su escrito de  alegatos</w:t>
        <w:br/>
        <w:t>finales (supra párr. 106) e indicó que remitía documentación  relativa</w:t>
        <w:br/>
        <w:t>a “recibos [… de] gastos”. Esta última documentación fue presentada el</w:t>
        <w:br/>
        <w:t>4 de octubre de 2006.</w:t>
        <w:br/>
        <w:br/>
        <w:t>112.  El 14 de septiembre de 2006 el Estado presentó un escrito y  sus</w:t>
        <w:br/>
        <w:t>anexos, mediante los cuales remitió “prueba superviniente,  al  amparo</w:t>
        <w:br/>
        <w:t>de lo previsto en el artículo 44º, inciso  3,  del  Reglamento  de  la</w:t>
        <w:br/>
        <w:t>Corte”, en relación con “[la] resolución del 29 de agosto último[,  en</w:t>
        <w:br/>
        <w:t>la cual se] ha abierto instrucción con mandato de detención contra  el</w:t>
        <w:br/>
        <w:t>ex-presidente Alberto Fujimori  Fujimori,  por  los  hechos  acaecidos</w:t>
        <w:br/>
        <w:t>entre el 6 y 9 de mayo de 1992  en  el  Establecimiento  Penitenciario</w:t>
        <w:br/>
        <w:t>‘Miguel Castro Castro’”. El 20 de septiembre de 2006 el Perú  presentó</w:t>
        <w:br/>
        <w:t>los anexos a dicho escrito.</w:t>
        <w:br/>
        <w:br/>
        <w:t>113.  El 22 de septiembre de 2006 la  Comisión  presentó  un  escrito,</w:t>
        <w:br/>
        <w:t>mediante el cual remitió observaciones a la prueba presentada  por  el</w:t>
        <w:br/>
        <w:t>Estado como anexo a sus alegatos finales escritos (supra párr. 105)  y</w:t>
        <w:br/>
        <w:t>a la presentada el 25 de agosto  de  2006  como  prueba  superviniente</w:t>
        <w:br/>
        <w:t>(supra párrs. 108 y 109). Asimismo, se refirió al  escrito  presentado</w:t>
        <w:br/>
        <w:t>por la interviniente común el 3 de agosto de 2006 sobre aclaraciones u</w:t>
        <w:br/>
        <w:t>observaciones en  relación  con  la  determinación  de  las  presuntas</w:t>
        <w:br/>
        <w:t>víctimas (supra párrs. 104 y 107).</w:t>
        <w:br/>
        <w:br/>
        <w:t>114.   El  26  de  septiembre  de  2006   la   Secretaría,   siguiendo</w:t>
        <w:br/>
        <w:t>instrucciones del Presidente, otorgó plazo hasta el 6  de  octubre  de</w:t>
        <w:br/>
        <w:t>2006 para que la interviniente común  y  la  Comisión  remitieran  las</w:t>
        <w:br/>
        <w:t>observaciones  que  estimaran  pertinentes  a  la   referida   “prueba</w:t>
        <w:br/>
        <w:t>superviniente” presentada por el Estado el 14 de  septiembre  de  2006</w:t>
        <w:br/>
        <w:t>(supra párr. 112).</w:t>
        <w:br/>
        <w:br/>
        <w:t>115.  El 29 de septiembre de 2006 la interviniente común  presentó  un</w:t>
        <w:br/>
        <w:t>escrito y sus anexos, en  los  cuales  remitió  sus  observaciones  al</w:t>
        <w:br/>
        <w:t>escrito y prueba presentados por el Estado el 14 de septiembre de 2006</w:t>
        <w:br/>
        <w:t>(supra párrs. 112 y 114).</w:t>
        <w:br/>
        <w:br/>
        <w:t>116.  El 5 de  octubre  de  2006  la  Comisión  presentó  un  escrito,</w:t>
        <w:br/>
        <w:t>mediante el  cual  remitió  sus  observaciones  al  escrito  y  prueba</w:t>
        <w:br/>
        <w:t>presentados por el Perú el 14 de septiembre de 2006 (supra párrs.  112</w:t>
        <w:br/>
        <w:t>y 114).</w:t>
        <w:br/>
        <w:br/>
        <w:t>117.  El 20 de octubre de 2006 la Comisión presentó una  comunicación,</w:t>
        <w:br/>
        <w:t>a la cual adjuntó anexos. En su comunicación la  Comisión  señaló  que</w:t>
        <w:br/>
        <w:t>remitía “copia de  una  comunicación  [de]  16  de  octubre  de  2006,</w:t>
        <w:br/>
        <w:t>mediante la cual los señores Hubert Arce  Carpio  y  Francisco  Alania</w:t>
        <w:br/>
        <w:t>Osorio solicita[ro]n a la Comisión […] que asum[ier]a  la  defensa  de</w:t>
        <w:br/>
        <w:t>sus intereses, [en relación con este] caso  […,]  y  la  señora  Doris</w:t>
        <w:br/>
        <w:t>Quispe La Rosa […] ratific[ó]  su  voluntad  en  ese  sentido”.   Como</w:t>
        <w:br/>
        <w:t>anexos  a  dicha  comunicación  la  Comisión   también   adjuntó   las</w:t>
        <w:br/>
        <w:t>declaraciones escritas de las referidas presuntas víctimas.</w:t>
        <w:br/>
        <w:br/>
        <w:t>118.  El 24 de octubre de  2006  la  interviniente  común  remitió  un</w:t>
        <w:br/>
        <w:t>escrito, mediante el cual se refirió a la comunicación que presentó la</w:t>
        <w:br/>
        <w:t>Comisión Interamericana el 20 de octubre de 2006 y sus  anexos  (supra</w:t>
        <w:br/>
        <w:t>párr. 117), e indicó que “[o]bjeta[…] la presentación de testimonios a</w:t>
        <w:br/>
        <w:t>estas alturas del proceso y considera[…] que en virtud del artículo 44</w:t>
        <w:br/>
        <w:t>del Reglamento son inadmisibles”.</w:t>
        <w:br/>
        <w:br/>
        <w:t>119.  El 25 de octubre de 2006 la Secretaría, siguiendo  instrucciones</w:t>
        <w:br/>
        <w:t>del Presidente, comunicó  a  las  partes  que  tanto  la  comunicación</w:t>
        <w:br/>
        <w:t>presentada por la Comisión Interamericana el 20 de octubre de  2006  y</w:t>
        <w:br/>
        <w:t>sus anexos (supra párr. 117), como  el  escrito  de  la  interviniente</w:t>
        <w:br/>
        <w:t>común de 24 de octubre de 2006 (supra párr. 118),  serían  puestos  en</w:t>
        <w:br/>
        <w:t>conocimiento de la  Corte  para  los  efectos  pertinentes.   Asimismo</w:t>
        <w:br/>
        <w:t>indicó que al recibir dicha comunicación  por  parte  de  la  Comisión</w:t>
        <w:br/>
        <w:t>Interamericana la Secretaría constató que se trata de prueba que no le</w:t>
        <w:br/>
        <w:t>fue solicitada a dicho órgano y que en su escrito la Comisión no  hace</w:t>
        <w:br/>
        <w:t>referencia alguna a la presentación de las declaraciones escritas  que</w:t>
        <w:br/>
        <w:t>adjunta.</w:t>
        <w:br/>
        <w:br/>
        <w:t>120.  El 30 octubre de 2006 la Secretaría, siguiendo instrucciones del</w:t>
        <w:br/>
        <w:t>Presidente y de conformidad con lo dispuesto en el artículo  45.2  del</w:t>
        <w:br/>
        <w:t>Reglamento del Tribunal, solicitó a  la  Comisión  Interamericana  que</w:t>
        <w:br/>
        <w:t>remitiera, a más tardar el 2 de noviembre de 2006, una copia  completa</w:t>
        <w:br/>
        <w:t>de la denuncia identificada ante dicho órgano bajo  el  número  11.769</w:t>
        <w:br/>
        <w:t>(supra párr. 14), así como determinadas aclaraciones en  relación  con</w:t>
        <w:br/>
        <w:t>la denuncia identificada con el número 11.015 (supra párr. 6).</w:t>
        <w:br/>
        <w:br/>
        <w:t>121.  El 3 de noviembre de 2006, después de una prórroga  que  le  fue</w:t>
        <w:br/>
        <w:t>otorgada por el Presidente, la  Comisión  remitió  un  escrito  y  sus</w:t>
        <w:br/>
        <w:t>anexos, mediante los cuales presentó el documento y  aclaraciones  que</w:t>
        <w:br/>
        <w:t>le fueron solicitadas,  siguiendo  instrucciones  del  Presidente  del</w:t>
        <w:br/>
        <w:t>Tribunal, mediante nota de 30 de octubre de 2006 (supra párr. 120).</w:t>
        <w:br/>
        <w:br/>
        <w:t>122.  El 6 de noviembre de 2006 la Secretaría, siguiendo instrucciones</w:t>
        <w:br/>
        <w:t>del Presidente y de conformidad con lo dispuesto en el  artículo  45.2</w:t>
        <w:br/>
        <w:t>del Reglamento del  Tribunal,  solicitó  al  grupo  de  representantes</w:t>
        <w:br/>
        <w:t>compuesto por Sabina Astete, Douglass Cassel, Peter Erlinder y  Bertha</w:t>
        <w:br/>
        <w:t>Flores que remitiera,  a  más  tardar  el  9  de  noviembre  de  2006,</w:t>
        <w:br/>
        <w:t>determinada prueba en  relación  con  la  determinación  de  presuntas</w:t>
        <w:br/>
        <w:t>víctimas.</w:t>
        <w:br/>
        <w:br/>
        <w:t>123.  El 7 de noviembre de 2006 la  interviniente  común  presentó  un</w:t>
        <w:br/>
        <w:t>escrito y sus anexos, mediante los cuales se refirió  al  escrito  que</w:t>
        <w:br/>
        <w:t>presentó la Comisión Interamericana el 3 de noviembre de  2006  y  sus</w:t>
        <w:br/>
        <w:t>anexos (supra párr. 121).</w:t>
        <w:br/>
        <w:br/>
        <w:t>124.  El 9 de noviembre de 2006 el grupo de  representantes  compuesto</w:t>
        <w:br/>
        <w:t>por Sabina Astete, Douglass Cassel, Peter  Erlinder  y  Bertha  Flores</w:t>
        <w:br/>
        <w:t>remitieron copia de la documentación que les fue solicitada, siguiendo</w:t>
        <w:br/>
        <w:t>instrucciones del Presidente, mediante nota  de  Secretaría  de  6  de</w:t>
        <w:br/>
        <w:t>noviembre de 2006 (supra párr. 122).</w:t>
        <w:br/>
        <w:br/>
        <w:t>125.  El 15 noviembre de 2006 la Secretaría,  siguiendo  instrucciones</w:t>
        <w:br/>
        <w:t>del Presidente y de conformidad con lo dispuesto en el  artículo  45.2</w:t>
        <w:br/>
        <w:t>del Reglamento del Tribunal, solicitó a la Comisión Interamericana que</w:t>
        <w:br/>
        <w:t>remitiera, a más tardar el 20 de noviembre de 2006, determinada prueba</w:t>
        <w:br/>
        <w:t>en relación con la determinación de presuntas víctimas.</w:t>
        <w:br/>
        <w:br/>
        <w:t>126.  El 18 de noviembre de 2006 la interviniente  común  presentó  un</w:t>
        <w:br/>
        <w:t>escrito, mediante el cual se refirió al escrito que presentó el  grupo</w:t>
        <w:br/>
        <w:t>de representantes compuesto por Sabina Astete, Douglass Cassel,  Peter</w:t>
        <w:br/>
        <w:t>Erlinder y Bertha Flores el 9 de noviembre de 2006,  en  relación  con</w:t>
        <w:br/>
        <w:t>los documentos que les fueron solicitados siguiendo instrucciones  del</w:t>
        <w:br/>
        <w:t>Presidente del Tribunal (supra párr. 124).</w:t>
        <w:br/>
        <w:br/>
        <w:t>127.  Los días 14 y 20 de noviembre de  2006  la  interviniente  común</w:t>
        <w:br/>
        <w:t>aportó documentación relativa a “recibos [… de] gastos”.</w:t>
        <w:br/>
        <w:br/>
        <w:t>128.  Los días 20 y 22 de noviembre de 2006 la  Comisión  remitió  dos</w:t>
        <w:br/>
        <w:t>escritos y un anexo, mediante los cuales presentó su  respuesta  a  la</w:t>
        <w:br/>
        <w:t>solicitud de prueba para mejor resolver realizada por el Presidente de</w:t>
        <w:br/>
        <w:t>la Corte mediante nota de 15 de noviembre de 2006 (supra párr. 125).</w:t>
        <w:br/>
        <w:br/>
        <w:br/>
        <w:t xml:space="preserve">                                      V</w:t>
        <w:br/>
        <w:t xml:space="preserve">           Reconocimiento parcial de responsabilidad internacional</w:t>
        <w:br/>
        <w:br/>
        <w:t>129.  A continuación la Corte procederá a determinar los alcances  del</w:t>
        <w:br/>
        <w:t>reconocimiento parcial de responsabilidad internacional efectuado  por</w:t>
        <w:br/>
        <w:t>el Estado   (supra  párr.  56)  y  la  extensión  de  la  controversia</w:t>
        <w:br/>
        <w:t>subsistente.</w:t>
        <w:br/>
        <w:br/>
        <w:t>130.  El artículo 53.2 del Reglamento dispone que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br/>
        <w:t>131.  La Corte Interamericana, en ejercicio de su función contenciosa,</w:t>
        <w:br/>
        <w:t>aplica e interpreta la Convención Americana. Cuando un  caso  ha  sido</w:t>
        <w:br/>
        <w:t>sometido  a  su  jurisdicción,  está  facultada   para   declarar   la</w:t>
        <w:br/>
        <w:t>responsabilidad internacional de un Estado Parte en la Convención  por</w:t>
        <w:br/>
        <w:t>violación a las disposiciones de ésta[3].</w:t>
        <w:br/>
        <w:br/>
        <w:t>132.  La Corte, en el ejercicio de  sus  poderes  de  tutela  judicial</w:t>
        <w:br/>
        <w:t>internacional  de  los  derechos  humanos,  podrá  determinar  si   el</w:t>
        <w:br/>
        <w:t>reconocimiento  de  responsabilidad  internacional  efectuado  por  un</w:t>
        <w:br/>
        <w:t>Estado demandado ofrece una base suficiente, en  los  términos  de  la</w:t>
        <w:br/>
        <w:t>Convención Americana, para concluir el procedimiento o si  es  preciso</w:t>
        <w:br/>
        <w:t>llevar adelante el conocimiento  del  fondo  y  determinar  eventuales</w:t>
        <w:br/>
        <w:t>reparaciones y costas. Para estos efectos, el  Tribunal  analizará  la</w:t>
        <w:br/>
        <w:t>situación planteada en cada caso concreto[4].</w:t>
        <w:br/>
        <w:br/>
        <w:t>133.  En el presente caso, el Estado ha  reconocido  parcialmente  los</w:t>
        <w:br/>
        <w:t>hechos en diversos actos ante la Corte.  En la audiencia pública  ante</w:t>
        <w:br/>
        <w:t>el Tribunal (supra párr. 93) el Estado realizó un  reconocimiento  más</w:t>
        <w:br/>
        <w:t>amplio y concreto sobre los hechos que el efectuado en su  escrito  de</w:t>
        <w:br/>
        <w:t>contestación de la demanda y observaciones al escrito de solicitudes y</w:t>
        <w:br/>
        <w:t>argumentos (supra párr. 56). En sus alegatos finales  escritos  (supra</w:t>
        <w:br/>
        <w:t>párr. 105) el  Perú  reiteró  dicho  reconocimiento  en  los  términos</w:t>
        <w:br/>
        <w:t>efectuados en la referida audiencia.</w:t>
        <w:br/>
        <w:br/>
        <w:t>134.  En sus consideraciones  fácticas  y  jurídicas,  esta  Corte  se</w:t>
        <w:br/>
        <w:t>basará en dicho reconocimiento más amplio realizado por el Estado,  al</w:t>
        <w:br/>
        <w:t>que hará referencia en los siguientes párrafos. Debido a que en  dicha</w:t>
        <w:br/>
        <w:t>audiencia pública y en sus alegatos finales el Estado no se refirió de</w:t>
        <w:br/>
        <w:t>forma expresa al tema de víctimas  ni  a  los  derechos  violados,  el</w:t>
        <w:br/>
        <w:t>Tribunal hará referencia, en lo  concerniente  a  estos  temas,  a  lo</w:t>
        <w:br/>
        <w:t>indicado con anterioridad por el Estado en su escrito de  contestación</w:t>
        <w:br/>
        <w:t>de demanda y observaciones al escrito de solicitudes y argumentos.</w:t>
        <w:br/>
        <w:br/>
        <w:t>A)     Alcances  del   reconocimiento   parcial   de   responsabilidad</w:t>
        <w:br/>
        <w:t>internacional efectuado por el Estado</w:t>
        <w:br/>
        <w:br/>
        <w:t xml:space="preserve">      1)    Respecto de los hechos</w:t>
        <w:br/>
        <w:br/>
        <w:t>135.  En la audiencia pública celebrada en El Salvador los días  26  y</w:t>
        <w:br/>
        <w:t>27 de junio de 2006 (supra párr. 93), el Estado manifestó que</w:t>
        <w:br/>
        <w:br/>
        <w:t xml:space="preserve">      [l]os hechos […] no se pueden ocultar, no se puede ocultar  el  dolor,</w:t>
        <w:br/>
        <w:t xml:space="preserve">      […] no se pueden ocultar los heridos, no se pueden ocultar el dolor de</w:t>
        <w:br/>
        <w:t xml:space="preserve">      los familiares de las víctimas.  En el escrito de contestación  de  la</w:t>
        <w:br/>
        <w:t xml:space="preserve">      demanda en ese sentido, el Estado peruano está  reconociendo  ya  esos</w:t>
        <w:br/>
        <w:t xml:space="preserve">      hechos por la evidencia de los mismos y porque desde el mismo  momento</w:t>
        <w:br/>
        <w:t xml:space="preserve">      de haber acaecido […] fueron sujetos de una  amplia  difusión  de  los</w:t>
        <w:br/>
        <w:t xml:space="preserve">      medios de comunicación.</w:t>
        <w:br/>
        <w:br/>
        <w:t xml:space="preserve">      […] Creemos que para analizar los hechos  es  inevitable  analizar  el</w:t>
        <w:br/>
        <w:t xml:space="preserve">      contexto. […] El Perú durante  veinte  años  vivió  una  situación  de</w:t>
        <w:br/>
        <w:t xml:space="preserve">      conflicto interno sumamente grave.  [… L]os hechos del 6 al 9 de  mayo</w:t>
        <w:br/>
        <w:t xml:space="preserve">      [ de 1992 …] se cometieron contra internos de determinada orientación.</w:t>
        <w:br/>
        <w:t xml:space="preserve">       Los actos de violencia fueron  dirigidos  contra  dos  pabellones,  o</w:t>
        <w:br/>
        <w:t xml:space="preserve">      contra un pabellón principalmente, el pabellón 1 A y el  pabellón  4B,</w:t>
        <w:br/>
        <w:t xml:space="preserve">      ocupados en el momento de los hechos por internos acusados de  delitos</w:t>
        <w:br/>
        <w:t xml:space="preserve">      de  terrorismo  vinculados  al  partido  comunista  del  Perú  Sendero</w:t>
        <w:br/>
        <w:t xml:space="preserve">      Luminoso[. … E]l acto  tuvo  un  destino  directo:  atacar  a  Sendero</w:t>
        <w:br/>
        <w:t xml:space="preserve">      Luminoso.</w:t>
        <w:br/>
        <w:br/>
        <w:t xml:space="preserve">      […] desde la estrategia militar del gobierno de ese entonces  hubo  un</w:t>
        <w:br/>
        <w:t xml:space="preserve">      direccionamiento de las acciones hacia ese partido, hacia  ese  grupo,</w:t>
        <w:br/>
        <w:t xml:space="preserve">      hubo una lógica de guerra [al] adversario.</w:t>
        <w:br/>
        <w:br/>
        <w:t>136.  Asimismo, en respuesta a una pregunta formulada por el Tribunal,</w:t>
        <w:br/>
        <w:t>el Estado aclaró que reconoce solamente los hechos del 6 al 9 de  mayo</w:t>
        <w:br/>
        <w:t>1992, y no los  posteriores  a  esa  fecha.  Seguidamente,  el  Estado</w:t>
        <w:br/>
        <w:t>expresó que también “formul[a]  reconocimiento”  “de  las  situaciones</w:t>
        <w:br/>
        <w:t>expresadas  en  el  escrito  de  solicitudes,  argumentos  y   pruebas</w:t>
        <w:br/>
        <w:t>presentado por la interviniente común”, entendiéndose que lo  hace  en</w:t>
        <w:br/>
        <w:t>relación con los hechos del 6 al 9 de mayo de 1992.</w:t>
        <w:br/>
        <w:br/>
        <w:t>137.  En el escrito de alegatos finales (supra párr.  105)  el  Estado</w:t>
        <w:br/>
        <w:t>“reafirm[ó] y ratific[ó] los argumentos y posiciones expresadas en  el</w:t>
        <w:br/>
        <w:t>marco de la [referida] Audiencia Pública [ante] la Corte”,  y  reiteró</w:t>
        <w:br/>
        <w:t>que reconoce su responsabilidad parcial en este caso.  El Perú  señaló</w:t>
        <w:br/>
        <w:t>que “reconoce su responsabilidad en los hechos acaecidos entre el 6  y</w:t>
        <w:br/>
        <w:t>9 de mayo de 1992”. Asimismo, agregó que:</w:t>
        <w:br/>
        <w:br/>
        <w:br/>
        <w:t xml:space="preserve">        […  s]i  bien  a  nivel  del  Fuero  Interno  se  determinarán   las</w:t>
        <w:br/>
        <w:t xml:space="preserve">      responsabilidades  individuales,  en  los   términos   [d]el   proceso</w:t>
        <w:br/>
        <w:t xml:space="preserve">      actualmente en trámite ante el Poder Judicial […,] no se  puede  dejar</w:t>
        <w:br/>
        <w:t xml:space="preserve">      de reconocer la magnitud de los hechos a que se  refiere  el  presente</w:t>
        <w:br/>
        <w:t xml:space="preserve">      proceso y la responsabilidad del Estado Peruano en los mismos.</w:t>
        <w:br/>
        <w:br/>
        <w:t>Además, solicitó a la Corte que tome en cuenta “el contexto  histórico</w:t>
        <w:br/>
        <w:t>dentro del cual estos hechos se produjeron, en contraste con la actual</w:t>
        <w:br/>
        <w:t>gestión del Estado”, e indicó que “los  hechos  materia  del  presente</w:t>
        <w:br/>
        <w:t>proceso formaron parte de la estrategia del  gobierno  de  turno  para</w:t>
        <w:br/>
        <w:t>afrontar, violando derechos humanos, el conflicto interno”.</w:t>
        <w:br/>
        <w:br/>
        <w:t xml:space="preserve">      2)    Respecto de las presuntas  víctimas  y  derechos  alegados</w:t>
        <w:br/>
        <w:t>como violados</w:t>
        <w:br/>
        <w:br/>
        <w:t>138.  Al expresar su  reconocimiento  parcial  de  responsabilidad  en</w:t>
        <w:br/>
        <w:t>cuanto a los hechos,  en  los  términos  realizados  en  la  audiencia</w:t>
        <w:br/>
        <w:t>pública y en sus alegatos finales escritos (supra párrs. 93 y 105), el</w:t>
        <w:br/>
        <w:t>Perú no hizo referencia expresa a las víctimas ni a los derechos  cuya</w:t>
        <w:br/>
        <w:t>violación alegaron la Comisión Interamericana y la interviniente común</w:t>
        <w:br/>
        <w:t>de los representantes.</w:t>
        <w:br/>
        <w:br/>
        <w:t>139.  Anteriormente, en el escrito de  contestación  a  la  demanda  y</w:t>
        <w:br/>
        <w:t>observaciones al escrito de solicitudes y argumentos, el Perú  señaló,</w:t>
        <w:br/>
        <w:t>en relación con las víctimas, que</w:t>
        <w:br/>
        <w:br/>
        <w:t xml:space="preserve">      […]  acerca  de  los  ciudadanos  muertos  y   heridos   durante   los</w:t>
        <w:br/>
        <w:t xml:space="preserve">      acontecimientos, […] su detalle  y  circunstancias  de  identificación</w:t>
        <w:br/>
        <w:t xml:space="preserve">      deberá  basarse   principalmente   en   las   actuaciones   judiciales</w:t>
        <w:br/>
        <w:t xml:space="preserve">      actualmente en trámite y que en la sentencia  que  el  Poder  Judicial</w:t>
        <w:br/>
        <w:t xml:space="preserve">      emita se vayan a delimitar.</w:t>
        <w:br/>
        <w:br/>
        <w:t>140.  Asimismo, en el escrito de contestación de la  demanda  el  Perú</w:t>
        <w:br/>
        <w:t>señaló que acepta que la Corte “concluya y declare” que “el Estado  es</w:t>
        <w:br/>
        <w:t>parcialmente responsable por”:</w:t>
        <w:br/>
        <w:br/>
        <w:t xml:space="preserve">      i.    […] las muertes ocasionadas durante la ejecución  del  Operativo</w:t>
        <w:br/>
        <w:t xml:space="preserve">      Mudanza I, en los términos que el proceso actualmente en trámite  ante</w:t>
        <w:br/>
        <w:t xml:space="preserve">      el Poder Judicial por los hechos imputados, oportuna e  imparcialmente</w:t>
        <w:br/>
        <w:t xml:space="preserve">      declarará y sancionará; pues del análisis de los hechos  se  presentan</w:t>
        <w:br/>
        <w:t xml:space="preserve">      innumerables situaciones que dilucidar en cuanto a las  circunstancias</w:t>
        <w:br/>
        <w:t xml:space="preserve">      precisas de las muertes.</w:t>
        <w:br/>
        <w:br/>
        <w:br/>
        <w:t xml:space="preserve">      ii.   […] los heridos y maltratados ocasionados durante  la  ejecución</w:t>
        <w:br/>
        <w:t xml:space="preserve">      [..]  del  Operativo  Mudanza  I,  en  los  términos  que  el  proceso</w:t>
        <w:br/>
        <w:t xml:space="preserve">      actualmente  en  trámite  ante  el  Poder  Judicial  por  los   hechos</w:t>
        <w:br/>
        <w:t xml:space="preserve">      imputados, oportuna e imparcialmente declarará y sancionará; pues  del</w:t>
        <w:br/>
        <w:t xml:space="preserve">      análisis de los  hechos  se  presentan  innumerables  situaciones  que</w:t>
        <w:br/>
        <w:t xml:space="preserve">      dilucidar en cuanto a las circunstancias de estos hechos.</w:t>
        <w:br/>
        <w:br/>
        <w:br/>
        <w:t xml:space="preserve">      iii.  […]  no  respetar  las  garantías  judiciales  y  la  protección</w:t>
        <w:br/>
        <w:t xml:space="preserve">      judicial de las víctimas y familiares,  mientras  duró  el  estado  de</w:t>
        <w:br/>
        <w:t xml:space="preserve">      situación de un Poder Judicial encubridor de  las  violaciones  a  los</w:t>
        <w:br/>
        <w:t xml:space="preserve">      derechos humanos ocasionados por la gestión gubernamental  de  Alberto</w:t>
        <w:br/>
        <w:t xml:space="preserve">      Fujimori. Sin  embargo,  dada  la  actual  existencia  de  un  proceso</w:t>
        <w:br/>
        <w:t xml:space="preserve">      judicial independiente e imparcial en trámite, la violación ha  cesado</w:t>
        <w:br/>
        <w:t xml:space="preserve">      no lográndose su consumación y se han restituido  derechos  que  están</w:t>
        <w:br/>
        <w:t xml:space="preserve">      siendo plenamente ejercidos por las víctimas y familiares.</w:t>
        <w:br/>
        <w:t xml:space="preserve">      […]</w:t>
        <w:br/>
        <w:br/>
        <w:br/>
        <w:br/>
        <w:br/>
        <w:t>141.  Además, en dicho escrito de contestación a la demanda el  Estado</w:t>
        <w:br/>
        <w:t>señaló que:</w:t>
        <w:br/>
        <w:br/>
        <w:t xml:space="preserve">      acepta el incumplimiento  de  la  obligación  general  de  respeto  y</w:t>
        <w:br/>
        <w:t xml:space="preserve">      garantía de los derechos humanos establecida en el Artículo 1 (1)  de</w:t>
        <w:br/>
        <w:t xml:space="preserve">      la Convención Americana  […].  Sin  embargo,  acepta  responsabilidad</w:t>
        <w:br/>
        <w:t xml:space="preserve">      parcial en las violaciones del derecho a la vida, integridad  física,</w:t>
        <w:br/>
        <w:t xml:space="preserve">      en tanto el Poder Judicial del Perú no se pronuncie sobre  la  verdad</w:t>
        <w:br/>
        <w:t xml:space="preserve">      histórica y detallada de los sucesos acaecidos entre el 6 y 9 de mayo</w:t>
        <w:br/>
        <w:t xml:space="preserve">      de 1992.</w:t>
        <w:br/>
        <w:br/>
        <w:br/>
        <w:t xml:space="preserve">    3)      Respecto de las solicitudes sobre reparaciones y costas</w:t>
        <w:br/>
        <w:br/>
        <w:br/>
        <w:t>142.  En su escrito de contestación de demanda,  el  Perú  indicó  que</w:t>
        <w:br/>
        <w:t>“[e]n  relación  [con]  las   reparaciones   que   deriven   de   este</w:t>
        <w:br/>
        <w:t>reconocimiento parcial de responsabilidad, […] acepta  la  publicación</w:t>
        <w:br/>
        <w:t>de la sentencia que se emita en un diario de circulación nacional”,  y</w:t>
        <w:br/>
        <w:t>manifestó “su oposición a la medida de corte simbólico de colocar  una</w:t>
        <w:br/>
        <w:t>placa conmemorativa en el penal ‘Castro Castro’, por cuanto ya  existe</w:t>
        <w:br/>
        <w:t>un monumento de recuerdo de todas las víctimas del conflicto armado  y</w:t>
        <w:br/>
        <w:t>dado que el mencionado penal es un centro en actual funcionamiento con</w:t>
        <w:br/>
        <w:t>presencia de detenidos organizados y militantes del Partido  Comunista</w:t>
        <w:br/>
        <w:t>del Perú- Sendero Luminoso y una medida de este tipo no favorecería la</w:t>
        <w:br/>
        <w:t>seguridad interna del penal ni medidas destinadas a la  reconciliación</w:t>
        <w:br/>
        <w:t>de los peruanos”.  Además, indicó que “[e]n cuanto a las  reparaciones</w:t>
        <w:br/>
        <w:t>dinerarias que result[e]n de la determinación de responsabilidades, el</w:t>
        <w:br/>
        <w:t>Estado propone determinar los montos de acuerdo  a  políticas  que  el</w:t>
        <w:br/>
        <w:t>Estado esté implementando o por implementar, por vía  legislativa  y/o</w:t>
        <w:br/>
        <w:t>administrativa, de acuerdo a experiencias que se hayan dado para otros</w:t>
        <w:br/>
        <w:t>casos ventilados ante el Sistema  Interamericano  y  como  efecto  del</w:t>
        <w:br/>
        <w:t>reconocimiento del Estado de sus compromisos internacionales”.</w:t>
        <w:br/>
        <w:br/>
        <w:t>143.  Al respecto, en la audiencia pública (supra párr.  93)  el  Perú</w:t>
        <w:br/>
        <w:t>señaló que “en una coherencia de esta política  de  reconocimiento  de</w:t>
        <w:br/>
        <w:t>hechos y de búsqueda de la reconciliación” se iniciarían las consultas</w:t>
        <w:br/>
        <w:t>pertinentes para promover un acuerdo de solución amistosa.   Asimismo,</w:t>
        <w:br/>
        <w:t>se refirió al plan integral de reparaciones que recomendó la  Comisión</w:t>
        <w:br/>
        <w:t>de la Verdad y Reconciliación, así  como  a  la  Ley  Nº  28592  sobre</w:t>
        <w:br/>
        <w:t>reparaciones a víctimas del conflicto armado interno.</w:t>
        <w:br/>
        <w:br/>
        <w:br/>
        <w:t>144.  Por último, en su escrito de alegatos finales el Estado solicitó</w:t>
        <w:br/>
        <w:t>a la Corte “que declare la responsabilidad del [mismo] en  los  hechos</w:t>
        <w:br/>
        <w:t>materia del presente  proceso  y  fije  medidas  reparatorias  que  se</w:t>
        <w:br/>
        <w:t>inscriban dentro de l[a]s medidas  legales  y  reglamentarias  que  el</w:t>
        <w:br/>
        <w:t>Estado está implementando como parte de sus compromisos  derivados  de</w:t>
        <w:br/>
        <w:t>la suscripción de tratados  internacionales  en  materia  de  Derechos</w:t>
        <w:br/>
        <w:t>Humanos”.  Asimismo, solicitó al Tribunal que  “reconozca  [la]  firme</w:t>
        <w:br/>
        <w:t>intención  [del  Perú]  de  implementar  políticas   reparatorias”   y</w:t>
        <w:br/>
        <w:t>“reafirm[ó] su  firme  intención  de  implementar[…  las  reparaciones</w:t>
        <w:br/>
        <w:t>simbólicas] en un contexto que signifique la real dignificación de las</w:t>
        <w:br/>
        <w:t>víctimas y sus familiares […]”.</w:t>
        <w:br/>
        <w:br/>
        <w:br/>
        <w:br/>
        <w:t xml:space="preserve">      4)     Alegatos  de  la  Comisión   Interamericana   y   de   la</w:t>
        <w:br/>
        <w:t xml:space="preserve">      interviniente común con respecto al  reconocimiento  parcial  de</w:t>
        <w:br/>
        <w:t xml:space="preserve">      responsabilidad</w:t>
        <w:br/>
        <w:br/>
        <w:br/>
        <w:t>145.  Con respecto a dicho reconocimiento, la Comisión  Interamericana</w:t>
        <w:br/>
        <w:t>expresó que valora el reconocimiento de los hechos  efectuado  por  el</w:t>
        <w:br/>
        <w:t>Estado y lo considera un paso positivo hacia el  cumplimiento  de  sus</w:t>
        <w:br/>
        <w:t>obligaciones internacionales.  Asimismo, en  su  escrito  de  alegatos</w:t>
        <w:br/>
        <w:t>finales (supra párr. 103) la Comisión agregó que “[e]l Estado  […]  ha</w:t>
        <w:br/>
        <w:t>aceptado en su totalidad los hechos del caso, incluida  la  denegación</w:t>
        <w:br/>
        <w:t>de justicia, por lo que […] solicita a la  Corte  que  los  tenga  por</w:t>
        <w:br/>
        <w:t>establecidos y los incluya en la sentencia  de  fondo  que  dicte,  en</w:t>
        <w:br/>
        <w:t>razón de la importancia que el establecimiento de una  verdad  oficial</w:t>
        <w:br/>
        <w:t>de lo acontecido tiene para las víctimas de violaciones a los derechos</w:t>
        <w:br/>
        <w:t>humanos, así como para sus familiares y para la sociedad peruana”.</w:t>
        <w:br/>
        <w:br/>
        <w:t>146.  Asimismo, en sus alegatos finales escritos la  Comisión  observó</w:t>
        <w:br/>
        <w:t>que “el reconocimiento [del Estado] no se refiere a las  implicaciones</w:t>
        <w:br/>
        <w:t>jurídicas en relación con los hechos,  ni  a  la  pertinencia  de  las</w:t>
        <w:br/>
        <w:t>reparaciones solicitadas por las partes” y  que  “el  agente  estatal,</w:t>
        <w:br/>
        <w:t>[durante la audiencia pública,] manifestó que no  tenía  instrucciones</w:t>
        <w:br/>
        <w:t>para proceder a la aceptación de la responsabilidad internacional  del</w:t>
        <w:br/>
        <w:t>Estado peruano por  las  violaciones  alegadas  por  las  partes”.  La</w:t>
        <w:br/>
        <w:t>Comisión solicitó “a  la  Corte  que  res[olvier]a  en  sentencia  las</w:t>
        <w:br/>
        <w:t>cuestiones que permanecen en contención, es  decir,  la  valoración  y</w:t>
        <w:br/>
        <w:t>consecuencias jurídicas de los hechos reconocidos por el Estado, y las</w:t>
        <w:br/>
        <w:t>reparaciones que resulten pertinentes en atención a la gravedad de los</w:t>
        <w:br/>
        <w:t>hechos, al número de víctimas, y a la naturaleza de las violaciones  a</w:t>
        <w:br/>
        <w:t>los derechos humanos acusadas”.</w:t>
        <w:br/>
        <w:br/>
        <w:t>147.  Por su parte,  la  interviniente  común  de  los  representantes</w:t>
        <w:br/>
        <w:t>solicitó al Tribunal, inter alia, que “[emita] una sentencia […] tanto</w:t>
        <w:br/>
        <w:t>en materia sustantiva que determine los hechos[, como]  que  determine</w:t>
        <w:br/>
        <w:t>el derecho, en base a […] los alegatos de las partes, y que  determine</w:t>
        <w:br/>
        <w:t>las  reparaciones  correspondientes”.  En  la  audiencia  pública   la</w:t>
        <w:br/>
        <w:t>interviniente manifestó que rechazaba el ofrecimiento realizado por el</w:t>
        <w:br/>
        <w:t>Estado de intentar  lograr  una  solución  amistosa  en  los  términos</w:t>
        <w:br/>
        <w:t>propuestos (supra párr. 143). Además, se refirió a los términos en que</w:t>
        <w:br/>
        <w:t>el Estado reconoció parcialmente su responsabilidad, y resaltó que  en</w:t>
        <w:br/>
        <w:t>la investigación penal que se está realizando  los  sobrevivientes  no</w:t>
        <w:br/>
        <w:t>son considerados como víctimas y que los delitos investigados  no  son</w:t>
        <w:br/>
        <w:t>los que corresponden a lo que verdaderamente sucedió.</w:t>
        <w:br/>
        <w:br/>
        <w:br/>
        <w:t>148.  La Corte considera  que  el  reconocimiento  de  responsabilidad</w:t>
        <w:br/>
        <w:t>efectuado por  el  Estado  constituye  una  contribución  positiva  al</w:t>
        <w:br/>
        <w:t>desarrollo de este proceso y a  la  vigencia  de  los  principios  que</w:t>
        <w:br/>
        <w:t>inspiran la Convención Americana[5].</w:t>
        <w:br/>
        <w:br/>
        <w:br/>
        <w:t>B)    Extensión de la controversia subsistente</w:t>
        <w:br/>
        <w:br/>
        <w:t>149.   Después  de  haber  examinado  el  reconocimiento  parcial   de</w:t>
        <w:br/>
        <w:t>responsabilidad efectuado  por  el  Estado  y  tomando  en  cuenta  lo</w:t>
        <w:br/>
        <w:t>manifestado por  la  Comisión  y  la  interviniente  común,  la  Corte</w:t>
        <w:br/>
        <w:t>considera que subsiste la controversia en los términos que se  exponen</w:t>
        <w:br/>
        <w:t>en los siguientes párrafos.</w:t>
        <w:br/>
        <w:br/>
        <w:br/>
        <w:br/>
        <w:t xml:space="preserve">      En cuanto a los hechos</w:t>
        <w:br/>
        <w:br/>
        <w:t>150.  La Comisión interpretó que el reconocimiento de hechos realizado</w:t>
        <w:br/>
        <w:t>por el Estado incluye “[la] totalidad [de] los hechos del caso” (supra</w:t>
        <w:br/>
        <w:t>párr. 145). El Tribunal no concuerda con esta apreciación, ya  que  el</w:t>
        <w:br/>
        <w:t>Estado señaló claramente  que  “reconoce  su  responsabilidad  en  los</w:t>
        <w:br/>
        <w:t>hechos acaecidos entre el 6 y 9 de  mayo  de  1992”  expuestos  en  la</w:t>
        <w:br/>
        <w:t>demanda  de   la   Comisión   y   también   expresó   que   “formul[a]</w:t>
        <w:br/>
        <w:t>reconocimiento” “de  las  situaciones  expresadas  en  el  escrito  de</w:t>
        <w:br/>
        <w:t>solicitudes, argumentos y  pruebas  presentado  por  la  interviniente</w:t>
        <w:br/>
        <w:t>común”. De esta forma está claro que el Perú no reconoció  los  hechos</w:t>
        <w:br/>
        <w:t>posteriores al 9 de mayo de 1992.  Cabe notar que en el  proceso  ante</w:t>
        <w:br/>
        <w:t>la Corte el Estado no se opuso expresamente  a  la  prueba  presentada</w:t>
        <w:br/>
        <w:t>para acreditar los alegados hechos después del 9 de mayo de 1992.</w:t>
        <w:br/>
        <w:br/>
        <w:t>151.  Por lo que respecta a los hechos acontecidos entre el 6 y  9  de</w:t>
        <w:br/>
        <w:t>mayo de 1992, la Comisión  y  la  interviniente  no  coinciden  en  la</w:t>
        <w:br/>
        <w:t>descripción y calificación de algunos de éstos.  Por ello, el Tribunal</w:t>
        <w:br/>
        <w:t>deberá  tomar  en  cuenta  el  examen  más  amplio   que   ofrece   la</w:t>
        <w:br/>
        <w:t>interviniente sobre algunos hechos que fueron alegados por la Comisión</w:t>
        <w:br/>
        <w:t>(infra párrs. 167 a 169), y con respecto a los  hechos  que  han  sido</w:t>
        <w:br/>
        <w:t>calificados por la Comisión y  la  interviniente  de  forma  distinta,</w:t>
        <w:br/>
        <w:t>determinará tales hechos con  base  en  la  prueba  aportada  en  este</w:t>
        <w:br/>
        <w:t>proceso (infra párrs. 164 a 166).</w:t>
        <w:br/>
        <w:br/>
        <w:t>152.  Con apoyo en las anteriores consideraciones, la  Corte  concluye</w:t>
        <w:br/>
        <w:t>que subsiste la controversia en cuanto  a  los  hechos  que  se  alega</w:t>
        <w:br/>
        <w:t>sucedieron  después  del  9  de  mayo  de  1992.    En   consecuencia,</w:t>
        <w:br/>
        <w:t>determinará los correspondientes hechos probados, de  conformidad  con</w:t>
        <w:br/>
        <w:t>lo alegado por las partes y el acervo probatorio del caso.</w:t>
        <w:br/>
        <w:br/>
        <w:br/>
        <w:t xml:space="preserve">      En cuanto a los derechos cuya violación se alega</w:t>
        <w:br/>
        <w:br/>
        <w:t>153.  En su escrito de contestación a la demanda  y  observaciones  al</w:t>
        <w:br/>
        <w:t>escrito de solicitudes y argumentos, el Estado reconoció la  violación</w:t>
        <w:br/>
        <w:t>del  artículo  1.1  de  la  Convención  y   manifestó   que   reconoce</w:t>
        <w:br/>
        <w:t>“responsabilidad parcial” en cuanto a las violaciones de los artículos</w:t>
        <w:br/>
        <w:t>4 y 5 de la misma “en tanto el Poder Judicial del Perú no se pronuncie</w:t>
        <w:br/>
        <w:t>sobre la verdad histórica y detallada de los sucesos  acaecidos  entre</w:t>
        <w:br/>
        <w:t>el  6  y  9  de  mayo  de  1992”.   Además,  expresamente  señaló  que</w:t>
        <w:br/>
        <w:t>“contradice el extremo de  la  demanda  que  solicita  se  declare  al</w:t>
        <w:br/>
        <w:t>[E]stado responsable de  la  violación  al  derecho  a  la  protección</w:t>
        <w:br/>
        <w:t>judicial”.</w:t>
        <w:br/>
        <w:br/>
        <w:t>154.  Posteriormente, en  la  audiencia  pública  y  en  sus  alegatos</w:t>
        <w:br/>
        <w:t>finales, al reconocer su responsabilidad sobre los hechos del 6  al  9</w:t>
        <w:br/>
        <w:t>de mayo de 1992, el Estado  no  indicó  expresamente  cuáles  derechos</w:t>
        <w:br/>
        <w:t>alegados por la Comisión y la interviniente admite como violados.  Sin</w:t>
        <w:br/>
        <w:t>embargo, de lo expresado por el  Estado  se  puede  deducir  que  éste</w:t>
        <w:br/>
        <w:t>cambió la posición que había sostenido en su escrito de contestación a</w:t>
        <w:br/>
        <w:t>la demanda (supra  párr.  139).  Al  respecto,  en  dicho  escrito  de</w:t>
        <w:br/>
        <w:t>contestación el Perú hacía depender la determinación de  hechos  y  de</w:t>
        <w:br/>
        <w:t>violaciones del pronunciamiento de su Poder Judicial, mientras que  en</w:t>
        <w:br/>
        <w:t>sus alegatos finales el Estado reconoció expresamente los hechos del 6</w:t>
        <w:br/>
        <w:t>al 9 de mayo de 1992, sin hacerlos depender  de  ninguna  decisión  de</w:t>
        <w:br/>
        <w:t>tribunales internos, e indicó que el pronunciamiento que emitan  éstos</w:t>
        <w:br/>
        <w:t>guarda relación únicamente con la determinación  de  responsabilidades</w:t>
        <w:br/>
        <w:t>penales individuales.</w:t>
        <w:br/>
        <w:br/>
        <w:t>155.  A pesar de que del reconocimiento de responsabilidad del  Estado</w:t>
        <w:br/>
        <w:t>podría deducirse que éste admite que se violaron  los  derechos  a  la</w:t>
        <w:br/>
        <w:t>vida e integridad de los internos durante los días 6 a 9  de  mayo  de</w:t>
        <w:br/>
        <w:t>1992,  la  Corte  considera  adecuado  establecer,  en  los  capítulos</w:t>
        <w:br/>
        <w:t>correspondientes,  las   consecuencias   jurídicas   de   los   hechos</w:t>
        <w:br/>
        <w:t>reconocidos por el Estado, así como de los ocurridos después del 9  de</w:t>
        <w:br/>
        <w:t>mayo de 1992, conforme a lo alegado por  las  partes[6]  y  al  acervo</w:t>
        <w:br/>
        <w:t>probatorio del caso.</w:t>
        <w:br/>
        <w:br/>
        <w:br/>
        <w:t xml:space="preserve">      En cuanto a las presuntas víctimas</w:t>
        <w:br/>
        <w:br/>
        <w:br/>
        <w:t>156.  Al reconocer su responsabilidad sobre los hechos del 6  y  9  de</w:t>
        <w:br/>
        <w:t>mayo de 1992 el  Estado  no  indicó  expresamente  que  reconoce  como</w:t>
        <w:br/>
        <w:t>víctimas a las personas indicadas bajo ese concepto por la Comisión  y</w:t>
        <w:br/>
        <w:t>la interviniente común.</w:t>
        <w:br/>
        <w:br/>
        <w:t>157.  Sin embargo, con base en que el Estado expresó que  “los  hechos</w:t>
        <w:br/>
        <w:t>[…] no se pueden ocultar, no se puede ocultar  el  dolor,  […]  no  se</w:t>
        <w:br/>
        <w:t>pueden ocultar los heridos, no  se  puede  ocultar  el  dolor  de  los</w:t>
        <w:br/>
        <w:t>familiares de las víctimas”, la Corte estima que el  Estado  reconoció</w:t>
        <w:br/>
        <w:t>que como consecuencia de los hechos del 6 al 9 de mayo  de  1992  hubo</w:t>
        <w:br/>
        <w:t>personas que murieron, personas que resultaron heridas y personas  que</w:t>
        <w:br/>
        <w:t>sufrieron, incluyendo a los familiares de los internos.</w:t>
        <w:br/>
        <w:br/>
        <w:t>158.  Como ya  se  dijo,  el  Tribunal  establecerá  quiénes  son  las</w:t>
        <w:br/>
        <w:t>víctimas de los hechos  violatorios  reconocidos  por  el  Estado,  de</w:t>
        <w:br/>
        <w:t>conformidad con lo alegado por las partes y el acervo  probatorio  del</w:t>
        <w:br/>
        <w:t>caso, tomando en cuenta, además, que aquél no formuló oposición alguna</w:t>
        <w:br/>
        <w:t>a la prueba sobre presuntas víctimas aportada ante la Corte. Asimismo,</w:t>
        <w:br/>
        <w:t>el Tribunal determinará las víctimas de los hechos  ocurridos  después</w:t>
        <w:br/>
        <w:t>del 9 de mayo de 1992 que constituyan una violación de la  Convención,</w:t>
        <w:br/>
        <w:t>de conformidad con lo alegado por las partes y  el  acervo  probatorio</w:t>
        <w:br/>
        <w:t>del caso.</w:t>
        <w:br/>
        <w:br/>
        <w:br/>
        <w:br/>
        <w:br/>
        <w:br/>
        <w:br/>
        <w:br/>
        <w:br/>
        <w:t xml:space="preserve">      En cuanto a Reparaciones</w:t>
        <w:br/>
        <w:br/>
        <w:br/>
        <w:t>159.  Al reconocer su responsabilidad sobre los hechos del 6  y  9  de</w:t>
        <w:br/>
        <w:t>mayo de 1992 el  Estado  se  refirió  de  forma  expresa  al  tema  de</w:t>
        <w:br/>
        <w:t>reparaciones y solicitó a la Corte que fije las medidas de  reparación</w:t>
        <w:br/>
        <w:t>(supra párr. 144), manifestando su  firme  intención  de  cumplir  con</w:t>
        <w:br/>
        <w:t>medidas  que  correspondan.  La  Corte  determinará  las  medidas   de</w:t>
        <w:br/>
        <w:t>reparación correspondientes, para lo cual también tomará en cuenta  lo</w:t>
        <w:br/>
        <w:t>expresado por el Estado respecto a las reparaciones que “acepta” y las</w:t>
        <w:br/>
        <w:t>oposiciones  que  presentó  sobre  algunas   medidas   de   reparación</w:t>
        <w:br/>
        <w:t>solicitadas.</w:t>
        <w:br/>
        <w:br/>
        <w:br/>
        <w:t xml:space="preserve">                                     VI</w:t>
        <w:br/>
        <w:t xml:space="preserve">                           Consideraciones previas</w:t>
        <w:br/>
        <w:br/>
        <w:t>160.  En este capítulo  la  Corte  formulará  algunas  consideraciones</w:t>
        <w:br/>
        <w:t>respecto de los hechos objeto del presente caso, y la determinación de</w:t>
        <w:br/>
        <w:t>presuntas víctimas.</w:t>
        <w:br/>
        <w:br/>
        <w:br/>
        <w:t>A)    respecto de los hechos objeto del presente caso</w:t>
        <w:br/>
        <w:br/>
        <w:t>161.  Es preciso considerar dos cuestiones  en  este  punto.  Por  una</w:t>
        <w:br/>
        <w:t>parte la Comisión y la interviniente no coinciden en la descripción de</w:t>
        <w:br/>
        <w:t>algunos hechos ocurridos entre el 6 y 9 de mayo de 1992; por la  otra,</w:t>
        <w:br/>
        <w:t>en lo que toca a los hechos ocurridos con posterioridad al 9  de  mayo</w:t>
        <w:br/>
        <w:t>de 1992, la Comisión incluyó  en  la  demanda  menos  hechos  que  los</w:t>
        <w:br/>
        <w:t>desarrollados por la interviniente común.</w:t>
        <w:br/>
        <w:br/>
        <w:t>162.  Antes de pronunciarse sobre esos asuntos, la Corte  reafirma  su</w:t>
        <w:br/>
        <w:t>jurisprudencia en materia de establecimiento de hechos, en el  sentido</w:t>
        <w:br/>
        <w:t>de que, en principio, “no es admisible alegar nuevos hechos  distintos</w:t>
        <w:br/>
        <w:t>de los planteados en la demanda, sin perjuicio de exponer aquellos que</w:t>
        <w:br/>
        <w:t>permitan explicar, aclarar o desestimar los que han  sido  mencionados</w:t>
        <w:br/>
        <w:t>en la demanda, o bien, responder a las pretensiones  del  demandante”,</w:t>
        <w:br/>
        <w:t>así como con la excepción que implican los hechos supervinientes  [7].</w:t>
        <w:br/>
        <w:t>Asimismo, el Tribunal reitera que</w:t>
        <w:br/>
        <w:br/>
        <w:t xml:space="preserve">      tiene la facultad de hacer su propia determinación de los  hechos  del</w:t>
        <w:br/>
        <w:t xml:space="preserve">      caso y de decidir aspectos de derecho no alegados por las  partes  con</w:t>
        <w:br/>
        <w:t xml:space="preserve">      base en el principio iura novit curia. Es decir, si  bien  la  demanda</w:t>
        <w:br/>
        <w:t xml:space="preserve">      constituye el marco fáctico del proceso,  aquélla  no  representa  una</w:t>
        <w:br/>
        <w:t xml:space="preserve">      limitación a las facultades de la Corte de determinar los  hechos  del</w:t>
        <w:br/>
        <w:t xml:space="preserve">      caso, con base en la prueba evacuada,  en  hechos  supervinientes,  en</w:t>
        <w:br/>
        <w:t xml:space="preserve">      información complementaria y contextual que obre en el expediente, así</w:t>
        <w:br/>
        <w:t xml:space="preserve">      como en hechos notorios o de conocimiento  público,  que  el  Tribunal</w:t>
        <w:br/>
        <w:t xml:space="preserve">      estime pertinente incluir en el conjunto de dichos hechos[8].</w:t>
        <w:br/>
        <w:br/>
        <w:t>163.  Por otra parte, la Corte ha tomado nota de que en el párrafo  79</w:t>
        <w:br/>
        <w:t>de la demanda la Comisión señaló que</w:t>
        <w:br/>
        <w:br/>
        <w:t xml:space="preserve">      desea resaltar que el objeto de  la  presente  demanda  trasciende  lo</w:t>
        <w:br/>
        <w:t xml:space="preserve">      relativo  a  la  promulgación   y   aplicación   de   la   legislación</w:t>
        <w:br/>
        <w:t xml:space="preserve">      antiterrorista en el Perú,  en  virtud  de  la  cual  algunas  de  las</w:t>
        <w:br/>
        <w:t xml:space="preserve">      víctimas se encontraban privadas de la libertad, toda vez  que  no  es</w:t>
        <w:br/>
        <w:t xml:space="preserve">      materia de los hechos denunciados y probados. Asimismo, cabe  destacar</w:t>
        <w:br/>
        <w:t xml:space="preserve">      que durante el  procedimiento  ante  la  Comisión  no  se  analizó  la</w:t>
        <w:br/>
        <w:t xml:space="preserve">      eventual responsabilidad internacional del Estado  por  la  lamentable</w:t>
        <w:br/>
        <w:t xml:space="preserve">      muerte de un policía que ocurrió en el desarrollo de los mismos hechos</w:t>
        <w:br/>
        <w:t xml:space="preserve">      que motivan el presente caso, así como por  las  lesiones  causadas  a</w:t>
        <w:br/>
        <w:t xml:space="preserve">      otros. El Estado debe  investigar  tales  hechos  y  sancionar  a  los</w:t>
        <w:br/>
        <w:t xml:space="preserve">      responsables,  sin  embargo,  ante  la   Comisión   no   se   denunció</w:t>
        <w:br/>
        <w:t xml:space="preserve">      responsabilidad del Estado en tal sentido.</w:t>
        <w:br/>
        <w:br/>
        <w:br/>
        <w:t>1)    Hechos ocurridos entre el 6 y 9 de mayo de 1992: diferencias en</w:t>
        <w:br/>
        <w:t>la descripción y calificación de los mismos  por  la  Comisión  y  la</w:t>
        <w:br/>
        <w:t>interviniente común</w:t>
        <w:br/>
        <w:br/>
        <w:t>164.  Ha quedado claramente establecido  que  el  Perú  reconoció  los</w:t>
        <w:br/>
        <w:t>hechos acontecidos entre el 6 y 9 de mayo  de  1992  expuestos  en  la</w:t>
        <w:br/>
        <w:t>demanda  de  la  Comisión  y  que  también  expresó   que   “formul[a]</w:t>
        <w:br/>
        <w:t>reconocimiento” “de  las  situaciones  expresadas  en  el  escrito  de</w:t>
        <w:br/>
        <w:t>solicitudes, argumentos y  pruebas  presentado  por  la  interviniente</w:t>
        <w:br/>
        <w:t>común” (supra párr. 150). Sin embargo, la Comisión y la  interviniente</w:t>
        <w:br/>
        <w:t>no coinciden en  la  descripción  y  calificación  de  algunos  hechos</w:t>
        <w:br/>
        <w:t>ocurridos en dicho período.</w:t>
        <w:br/>
        <w:br/>
        <w:t>165.  En algunos casos la diferencia se debe a  que  la  interviniente</w:t>
        <w:br/>
        <w:t>explica más ampliamente el hecho que fue alegado por la  Comisión.  En</w:t>
        <w:br/>
        <w:t>este punto no existe problema ya que, según la jurisprudencia de  este</w:t>
        <w:br/>
        <w:t>Tribunal,  la  interviniente  puede  explicar  o  aclarar  los  hechos</w:t>
        <w:br/>
        <w:t>expuestos en la demanda (supra párr. 162). Además, el  Perú  reconoció</w:t>
        <w:br/>
        <w:t>tales hechos (supra párr. 150).</w:t>
        <w:br/>
        <w:br/>
        <w:t>166.  Sin embargo, existen otros hechos en los que surge contradicción</w:t>
        <w:br/>
        <w:t>entre  el  planteamiento  de  la  Comisión  y  la   posición   de   la</w:t>
        <w:br/>
        <w:t>interviniente  y resulta contradictorio adoptar  ambas  versiones  del</w:t>
        <w:br/>
        <w:t>hecho.  Se trata, básicamente, de los hechos relativos a la existencia</w:t>
        <w:br/>
        <w:t>de un motín o de resistencia de  los  internos  antes  del  “Operativo</w:t>
        <w:br/>
        <w:t>Mudanza 1” en la madrugada del 6 de  mayo  de  1992,  así  como  a  la</w:t>
        <w:br/>
        <w:t>tenencia y el empleo de armas por parte de los internos.  La  distinta</w:t>
        <w:br/>
        <w:t>calificación  que  hacen  las  partes  sobre  esos  hechos   se   debe</w:t>
        <w:br/>
        <w:t>principalmente al análisis  y  valoración  que  han  realizado  de  la</w:t>
        <w:br/>
        <w:t>prueba. El Tribunal determinará los  hechos  con  base  en  la  prueba</w:t>
        <w:br/>
        <w:t>aportada en este proceso, aplicando las reglas de la sana crítica.</w:t>
        <w:br/>
        <w:br/>
        <w:br/>
        <w:t>2)    Hechos ocurridos con posterioridad al 9 de mayo  de  1992:  hechos  no</w:t>
        <w:br/>
        <w:t>incluidos en el escrito de demanda, que son objeto de este caso</w:t>
        <w:br/>
        <w:br/>
        <w:t>167.  En el escrito de demanda  la  Comisión  expuso  diversos  hechos</w:t>
        <w:br/>
        <w:t>supuestamente acontecidos con posterioridad al  9  de  mayo  de  1992,</w:t>
        <w:br/>
        <w:t>fecha en que  concluyó  el  denominado  “Operativo  Mudanza  1”.   Sin</w:t>
        <w:br/>
        <w:t>embargo, la Corte ha constatado que en el  escrito  de  solicitudes  y</w:t>
        <w:br/>
        <w:t>argumentos la interviniente común expuso más hechos que los  incluidos</w:t>
        <w:br/>
        <w:t>en la demanda de la Comisión, con respecto a lo que se  alega  sucedió</w:t>
        <w:br/>
        <w:t>con posterioridad a esa fecha.  Asimismo, en los alegatos  finales  la</w:t>
        <w:br/>
        <w:t>Comisión incluyó como hechos de este caso algunas de  las  situaciones</w:t>
        <w:br/>
        <w:t>fácticas expuestas por la interviniente común.</w:t>
        <w:br/>
        <w:br/>
        <w:t>168.  Debido a que en el presente caso la falta de inclusión  de  esos</w:t>
        <w:br/>
        <w:t>hechos fue observada por la interviniente común y a que de los  anexos</w:t>
        <w:br/>
        <w:t>a la demanda se desprenden hechos  no  incluidos  expresamente  en  la</w:t>
        <w:br/>
        <w:t>misma, el Tribunal procederá a resolver este asunto fáctico.</w:t>
        <w:br/>
        <w:br/>
        <w:t>169.  Ante esta situación y en cumplimiento de  las  responsabilidades</w:t>
        <w:br/>
        <w:t>que le incumben de proteger los derechos humanos, el Tribunal hará uso</w:t>
        <w:br/>
        <w:t>de su facultad de hacer su propia  determinación  de  los  hechos  del</w:t>
        <w:br/>
        <w:t>caso[9] supuestamente ocurridos con posterioridad al 9 de mayo de 1992</w:t>
        <w:br/>
        <w:t>(supra párr. 162) y fijará en el capítulo de Hechos Probados  los  que</w:t>
        <w:br/>
        <w:t>son objeto de este caso.  Para ello, la Corte  tomará  en  cuenta  los</w:t>
        <w:br/>
        <w:t>hechos descritos por la Comisión en la demanda y los que surgen de  la</w:t>
        <w:br/>
        <w:t>prueba aportada como anexos a la misma.  Además,  el  Tribunal  se  ha</w:t>
        <w:br/>
        <w:t>cerciorado de que esos hechos también fueron objeto  del  trámite  del</w:t>
        <w:br/>
        <w:t>presente caso ante la Comisión y guardan relación con  los  hechos  de</w:t>
        <w:br/>
        <w:t>este anteriores al 9 de mayo de 1992. Es preciso indicar que  ante  la</w:t>
        <w:br/>
        <w:t>Corte el Perú no objetó la prueba sobre los hechos posteriores al 9 de</w:t>
        <w:br/>
        <w:t>mayo de 1992 ni presentó argumentos que contradijeran tales hechos,  a</w:t>
        <w:br/>
        <w:t>pesar  de  que  contó  con  múltiples  oportunidades  procesales  para</w:t>
        <w:br/>
        <w:t>hacerlo.</w:t>
        <w:br/>
        <w:br/>
        <w:br/>
        <w:br/>
        <w:br/>
        <w:t>B)    Respecto de la determinación de presuntas víctimas</w:t>
        <w:br/>
        <w:br/>
        <w:br/>
        <w:t>170.  En el presente caso, de acuerdo a lo dispuesto  en  el  artículo</w:t>
        <w:br/>
        <w:t>33.1 del Reglamento, la Comisión consignó en el texto de la demanda el</w:t>
        <w:br/>
        <w:t>nombre de las presuntas víctimas, indicando quiénes eran los  internos</w:t>
        <w:br/>
        <w:t>fallecidos (“cuyo deceso [pudo]  establecer  de  manera  fehaciente  a</w:t>
        <w:br/>
        <w:t>través del acervo probatorio”), los internos heridos  y  los  internos</w:t>
        <w:br/>
        <w:t>que resultaron ilesos. Con respecto a los familiares de las  presuntas</w:t>
        <w:br/>
        <w:t>víctimas, a pesar de que la Comisión solicitó a la Corte  que  declare</w:t>
        <w:br/>
        <w:t>que fueron víctimas de violaciones a los artículos 5[10], 8 y 25 de la</w:t>
        <w:br/>
        <w:t>Convención, aquella solamente indicó el nombre de  algunos  familiares</w:t>
        <w:br/>
        <w:t>de los internos fallecidos (Apéndice A de la demanda).  Asimismo  hizo</w:t>
        <w:br/>
        <w:t>notar que  la  relación  de  presuntas  víctimas  presentada  por  los</w:t>
        <w:br/>
        <w:t>peticionarios  en  el  procedimiento   ante   la   Comisión   no   fue</w:t>
        <w:br/>
        <w:t>controvertida por el Estado.</w:t>
        <w:br/>
        <w:br/>
        <w:t>171.  En el escrito  de  solicitudes  y  argumentos  la  interviniente</w:t>
        <w:br/>
        <w:t>indicó que habría 11 personas consignadas en la demanda como  internos</w:t>
        <w:br/>
        <w:t>“ilesos”, pero que de acuerdo a la prueba recopilada  por  ella  tales</w:t>
        <w:br/>
        <w:t>personas habrían  resultado  heridas  en  los  hechos  de  este  caso.</w:t>
        <w:br/>
        <w:t>Posteriormente, al responder a un pedido de  aclaraciones  para  mejor</w:t>
        <w:br/>
        <w:t>resolver (supra párr. 104) la  interviniente  alegó  que  habrían  dos</w:t>
        <w:br/>
        <w:t>personas más en la misma situación.   Al  respecto,  la  interviniente</w:t>
        <w:br/>
        <w:t>explicó que con posterioridad al año 2001, presuntas víctimas respecto</w:t>
        <w:br/>
        <w:t>de quienes no contaba con información se la proporcionaron y que otras</w:t>
        <w:br/>
        <w:t xml:space="preserve"> le dieron información más detallada, y también  explicó  que  algunas</w:t>
        <w:br/>
        <w:t>lesiones al sistema auditivo, lesiones de esquirlas y  lesiones  leves</w:t>
        <w:br/>
        <w:t>de bala no fueron originalmente consideradas como lesión  por  algunos</w:t>
        <w:br/>
        <w:t>internos y por eso se creía que habían resultado ilesos. Por su parte,</w:t>
        <w:br/>
        <w:t>la Comisión, al presentar las observaciones que le fueron  solicitadas</w:t>
        <w:br/>
        <w:t>sobre este punto (supra párrs. 102 y 103) indicó, inter alia, que  “si</w:t>
        <w:br/>
        <w:t>la interviniente común aporta prueba que lleve al Honorable Tribunal a</w:t>
        <w:br/>
        <w:t>la conclusión de que [dichas] personas resultaron  lesionadas  durante</w:t>
        <w:br/>
        <w:t>los hechos, la Comisión estima pertinente su inclusión como víctimas”.</w:t>
        <w:br/>
        <w:br/>
        <w:br/>
        <w:t>172.  La Corte tomará en cuenta la prueba aportada al expediente  para</w:t>
        <w:br/>
        <w:t>proceder a determinar si las presuntas víctimas sobrevivientes,  cuyos</w:t>
        <w:br/>
        <w:t>nombres están en la demanda, resultaron ilesas o heridas, incluyendo a</w:t>
        <w:br/>
        <w:t>esas 13 presuntas víctimas a las que se refiere la interviniente  como</w:t>
        <w:br/>
        <w:t>supuestamente heridas (supra párr. 171). El Tribunal hace notar que se</w:t>
        <w:br/>
        <w:t>garantizó al Estado el derecho de defensa y que este último no formuló</w:t>
        <w:br/>
        <w:t>ninguna oposición ni observación al respecto.</w:t>
        <w:br/>
        <w:br/>
        <w:t>173.   Asimismo,  el  Tribunal  tomará  en  consideración  la   prueba</w:t>
        <w:br/>
        <w:t>solicitada por el Presidente para mejor resolver en cuanto a presuntas</w:t>
        <w:br/>
        <w:t>víctimas (supra párrs. 122 y 124), de acuerdo a  la  cual  habría  una</w:t>
        <w:br/>
        <w:t>persona  más  que   debe   ser   incluida   como   presuntas   víctima</w:t>
        <w:br/>
        <w:t>sobreviviente[11], cuyo nombre no se encontraba en  la  demanda,  pero</w:t>
        <w:br/>
        <w:t>fue indicado  en  el  escrito  de  otro  grupo  de  representantes  de</w:t>
        <w:br/>
        <w:t>presuntas víctimas que la interviniente común adjuntó a su escrito  de</w:t>
        <w:br/>
        <w:t>solicitudes y argumentos (supra párr. 53).   Asimismo,  ese  grupo  de</w:t>
        <w:br/>
        <w:t>representantes solicitó la inclusión como  presunta  víctima  de  otra</w:t>
        <w:br/>
        <w:t>persona[12] que no estuvo en el Penal  Miguel  Castro  Castro  durante</w:t>
        <w:br/>
        <w:t>ninguno de los días en que se llevó a cabo el “Operativo  Mudanza  1”,</w:t>
        <w:br/>
        <w:t>pero que alega que posteriormente fue trasladada  al  penal  de  Santa</w:t>
        <w:br/>
        <w:t>Mónica  de  Chorrillos  y  sometida   a   condiciones   de   detención</w:t>
        <w:br/>
        <w:t>supuestamente violatorias de sus derechos. La Corte no puede incluir a</w:t>
        <w:br/>
        <w:t>dicha persona como presunta víctima debido a que  solamente  se  están</w:t>
        <w:br/>
        <w:t>considerando las supuestas violaciones acontecidas  con  posterioridad</w:t>
        <w:br/>
        <w:t>al “Operativo  Mudanza  1”  en  relación  con  aquellos  internos  que</w:t>
        <w:br/>
        <w:t>vivieron los hechos del referido “Operativo”.</w:t>
        <w:br/>
        <w:br/>
        <w:t>174.  Con  respecto  a  las  presuntas  víctimas,  en  su  escrito  de</w:t>
        <w:br/>
        <w:t>solicitudes y argumentos la interviniente también indicó que habría 31</w:t>
        <w:br/>
        <w:t>personas incluidas en la lista de presuntas víctimas de la demanda  de</w:t>
        <w:br/>
        <w:t>la Comisión que  la  interviniente  considera  que  no  son  presuntas</w:t>
        <w:br/>
        <w:t>víctimas “porque o bien no estuvieron al tiempo de los hechos  en  los</w:t>
        <w:br/>
        <w:t>pabellones 1-A y 4-B, o porque hicieron arreglos propios con el Estado</w:t>
        <w:br/>
        <w:t>peruano”.  La interviniente reiteró dicha posición al responder  a  un</w:t>
        <w:br/>
        <w:t>pedido de aclaraciones para mejor resolver (supra párr. 104).  Por  su</w:t>
        <w:br/>
        <w:t>parte, al presentar las observaciones que le fueron solicitadas  sobre</w:t>
        <w:br/>
        <w:t>este punto (supra párr. 102), la Comisión  indicó  que  “[d]urante  el</w:t>
        <w:br/>
        <w:t>trámite ante sí, y a partir de la evidencia aportada por  las  partes,</w:t>
        <w:br/>
        <w:t>la Comisión llegó a la convicción de que  estas  31  personas  también</w:t>
        <w:br/>
        <w:t>fueron víctimas de los hechos […]”, y señaló que “no ha tenido  en  su</w:t>
        <w:br/>
        <w:t>consideración prueba que desacredite esta conclusión”.</w:t>
        <w:br/>
        <w:br/>
        <w:t>175.  Al respecto, esta Corte  se  pronunciará  respecto  de  esas  31</w:t>
        <w:br/>
        <w:t>personas que fueron incluidas en  la  demanda  tomando  en  cuenta  la</w:t>
        <w:br/>
        <w:t>prueba aportada, las observaciones de la Comisión, así como  el  hecho</w:t>
        <w:br/>
        <w:t>de que el Estado no se opuso a su inclusión como presuntas víctimas ni</w:t>
        <w:br/>
        <w:t>realizó ninguna observación al  respecto,  a  pesar  de  que  tuvo  la</w:t>
        <w:br/>
        <w:t>oportunidad procesal para hacerlo.</w:t>
        <w:br/>
        <w:br/>
        <w:t>176.  Por otra parte, en cuanto a  los  familiares  de  las  presuntas</w:t>
        <w:br/>
        <w:t>víctimas en el procedimiento ante la Corte,  tanto  por  medio  de  la</w:t>
        <w:br/>
        <w:t>interviniente común como a través de prueba para  mejor  resolver,  se</w:t>
        <w:br/>
        <w:t>han consignado los nombres de otros familiares y se ha allegado  a  la</w:t>
        <w:br/>
        <w:t>Corte prueba al respecto.</w:t>
        <w:br/>
        <w:br/>
        <w:t>177.  En el presente caso la Comisión y  la  interviniente  común  han</w:t>
        <w:br/>
        <w:t>alegado que los familiares de los internos presuntas víctimas de  este</w:t>
        <w:br/>
        <w:t>caso serían a su vez presuntas víctimas de alegadas violaciones  a  la</w:t>
        <w:br/>
        <w:t>Convención Americana.</w:t>
        <w:br/>
        <w:br/>
        <w:t>178.  La jurisprudencia de este Tribunal en cuanto a la  determinación</w:t>
        <w:br/>
        <w:t>de presuntas víctimas y sus familiares ha sido amplia y ajustada a las</w:t>
        <w:br/>
        <w:t>circunstancias de cada caso. De conformidad con el artículo  33.1  del</w:t>
        <w:br/>
        <w:t>Reglamento de la Corte,  corresponde  a  la  Comisión,  y  no  a  este</w:t>
        <w:br/>
        <w:t>Tribunal,  identificar  con  precisión  y  en  la  debida  oportunidad</w:t>
        <w:br/>
        <w:t>procesal a las presuntas víctimas en un caso ante  la  Corte[13].  Sin</w:t>
        <w:br/>
        <w:t>embargo, en su defecto, en algunas ocasiones la Corte  ha  considerado</w:t>
        <w:br/>
        <w:t>como víctimas a personas que no  fueron  alegadas  como  tales  en  la</w:t>
        <w:br/>
        <w:t>demanda, siempre y cuando se haya respetado el derecho de  defensa  de</w:t>
        <w:br/>
        <w:t>las partes y las presuntas víctimas guarden relación  con  los  hechos</w:t>
        <w:br/>
        <w:t>objeto del caso y con la prueba aportada ante la Corte[14].</w:t>
        <w:br/>
        <w:br/>
        <w:t>179.  Además de las personas expresamente señaladas en la demanda como</w:t>
        <w:br/>
        <w:t>familiares de las presuntas  víctimas,  este  Tribunal  utilizará  los</w:t>
        <w:br/>
        <w:t>siguientes criterios  para  definir  quiénes  más  serán  considerados</w:t>
        <w:br/>
        <w:t>familiares de los internos presuntas víctimas  de  este  caso:  a)  la</w:t>
        <w:br/>
        <w:t>oportunidad procesal  en  que  fueron  identificados  y  que  se  haya</w:t>
        <w:br/>
        <w:t>asegurado el derecho de defensa al Estado;  b)  el  reconocimiento  de</w:t>
        <w:br/>
        <w:t>responsabilidad efectuado por el Estado; c)  la  prueba  que  obra  al</w:t>
        <w:br/>
        <w:t>respecto; y d) las características propias del presente caso.</w:t>
        <w:br/>
        <w:br/>
        <w:t>180.  Para  realizar  la  valoración  de  la  prueba  que  permite  la</w:t>
        <w:br/>
        <w:t>determinación  de  los  familiares  la  Corte  tomará  en  cuenta  las</w:t>
        <w:br/>
        <w:t>circunstancias particulares del presente caso. La Corte  también  hace</w:t>
        <w:br/>
        <w:t>notar que se garantizó al Estado el derecho  de  defensa  y  que  este</w:t>
        <w:br/>
        <w:t>último no realizó ninguna oposición con respecto a dicha prueba.</w:t>
        <w:br/>
        <w:br/>
        <w:t>181.  Asimismo, el Tribunal dispondrá lo pertinente con respecto a los</w:t>
        <w:br/>
        <w:t>familiares de las presuntas víctimas que no se lograron identificar en</w:t>
        <w:br/>
        <w:t>el proceso ante este Tribunal (infra párr. 420).</w:t>
        <w:br/>
        <w:br/>
        <w:br/>
        <w:t xml:space="preserve">                                     VII</w:t>
        <w:br/>
        <w:t xml:space="preserve">                                  La Prueba</w:t>
        <w:br/>
        <w:br/>
        <w:t>182.  Antes de examinar las pruebas ofrecidas, la Corte  formulará,  a</w:t>
        <w:br/>
        <w:t>la luz de lo establecido en los artículos  44  y  45  del  Reglamento,</w:t>
        <w:br/>
        <w:t>algunas  consideraciones  desarrolladas  en  la   jurisprudencia   del</w:t>
        <w:br/>
        <w:t>Tribunal y aplicables a este caso.</w:t>
        <w:br/>
        <w:br/>
        <w:t>183.  En materia probatoria rige el principio del contradictorio,  que</w:t>
        <w:br/>
        <w:t>respeta el derecho de defensa  de  las  partes.  El  artículo  44  del</w:t>
        <w:br/>
        <w:t>Reglamento contempla este principio, en lo que atañe a la  oportunidad</w:t>
        <w:br/>
        <w:t>en que debe ofrecerse la prueba  para  que  haya  igualdad  entre  las</w:t>
        <w:br/>
        <w:t>partes[15].</w:t>
        <w:br/>
        <w:br/>
        <w:t xml:space="preserve">      184.   La  Corte  ha  señalado,  en  cuanto  a  la  recepción  y</w:t>
        <w:br/>
        <w:t>valoración de la prueba, que los procedimientos  que  se  siguen  ante</w:t>
        <w:br/>
        <w:t>ella no están sujetos a las mismas formalidades  que  las  actuaciones</w:t>
        <w:br/>
        <w:t>judiciales internas, y que la incorporación de determinados  elementos</w:t>
        <w:br/>
        <w:t>al acervo probatorio debe ser efectuada prestando particular  atención</w:t>
        <w:br/>
        <w:t>a las circunstancias  del  caso  concreto  y  teniendo  presentes  los</w:t>
        <w:br/>
        <w:t>límites que impone el respeto a la seguridad jurídica y al  equilibrio</w:t>
        <w:br/>
        <w:t>procesal de las partes. Además, la Corte ha tenido en  cuenta  que  la</w:t>
        <w:br/>
        <w:t>jurisprudencia  internacional,  al  considerar  que   los   tribunales</w:t>
        <w:br/>
        <w:t>internacionales tienen la potestad de apreciar y valorar  las  pruebas</w:t>
        <w:br/>
        <w:t>según las reglas de  la  sana  crítica,  no  ha  adoptado  una  rígida</w:t>
        <w:br/>
        <w:t>determinación del quantum de la prueba necesaria para fundar un fallo.</w:t>
        <w:br/>
        <w:t>Este  criterio  es  válido  para  los  tribunales  internacionales  de</w:t>
        <w:br/>
        <w:t>derechos humanos, que disponen de amplias facultades en la  valoración</w:t>
        <w:br/>
        <w:t>de la prueba rendida ante  ellos  sobre  los  hechos  pertinentes,  de</w:t>
        <w:br/>
        <w:t>acuerdo con las reglas de la lógica y con base en la experiencia[16].</w:t>
        <w:br/>
        <w:br/>
        <w:t>185.  Con fundamento en lo anterior, la Corte procederá a  examinar  y</w:t>
        <w:br/>
        <w:t>valorar  los  elementos  probatorios  documentales  remitidos  por  la</w:t>
        <w:br/>
        <w:t>Comisión, la interviniente común y el Estado en diversas oportunidades</w:t>
        <w:br/>
        <w:t>procesales o como prueba para mejor resolver que fue solicitada.  Para</w:t>
        <w:br/>
        <w:t>ello el Tribunal se atendrá a  los  principios  de  la  sana  crítica,</w:t>
        <w:br/>
        <w:t>dentro del marco legal correspondiente.</w:t>
        <w:br/>
        <w:br/>
        <w:br/>
        <w:br/>
        <w:t xml:space="preserve">                           A)    Prueba documental</w:t>
        <w:br/>
        <w:br/>
        <w:br/>
        <w:t>186.  Entre las pruebas documentales presentadas por  las  partes,  la</w:t>
        <w:br/>
        <w:t>Comisión   y   la   interviniente   común   remitieron   declaraciones</w:t>
        <w:br/>
        <w:t>testimoniales y dictámenes periciales  escritos,  en  respuesta  a  lo</w:t>
        <w:br/>
        <w:t>dispuesto por el Presidente en su Resolución de 24  de  mayo  de  2006</w:t>
        <w:br/>
        <w:t>(supra párr. 65).  Además, otro grupo de representantes, que no es  la</w:t>
        <w:br/>
        <w:t>interviniente común, aportó declaraciones testimoniales requeridas por</w:t>
        <w:br/>
        <w:t>el Presidente como prueba para  mejor  resolver  en  dicha  Resolución</w:t>
        <w:br/>
        <w:t>(supra  párr.  65).   Finalmente,  la   interviniente   presentó   una</w:t>
        <w:br/>
        <w:t>declaración testimonial escrita que no había  sido  requerida  por  el</w:t>
        <w:br/>
        <w:t>Presidente  y  solicitó  su  admisión   (supra   párr.   82).   Dichas</w:t>
        <w:br/>
        <w:t>declaraciones y dictámenes se resumen a continuación:</w:t>
        <w:br/>
        <w:br/>
        <w:br/>
        <w:t xml:space="preserve">                                 Testimonios</w:t>
        <w:br/>
        <w:br/>
        <w:br/>
        <w:t>a)    Propuestos por la interviniente común:</w:t>
        <w:br/>
        <w:br/>
        <w:t xml:space="preserve">   1. Michael Stephen Bronstein, interno del Penal Miguel Castro  Castro</w:t>
        <w:br/>
        <w:t xml:space="preserve">      a la época de los hechos</w:t>
        <w:br/>
        <w:br/>
        <w:t>Es ciudadano británico y durante la época de los hechos estuvo recluido</w:t>
        <w:br/>
        <w:t>en el Penal Miguel Castro Castro en el pabellón 6A.</w:t>
        <w:br/>
        <w:br/>
        <w:t>Las  mujeres  sospechosas  de  pertenecer  a   Sendero   Luminoso   se</w:t>
        <w:br/>
        <w:t>encontraban recluidas  en el pabellón 1A. Era conocido en  la  prisión</w:t>
        <w:br/>
        <w:t>que las autoridades habían decidido reubicar a las mujeres presas  por</w:t>
        <w:br/>
        <w:t>delitos contra la seguridad en una nueva prisión  de  alta  seguridad.</w:t>
        <w:br/>
        <w:t>Existían rumores sobre  la  realización  de  una  requisa  de  grandes</w:t>
        <w:br/>
        <w:t>proporciones. El  6  de  mayo  de  1992  fue  despertado  por  fuertes</w:t>
        <w:br/>
        <w:t>explosiones, provenientes del pabellón 1A, las cuales continuarían los</w:t>
        <w:br/>
        <w:t>días siguientes.  La policía lanzaba  granadas  desde  el  techo,  que</w:t>
        <w:br/>
        <w:t>explotaban afuera de las ventanas para mantener a los  internos  lejos</w:t>
        <w:br/>
        <w:t>de éstas; también lanzaba granadas fulminantes  desde  helicópteros  a</w:t>
        <w:br/>
        <w:t>través de los ventiladores, que transportaban más soldados al interior</w:t>
        <w:br/>
        <w:t>del penal. Por la intensidad del ataque durante el primer día cree que</w:t>
        <w:br/>
        <w:t>la intención era matar a las mujeres.  Éstas trataron de huir por  los</w:t>
        <w:br/>
        <w:t>conductos al pabellón 4 para salvar sus vidas.</w:t>
        <w:br/>
        <w:br/>
        <w:t>El tercer día los eventos se intensificaron.  Las autoridades juntaron</w:t>
        <w:br/>
        <w:t>a los prisioneros de los pabellones 6A, 6B y 5, y fueron  obligados  a</w:t>
        <w:br/>
        <w:t>salir al patio a sentarse  en  fila  sin  moverse  durante  18  horas.</w:t>
        <w:br/>
        <w:t>Durante ese tiempo el testigo pudo escuchar en  las  noticias  que  el</w:t>
        <w:br/>
        <w:t>entonces Presidente Fujimori no tenía intención de negociar.  Hacia el</w:t>
        <w:br/>
        <w:t>final del “operativo” el testigo escuchó que  el  Coronel  Cajahuanca,</w:t>
        <w:br/>
        <w:t>quien estaba al mando de la operación, dió la orden de matar  a  todos</w:t>
        <w:br/>
        <w:t>los que se estaban  rindiendo.  Después,  los  internos  volvieron  al</w:t>
        <w:br/>
        <w:t>pabellón 6A. El pabellón 1A estuvo cerrado durante dos  o  tres  meses</w:t>
        <w:br/>
        <w:t>para ser reconstruido.</w:t>
        <w:br/>
        <w:br/>
        <w:t>Debido a que perteneció al ejército inglés y recibió instrucción sobre</w:t>
        <w:br/>
        <w:t>armamentos,  conoció las armas que fueron utilizadas en los  días  del</w:t>
        <w:br/>
        <w:t>ataque al penal, las cuales tenían por objeto  causar  el  mayor  daño</w:t>
        <w:br/>
        <w:t>posible. También reconoció a los uniformados que  participaron  en  el</w:t>
        <w:br/>
        <w:t>ataque, quienes además de pertenecer  a  la  Policía  y  al  Ejército,</w:t>
        <w:br/>
        <w:t>formaban parte de las fuerzas especiales de asalto.</w:t>
        <w:br/>
        <w:br/>
        <w:t>Considera que el asalto a las mujeres fue premeditado. La  fuerza  fue</w:t>
        <w:br/>
        <w:t>usada en escala masiva y estaba diseñada para causar tantos muertos  y</w:t>
        <w:br/>
        <w:t>heridos como fuera posible.</w:t>
        <w:br/>
        <w:br/>
        <w:br/>
        <w:t xml:space="preserve">   2. Edith Tinta, madre de la presunta víctima Mónica Feria Tinta</w:t>
        <w:br/>
        <w:br/>
        <w:t>Se refirió a la detención de su hija, quien fue  trasladada  al  Penal</w:t>
        <w:br/>
        <w:t>Castro Castro una semana antes de los sucesos. Después de  los  hechos</w:t>
        <w:br/>
        <w:t>en el penal, su hija Mónica continuó recluida e incomunicada  sin  que</w:t>
        <w:br/>
        <w:t>sus familiares pudieran suministrarle ropa, alimentos o libros.</w:t>
        <w:br/>
        <w:br/>
        <w:t>Se refirió a la absolución de su hija en 1993 y a lo que supuestamente</w:t>
        <w:br/>
        <w:t>le habría sucedido con posterioridad.</w:t>
        <w:br/>
        <w:br/>
        <w:t>La testigo y su esposo han sufrido todo el tiempo desde  que  su  hija</w:t>
        <w:br/>
        <w:t>fue acusada por terrorismo, han padecido algunos quebrantos de  salud,</w:t>
        <w:br/>
        <w:t>no han podido ver a aquélla durante aproximadamente  14  años,  y  han</w:t>
        <w:br/>
        <w:t>soportado toda clase de injusticias  y  persecuciones  por  parte  del</w:t>
        <w:br/>
        <w:t>Estado.</w:t>
        <w:br/>
        <w:br/>
        <w:t xml:space="preserve">   3. Rubeth Feria Tinta, hermana de la presunta víctima  Mónica  Feria</w:t>
        <w:br/>
        <w:t xml:space="preserve">      Tinta</w:t>
        <w:br/>
        <w:br/>
        <w:t>La testigo y su madre se ubicaron en  las  afueras  del  Penal  Miguel</w:t>
        <w:br/>
        <w:t>Castro Castro esperando recibir información acerca del  estado  de  su</w:t>
        <w:br/>
        <w:t>hermana. Los  familiares  de  los  internos  eran  retirados  por  los</w:t>
        <w:br/>
        <w:t>policías mediante la utilización de gases lacrimógenos y disparos.  Su</w:t>
        <w:br/>
        <w:t>madre sufrió desmayos y vómito a causa de los  gases.  Durante  cuatro</w:t>
        <w:br/>
        <w:t>días hubo detonaciones, explosiones y disparos. Presenciaron  cómo  el</w:t>
        <w:br/>
        <w:t>pabellón  1A  se  derrumbaba  totalmente.    Los   familiares   fueron</w:t>
        <w:br/>
        <w:t>maltratados cuando se presentaron en la morgue, y las  autoridades  se</w:t>
        <w:br/>
        <w:t>negaban a dar información sobre muertos y heridos.  Al  finalizar  los</w:t>
        <w:br/>
        <w:t>cuatro días del ataque su hermana fue trasladada  al  penal  de  Santa</w:t>
        <w:br/>
        <w:t>Mónica.  Desde  ese  momento   no   les   permitieron   visitarla   ni</w:t>
        <w:br/>
        <w:t>suministrarle ropa, alimentos ni medicinas. Cinco meses más tarde  los</w:t>
        <w:br/>
        <w:t>familiares pudieron verla cuando  fue  llevada  a  una  diligencia  al</w:t>
        <w:br/>
        <w:t>Palacio de Justicia y, posteriormente, pudieron visitarla en el  penal</w:t>
        <w:br/>
        <w:t>de Santa Mónica por 10 o 15 minutos.</w:t>
        <w:br/>
        <w:br/>
        <w:t>Después de los hechos, la familia Feria Tinta ha sufrido por la  forma</w:t>
        <w:br/>
        <w:t>en que se ha estigmatizado a Mónica en  los  medios  de  comunicación,</w:t>
        <w:br/>
        <w:t>especialmente la madre, ya que padece de presión alta  y  dificultades</w:t>
        <w:br/>
        <w:t>para dormir.</w:t>
        <w:br/>
        <w:br/>
        <w:t xml:space="preserve">      4.     Luz Liliana Peralta Saldarriaga, hermana  de  la  presunta</w:t>
        <w:br/>
        <w:t xml:space="preserve">      víctima sobreviviente Martín Peralta Saldarriaga</w:t>
        <w:br/>
        <w:br/>
        <w:t>A la fecha de los hechos, su hermano Martín se encontraba recluido  en</w:t>
        <w:br/>
        <w:t>el pabellón 4B del penal Castro Castro  en  detención  preventiva.  El</w:t>
        <w:br/>
        <w:t>miércoles 6 de mayo de 1992, al escuchar  noticias  en  la  radio,  se</w:t>
        <w:br/>
        <w:t>acercó al penal y pudo observar que los prisioneros eran  bombardeados</w:t>
        <w:br/>
        <w:t>mientras que  la  multitud  de  familiares  clamaba  que  la  “matanza</w:t>
        <w:br/>
        <w:t>parara”. Pudo notar que “la fiscal estaba ahí, viendo que bombardeaban</w:t>
        <w:br/>
        <w:t>desde el primer día a presos indefensos”.</w:t>
        <w:br/>
        <w:br/>
        <w:t>La policía empezó a disparar y  a  lanzar  bombas  lacrimógenas  a  la</w:t>
        <w:br/>
        <w:t>multitud de familiares que estaban en las afueras  del  centro  penal,</w:t>
        <w:br/>
        <w:t>compuesta mayormente de  mujeres  por  ser  día  de  visita  femenina.</w:t>
        <w:br/>
        <w:t>Muchas de ellas estaban embarazadas, con niños  o  eran  ancianas.  La</w:t>
        <w:br/>
        <w:t>testigo, que se encontraba embarazada  de  9  meses,  se  cayó  y  fue</w:t>
        <w:br/>
        <w:t>aplastada por la multitud al tratar de huir  de  los  disparos  y  las</w:t>
        <w:br/>
        <w:t>bombas lacrimógenas. Pensó que perdería a su bebé, y por ello  decidió</w:t>
        <w:br/>
        <w:t>regresar a su casa.</w:t>
        <w:br/>
        <w:br/>
        <w:t>Como   resultado   de   la   angustia   “desgarradora”   que    vivió,</w:t>
        <w:br/>
        <w:t>“inconscientemente retuv[o su] parto”. Dio a luz  el  10  de  mayo  de</w:t>
        <w:br/>
        <w:t>1992. Lo vivido esos días tuvo un impacto en su hija, quien ha  estado</w:t>
        <w:br/>
        <w:t>en tratamiento psicológico y ha desarrollado miedo hacia las personas.</w:t>
        <w:br/>
        <w:t>La testigo no cuenta con los  recursos  económicos  para  pagar  dicho</w:t>
        <w:br/>
        <w:t>tratamiento y quiere que se brinde ayuda profesional a su hija.</w:t>
        <w:br/>
        <w:br/>
        <w:t>A las tres semanas de dar a luz, la testigo se acercó  al  penal  para</w:t>
        <w:br/>
        <w:t>ver  a  su  hermano,  quien  se  encontraba  lesionado,  pero  no   le</w:t>
        <w:br/>
        <w:t>permitieron visitarlo. Recién en agosto o septiembre lo logró ver  por</w:t>
        <w:br/>
        <w:t>primera vez, pero sólo a través de unas mallas. Su hermano  finalmente</w:t>
        <w:br/>
        <w:t>está siendo juzgado, después de haber pasado 15 años  en  prisión  sin</w:t>
        <w:br/>
        <w:t>sentencia.</w:t>
        <w:br/>
        <w:br/>
        <w:br/>
        <w:t xml:space="preserve">      5.    Osilia Ernestina Cruzatt  viuda  de  Juárez,  madre  de  la</w:t>
        <w:br/>
        <w:t xml:space="preserve">      presunta víctima Deodato Hugo Juárez Cruzatt</w:t>
        <w:br/>
        <w:br/>
        <w:t>Su hijo se encontraba detenido  en  el  Penal  Castro  Castro  y  “era</w:t>
        <w:br/>
        <w:t>dirigente entre los presos políticos”.  Lo visitaba  los  miércoles  y</w:t>
        <w:br/>
        <w:t>sábados y pudo notar que se veía “amarillo y hueso y pellejo”.</w:t>
        <w:br/>
        <w:br/>
        <w:t>El miércoles 6 de mayo de 1992 fue a visitar a su hijo  en  el  penal,</w:t>
        <w:br/>
        <w:t>pero no logró entrar debido a que los militares  y  policías  lanzaban</w:t>
        <w:br/>
        <w:t>bombas lacrimógenas e impedían el paso. Su hijo murió “la víspera  del</w:t>
        <w:br/>
        <w:t>día de la madre”. Fue a recuperar su cuerpo a la morgue, donde observó</w:t>
        <w:br/>
        <w:t>cadáveres “quemados que no se podían reconocer”.  También  observó  “a</w:t>
        <w:br/>
        <w:t>una amiga de [su]  hijo,  […]  llamada  Elvia  [que  estaba]  muerta”,</w:t>
        <w:br/>
        <w:t>“[t]enía la barriga inflada y le  habían  sacado  las  uñas”.   Cuando</w:t>
        <w:br/>
        <w:t>encontró el cuerpo de su hijo, notó que “[t]enía el  pecho  traspasado</w:t>
        <w:br/>
        <w:t>por bayonetas hasta atrás. […] Tenía como 6 o 7 balazos por  el  pecho</w:t>
        <w:br/>
        <w:t>[y] espalda […, l]e habían volado o cortado  el  pene”,  y  le  habían</w:t>
        <w:br/>
        <w:t>disparado en la cabeza. Logró obtener una orden  para  el  retiro  del</w:t>
        <w:br/>
        <w:t>cuerpo y dio entierro a su hijo ese mismo día, para lo cual  tuvo  que</w:t>
        <w:br/>
        <w:t>pedir prestado “$2.500”.</w:t>
        <w:br/>
        <w:br/>
        <w:t>Las consecuencias  de  la  traumática  muerte  de  su  hijo  han  sido</w:t>
        <w:br/>
        <w:t>difíciles de enfrentar. Para sus hijos “no era fácil encontrar trabajo</w:t>
        <w:br/>
        <w:t>por los apellidos[; …] el  simple  hecho  de  ser  hermanos  de  Hugo,</w:t>
        <w:br/>
        <w:t>fallecido así,  [los]  ponía  en  una  situación  difícil”.  Sufre  de</w:t>
        <w:br/>
        <w:t>artrosis, un brazo no le funciona bien, y  también  sufre  de  presión</w:t>
        <w:br/>
        <w:t>emotiva e insuficiencia cardiaca.</w:t>
        <w:br/>
        <w:br/>
        <w:t>Considera que “[l]o que ocurrió en Castro Castro no fue un motín”.  Su</w:t>
        <w:br/>
        <w:t>hijo sabía que “iban a entrar a matar, que iban a querer matarlo”.</w:t>
        <w:br/>
        <w:br/>
        <w:t>Su hijo debió  ser  juzgado  y  no  asesinado.  Solicitó  que  Alberto</w:t>
        <w:br/>
        <w:t>Fujimori sea juzgado por los crímenes que cometió  en  la  prisión  de</w:t>
        <w:br/>
        <w:t>Castro Castro.</w:t>
        <w:br/>
        <w:br/>
        <w:t xml:space="preserve">      6.    Eva Sofía Challco Hurtado, presunta víctima</w:t>
        <w:br/>
        <w:br/>
        <w:t>Se refirió a su detención en septiembre de 1991 e indicó que ingresó a</w:t>
        <w:br/>
        <w:t>la prisión  de  Castro  Castro  el  10  de  octubre  de  1991  estando</w:t>
        <w:br/>
        <w:t>embarazada. Al momento de los hechos de este caso tenía siete meses de</w:t>
        <w:br/>
        <w:t>embarazo.</w:t>
        <w:br/>
        <w:br/>
        <w:t>Ni ella ni su  abogado  ni  su  familia  fueron  informados  sobre  el</w:t>
        <w:br/>
        <w:t>supuesto traslado que se pretendía realizar. Cuando comenzó el  ataque</w:t>
        <w:br/>
        <w:t>se encontraba durmiendo en el cuarto piso del pabellón 1A. Las fuerzas</w:t>
        <w:br/>
        <w:t>peruanas hicieron huecos con explosivos en todo el techo y empezaron a</w:t>
        <w:br/>
        <w:t>disparar a través de esos huecos.  Mientras  tanto,  “[t]odo  el  piso</w:t>
        <w:br/>
        <w:t>estaba inundado de gases asfixiantes” y muchas de las  prisioneras  se</w:t>
        <w:br/>
        <w:t>desmayaban de asfixia. Aproximadamente a las 5 o 6 de la  tarde  logró</w:t>
        <w:br/>
        <w:t>llegar al pabellón 4B, donde se encontraban prisioneros  heridos.  Los</w:t>
        <w:br/>
        <w:t>militares lanzaron kerosene o gasolina y “llamas de  fuego”  desde  el</w:t>
        <w:br/>
        <w:t>techo.</w:t>
        <w:br/>
        <w:br/>
        <w:t>“Hacia la tarde del sábado” escuchó una voz diciendo “vamos  a  salir.</w:t>
        <w:br/>
        <w:t>No disparen”. Sin embargo, los militares dispararon sus metralletas  y</w:t>
        <w:br/>
        <w:t>“algunos [internos] caían, otros continuaban caminando”. Le  cayó  una</w:t>
        <w:br/>
        <w:t>esquirla en el pie, tuvo que arrastrarse y fue obligada a tenderse  en</w:t>
        <w:br/>
        <w:t>un terral, junto con otras mujeres “ensangrentadas y  mojadas”,  donde</w:t>
        <w:br/>
        <w:t>fue pateada y obligada a estar boca abajo por horas,  a  pesar  de  su</w:t>
        <w:br/>
        <w:t>embarazo.</w:t>
        <w:br/>
        <w:br/>
        <w:t>El 10 de mayo de 1992 fue trasladada al penal Cristo Rey en Ica, junto</w:t>
        <w:br/>
        <w:t>con otras 52 mujeres, aproximadamente. Fueron ubicadas alrededor de  8</w:t>
        <w:br/>
        <w:t>internas por celda. Las celdas eran de espacio muy reducido, sin  baño</w:t>
        <w:br/>
        <w:t>y sólo con dos camas de cemento. La única entrada de luz de las celdas</w:t>
        <w:br/>
        <w:t>eran los huecos que tenían en el techo, por donde les “tiraban a veces</w:t>
        <w:br/>
        <w:t>hasta ratas”.</w:t>
        <w:br/>
        <w:br/>
        <w:t>El 27 de junio de 1992 dio a luz a un bebé prematuro en un hospital de</w:t>
        <w:br/>
        <w:t>Ica por medio de cesárea, ya que la posición del bebé en su  útero  no</w:t>
        <w:br/>
        <w:t>era normal. Tuvo a su hijo solamente por cinco días, por  temor  a  la</w:t>
        <w:br/>
        <w:t>constante amenaza en contra de su seguridad e integridad en el  penal.</w:t>
        <w:br/>
        <w:t>Durante el tiempo que pasó en prisión pudo ver a su  hijo  “muy  pocas</w:t>
        <w:br/>
        <w:t>veces”, y finalmente pudo “ser su  madre”  sólo  cuando  salió  de  la</w:t>
        <w:br/>
        <w:t>prisión 10 años mas tarde.</w:t>
        <w:br/>
        <w:br/>
        <w:t>A principios de 1993 fueron trasladadas a la prisión de Santa  Mónica,</w:t>
        <w:br/>
        <w:t>ocasión en la cual utilizaron varas eléctricas contra ellas  y  fueron</w:t>
        <w:br/>
        <w:t>golpeadas de manera “horrible”.</w:t>
        <w:br/>
        <w:br/>
        <w:t>La experiencia vivida repercutió en la salud de su hijo, quien  padece</w:t>
        <w:br/>
        <w:t>alteraciones en el sistema nervioso y  “[n]o  puede  sufrir  emociones</w:t>
        <w:br/>
        <w:t>fuertes. Ni tristezas ni alegrías fuertes”. Como consecuencia  de  las</w:t>
        <w:br/>
        <w:t>condiciones carcelarias descritas, la testigo contrajo  tuberculosis y</w:t>
        <w:br/>
        <w:t>hoy en día padece de polineuritis. Asimismo, ha sentido depresión y su</w:t>
        <w:br/>
        <w:t>familia se ha visto  fuertemente  afectada  por  las  secuelas  de  la</w:t>
        <w:br/>
        <w:t>masacre.</w:t>
        <w:br/>
        <w:br/>
        <w:br/>
        <w:t xml:space="preserve">        7. Luis F. Jiménez, testigo ocular de los hechos  de  mayo  de</w:t>
        <w:br/>
        <w:t xml:space="preserve">           1992[17]</w:t>
        <w:br/>
        <w:br/>
        <w:t>Era abogado de la Secretaría Ejecutiva de la  Comisión  Interamericana</w:t>
        <w:br/>
        <w:t>de Derechos Humanos al momento de los hechos. El 6 de mayo de 1992 fue</w:t>
        <w:br/>
        <w:t>contactado por un familiar de uno de los presos, quien le solicitó que</w:t>
        <w:br/>
        <w:t>se acercara al penal “lo más pronto posible, pues había  comenzado  un</w:t>
        <w:br/>
        <w:t>operativo de  fuerzas  combinadas  del  Ejército  y  la  Policía  para</w:t>
        <w:br/>
        <w:t>trasladar a los presos a otro penal, lo cual era considerado  por  los</w:t>
        <w:br/>
        <w:t>familiares  como  un  pretexto  para  ejecutar  lo  que  llamaban   un</w:t>
        <w:br/>
        <w:t>‘genocidio’”.</w:t>
        <w:br/>
        <w:br/>
        <w:t>Ese mismo día el testigo fue al  penal,  junto  con  un  encargado  de</w:t>
        <w:br/>
        <w:t>seguridad asignado por el Estado. Se entrevistó  en  las  afueras  del</w:t>
        <w:br/>
        <w:t>penal con el Director de éste, coronel Gabino Cajahuanca. Este  último</w:t>
        <w:br/>
        <w:t>manifestó al testigo  que  “temía  una  matanza”  y  solicitó  que  la</w:t>
        <w:br/>
        <w:t>Comisión adoptara medidas. El coronel también  le  informó  que  había</w:t>
        <w:br/>
        <w:t>sido desplazado de  la  capacidad  de  adoptar  decisiones,  “pues  el</w:t>
        <w:br/>
        <w:t>control del penal había sido asumido por una unidad  especial  de  las</w:t>
        <w:br/>
        <w:t>fuerzas de seguridad”.</w:t>
        <w:br/>
        <w:br/>
        <w:t>Según la información proporcionada por distintas fuentes,  el  testigo</w:t>
        <w:br/>
        <w:t>pudo constatar que no había ocurrido levantamiento o motín  alguno  de</w:t>
        <w:br/>
        <w:t>los presos, “sino una acción violenta y unilateral de las  fuerzas  de</w:t>
        <w:br/>
        <w:t>seguridad”.</w:t>
        <w:br/>
        <w:br/>
        <w:t>En la noche del 7 de mayo de  1992  fue  informado  por  un  grupo  de</w:t>
        <w:br/>
        <w:t>familiares de los internos, acompañados por dos de sus  abogados,  que</w:t>
        <w:br/>
        <w:t>“los presos aceptaban el traslado con la condición de  que  estuvieran</w:t>
        <w:br/>
        <w:t>presentes en el acto representantes de la Comisión de Derechos Humanos</w:t>
        <w:br/>
        <w:t>de la OEA  y  de  la  Cruz  Roja”.  Al  día  siguiente  comunicó  esta</w:t>
        <w:br/>
        <w:t>información personalmente al Ministro de Justicia, pero nunca  recibió</w:t>
        <w:br/>
        <w:t>respuesta de éste. Las más altas autoridades  gubernamentales  estaban</w:t>
        <w:br/>
        <w:t>al tanto del ofrecimiento de los presos aceptando el traslado.</w:t>
        <w:br/>
        <w:br/>
        <w:t>El 9 de mayo de 1992 fue al centro penal acompañado del Presidente  de</w:t>
        <w:br/>
        <w:t>la Conferencia Episcopal. Pudo notar que  “[e]l  bombardeo  contra  el</w:t>
        <w:br/>
        <w:t>pabellón era realmente impresionante”. Intentó acercarse a  la  puerta</w:t>
        <w:br/>
        <w:t>del penal pero las fuerzas armadas “efectuaron  disparos  disuasivos”.</w:t>
        <w:br/>
        <w:t>También observó que había personal uniformado, que consideró parte  de</w:t>
        <w:br/>
        <w:t>“fuerzas combinadas del Ejército y la Policía  […,  así  como  también</w:t>
        <w:br/>
        <w:t>había]  sobrevuelo  de  helicópteros[,  …]  disparos   de   fusiles[,]</w:t>
        <w:br/>
        <w:t>detonaciones de armas de grueso calibre [y] gran cantidad de vehículos</w:t>
        <w:br/>
        <w:t>blindados”.  También  escuchó  invocaciones  por  megáfono  ofreciendo</w:t>
        <w:br/>
        <w:t>respetar la vida de los que se entregaran, pero inmediatamente después</w:t>
        <w:br/>
        <w:t>escuchó disparos que supuso “eran destinados a eliminar a  quienes  se</w:t>
        <w:br/>
        <w:t>habían propuesto”.</w:t>
        <w:br/>
        <w:br/>
        <w:t>Después de esos hechos,  las  autoridades  peruanas  no  suministraron</w:t>
        <w:br/>
        <w:t>inmediatamente una relación de heridos, fallecidos  y  sobrevivientes.</w:t>
        <w:br/>
        <w:t>No se permitió el ingreso al centro penal Castro Castro, pero sí a  la</w:t>
        <w:br/>
        <w:t>prisión de Santa Mónica, a la morgue y  al  Hospital  de  la  Policía.</w:t>
        <w:br/>
        <w:t>Cuando visitó la prisión de Santa Mónica, a donde  fueron  trasladadas</w:t>
        <w:br/>
        <w:t>algunas sobrevivientes  de  los  hechos,  observó  que  estas  mujeres</w:t>
        <w:br/>
        <w:t>“estaban todavía sucias  con  el  polvo  del  penal  y  salpicadas  de</w:t>
        <w:br/>
        <w:t>sangre”. Asimismo, le impresionó “el hacinamiento de las internas”.</w:t>
        <w:br/>
        <w:br/>
        <w:t xml:space="preserve">   8. Raúl Basilio Gil Orihuela, presunta víctima</w:t>
        <w:br/>
        <w:br/>
        <w:br/>
        <w:t>Estuvo interno en el Penal Castro Castro en el pabellón 4B, al  tiempo</w:t>
        <w:br/>
        <w:t>de los hechos. Debido a que prestó servicio militar en el Perú,  donde</w:t>
        <w:br/>
        <w:t>recibió entrenamiento sobre  el  manejo  de  armamento  y  explosivos,</w:t>
        <w:br/>
        <w:t>reconoció las “armas de guerra”  utilizadas  al  interior  del  centro</w:t>
        <w:br/>
        <w:t>carcelario. También reconoció que participaron la  policía  de  élite,</w:t>
        <w:br/>
        <w:t>las fuerzas armadas, efectivos de  la  FOES  (grupo  de  élite  de  la</w:t>
        <w:br/>
        <w:t>Marina) y francotiradores, y previamente  al  “operativo”  observó  la</w:t>
        <w:br/>
        <w:t>presencia del ejército peruano vestidos de campaña en  los  pabellones</w:t>
        <w:br/>
        <w:t>4B y aledaños. Un mes antes de los hechos en el penal, los  pabellones</w:t>
        <w:br/>
        <w:t>1A y 4B fueron inspeccionados, ya que la prensa decía que había  armas</w:t>
        <w:br/>
        <w:t>dentro del centro carcelario. El resultado de la inspección fue que no</w:t>
        <w:br/>
        <w:t>existían armas dentro de estos pabellones.</w:t>
        <w:br/>
        <w:br/>
        <w:t>En la madrugada del 6 de mayo de 1992 se escuchó una fuerte  explosión</w:t>
        <w:br/>
        <w:t>que venía del pabellón 1A, donde  se  encontraban  las  mujeres.  Hubo</w:t>
        <w:br/>
        <w:t>disparos, bombas y gases lacrimógenos.   El  calor  era  insoportable,</w:t>
        <w:br/>
        <w:t>había cuerpos de mujeres en el suelo, y  las  que  sobrevivían  pedían</w:t>
        <w:br/>
        <w:t>ayuda.  Se usaron bombas incendiarias, que contienen  gas  de  fósforo</w:t>
        <w:br/>
        <w:t>blanco que al contacto con el  cuerpo  humano  produce  ardor  en  las</w:t>
        <w:br/>
        <w:t>partes descubiertas, en las fosas nasales, así  como  también  provoca</w:t>
        <w:br/>
        <w:t>asfixia y “quemazón” química  de  los  órganos  internos  y  la  piel.</w:t>
        <w:br/>
        <w:t>Considera que el propósito fue “matarlos a todos en masa”. Se trató de</w:t>
        <w:br/>
        <w:t>un “ataque militar”, “[n]o hubo allí ningún motín”.</w:t>
        <w:br/>
        <w:br/>
        <w:t>Las fuerzas armadas combinadas mataron a varias personas  y  desde  un</w:t>
        <w:br/>
        <w:t>helicóptero destruyeron el pabellón 1A. En el pabellón 4B  el  interno</w:t>
        <w:br/>
        <w:t>Cesar Augusto Paredes murió a causa de un disparo en la cabeza.  El  9</w:t>
        <w:br/>
        <w:t>de mayo de 1992 murió el señor Mario Aguilar a causa de las quemaduras</w:t>
        <w:br/>
        <w:t>causadas en su cuerpo.</w:t>
        <w:br/>
        <w:br/>
        <w:t>La cantidad de  heridos  y  muertos  era  considerable.  Los  internos</w:t>
        <w:br/>
        <w:t>decidieron salir gritando “no disparen, vamos a salir”. Al poco tiempo</w:t>
        <w:br/>
        <w:t>el testigo escuchó disparos en ráfaga  y  gritos  y  cuando  salió  al</w:t>
        <w:br/>
        <w:t>umbral de la puerta de entrada al pabellón, reconoció  varios  muertos</w:t>
        <w:br/>
        <w:t>entre  quienes  estaban  Deodato  Hugo  Juárez   y   Janet   Talavera.</w:t>
        <w:br/>
        <w:t>Uniformados encapuchados se llevaron a Antonio Aranda y Julia  Marlene</w:t>
        <w:br/>
        <w:t>a “la cocina”, donde estaban fusilando a internos.  Los  internos  que</w:t>
        <w:br/>
        <w:t>sobrevivieron fueron puestos boca abajo en el piso con  vidrios,  bajo</w:t>
        <w:br/>
        <w:t>la  lluvia,  sin  una  adecuada  alimentación,   fueron   maltratados,</w:t>
        <w:br/>
        <w:t>golpeados, pisoteados y mordidos por perros.</w:t>
        <w:br/>
        <w:br/>
        <w:t>Los malos tratos  continuaron  durante  los  meses  siguientes.  Había</w:t>
        <w:br/>
        <w:t>requisas donde obligaban a los internos a salir desnudos a los patios,</w:t>
        <w:br/>
        <w:t>los torturaban con varillas eléctricas y los sometían a revisiones  en</w:t>
        <w:br/>
        <w:t>partes íntimas del cuerpo. Como consecuencia de esos tratos, padece de</w:t>
        <w:br/>
        <w:t>un dolor crónico lumbar, pérdida de la capacidad para ver con  su  ojo</w:t>
        <w:br/>
        <w:t>derecho, y heridas en su brazo izquierdo.</w:t>
        <w:br/>
        <w:br/>
        <w:br/>
        <w:br/>
        <w:t xml:space="preserve">      9.    Jesús Ángel Julcarima Antonio,  presunta víctima</w:t>
        <w:br/>
        <w:br/>
        <w:t>Se refirió a su detención y traslado al Penal Castro Castro  el  8  de</w:t>
        <w:br/>
        <w:t>noviembre de 1991. Su condición legal era de inculpado, no había  sido</w:t>
        <w:br/>
        <w:t>juzgado ni le habían formalizado los cargos. Tras algunas noticias  en</w:t>
        <w:br/>
        <w:t>la prensa peruana que indicaban que dentro del penal  habían  armas  y</w:t>
        <w:br/>
        <w:t>túneles, los reclusos fueron sometidos a una minuciosa revisión  donde</w:t>
        <w:br/>
        <w:t>quedó claro que no poseían armas ni había túneles construidos por  los</w:t>
        <w:br/>
        <w:t>reclusos en el penal.</w:t>
        <w:br/>
        <w:br/>
        <w:t>Los hechos se iniciaron en la madrugada del 6 de mayo de  1992  cuando</w:t>
        <w:br/>
        <w:t>se escucharon explosiones en el pabellón 1A, donde se encontraban  las</w:t>
        <w:br/>
        <w:t>mujeres.  Los  internos  se  trasladaron  a  dicho  pabellón  por  los</w:t>
        <w:br/>
        <w:t>conductos, para socorrer  a  las  internas.  Cuando  llegaron  olía  a</w:t>
        <w:br/>
        <w:t>pólvora, se sentía un ardor en la garganta y  no  se  podía  respirar.</w:t>
        <w:br/>
        <w:t>Había muertos y heridos. A  causa  de  los  disparos  que  hacían  los</w:t>
        <w:br/>
        <w:t>militares desde el techo hacia el pabellón 1A murió Marcos Calloccunto</w:t>
        <w:br/>
        <w:t>y quedo gravemente herido Víctor Javier Olivos Peña.  El  testigo  fue</w:t>
        <w:br/>
        <w:t>herido a causa de una bomba, situación  que  se  le  complicó  con  la</w:t>
        <w:br/>
        <w:t>tuberculosis que ya padecía.  En estos hechos también  resultó  herido</w:t>
        <w:br/>
        <w:t>Jesús Villaverde.</w:t>
        <w:br/>
        <w:br/>
        <w:t>Durante el tiempo del ataque los  internos  no  recibieron  alimentos,</w:t>
        <w:br/>
        <w:t>agua, ni atención médica.  Algunos heridos  murieron  por  no  recibir</w:t>
        <w:br/>
        <w:t>atención.  Los agentes estatales mataron  a  personas  selectivamente,</w:t>
        <w:br/>
        <w:t>tal como a Janet Talavera. Después de soportar cuatro días de ataques,</w:t>
        <w:br/>
        <w:t>los sobrevivientes fueron trasladados a la  zona  llamada  “tierra  de</w:t>
        <w:br/>
        <w:t>nadie”. Se les obligó a permanecer desnudos a la intemperie, acostados</w:t>
        <w:br/>
        <w:t>boca abajo y no podían utilizar el baño.  Además  fueron  golpeados  y</w:t>
        <w:br/>
        <w:t>pisoteados. El testigo no recibió atención médica, y permaneció más de</w:t>
        <w:br/>
        <w:t>15 días con la misma ropa.</w:t>
        <w:br/>
        <w:br/>
        <w:t>Durante los siguientes meses continuaron las torturas.  Como  castigos</w:t>
        <w:br/>
        <w:t>los obligaban a cantar  el  himno  nacional  del  Perú,  cuya  primera</w:t>
        <w:br/>
        <w:t>estrofa dice “somos libres”, a los  alimentos  les  echaban  kerosene,</w:t>
        <w:br/>
        <w:t>alcanfor y pellejo de ratas. Los mantenían encerrados 23 horas y media</w:t>
        <w:br/>
        <w:t>al día, las visitas  eran  restringidas,  estaba  prohibido  trabajar,</w:t>
        <w:br/>
        <w:t>cantar, hacer ejercicio y desarrollar cualquier actividad  dentro  del</w:t>
        <w:br/>
        <w:t>penal.</w:t>
        <w:br/>
        <w:br/>
        <w:t>Como consecuencia de lo ocurrido en  el  penal,  se  perjudicaron  sus</w:t>
        <w:br/>
        <w:t>relaciones sentimentales, su salud empeoró. Se agravó la  tuberculosis</w:t>
        <w:br/>
        <w:t>que ya padecía, perdió  los  dientes  y  en  gran  medida  su  visión,</w:t>
        <w:br/>
        <w:t>contrajo alergias a la humedad y  problemas  digestivos.   Su  familia</w:t>
        <w:br/>
        <w:t>también sufrió como consecuencia de los hechos. Sus  padres  sufrieron</w:t>
        <w:br/>
        <w:t>quebrantos de salud, y los recursos económicos que se iban a  destinar</w:t>
        <w:br/>
        <w:t>a sus hermanos se utilizaron en él, razón por la cual los hermanos  no</w:t>
        <w:br/>
        <w:t>han podido realizar sus estudios.</w:t>
        <w:br/>
        <w:br/>
        <w:br/>
        <w:t xml:space="preserve">    b)       Requeridos  como  prueba  para  mejor  resolver  por   el</w:t>
        <w:br/>
        <w:t>Presidente:</w:t>
        <w:br/>
        <w:br/>
        <w:t xml:space="preserve">      10.   Nieves Miriam Rodríguez Peralta, presunta víctima</w:t>
        <w:br/>
        <w:br/>
        <w:t>En “días previos al 6 de mayo se llevó a cabo una ‘inspección’  en  la</w:t>
        <w:br/>
        <w:t>cual consta que no  hubo  ninguna  clase  de  armas  [o]  ‘Resistencia</w:t>
        <w:br/>
        <w:t>armada’ para justificar el delito de genocidio de acuerdo a las  leyes</w:t>
        <w:br/>
        <w:t>peruanas en contra del grupo de prisioneros de los pabellones 1A y  4B</w:t>
        <w:br/>
        <w:t>acusados de pertenecer al Partido Comunista del Perú”.</w:t>
        <w:br/>
        <w:br/>
        <w:t>El 6 de mayo de 1992 se encontraba durmiendo cuando escuchó la primera</w:t>
        <w:br/>
        <w:t>explosión en el pabellón de las mujeres y pronto  se  percató  de  que</w:t>
        <w:br/>
        <w:t>estaban siendo atacadas “brutal y cobardemente”. Pudo notar que habían</w:t>
        <w:br/>
        <w:t>dinamitado una pared del patio del pabellón 1A y que “balas, bombas  y</w:t>
        <w:br/>
        <w:t>gases lacrimógenos estaban por todas partes”.  Asimismo,  observó  que</w:t>
        <w:br/>
        <w:t>efectivos de la policía procedían a  dinamitar  el  techo  del  cuarto</w:t>
        <w:br/>
        <w:t>piso. Las internas trataron de  encontrar  una  salida  por  un  ducto</w:t>
        <w:br/>
        <w:t>porque “[p]arecía que el pabellón lo iban a tirar abajo”.  Los  ductos</w:t>
        <w:br/>
        <w:t>no eran túneles construidos por los internos, sino construcciones  que</w:t>
        <w:br/>
        <w:t>unían los pabellones. Era difícil ingresar al ducto porque  había  que</w:t>
        <w:br/>
        <w:t>pasar frente a una ventana y los francotiradores disparaban  al  menor</w:t>
        <w:br/>
        <w:t>movimiento. La interna María Vilegas cayó gravemente herida.  Tratando</w:t>
        <w:br/>
        <w:t>de salir del pabellón hacia el ducto, la  testigo  fue  herida  de  un</w:t>
        <w:br/>
        <w:t>disparo en la pierna. Fue llevada por dos compañeros al  pabellón  4B.</w:t>
        <w:br/>
        <w:t>La bala causó impacto en la  región  lumbar  izquierda  afectando  las</w:t>
        <w:br/>
        <w:t>raíces nerviosas. Eran varios los  heridos  pero  les  fue  negada  la</w:t>
        <w:br/>
        <w:t>atención médica, “demostrando una vez más que [a las  autoridades]  no</w:t>
        <w:br/>
        <w:t>les importaba la vida de los internos”.</w:t>
        <w:br/>
        <w:br/>
        <w:t>Los  compañeros  que  estaban  dentro  del  pabellón  pedían  que   se</w:t>
        <w:br/>
        <w:t>trasladara a los heridos  y  se  les  proporcionara  atención  médica.</w:t>
        <w:br/>
        <w:t>Asimismo, “pedían en forma reiterativa garantía  para  sus  vidas  (la</w:t>
        <w:br/>
        <w:t>presencia de representantes de la Cruz Roja Internacional, abogados  y</w:t>
        <w:br/>
        <w:t>familiares) para poder salir”. Sin embargo, “el ataque  era  cada  vez</w:t>
        <w:br/>
        <w:t>más brutal y desenfrenado”. El 9 de mayo de 1992, “los prisioneros que</w:t>
        <w:br/>
        <w:t>salieron tomados de las manos cantando la Internacional” fueron objeto</w:t>
        <w:br/>
        <w:t>de fusilamiento selectivo.</w:t>
        <w:br/>
        <w:br/>
        <w:t>Cuando se encontraba con los demás heridos escuchó  la  voz  de  Elvia</w:t>
        <w:br/>
        <w:t>Sanabria.  Después de los traslados notó que ella ya no estaba.</w:t>
        <w:br/>
        <w:br/>
        <w:t>Este “ataque brutal y siniestro” se hizo extensivo a sus familiares  y</w:t>
        <w:br/>
        <w:t>afectó en particular a su madre, quien se enfermó del corazón,  estuvo</w:t>
        <w:br/>
        <w:t>en tratamiento psiquiátrico y quiso atentar contra su vida al no poder</w:t>
        <w:br/>
        <w:t>soportar el sufrimiento que sintió a raíz de los ataques y después  al</w:t>
        <w:br/>
        <w:t>buscar el cuerpo de su hija que creía muerta.</w:t>
        <w:br/>
        <w:br/>
        <w:t>Posteriormente a estos hechos, la testigo  fue  trasladada  junto  con</w:t>
        <w:br/>
        <w:t>otros heridos a un hospital donde, durante casi toda su permanencia  y</w:t>
        <w:br/>
        <w:t>en pleno frío, se les  mantuvo  desnudas  y  cubiertas  sólo  por  una</w:t>
        <w:br/>
        <w:t>sábana, hasta que finalmente permitieron que la Cruz  Roja  les  diera</w:t>
        <w:br/>
        <w:t>una frazada y un camisón. Durante la permanencia de las mujeres en  el</w:t>
        <w:br/>
        <w:t>hospital estuvieron vigiladas por tres  custodios  armados.  Tuvo  una</w:t>
        <w:br/>
        <w:t>sonda para eliminar la orina que durante un mes le cambiaron sólo  una</w:t>
        <w:br/>
        <w:t>vez. En el hospital no se les proporcionó medicina alguna, siendo éste</w:t>
        <w:br/>
        <w:t>el motivo de la muerte de María  Villegas.  Después  de  15  días  fue</w:t>
        <w:br/>
        <w:t>trasladada  junto  con  otras  mujeres  heridas  al  penal  de  máxima</w:t>
        <w:br/>
        <w:t>seguridad  de  Chorrillos,  pero  el  médico  del   penal   no   quiso</w:t>
        <w:br/>
        <w:t>responsabilizarse por lo que pudiera pasar y fue devuelta al  hospital</w:t>
        <w:br/>
        <w:t>junto con otras compañeras; tenían heridas abiertas.</w:t>
        <w:br/>
        <w:br/>
        <w:t>Un mes después fue  trasladada  nuevamente  al  penal  de  Chorrillos.</w:t>
        <w:br/>
        <w:t>Requería  urgentemente  rehabilitación  física  pero  le  fue   negada</w:t>
        <w:br/>
        <w:t>repetidamente. Después de más de  un  año  fue  llevada  a  un  centro</w:t>
        <w:br/>
        <w:t>especializado, pero para entonces sus músculos  se  habían  atrofiado,</w:t>
        <w:br/>
        <w:t>condición señalada por los especialistas como irreversible  por  falta</w:t>
        <w:br/>
        <w:t>de rehabilitación física. Los especialistas  consideraron  que  habían</w:t>
        <w:br/>
        <w:t>posibilidades de que la testigo recuperara la movilidad en una de  las</w:t>
        <w:br/>
        <w:t>piernas si se sometía a rehabilitación diaria, tratamiento que no pudo</w:t>
        <w:br/>
        <w:t>llevar a cabo porque  las  autoridades  carcelarias  no  cumplían  con</w:t>
        <w:br/>
        <w:t>llevarla.  Después  fue   transferida   al   Instituto   Nacional   de</w:t>
        <w:br/>
        <w:t>Rehabilitación, donde le diagnosticaron que  sólo  podía  mantener  la</w:t>
        <w:br/>
        <w:t>masa  muscular  que  quedaba,  pero  las  autoridades  impidieron   el</w:t>
        <w:br/>
        <w:t>tratamiento de rehabilitación correspondiente. En dos ocasiones sufrió</w:t>
        <w:br/>
        <w:t>quemaduras en la piel con una bolsa de agua caliente. Respecto de  las</w:t>
        <w:br/>
        <w:t>heridas que tenía abiertas, sólo le fue dada  una  crema  antimicótica</w:t>
        <w:br/>
        <w:t>por el médico del  penal,  hasta  que  fue  llevada  al  hospital  por</w:t>
        <w:br/>
        <w:t>exigencia de su familia.</w:t>
        <w:br/>
        <w:t>Las internas también fueron víctimas de  golpizas  por  parte  de  las</w:t>
        <w:br/>
        <w:t>fuerzas  de  seguridad,  tales  como  las  que  recibieron  el  25  de</w:t>
        <w:br/>
        <w:t>septiembre (avalada por la fiscal Mirtha Campos)  y  en  noviembre  de</w:t>
        <w:br/>
        <w:t>1992. Fue arrastrada por el pasillo junto con  otras  reclusas  y  las</w:t>
        <w:br/>
        <w:t>patearon en todo el cuerpo “sin  respetar  a  las  mujeres  gestantes,</w:t>
        <w:br/>
        <w:t>ancianas, ni enfermas”. Una vez en el piso los  guardias  caminaron  y</w:t>
        <w:br/>
        <w:t>saltaron en sus espaldas y a otras reclusas  les  pusieron  sus  varas</w:t>
        <w:br/>
        <w:t>entre los glúteos.</w:t>
        <w:br/>
        <w:br/>
        <w:t>Se refirió a su juzgamiento en  1994  por  un  tribunal  especial  sin</w:t>
        <w:br/>
        <w:t>rostro.</w:t>
        <w:br/>
        <w:br/>
        <w:t>Se refirió a diversos problemas que padece  como  consecuencia  de  la</w:t>
        <w:br/>
        <w:t>herida de bala y por la falta de rehabilitación  física,  tales  como:</w:t>
        <w:br/>
        <w:t>paraplejia parcial afectando los miembros inferiores; hemorroides  por</w:t>
        <w:br/>
        <w:t>estreñimiento severo y crónico; constantes  infecciones  en  las  vías</w:t>
        <w:br/>
        <w:t>urinarias; inflamaciones del recto debido a falta  de  elasticidad  de</w:t>
        <w:br/>
        <w:t>los músculos; osteoporosis debido  a  la  falta  de  movimiento  y  el</w:t>
        <w:br/>
        <w:t>hacinamiento en la cárcel; y problemas de  las  vías  respiratorias  y</w:t>
        <w:br/>
        <w:t>articulaciones por la humedad y las filtraciones en las celdas. Además</w:t>
        <w:br/>
        <w:t>de su salud y bienes materiales, perdió su trabajo  y  sus  planes  de</w:t>
        <w:br/>
        <w:t>superación y desarrollo profesional.  Sufrió  un  gran  daño  moral  y</w:t>
        <w:br/>
        <w:t>secuelas emocionales  debido  a  las  ya  descritas  “violaciones  que</w:t>
        <w:br/>
        <w:t>denigraron [su] dignidad como persona  y  como  mujer”.  Las  lesiones</w:t>
        <w:br/>
        <w:t>descritas han dificultado que desarrolle cualquier actividad o trabajo</w:t>
        <w:br/>
        <w:t>y  han  tenido  un  profundo  impacto   en   su   familia,   afectando</w:t>
        <w:br/>
        <w:t>especialmente a su madre y a sus hermanas (una de ellas fue detenida y</w:t>
        <w:br/>
        <w:t>la otra despedida de su trabajo).</w:t>
        <w:br/>
        <w:br/>
        <w:t>Solicitó a la Corte que se haga justicia para  que  “estos  hechos  no</w:t>
        <w:br/>
        <w:t>queden impunes y que [le] sea otorgada una justa  reparación  por  los</w:t>
        <w:br/>
        <w:t>daños ocasionados a [su] familia[,] a [su] salud física y mental  y  a</w:t>
        <w:br/>
        <w:t>[su] honra”.</w:t>
        <w:br/>
        <w:br/>
        <w:br/>
        <w:t xml:space="preserve">      11.   Cesar Mamani Valverde, presunta víctima</w:t>
        <w:br/>
        <w:br/>
        <w:t>El testigo era interno en el Penal Castro Castro en el pabellón 4B. El</w:t>
        <w:br/>
        <w:t>6 de mayo de 1992 fue levantado por una poderosa explosión  que  venía</w:t>
        <w:br/>
        <w:t>del pabellón 1ª, en el que se encontraban las mujeres. Fue  el  inicio</w:t>
        <w:br/>
        <w:t>de una sucesión de bombas y descargas explosivas lanzadas contra dicho</w:t>
        <w:br/>
        <w:t>pabellón. El día siguiente fueron llevados los heridos al pabellón  4B</w:t>
        <w:br/>
        <w:t>y se “juntaron cinco cadáveres de los  internos”,  los  cuales  fueron</w:t>
        <w:br/>
        <w:t>enterrados ese día. Tras intentos de diálogo entre las partes,  no  se</w:t>
        <w:br/>
        <w:t>obtuvo respuesta de los  altos  mandos  de  las  fuerzas  armadas.  Al</w:t>
        <w:br/>
        <w:t>principio se había aceptado que salieran los heridos,  pero  cambiaron</w:t>
        <w:br/>
        <w:t>de  idea  y  los  francotiradores  comenzaron  a  disparar  desde  los</w:t>
        <w:br/>
        <w:t>pabellones contiguos contra varios internos, fue perforado el techo  y</w:t>
        <w:br/>
        <w:t>se introdujeron granadas de mano  y  bombas  lacrimógenas.   Para  ese</w:t>
        <w:br/>
        <w:t>entonces había más de 30 muertos y más de 500 personas atrapadas.  Los</w:t>
        <w:br/>
        <w:t>internos estaban hacinados, no había espacio por donde caminar, no  se</w:t>
        <w:br/>
        <w:t>podía comer, dormían muy cerca de los cadáveres, estaban asfixiados  y</w:t>
        <w:br/>
        <w:t>quemándose a causa de los gases, bombas y  fuego  que  utilizaban  las</w:t>
        <w:br/>
        <w:t>fuerzas armadas dentro del penal. Considera que no era el traslado  lo</w:t>
        <w:br/>
        <w:t>que querían las autoridades, sino “matar a los internos”.</w:t>
        <w:br/>
        <w:br/>
        <w:t>Su madre tuvo que ir a la morgue en su búsqueda a  revisar  todos  los</w:t>
        <w:br/>
        <w:t>cadáveres, lo cual fue una experiencia traumatizante para ella.</w:t>
        <w:br/>
        <w:br/>
        <w:t>Fue llevado al hospital de la policía donde no recibió atención médica</w:t>
        <w:br/>
        <w:t>necesaria. Junto a él  reconoció  a  Walter  Huamanchumo,  Luis  Pérez</w:t>
        <w:br/>
        <w:t>Zapata, Víctor Olivos Peña y Agustín Machuca. Su  diagnostico  después</w:t>
        <w:br/>
        <w:t>“de la explosión” en el penal Castro Castro fue quemaduras de  segundo</w:t>
        <w:br/>
        <w:t>grado en el rostro, pecho, ambos brazos y piernas; perforación de  los</w:t>
        <w:br/>
        <w:t>tímpanos en ambos oídos, rotura del parpado superior derecho,  pérdida</w:t>
        <w:br/>
        <w:t>del globo ocular del ojo derecho, y pérdida de la visión total del ojo</w:t>
        <w:br/>
        <w:t>izquierdo.  Le  programaron  una  operación  para  extirparle  el  ojo</w:t>
        <w:br/>
        <w:t>derecho, pero  ese  mismo  día  fue  trasladado  al  Hospital  Alcides</w:t>
        <w:br/>
        <w:t>Carrión,  en  el  cual  no  continuaron  su  tratamiento  médico.  Fue</w:t>
        <w:br/>
        <w:t>instalado en una celda totalmente antihigiénica. En agosto de 1992 fue</w:t>
        <w:br/>
        <w:t>llevado de vuelta al Penal Castro Castro, donde continuaron los  malos</w:t>
        <w:br/>
        <w:t>tratos. Fue golpeado constantemente, obligado a salir al patio desnudo</w:t>
        <w:br/>
        <w:t>en época de invierno para ser requisado, nunca lo dejaron trabajar, no</w:t>
        <w:br/>
        <w:t>tenía acceso a los medios de comunicación, y no le permitían  leer  ni</w:t>
        <w:br/>
        <w:t>hacerse las curaciones en su ojo, lo cual hizo que  se  infectara.  En</w:t>
        <w:br/>
        <w:t>ocasiones la comida tenía vidrio molido, orines, restos de  partes  de</w:t>
        <w:br/>
        <w:t>ratas, y no se la daban caliente ni a las horas  adecuadas.  Por  ello</w:t>
        <w:br/>
        <w:t>aumentaron los casos de  tuberculosis  e  infecciones.  Su  madre  fue</w:t>
        <w:br/>
        <w:t>sometida a humillaciones en las requisas para entrar al penal.</w:t>
        <w:br/>
        <w:br/>
        <w:t>A mediados de noviembre de 1994 fue procesado por jueces sin rostro  y</w:t>
        <w:br/>
        <w:t>resultó absuelto. Encontrándose en libertad fue hostigado, perseguido,</w:t>
        <w:br/>
        <w:t>detenido y  estigmatizado  como  terrorista  por  parte  del  Gobierno</w:t>
        <w:br/>
        <w:t>peruano. Por  estas  razones  no  pudo  reinsertarse  en  la  sociedad</w:t>
        <w:br/>
        <w:t>peruana, lo que lo llevó a pedir refugio inicialmente en la  República</w:t>
        <w:br/>
        <w:t>de Bolivia y posteriormente en la República de Chile.  Su  calidad  de</w:t>
        <w:br/>
        <w:t>vida después de  los  hechos  ha  sido  muy  precaria,  ya  que  tiene</w:t>
        <w:br/>
        <w:t>discapacidades físicas y  daños  de  tipo  neurológico  y  psicológico</w:t>
        <w:br/>
        <w:t>considerables, por lo cual su salud se deteriora cada día mas, lo  que</w:t>
        <w:br/>
        <w:t>le ha impedido conseguir un trabajo o realizar estudios.</w:t>
        <w:br/>
        <w:br/>
        <w:t>El testigo solicita que se condene al Estado, que  le  sean  otorgadas</w:t>
        <w:br/>
        <w:t>las medidas de reparación y justa satisfacción pertinentes, y  que  se</w:t>
        <w:br/>
        <w:t>sancione penalmente a los responsables de los actos que, de acuerdo  a</w:t>
        <w:br/>
        <w:t>la legislación peruana, constituyen genocidio perpetrado en contra  de</w:t>
        <w:br/>
        <w:t>un grupo político.</w:t>
        <w:br/>
        <w:br/>
        <w:t xml:space="preserve">      12.   Alfredo Poccorpachi Vallejos, presunta víctima</w:t>
        <w:br/>
        <w:br/>
        <w:t>Se  encontraba  recluido  en  el  Penal  Castro  Castro  inculpado  de</w:t>
        <w:br/>
        <w:t>terrorismo al momento en que ocurrieron los hechos. El 6  de  mayo  de</w:t>
        <w:br/>
        <w:t>1992 vio a efectivos de DINOES (fuerza élite de  la  policía)  en  los</w:t>
        <w:br/>
        <w:t>techos de los pabellones en la rotonda “con ropas de comando,  fusiles</w:t>
        <w:br/>
        <w:t>y pasamontañas”. Se escuchaban  balas  y  explosiones,  y  las  bombas</w:t>
        <w:br/>
        <w:t>lacrimógenas llegaban hasta el pabellón 4B,  en  que  estaba  él.  Las</w:t>
        <w:br/>
        <w:t>prisioneras llegaron a este pabellón a través de un ducto.  Desde  ese</w:t>
        <w:br/>
        <w:t>pabellón “llama[ron] a gritos a las autoridades  del  penal  para  que</w:t>
        <w:br/>
        <w:t>respetaran  la  vida  de  las  prisioneras[,]  cesaran  el  ataque   y</w:t>
        <w:br/>
        <w:t>conversaran con los delegados, pero […] las llamadas al  Director  del</w:t>
        <w:br/>
        <w:t>penal fueron en vano”. La interna Janet  Talavera  fue  acribillada  a</w:t>
        <w:br/>
        <w:t>treinta metros de él, cuando algunos internos salían del pabellón 4B.</w:t>
        <w:br/>
        <w:br/>
        <w:t>Posteriormente, los internos fueron trasladados a  diferentes  penales</w:t>
        <w:br/>
        <w:t>sin que se informara a sus familiares. El testigo  fue  trasladado  al</w:t>
        <w:br/>
        <w:t>penal Lurigancho, donde los internos fueron  “duramente  golpeados  en</w:t>
        <w:br/>
        <w:t>plena presencia de la Fiscal Mirtha Campos”. Durante el trayecto a  un</w:t>
        <w:br/>
        <w:t>rumbo desconocido, los  prisioneros  fueron  golpeados.  Los  internos</w:t>
        <w:br/>
        <w:t>fueron sometidos  a  “golpizas  [y]  tortura”.  En  prisión  “fu[eron]</w:t>
        <w:br/>
        <w:t>sometidos a un aislamiento absoluto[,] sin ropa y en  general  sin  la</w:t>
        <w:br/>
        <w:t>más mínima provisión de necesidades elementales”.  Considera  que  “el</w:t>
        <w:br/>
        <w:t>objetivo  era  aniquilar[l]os  sistemáticamente  tanto   física   como</w:t>
        <w:br/>
        <w:t>moralmente, reduciéndo[l]os a condiciones inhumanas”.</w:t>
        <w:br/>
        <w:br/>
        <w:t>Estaba bajo tratamiento médico por padecer de tuberculosis y a raíz de</w:t>
        <w:br/>
        <w:t>los  hechos  se  suspendió  su  tratamiento  y  su  “salud   desmejoró</w:t>
        <w:br/>
        <w:t>notablemente por los abusos a  los  que  fu[e]  sometido,  las  bombas</w:t>
        <w:br/>
        <w:t>lacrimógenas y las múltiples explosiones en los pabellones, torturas y</w:t>
        <w:br/>
        <w:t>golpizas”. Como consecuencia del ataque  al  Penal  Castro  Castro  su</w:t>
        <w:br/>
        <w:t>tuberculosis empeoró, y “la falta de tratamiento  adecuado  ocasionado</w:t>
        <w:br/>
        <w:t>por la brutalidad del sistema carcelario  peruano  [le]  ha  provocado</w:t>
        <w:br/>
        <w:t>cinco recaídas”. Además, “sufr[e] de  gastritis  crónica  [debido]  al</w:t>
        <w:br/>
        <w:t>plan de aislamiento y aniquilación al que [fue]  sometido  después  de</w:t>
        <w:br/>
        <w:t>los hechos”. También sufre deficiencia  de  irrigación  cerebral  como</w:t>
        <w:br/>
        <w:t>consecuencia de los golpes en la cabeza y tiene esquirlas  de  granada</w:t>
        <w:br/>
        <w:t>en  el  cuero  cabelludo.  Estas  y  otras  enfermedades  han  mermado</w:t>
        <w:br/>
        <w:t>considerablemente su calidad de vida. Particularmente, la tuberculosis</w:t>
        <w:br/>
        <w:t>ha limitado su desenvolvimiento en el trabajo.</w:t>
        <w:br/>
        <w:br/>
        <w:t>Presentó cuatro recursos  de  hábeas  corpus  denunciando  los  abusos</w:t>
        <w:br/>
        <w:t>cometidos en su contra, pero todos  fueron  declarados  improcedentes.</w:t>
        <w:br/>
        <w:t>También le fueron negadas cuatro solicitudes de libertad  condicional,</w:t>
        <w:br/>
        <w:t>tres solicitudes de comparecencia, y dos quejas a Control Interno  del</w:t>
        <w:br/>
        <w:t>Poder Judicial. Permaneció 18 años  y  5  meses  en  prisión  sin  ser</w:t>
        <w:br/>
        <w:t>juzgado ni condenado, y fue liberado por  “prescripción”,  ya  que  su</w:t>
        <w:br/>
        <w:t>detención  sobrepasó  la  pena  correspondiente  al  delito   que   le</w:t>
        <w:br/>
        <w:t>imputaban.</w:t>
        <w:br/>
        <w:br/>
        <w:t>El testigo y su familia han sufrido  consecuencias  psicológicas  como</w:t>
        <w:br/>
        <w:t>resultado  de  los  maltratos,  enfermedades,   y   hechos   terribles</w:t>
        <w:br/>
        <w:t>presenciados. “Todas  las  situaciones  anteriores  han  violado  [su]</w:t>
        <w:br/>
        <w:t>derecho a la vida, salud, al trabajo, a la igualdad ante la ley y [su]</w:t>
        <w:br/>
        <w:t>libertad e integridad física y mental”.</w:t>
        <w:br/>
        <w:br/>
        <w:t>Dentro de sus “anhelos de justicia, […] se encuentra la liberación  de</w:t>
        <w:br/>
        <w:t>los sobrevivientes que  aun  se  encuentran  presos,  el  cese  de  la</w:t>
        <w:br/>
        <w:t>persecución a los sobrevivientes, la restitución plena de sus derechos</w:t>
        <w:br/>
        <w:t>y honra ante la sociedad y la sanción a los responsables de este  acto</w:t>
        <w:br/>
        <w:t>genocida”.</w:t>
        <w:br/>
        <w:br/>
        <w:br/>
        <w:t xml:space="preserve">      13.   Madelein Escolástica Valle Rivera, presunta víctima</w:t>
        <w:br/>
        <w:br/>
        <w:t>Fue víctima de los hechos acontecidos del 6 al 9 de mayo en  el  Penal</w:t>
        <w:br/>
        <w:t>Castro Castro. Se encontraba presa en el pabellón 1-A, no  había  sido</w:t>
        <w:br/>
        <w:t>sentenciada. El 6 de mayo de 1992 escuchó una detonación alrededor  de</w:t>
        <w:br/>
        <w:t>las 4:00 horas. Los miembros de las  fuerzas  especiales  atacaron  el</w:t>
        <w:br/>
        <w:t>pabellón 1A, y en  los  techos  de  otros  pabellones  se  encontraban</w:t>
        <w:br/>
        <w:t>francotiradores disparando por las ventanas y la cabina. El ataque fue</w:t>
        <w:br/>
        <w:t>muy intenso, con todo tipo de armas  lanza  granadas,  bazucas,  armas</w:t>
        <w:br/>
        <w:t>largas, bombas lacrimógenas, vomitivas y paralizantes.  A  medida  que</w:t>
        <w:br/>
        <w:t>transcurrían las horas se incrementó la intensidad del  ataque  contra</w:t>
        <w:br/>
        <w:t>el pabellón 1A e incluso se lanzaron bombas desde  un  helicóptero  de</w:t>
        <w:br/>
        <w:t>guerra que sobrevolaba  el  penal.  Observó  que  María  Villegas  fue</w:t>
        <w:br/>
        <w:t>herida.</w:t>
        <w:br/>
        <w:br/>
        <w:t>Aproximadamente a las 5 p.m. del 6 de mayo de 1992, la testigo y otras</w:t>
        <w:br/>
        <w:t>prisioneras, entre  quines  se  encontraban  mujeres  embarazadas,  se</w:t>
        <w:br/>
        <w:t>refugiaron en el pabellón 4B, al que pudieron llegar a través  de  los</w:t>
        <w:br/>
        <w:t>ductos  del  penal.  Los  francotiradores  les  disparaban  y   muchos</w:t>
        <w:br/>
        <w:t>prisioneros murieron en el intento de llegar al pabellón 4B, tal  como</w:t>
        <w:br/>
        <w:t>sucedió con Vilma Aguilar.</w:t>
        <w:br/>
        <w:br/>
        <w:t>Al día siguiente, los ataques se reiniciaron a  las  5:00  horas.  Los</w:t>
        <w:br/>
        <w:t>internos exigieron la presencia de la Cruz  Roja  Internacional  y  de</w:t>
        <w:br/>
        <w:t>fiscales  y  abogados  como  mediadores,  pero  fueron   negadas   las</w:t>
        <w:br/>
        <w:t>peticiones de diálogo, cese al fuego  y  asistencia  médica  para  los</w:t>
        <w:br/>
        <w:t>heridos y para las prisioneras gestantes. Eventualmente,  se  permitió</w:t>
        <w:br/>
        <w:t>la salida de cuatro delegados de los internos para  conversar  con  la</w:t>
        <w:br/>
        <w:t>fiscal  Mirtha  Campos,  quien  dijo  que  “no  iba  a   permitir   la</w:t>
        <w:br/>
        <w:t>intervención  de  ninguna  institución  ajena   como   mediadora   del</w:t>
        <w:br/>
        <w:t>conflicto”. En ningún momento las autoridades les comunicaron que iban</w:t>
        <w:br/>
        <w:t>a ser trasladadas a otro penal.  Las  internas “nunca [se] opusi[eron]</w:t>
        <w:br/>
        <w:t>al traslado de prisioneros, sólo exigí[an] garantías para [sus]  vidas</w:t>
        <w:br/>
        <w:t>y que estuvieran presentes la Cruz Roja Internacional, [sus] abogados,</w:t>
        <w:br/>
        <w:t>familiares y la prensa”.</w:t>
        <w:br/>
        <w:br/>
        <w:t>El día 9 de mayo fue demolido el pabellón 4B con un cañón  de  guerra.</w:t>
        <w:br/>
        <w:t>Aproximadamente a las  4  p.m.  los  prisioneros  decidieron  salir  y</w:t>
        <w:br/>
        <w:t>pidieron a las autoridades que no  dispararan.  Primero  salieron  dos</w:t>
        <w:br/>
        <w:t>prisioneros tomados de la mano, seguidos por un grupo  de  prisioneros</w:t>
        <w:br/>
        <w:t>cantando la Internacional. Los prisioneros fueron acribillados por los</w:t>
        <w:br/>
        <w:t>francotiradores. Dos de los internos murieron instantáneamente y otros</w:t>
        <w:br/>
        <w:t>quedaron heridos de gravedad. Entre los muertos se encontraba su padre</w:t>
        <w:br/>
        <w:t>Tito Valle, a quien vio morir. Cuando se encontraba en la zona “tierra</w:t>
        <w:br/>
        <w:t>de nadie” escuchó  que  los  agentes  estatales  preguntaban  por  los</w:t>
        <w:br/>
        <w:t>dirigentes. Esa noche separaron a  los  heridos  en  tres  grupos.  Al</w:t>
        <w:br/>
        <w:t>primer grupo se lo llevaron  en  la  madrugada  y  a  los  dos  grupos</w:t>
        <w:br/>
        <w:t>restantes los dejaron a la intemperie boca abajo en el piso.</w:t>
        <w:br/>
        <w:br/>
        <w:t>Al día siguiente fue trasladada junto con otras reclusas al  penal  de</w:t>
        <w:br/>
        <w:t>Cachiche en Ica. Al llegar pudo notar que no había ningún pabellón  en</w:t>
        <w:br/>
        <w:t>condiciones de albergar a más de 50  prisioneras.  Fueron  llevadas  a</w:t>
        <w:br/>
        <w:t>celdas con camas de cemento, sin colchones  ni  frazadas.  Durante  su</w:t>
        <w:br/>
        <w:t>estadía de un año en ese penal fue víctima de golpizas por parte de la</w:t>
        <w:br/>
        <w:t>policía. Asimismo, fue víctima del hostigamiento directo del  director</w:t>
        <w:br/>
        <w:t>del penal, quien las amenazaba constantemente y  las  golpeaba  cuando</w:t>
        <w:br/>
        <w:t>realizaba sus llamadas “requisas”. También se les impidió  hablar  con</w:t>
        <w:br/>
        <w:t>sus familiares  en  privado,  quienes  han  sufrido  a  raíz  de  esta</w:t>
        <w:br/>
        <w:t>“política de reducción, aislamiento y aniquilamiento  sistemático”  de</w:t>
        <w:br/>
        <w:t>la que han sido víctimas.</w:t>
        <w:br/>
        <w:br/>
        <w:t>El 7 de mayo de 1993 fueron trasladadas a Lima, operación que se llevó</w:t>
        <w:br/>
        <w:t>a cabo en medio de golpizas por no aceptar el trato denigrante al  que</w:t>
        <w:br/>
        <w:t>fueron sometidas. Al llegar al penal de máxima seguridad de Chorrillos</w:t>
        <w:br/>
        <w:t>fueron  bajadas  del  ómnibus  a  rastras  y,  posteriormente,  fueron</w:t>
        <w:br/>
        <w:t>golpeadas con palos “de la cabeza a los pies”. A partir de  esa  fecha</w:t>
        <w:br/>
        <w:t>no les fue permitido salir al patio, trabajar o estudiar, y la  visita</w:t>
        <w:br/>
        <w:t>fue restringida una vez al mes por locutorio y sólo  por  media  hora.</w:t>
        <w:br/>
        <w:t>Cuando se restableció la salida al patio, ésta sólo fue dada por media</w:t>
        <w:br/>
        <w:t>hora para cada dos celdas.  Asimismo, durante el  período  de  1992  a</w:t>
        <w:br/>
        <w:t>1998 no se les permitió tener lapicero ni papel, por  lo  que  le  fue</w:t>
        <w:br/>
        <w:t>negado el derecho de expresarse libremente. Tampoco  se  les  permitió</w:t>
        <w:br/>
        <w:t>acceso a la prensa por un período de  6  años,  por  lo  que  les  fue</w:t>
        <w:br/>
        <w:t>abrogado su derecho a la información. Cuando se permitió el  acceso  a</w:t>
        <w:br/>
        <w:t>ciertas publicaciones, éstas venían incompletas. Tampoco  se  permitía</w:t>
        <w:br/>
        <w:t>el ingreso de libros de especialidad. No fue sino hasta  el  año  2000</w:t>
        <w:br/>
        <w:t>que se les permitió contar con una radio portátil.</w:t>
        <w:br/>
        <w:br/>
        <w:t>Recobró su libertad en mayo de 2002  y  actualmente  estudia  Derecho.</w:t>
        <w:br/>
        <w:t>Sufrió daños por haber presenciado el genocidio político en  el  penal</w:t>
        <w:br/>
        <w:t>Castro Castro y el asesinato de su  padre,  así  como  por  todos  los</w:t>
        <w:br/>
        <w:t>abusos y restricciones desproporcionadas a los que fue sometida.  Como</w:t>
        <w:br/>
        <w:t>consecuencia de los hechos del 6 al  9  de  mayo  de  1992  ha  tenido</w:t>
        <w:br/>
        <w:t>problemas de la vista, serios quebrantos auditivos y gastritis crónica</w:t>
        <w:br/>
        <w:t>hepático biliar. Igualmente,  debido  a  la  mala  alimentación  y  el</w:t>
        <w:br/>
        <w:t>hacinamiento en el penal, fue contagiada en el  2001  de  tuberculosis</w:t>
        <w:br/>
        <w:t>por  otra  prisionera  que  se  encontraba  enferma.  Dentro  de   las</w:t>
        <w:br/>
        <w:t>consecuencias psicológicas que ha sufrido se encuentran  el  insomnio,</w:t>
        <w:br/>
        <w:t>pérdida de la habilidad de recordar cosas y el trauma  que  representa</w:t>
        <w:br/>
        <w:t>recordar las circunstancias en las que falleció su padre.  Su  familia</w:t>
        <w:br/>
        <w:t>también se ha visto afectada por este estrés emocional,   en  especial</w:t>
        <w:br/>
        <w:t>su hermana Liudmila, a causa de las circunstancias en que  se  produjo</w:t>
        <w:br/>
        <w:t>la pérdida de su padre. Además, a partir de 1987, su familia  ha  sido</w:t>
        <w:br/>
        <w:t>hostigada por miembros del servicio de inteligencia.</w:t>
        <w:br/>
        <w:br/>
        <w:t>Solicitó a la Corte que decrete la responsabilidad del Estado por  las</w:t>
        <w:br/>
        <w:t>violaciones a sus derechos humanos y a  los  de  su  familia,  que  se</w:t>
        <w:br/>
        <w:t>juzgue y  sancione  a  los  responsables  del  genocidio  por  razones</w:t>
        <w:br/>
        <w:t>políticas, y que se otorgue a ella y a su familia plena reparación  de</w:t>
        <w:br/>
        <w:t>los daños sufridos.</w:t>
        <w:br/>
        <w:br/>
        <w:t xml:space="preserve">                                  Peritajes</w:t>
        <w:br/>
        <w:br/>
        <w:t xml:space="preserve">   a) Propuesto por la Comisión Interamericana de Derechos Humanos:</w:t>
        <w:br/>
        <w:br/>
        <w:t xml:space="preserve">   1. Christopher Birkbeck, especialista en criminología</w:t>
        <w:br/>
        <w:br/>
        <w:t>Las explosiones registradas el primer día de los hechos  en  el  Penal</w:t>
        <w:br/>
        <w:t>Castro Castro apuntaron hacia una acción de  tipo  militar  que  llama</w:t>
        <w:br/>
        <w:t>poderosamente la atención, dadas las características de  confinamiento</w:t>
        <w:br/>
        <w:t>y de relativa  indefensión  de  los  internos.   Dos  puntos  ameritan</w:t>
        <w:br/>
        <w:t>especial atención: la existencia de armas dentro del penal,  y  la  no</w:t>
        <w:br/>
        <w:t>utilización de mecanismos alternativos al  uso  de  la  fuerza  en  la</w:t>
        <w:br/>
        <w:t>ejecución del “Operativo Mudanza 1”.</w:t>
        <w:br/>
        <w:br/>
        <w:t>De acuerdo con informaciones de sobrevivientes y el  contenido  de  un</w:t>
        <w:br/>
        <w:t>acta de incautación de armas de 10 de mayo de 1992, sí existían  armas</w:t>
        <w:br/>
        <w:t>al interior del penal en la época de  los  hechos.   El  Estado  y  la</w:t>
        <w:br/>
        <w:t>administración  carcelaria  no  cumplieron  con  los   estándares   de</w:t>
        <w:br/>
        <w:t>seguridad y control de establecimientos carcelarios. De haber impedido</w:t>
        <w:br/>
        <w:t>la tenencia de armas entre los internos, el Gobierno no habría  tenido</w:t>
        <w:br/>
        <w:t>razón para esperar resistencia  armada  por  parte  de  los  internos.</w:t>
        <w:br/>
        <w:t>Frente a la posibilidad de este tipo de resistencia, nada  dictaba  la</w:t>
        <w:br/>
        <w:t>necesitad de obrar con fuerza física para  ponerle  fin  al  conflicto</w:t>
        <w:br/>
        <w:t>surgido entorno  al  operativo,  como  efectivamente  se  hizo  en  la</w:t>
        <w:br/>
        <w:t>madrugada del 6 de mayo de 1992.</w:t>
        <w:br/>
        <w:br/>
        <w:t>Frente a la resistencia de los  internos  se  pueden  adoptar  medidas</w:t>
        <w:br/>
        <w:t>tales como: negociar con los internos; ofrecer recompensas por cumplir</w:t>
        <w:br/>
        <w:t>o amenazar  con  castigos;  restringir  determinados  componentes  del</w:t>
        <w:br/>
        <w:t>régimen de visitas en la prisión; o usar fuerza física  para  someter,</w:t>
        <w:br/>
        <w:t>confinar o trasladar a los internos.   El uso de la fuerza  debió  ser</w:t>
        <w:br/>
        <w:t>la última medida en utilizarse.  Recurrir a  la  fuerza  de  inmediato</w:t>
        <w:br/>
        <w:t>debilita y elimina la posibilidad de otras estrategias. Por tal  razón</w:t>
        <w:br/>
        <w:t>los internos no podían confiar en  que  sus  vidas  serían  respetadas</w:t>
        <w:br/>
        <w:t>cuando los oficiales de policía les decían que se entregaran,  lo  que</w:t>
        <w:br/>
        <w:t>también impidió un acuerdo pacífico.</w:t>
        <w:br/>
        <w:br/>
        <w:t>La inclusión de las granadas de sonido y los disparos como  medios  de</w:t>
        <w:br/>
        <w:t>hostigamiento pueden ser claramente encuadradas en  la  definición  de</w:t>
        <w:br/>
        <w:t>tortura formulada en la  Convención  Interamericana  para  Prevenir  y</w:t>
        <w:br/>
        <w:t>Sancionar la Tortura.</w:t>
        <w:br/>
        <w:br/>
        <w:t>Dado que la fuerza  física  representa  un  medio  permitido  para  el</w:t>
        <w:br/>
        <w:t>control interno de las cárceles, es necesario evaluar si  la  empleada</w:t>
        <w:br/>
        <w:t>por el Estado fue proporcional al grado de resistencia de los internos</w:t>
        <w:br/>
        <w:t>y al objetivo que se pretendía lograr en el operativo.</w:t>
        <w:br/>
        <w:br/>
        <w:t>A partir de la reconstrucción de  los  acontecimientos  hecho  por  la</w:t>
        <w:br/>
        <w:t>Comisión de la  Verdad  y  Reconciliación  y  por  la  demanda  de  la</w:t>
        <w:br/>
        <w:t>Comisión, es posible distinguir dos  fases  en  la  respuesta  de  los</w:t>
        <w:br/>
        <w:t>internos ante la situación planteada.  La primera de  ellas  se  puede</w:t>
        <w:br/>
        <w:t>calificar de resistencia a las autoridades; la segunda  de  rendición.</w:t>
        <w:br/>
        <w:t>La resistencia se inició antes del  6  de  mayo  de  1992  cuando  los</w:t>
        <w:br/>
        <w:t>internos tapiaron puertas y ventanas y reforzaron  los  muros  de  los</w:t>
        <w:br/>
        <w:t>pabellones y se prolongó hasta las 6  de  la  tarde  del  9  de  mayo,</w:t>
        <w:br/>
        <w:t>momento en que los internos empezaron a rendirse ante las autoridades.</w:t>
        <w:br/>
        <w:t xml:space="preserve"> Durante la fase de resistencia, no existe evidencia alguna de  riesgo</w:t>
        <w:br/>
        <w:t>de fuga.  Al contrario, los internos se refugiaban en sus pabellones a</w:t>
        <w:br/>
        <w:t>manera de atrincheramiento.</w:t>
        <w:br/>
        <w:br/>
        <w:t>El “Operativo Mudanza 1” se inició con tres explosiones y  el  ingreso</w:t>
        <w:br/>
        <w:t>de un número indeterminado de efectivos policiales disparando armas de</w:t>
        <w:br/>
        <w:t>fuego. El uso de la fuerza  fue  desproporcionado,  ya  que  según  el</w:t>
        <w:br/>
        <w:t>acervo  probatorio  no  se  presenta  ninguna  de  las  circunstancias</w:t>
        <w:br/>
        <w:t>contempladas en los Principios Básicos sobre el Empleo de la Fuerza  y</w:t>
        <w:br/>
        <w:t>de Armas de Fuego por Funcionarios Encargados de Hacer Cumplir la Ley,</w:t>
        <w:br/>
        <w:t>en los que se estipula que se podrá utilizar  armas  de  fuego  en  un</w:t>
        <w:br/>
        <w:t>operativo de traslado si surge un peligro inminente  de  muerte  o  de</w:t>
        <w:br/>
        <w:t>lesiones graves proveniente de los internos, o la amenaza de fuga  con</w:t>
        <w:br/>
        <w:t>claras indicaciones  de  su  intención  inmediata  de  matar  o  herir</w:t>
        <w:br/>
        <w:t>gravemente a alguien.</w:t>
        <w:br/>
        <w:br/>
        <w:t>No  existe  testimonio  específico  que  indique  que   los   internos</w:t>
        <w:br/>
        <w:t>utilizaron armas,  no  hay  evidencia  alguna  ni  resultados  de  los</w:t>
        <w:br/>
        <w:t>exámenes forenses que permitan deducir  dicha  circunstancia.  Por  el</w:t>
        <w:br/>
        <w:t>contrario,  hay  evidencia  donde  consta  que  las  fuerzas   armadas</w:t>
        <w:br/>
        <w:t>disparaban  indiscriminadamente  contra  los  internos,   dando   como</w:t>
        <w:br/>
        <w:t>resultado la muerte de varios internos que trataban de trasladarse  de</w:t>
        <w:br/>
        <w:t>un lugar a otro para protegerse de los disparos. El cadáver del  señor</w:t>
        <w:br/>
        <w:t>Hugo Juárez Cruzatt presentaba 11  impactos  de  bala  con  diferentes</w:t>
        <w:br/>
        <w:t>trayectorias. Dieciséis de  los  internos  que  se  rindieron   fueron</w:t>
        <w:br/>
        <w:t>separados del grupo y  ejecutados  en  distintos  lugares  del  penal.</w:t>
        <w:br/>
        <w:t>Dichas muertes constituyen ejecuciones extrajudiciales.</w:t>
        <w:br/>
        <w:br/>
        <w:br/>
        <w:t xml:space="preserve">   b) Propuesto por la interviniente común</w:t>
        <w:br/>
        <w:br/>
        <w:t xml:space="preserve">   2. José Quiroga, especialista en atención a víctimas de tortura</w:t>
        <w:br/>
        <w:br/>
        <w:br/>
        <w:t>Realizó una evaluación física a 13 presuntas víctimas.  Se  refirió  a</w:t>
        <w:br/>
        <w:t>“tres momentos críticos”: la tortura previa al  ataque  al  penal,  la</w:t>
        <w:br/>
        <w:t>tortura durante el ataque y la tortura posterior a este.</w:t>
        <w:br/>
        <w:br/>
        <w:t>Durante  los  cuatro  días  del  ataque  al  Penal  Castro  Castro  se</w:t>
        <w:br/>
        <w:t>utilizaron armas de guerra, tanques, helicópteros artillados,  cohetes</w:t>
        <w:br/>
        <w:t>y explosivos. Los internos examinados fueron privados de sueño, agua y</w:t>
        <w:br/>
        <w:t>alimentos. Algunos tomaban sus propios orines  debido  a  la  sed  que</w:t>
        <w:br/>
        <w:t>experimentaban.  Todo  esto  bajo   constante   balacera,   bombardeo,</w:t>
        <w:br/>
        <w:t>cañonazos y uso de armas  incendiarias.  Las  víctimas  experimentaron</w:t>
        <w:br/>
        <w:t>sufrimiento al  pasar  por  encima  de  los  cuerpos  humanos  todavía</w:t>
        <w:br/>
        <w:t>calientes.  Las  presuntas  víctimas  que  examinó   describieron   la</w:t>
        <w:br/>
        <w:t>sensación de  asfixia,  de  quemazón  en  todo  el  cuerpo  y  sistema</w:t>
        <w:br/>
        <w:t>respiratorio.  Asimismo, hubo heridos a  causa  de  las  esquirlas  de</w:t>
        <w:br/>
        <w:t>granadas y balas.  También tuvieron el efecto traumático de ver  morir</w:t>
        <w:br/>
        <w:t>y caer  heridos  a  otros  internos,  algunos  de  los  cuales  fueron</w:t>
        <w:br/>
        <w:t>abandonados y otros torturados a pesar de su gravedad. Algunos de  los</w:t>
        <w:br/>
        <w:t>entrevistados describieron actos  de  gran  crueldad  contra  personas</w:t>
        <w:br/>
        <w:t>heridas, quienes fueron forzadas a arrastrarse, tales como  culatazos,</w:t>
        <w:br/>
        <w:t>puntapiés y fueron  cargados  como  si  fueran  bultos  cuando  fueron</w:t>
        <w:br/>
        <w:t>trasladados al hospital.</w:t>
        <w:br/>
        <w:br/>
        <w:t>La composición de los gases usados en Castro  Castro  es  desconocida,</w:t>
        <w:br/>
        <w:t>pero  se  sabe  que  los  dos  componentes  más  usados  son   el   O-</w:t>
        <w:br/>
        <w:t>chlorobenzylidene   malonitrile,   conocido   como   CS,   y   el   1-</w:t>
        <w:br/>
        <w:t>chloroaceptopheonnone, conocido como CN, y necesitan un  solvente  que</w:t>
        <w:br/>
        <w:t>usualmente es el methylene chloride. Estos componentes  juntos  causan</w:t>
        <w:br/>
        <w:t>las  reacciones  descritas  por  los  testimonios,  como  son:  ardor;</w:t>
        <w:br/>
        <w:t>irritación en los ojos, en la nariz, en los pulmones y en la  piel;  y</w:t>
        <w:br/>
        <w:t>asfixia que puede ocasionar la muerte.  El solvente es  conocido  como</w:t>
        <w:br/>
        <w:t>cancerígeno  y  además  puede  producir  cambios  en  los   cromosomas</w:t>
        <w:br/>
        <w:t>somáticos.</w:t>
        <w:br/>
        <w:br/>
        <w:t>Los testigos que sobrevivieron  fueron  llevados  a  la  zona  llamada</w:t>
        <w:br/>
        <w:t>“tierra  de  nadie”.  Fueron  puestos  boca  abajo  durante  horas   y</w:t>
        <w:br/>
        <w:t>resguardados con perros sin bozal. Muchos de ellos  fueron  golpeados,</w:t>
        <w:br/>
        <w:t>no se les dio agua ni alimentos, y no se les permitió usar el baño  ni</w:t>
        <w:br/>
        <w:t>cambiarse de ropa. No hubo consideración con las  mujeres  embarazadas</w:t>
        <w:br/>
        <w:t>ni con los ancianos.</w:t>
        <w:br/>
        <w:br/>
        <w:t>Después de los hechos del Penal Castro  Castro,  los  internos  fueron</w:t>
        <w:br/>
        <w:t>sometidos a un régimen disciplinario muy estricto. El traslado  de  la</w:t>
        <w:br/>
        <w:t>zona “tierra de nadie” a los pabellones 1A y 4B  ya  reconstruidos  se</w:t>
        <w:br/>
        <w:t>hizo a través del “callejón oscuro”, método de castigo que consiste en</w:t>
        <w:br/>
        <w:t>obligar al detenido a caminar en una doble fila de  gendarmes  armados</w:t>
        <w:br/>
        <w:t>de elementos contundentes como palos, y bastones metálicos o de  goma.</w:t>
        <w:br/>
        <w:t>El prisionero al avanzar recibe múltiples golpes, cae al  suelo  y  se</w:t>
        <w:br/>
        <w:t>vuelve a parar y recibe más golpes hasta que llega al otro extremo del</w:t>
        <w:br/>
        <w:t>callejón.  Los prisioneros eran obligados a cantar el himno  nacional,</w:t>
        <w:br/>
        <w:t>que inicia con el verso “somos libres”.  Esa era la razón por la  cual</w:t>
        <w:br/>
        <w:t>se resistían a cantar, en consecuencia, recibían  innumerables  golpes</w:t>
        <w:br/>
        <w:t>con bastones rígidos y duros en todo el cuerpo y en la planta  de  los</w:t>
        <w:br/>
        <w:t>pies.  Esta práctica es conocida como “falanga"  y  produce  hematomas</w:t>
        <w:br/>
        <w:t>locales, intenso dolor y dificultad para  caminar.   Algunas  víctimas</w:t>
        <w:br/>
        <w:t>pueden sufrir de dolor crónico por  engrosamiento  de  la  aponeurosis</w:t>
        <w:br/>
        <w:t>plantar e incluso fractura de los huesos del metatarso.  También  eran</w:t>
        <w:br/>
        <w:t>castigados con corriente eléctrica aplicada con  un  bastón  eléctrico</w:t>
        <w:br/>
        <w:t>que generalmente no deja marcas,  solo  intenso  dolor  agudo.   Todos</w:t>
        <w:br/>
        <w:t>estos métodos de  castigo  eran  colectivos,  y  por  su  severidad  y</w:t>
        <w:br/>
        <w:t>consecuencias físicas y psicológicas  son  consistentes  con  tortura.</w:t>
        <w:br/>
        <w:t>Fueron obligados a permanecer en cuartos de castigo sin  que  pudieran</w:t>
        <w:br/>
        <w:t>sentarse ni acostarse.</w:t>
        <w:br/>
        <w:br/>
        <w:t>Las secuelas de las personas examinadas son permanentes. Por una parte</w:t>
        <w:br/>
        <w:t>los recuerdos de los hechos quedan grabados en el  cerebro,  y  dichos</w:t>
        <w:br/>
        <w:t>recuerdos pueden ser revividos a causa de diferentes estímulos. Muchas</w:t>
        <w:br/>
        <w:t>víctimas de tortura presentan estrés post  traumático   y  en  algunos</w:t>
        <w:br/>
        <w:t>casos  puede  ser  permanente.  Por  otra  parte  las   personas   que</w:t>
        <w:br/>
        <w:t>sobrevivieron tienen limitaciones físicas permanentes y algunas se han</w:t>
        <w:br/>
        <w:t>agravado por la falta de tratamiento.</w:t>
        <w:br/>
        <w:br/>
        <w:br/>
        <w:t xml:space="preserve">      3.    Ana Deutsh, especialista en atención a víctimas de tortura</w:t>
        <w:br/>
        <w:br/>
        <w:t>Realizó una  evaluación  psicológica  y  psicosocial  a  13  presuntas</w:t>
        <w:br/>
        <w:t>víctimas.</w:t>
        <w:br/>
        <w:br/>
        <w:t>Las particularidades  del  ataque  al  Penal  Castro  Castro  permiten</w:t>
        <w:br/>
        <w:t>calificar  a  este  episodio  como  de  “tortura  colectiva”  por  los</w:t>
        <w:br/>
        <w:t>siguientes elementos: el ataque  fue  sorpresivo  y  los  internos  se</w:t>
        <w:br/>
        <w:t>encontraban en estado de indefensión, pues se hallaban  durmiendo;  el</w:t>
        <w:br/>
        <w:t>ataque fue masivo y agresivo y dadas las características de las  armas</w:t>
        <w:br/>
        <w:t>utilizadas tenía como intención  aniquilar  indiscriminadamente.   Los</w:t>
        <w:br/>
        <w:t>internos permanecieron con el terror de que iban a morir.  Además,  se</w:t>
        <w:br/>
        <w:t>originó un sufrimiento psicológico y emocional intenso  debido  a  que</w:t>
        <w:br/>
        <w:t>los heridos no recibieron  atención  y  sus  compañeros  tuvieron  que</w:t>
        <w:br/>
        <w:t>presenciar con impotencia esta situación. También fueron  privados  de</w:t>
        <w:br/>
        <w:t>alimentos y de agua. Los ataques provenían de fuerzas de seguridad del</w:t>
        <w:br/>
        <w:t>Estado. Estas situaciones encuadran en los elementos  de  la  tortura,</w:t>
        <w:br/>
        <w:t>según la Convención de  la  ONU  contra  la  Tortura  y  Otros  Tratos</w:t>
        <w:br/>
        <w:t>Crueles, Inhumanos o Degradantes.</w:t>
        <w:br/>
        <w:br/>
        <w:t>El hecho de haber empezado el ataque en el pabellón donde se  alojaban</w:t>
        <w:br/>
        <w:t>las mujeres presas políticas  y  en  donde  varias  de  ellas  estaban</w:t>
        <w:br/>
        <w:t>gestando, indicaría una  selección  intencional  contra  las  mujeres.</w:t>
        <w:br/>
        <w:t>Además, el hecho  de  que  este  ataque  se  haya  planeado  para  que</w:t>
        <w:br/>
        <w:t>culminara el Día de la Madre  fue  interpretado  y  sentido  como  una</w:t>
        <w:br/>
        <w:t>provocación  más,  como  un  ensañamiento   contra   los   familiares,</w:t>
        <w:br/>
        <w:t>especialmente sus madres,  y  también  contra  las  víctimas,  quienes</w:t>
        <w:br/>
        <w:t>“sufrían  de  pensar  en  el  sufrimiento  de  sus  madres   y   otros</w:t>
        <w:br/>
        <w:t>familiares”.</w:t>
        <w:br/>
        <w:br/>
        <w:t>En los días posteriores continuó la “tortura colectiva”.  Los internos</w:t>
        <w:br/>
        <w:t>evaluados permanecieron en la  zona  llamada  “tierra  de  nadie”  sin</w:t>
        <w:br/>
        <w:t>recibir alimentos ni agua, sin moverse, sin poder utilizar los  baños.</w:t>
        <w:br/>
        <w:t>Al volver al pabellón, algunos  internos  permanecieron  incomunicados</w:t>
        <w:br/>
        <w:t>por cinco  meses  y  recibieron  castigos  adicionales,  como  el  que</w:t>
        <w:br/>
        <w:t>consistía  en  meter  hasta   20   prisioneros   en   un   cuarto   de</w:t>
        <w:br/>
        <w:t>aproximadamente 2 metros por 2 metros, donde  no  podían  sentarse  ni</w:t>
        <w:br/>
        <w:t>acostarse, con un hoyo en el piso como baño. Durante los días y  meses</w:t>
        <w:br/>
        <w:t>posteriores los internos recibieron otros maltratos y fueron sometidos</w:t>
        <w:br/>
        <w:t>a tortura psicológica, a través de: la  prohibición  de  trabajar,  de</w:t>
        <w:br/>
        <w:t>leer y de ir al patio; al ser obligados a permanecer en las celdas  23</w:t>
        <w:br/>
        <w:t>horas y media al día; y la  prohibición  de  recibir  visitas.   Todas</w:t>
        <w:br/>
        <w:t>estas medidas ponían a los prisioneros  en  estado  de  mucho  estrés,</w:t>
        <w:br/>
        <w:t>interrumpían el ritmo de vida, y se  creaban  estados  de  ansiedad  y</w:t>
        <w:br/>
        <w:t>desesperación por la impotencia de modificar o impedir o ser afectados</w:t>
        <w:br/>
        <w:t>por esas medidas.</w:t>
        <w:br/>
        <w:br/>
        <w:t>El trato infligido a los familiares de los internos también constituye</w:t>
        <w:br/>
        <w:t>tortura, ya que fueron víctimas de golpes, gases lacrimógenos,  bombas</w:t>
        <w:br/>
        <w:t>y disparos por parte de las Fuerzas Armadas.  Fueron humillados al ser</w:t>
        <w:br/>
        <w:t>denominados familiares de “terroristas”. Tuvieron  que  presenciar  la</w:t>
        <w:br/>
        <w:t>destrucción de sus seres queridos, y fueron sometidos  a  la  horrible</w:t>
        <w:br/>
        <w:t>experiencia de  buscar  los  cadáveres  de  sus  familiares  apilados,</w:t>
        <w:br/>
        <w:t>desmembrados, sangrando o en descomposición.  También fueron sometidos</w:t>
        <w:br/>
        <w:t>a intimidaciones en caso  de  denunciar  o  reclamar  al  gobierno,  y</w:t>
        <w:br/>
        <w:t>durante cinco meses  se  les  negó  información  y  contacto  con  los</w:t>
        <w:br/>
        <w:t>sobrevivientes de los hechos.</w:t>
        <w:br/>
        <w:br/>
        <w:t>Las víctimas han sufrido una acumulación de traumas, razón por la cual</w:t>
        <w:br/>
        <w:t>el daño psicológico es más profundo y más  duradero.   El  diagnóstico</w:t>
        <w:br/>
        <w:t>que corresponde a semejantes  experiencias  es  el  de  “estrés  post-</w:t>
        <w:br/>
        <w:t>traumático complejo”.  El paso del tiempo  no  produjo  ningún  efecto</w:t>
        <w:br/>
        <w:t>sanador en ninguno de  los  entrevistados,  quienes  continúan  en  un</w:t>
        <w:br/>
        <w:t>proceso  patológico  post-trauma.   “El  factor  impunidad  contribuye</w:t>
        <w:br/>
        <w:t>muchísimo en impedir una recuperación”.</w:t>
        <w:br/>
        <w:br/>
        <w:br/>
        <w:t xml:space="preserve">                     B)    Prueba testimonial y pericial</w:t>
        <w:br/>
        <w:br/>
        <w:br/>
        <w:t>187.  Los días 26 y 27 de junio de 2006 la Corte recibió en  audiencia</w:t>
        <w:br/>
        <w:t>pública (supra párr. 93) las declaraciones de los testigos  propuestos</w:t>
        <w:br/>
        <w:t>por la Comisión Interamericana de Derechos Humanos, por  el  Estado  y</w:t>
        <w:br/>
        <w:t>por la interviniente común, así como los  dictámenes  de  los  peritos</w:t>
        <w:br/>
        <w:t>propuestos por la interviniente común.  A  continuación,  el  Tribunal</w:t>
        <w:br/>
        <w:t>resume las partes principales de dichos testimonios y peritajes.</w:t>
        <w:br/>
        <w:br/>
        <w:br/>
        <w:t xml:space="preserve">                                 Testimonios</w:t>
        <w:br/>
        <w:br/>
        <w:br/>
        <w:t>a)    Propuestos por la Comisión Interamericana</w:t>
        <w:br/>
        <w:br/>
        <w:t xml:space="preserve">     1. Gaby Balcazar Medina, presunta víctima</w:t>
        <w:br/>
        <w:br/>
        <w:t>Estuvo recluida en el segundo piso del pabellón 1A en el Penal  Castro</w:t>
        <w:br/>
        <w:t>Castro, junto con aproximadamente 100 internas más. En los  pabellones</w:t>
        <w:br/>
        <w:t>1A (mujeres) y 4B (hombres) del penal  Castro  Castro  se  encontraban</w:t>
        <w:br/>
        <w:t>únicamente los internos acusados por terrorismo. No está segura si  en</w:t>
        <w:br/>
        <w:t>los demás pabellones había alguien en las mismas circunstancias.</w:t>
        <w:br/>
        <w:br/>
        <w:t>El 6 de mayo de 1992, día  de  visitas,  aproximadamente  a  las  4:00</w:t>
        <w:br/>
        <w:t>horas, cuando la testigo  se  encontraba  descansando,  empezaron  las</w:t>
        <w:br/>
        <w:t>explosiones y disparos dentro del penal. Los muros del pabellón fueron</w:t>
        <w:br/>
        <w:t>derribados,  y  fueron  lanzadas  bombas  lacrimógenas  y  otras   más</w:t>
        <w:br/>
        <w:t>potentes. Para protegerse de los gases y poder respirar  las  internas</w:t>
        <w:br/>
        <w:t>tuvieron que utilizar pañuelos con vinagre o con sus propios orines, e</w:t>
        <w:br/>
        <w:t>incluso tuvieron que poner su rostro en el hoyo  que  utilizaban  como</w:t>
        <w:br/>
        <w:t>baño porque era el único sitio por donde  entraba  aire.  Ese  día  en</w:t>
        <w:br/>
        <w:t>horas de la mañana murió  el  señor  Juan  Bardales.  Después  de  las</w:t>
        <w:br/>
        <w:t>muertes empezó a generarse un  “clima”  de   desesperación  entre  las</w:t>
        <w:br/>
        <w:t>mujeres, quienes sentían que iban a morir y  que  sus  familiares  que</w:t>
        <w:br/>
        <w:t>permanecían en las afueras  del  penal  iban  a  presenciarlo.  Si  se</w:t>
        <w:br/>
        <w:t>hubiera tratado de un traslado ella no se hubiese opuesto a  éste,  ya</w:t>
        <w:br/>
        <w:t>que no era cómodo vivir con hombres en el penal Castro Castro.</w:t>
        <w:br/>
        <w:br/>
        <w:t>A causa del “bombardeo […] por aire” se perforó el  techo  del  cuarto</w:t>
        <w:br/>
        <w:t>piso, por donde los militares entraron al pabellón hiriendo a  algunas</w:t>
        <w:br/>
        <w:t>internas, entre quienes reconoció a María Villegas. En vista de que el</w:t>
        <w:br/>
        <w:t>pabellón 1A iba a  ser  destruido,  las  internas,  entre  quienes  se</w:t>
        <w:br/>
        <w:t>encontraban cuatro embarazadas,  tuvieron  que  “arrastrarse”  por  el</w:t>
        <w:br/>
        <w:t>suelo pasando por encima de cadáveres y protegiéndose de las balas que</w:t>
        <w:br/>
        <w:t>disparaban francotiradores, saltando del segundo piso al sótano  donde</w:t>
        <w:br/>
        <w:t>quedaba el ducto que se encontraba lleno de ratas, dirigiéndose  hasta</w:t>
        <w:br/>
        <w:t>el pabellón 4B. Otras internas no corrieron con la misma suerte, entre</w:t>
        <w:br/>
        <w:t>quienes reconoció a la señora Vilma (no recuerda el  apellido)  de  60</w:t>
        <w:br/>
        <w:t>años de edad, quien por no poder saltar fue alcanzada por  las  balas.</w:t>
        <w:br/>
        <w:t>La intensidad del ataque no disminuyó en ningún momento. Un  grupo  de</w:t>
        <w:br/>
        <w:t>delegados de los internos se encargó de tratar de dialogar para que no</w:t>
        <w:br/>
        <w:t>les hicieran daño en el traslado.</w:t>
        <w:br/>
        <w:br/>
        <w:t>El día sábado los internos se encontraban amontonados. Los ataques  se</w:t>
        <w:br/>
        <w:t>intensificaron y continuaron los  bombardeos  y  las  explosiones.  La</w:t>
        <w:br/>
        <w:t>testigo describe los efectos de las bombas como “que ya no se podía ni</w:t>
        <w:br/>
        <w:t>respirar, como que el cuerpo te  ardía,  como  que  el  cuerpo  quería</w:t>
        <w:br/>
        <w:t>zafarse de ti”. Cuando se abre la puerta del pabellón algunos internos</w:t>
        <w:br/>
        <w:t>comienzan a salir y todos son “fusilados”, entre quienes  reconoce  al</w:t>
        <w:br/>
        <w:t>señor Marco Azaña. La testigo decide salir en vista de que el pabellón</w:t>
        <w:br/>
        <w:t>se iba a derrumbar. Ella pensó “si yo salgo al  menos  mi  mamá  podrá</w:t>
        <w:br/>
        <w:t>enterrarme y reconocer mi cuerpo”. Cuando salió  a  la  zona  conocida</w:t>
        <w:br/>
        <w:t>como “gallinero” fue alcanzada por una esquirla que  le  ocasionó  una</w:t>
        <w:br/>
        <w:t>herida en su pierna  derecha.  En  esta  zona  también  vio  a  muchas</w:t>
        <w:br/>
        <w:t>personas muertas y  heridas,  entre  quienes  reconoció  a  la  señora</w:t>
        <w:br/>
        <w:t>Violeta (no recuerda el apellido) que estaba muerta, a Marco  Azaña  y</w:t>
        <w:br/>
        <w:t>Elvia Sanabria, que no sabe si estaban muertos o heridos, y  a  Miriam</w:t>
        <w:br/>
        <w:t>Rodríguez y Luis Ángel, quienes estaban heridos. Mientras se dirigía a</w:t>
        <w:br/>
        <w:t>la zona conocida como “tópico” miró  hacia  los  techos  del  penal  y</w:t>
        <w:br/>
        <w:t>habían muchos militares vestidos tipo “ranger”,  quienes  apuntaron  y</w:t>
        <w:br/>
        <w:t>atacaron verbalmente a los internos.  La testigo dejó de caminar y  en</w:t>
        <w:br/>
        <w:t>ese momento empezaron a dispararle. Fue herida en  el  cuello,  en  el</w:t>
        <w:br/>
        <w:t>brazo y en el seno derecho. Cuando los militares se dieron cuenta  que</w:t>
        <w:br/>
        <w:t>ella permanecía viva le dispararon en la espalda, ante lo  cual  quedó</w:t>
        <w:br/>
        <w:t>inconsciente. Cuando recuperó el conocimiento se encontraba en la zona</w:t>
        <w:br/>
        <w:t>del penal “donde requisan a las visitas”, junto con más heridos.  Allí</w:t>
        <w:br/>
        <w:t>fue ayudada por un guardia del penal que le dió agua.</w:t>
        <w:br/>
        <w:br/>
        <w:t>Posteriormente los militares encapuchados la tomaron de los pies y  de</w:t>
        <w:br/>
        <w:t>las manos y la “lanzaron” a un camión junto con otros heridos.  Cuando</w:t>
        <w:br/>
        <w:t>iba en ese camión saliendo del penal pudo escuchar las  voces  de  los</w:t>
        <w:br/>
        <w:t>familiares, quienes gritaban protestando por el ataque, lo que “le dio</w:t>
        <w:br/>
        <w:t>fuerza” para aferrarse a la vida.  En el camión fueron amenazados  por</w:t>
        <w:br/>
        <w:t>los militares, quienes les decían que los iban a matar o  los  iban  a</w:t>
        <w:br/>
        <w:t>“botar” en el camino hacia el hospital, y  uno  de  los  militares  la</w:t>
        <w:br/>
        <w:t>pateó en la cara.</w:t>
        <w:br/>
        <w:br/>
        <w:t>En el hospital no recibió la atención  médica  necesaria;  estuvo  sin</w:t>
        <w:br/>
        <w:t>bañarse, por lo cual las moscas se paraban en  su  cuerpo  que  estaba</w:t>
        <w:br/>
        <w:t>lleno de sangre; permaneció sin poder comer, ya que  a  causa  de  sus</w:t>
        <w:br/>
        <w:t>heridas no podía comer por si misma y nadie le ayudaba; estuvo desnuda</w:t>
        <w:br/>
        <w:t>frente a todos  los  militares  que  la  custodiaban  y  le  apuntaban</w:t>
        <w:br/>
        <w:t>permanentemente con fusiles; y no le permitían  utilizar  el  baño  en</w:t>
        <w:br/>
        <w:t>privado ni recibir visitas de sus familiares. Todo ese tiempo  recibió</w:t>
        <w:br/>
        <w:t>malos tratos por parte de los militares. En el hospital murieron,  por</w:t>
        <w:br/>
        <w:t>falta de atención, Consuelo, Noemí (no recuerda sus apellidos) y María</w:t>
        <w:br/>
        <w:t>Villegas.</w:t>
        <w:br/>
        <w:br/>
        <w:t>Posteriormente fue trasladada a la prisión de Chorrillos,  descalza  y</w:t>
        <w:br/>
        <w:t>vestida con una bata que le había donado la Cruz Roja. En esta  cárcel</w:t>
        <w:br/>
        <w:t>las internas permanecieron hacinadas, en celdas  sin  las  condiciones</w:t>
        <w:br/>
        <w:t>normales de higiene,  sin  agua,  con  mala  alimentación,  y  no  les</w:t>
        <w:br/>
        <w:t>permitían realizar actividades como leer, trabajar, ni salir al patio.</w:t>
        <w:br/>
        <w:t>Aproximadamente 5 meses después  de  los  ataques  al  penal  pudieron</w:t>
        <w:br/>
        <w:t>recibir una visita; sin embargo,  no  se  les  permitió  tocar  a  sus</w:t>
        <w:br/>
        <w:t>familiares.</w:t>
        <w:br/>
        <w:br/>
        <w:t>Fue juzgada por jueces sin rostro y se comprobó su inocencia. Su  vida</w:t>
        <w:br/>
        <w:t>ha cambiado radicalmente desde lo ocurrido en el Penal Castro  Castro,</w:t>
        <w:br/>
        <w:t>no solo por las cicatrices que tiene en su cuerpo que no  le  permiten</w:t>
        <w:br/>
        <w:t>llevar una vida normal, sino también porque ha sido estigmatizada como</w:t>
        <w:br/>
        <w:t>terrorista. Cuando estuvo en libertad quiso hacer una vida  nueva  con</w:t>
        <w:br/>
        <w:t>su familia, pero no ha podido. Siempre va a recordar  aquellos  hechos</w:t>
        <w:br/>
        <w:t>que la dejaron marcada para siempre. Además ha quedado con trastornos,</w:t>
        <w:br/>
        <w:t>ya que los primeros años tenía pesadillas con el penal, los  cadáveres</w:t>
        <w:br/>
        <w:t>y con los fusilamientos.</w:t>
        <w:br/>
        <w:br/>
        <w:t>Refiriéndose a los hechos en  el  penal  y  a  todas  las  situaciones</w:t>
        <w:br/>
        <w:t>dolorosas que pasó, la testigo expresó “[…] realmente yo no se por qué</w:t>
        <w:br/>
        <w:t>tanta maldad[, …] no se por qué el ser  humano  puede  llegar  a  esos</w:t>
        <w:br/>
        <w:t>extremos de maldad”. También se refirió a los valores  que  infunde  a</w:t>
        <w:br/>
        <w:t>sus alumnos en su vida profesional, ya que así como vio  tanta  maldad</w:t>
        <w:br/>
        <w:t>también hubo gente que la ayudó.</w:t>
        <w:br/>
        <w:br/>
        <w:br/>
        <w:t xml:space="preserve">     2. Julia Genoveva Peña Castillo, madre de las presuntas  víctimas</w:t>
        <w:br/>
        <w:t xml:space="preserve">        Julia Marlene Olivos Peña y Víctor Javier Olivos Peña</w:t>
        <w:br/>
        <w:br/>
        <w:t>Es la madre de dos internos que estaban recluidos en el  penal  Castro</w:t>
        <w:br/>
        <w:t>Castro. En la mañana del 6 de mayo de 1992 se enteró por las  noticias</w:t>
        <w:br/>
        <w:t>que algo estaba sucediendo en el penal e inmediatamente se  dirigió  a</w:t>
        <w:br/>
        <w:t>sus instalaciones. Llegó al penal aproximadamente a  las  7:00  horas.</w:t>
        <w:br/>
        <w:t>Había muchos militares y medios de comunicación. También llegaron  los</w:t>
        <w:br/>
        <w:t>familiares de internos que se enteraban de lo que estaba sucediendo y,</w:t>
        <w:br/>
        <w:t>como era un miércoles de  visita,  seguían  llegando  más  familiares.</w:t>
        <w:br/>
        <w:t>Como a las 3:00 p.m.  se utilizó más fuerza y llegaron más  militares.</w:t>
        <w:br/>
        <w:t>Los familiares no recibieron ninguna clase de información en  relación</w:t>
        <w:br/>
        <w:t>con los disturbios en  el  penal  y  recibieron  un  tratamiento  “muy</w:t>
        <w:br/>
        <w:t>fuerte” por parte de los militares.</w:t>
        <w:br/>
        <w:br/>
        <w:t>En la tarde del 9 de mayo de 1992 el ataque se intensificó. Muchas  de</w:t>
        <w:br/>
        <w:t>las madres se abrazaron “porque los estruendos del cañón eran algo que</w:t>
        <w:br/>
        <w:t>llegaba hasta [sus] corazones”. Se veían las  esquirlas  del  pabellón</w:t>
        <w:br/>
        <w:t>que volaban. Pensaban que sus hijos ya no  estarían  vivos  porque  el</w:t>
        <w:br/>
        <w:t>ataque era muy fuerte.  Escucharon claramente la voz del  coronel  del</w:t>
        <w:br/>
        <w:t>penal que decía “salgan, ríndanse, salgan”. Reconoció  la  voz  de  su</w:t>
        <w:br/>
        <w:t>hija que gritaba “alto al fuego, alto al fuego, vamos a salir, pedimos</w:t>
        <w:br/>
        <w:t>evacuación”. Le entusiasmó mucho escuchar la voz de su hija. Más tarde</w:t>
        <w:br/>
        <w:t>“ya no se escuchaban voces, sólo se escuchaban muchos  tiros  como  de</w:t>
        <w:br/>
        <w:t>metralleta o de un arma larga”, que escuchaban cada cierto tiempo. Los</w:t>
        <w:br/>
        <w:t>familiares pasaron la noche ahí, sin saber quiénes eran los muertos  y</w:t>
        <w:br/>
        <w:t>heridos, ya que no les dieron información.</w:t>
        <w:br/>
        <w:br/>
        <w:t>El 10 de mayo de 1992, día de la madre, la testigo no  sabía  nada  de</w:t>
        <w:br/>
        <w:t>sus hijos, así que empezó su búsqueda en la  morgue.  Estando  adentro</w:t>
        <w:br/>
        <w:t>“vi[o] a las chicas tiradas en el piso  desnudas  y  cosidas”,  habían</w:t>
        <w:br/>
        <w:t>cuerpos sobre otros, y en las mesas estaban haciendo  la  necropsia  a</w:t>
        <w:br/>
        <w:t>otros cuerpos.  Para buscar a su hija y a su hijo levantó y movió  los</w:t>
        <w:br/>
        <w:t>cuerpos, pero no los encontró.  Fue a la Cruz Roja Internacional, pero</w:t>
        <w:br/>
        <w:t>no sabían nada. Aproximadamente a las 5 p.m. fue  al  Hospital  de  la</w:t>
        <w:br/>
        <w:t>Policía.  Allí una persona le dijo “señora su hija  está  muerta,  […]</w:t>
        <w:br/>
        <w:t>está en la morgue, pero ahorita usted vaya al hospital del Carrion que</w:t>
        <w:br/>
        <w:t>allí está su hijo, lo acaban de llevar, si usted no lo saca hoy día lo</w:t>
        <w:br/>
        <w:t>matan”. La testigo fue a ese hospital que quedaba muy lejos,  pero  no</w:t>
        <w:br/>
        <w:t>le permitieron ingresar porque había terminado la visita. Sin embargo,</w:t>
        <w:br/>
        <w:t>logró entrar trepando un muro. Buscó la morgue, en la  cual  no  había</w:t>
        <w:br/>
        <w:t>ningún fallecido, pero escuchó un quejido que venía  de  atrás  de  la</w:t>
        <w:br/>
        <w:t>puerta.  Abrió la puerta y era su hijo que  estaba  “en  una  mesa  de</w:t>
        <w:br/>
        <w:t>lata” con una sabana amarrada, tenía cinco  heridas  y  mucha  fiebre.</w:t>
        <w:br/>
        <w:t>Cuando encontró a su hijo entró al cuarto un militar, quien  la  trató</w:t>
        <w:br/>
        <w:t>mal. Ella le dijo que si venía a matar a su  hijo  la  “tendr[ía]  que</w:t>
        <w:br/>
        <w:t>matar a [ella] primero”. En ese momento entró un médico  que  preguntó</w:t>
        <w:br/>
        <w:t>el motivo por el cual el hijo de la testigo se encontraba en la morgue</w:t>
        <w:br/>
        <w:t>si estaba vivo. El militar se fue.  Llevaron a su hijo al Hospital  de</w:t>
        <w:br/>
        <w:t>la Policía.</w:t>
        <w:br/>
        <w:br/>
        <w:t>El día 11 de mayo de 1992 volvió al Hospital de la Policía, pero no le</w:t>
        <w:br/>
        <w:t>permitieron ingresar. El doctor le dijo que su hijo estaba muy  mal  y</w:t>
        <w:br/>
        <w:t>podría morir. Fue nuevamente a la morgue pero no estaba su hija.</w:t>
        <w:br/>
        <w:br/>
        <w:t>El día 12 de mayo de 1992 fue a la Dirección Nacional de Investigación</w:t>
        <w:br/>
        <w:t>Criminal y Apoyo a la Justicia (DIRINCRI) porque le dijeron  que  allí</w:t>
        <w:br/>
        <w:t>había una lista de todos los fallecidos.  Le preguntaron el nombre  de</w:t>
        <w:br/>
        <w:t>su hija y le dijeron que no estaba en la  lista.  Volvió  a  ir  a  la</w:t>
        <w:br/>
        <w:t>morgue, en donde estaban otras  madres  que  también  buscaban  a  sus</w:t>
        <w:br/>
        <w:t>hijos.  Funcionarios de la DINCOTE no las dejaban entrar, pero  en  un</w:t>
        <w:br/>
        <w:t>descuido de uno de ellos la testigo logró entrar y corrió hasta  donde</w:t>
        <w:br/>
        <w:t>se encontraban los frigoríficos.  Logró  abrir  un  frigorífico  y  el</w:t>
        <w:br/>
        <w:t>cadáver de su hija le “ca[yó] encima”. La testigo manifestó  que  “eso</w:t>
        <w:br/>
        <w:t>no lo v[a] a olvidar nunca” y describió lo que fue ese momento. En  el</w:t>
        <w:br/>
        <w:t>piso habían tres bolsas bien cerradas, y la testigo las abrió. En  una</w:t>
        <w:br/>
        <w:t>de ellas estaba Fernando Orozco, quien estaba  descuartizado.  Era  el</w:t>
        <w:br/>
        <w:t>hijo de una de las señoras que estaba allí. En la otra bolsa había una</w:t>
        <w:br/>
        <w:t>persona calcinada, y en la otra un trozo de  carbón.  La  hija  de  la</w:t>
        <w:br/>
        <w:t>testigo no tenía parte de su cabello y presentaba señales de que había</w:t>
        <w:br/>
        <w:t>sido arrastrada y golpeada. El médico de la morgue  le  ayudó  con  un</w:t>
        <w:br/>
        <w:t>cajón para sacar el cuerpo de su hija de la morgue. La  testigo  envió</w:t>
        <w:br/>
        <w:t>el cuerpo con un familiar a su casa, mientras ella volvía al  hospital</w:t>
        <w:br/>
        <w:t>a ver a su hijo.</w:t>
        <w:br/>
        <w:br/>
        <w:t>Indicó que desconocía que hubiera un proceso abierto en el Perú  sobre</w:t>
        <w:br/>
        <w:t>los hechos de este caso. Solicitó a la Corte Interamericana  que  haga</w:t>
        <w:br/>
        <w:t>justicia y que se sancione a los responsables de los hechos.</w:t>
        <w:br/>
        <w:br/>
        <w:t>b)    Propuestos por la interviniente común:</w:t>
        <w:br/>
        <w:br/>
        <w:t xml:space="preserve">     3. Luis Ángel Pérez Zapata, presunta víctima</w:t>
        <w:br/>
        <w:br/>
        <w:t>Explicó un mapa del Penal Miguel  Castro  Castro,  refiriéndose  a  su</w:t>
        <w:br/>
        <w:t>estructura, el lugar de ubicación de los pabellones 1A y 4B y  algunos</w:t>
        <w:br/>
        <w:t>lugares que se nombran en los testimonios. Indicó que el  penal  tenía</w:t>
        <w:br/>
        <w:t>una pared de 6 a 8 metros de altura, era de ladrillo  y  cemento.   La</w:t>
        <w:br/>
        <w:t>zona interior del penal es lo que se conoce como “tierra de nadie”. En</w:t>
        <w:br/>
        <w:t>la zona conocida como la “rotonda”, que es la parte central del penal,</w:t>
        <w:br/>
        <w:t>hay unos subterráneos por donde se comunicaban los pabellones.  Debido</w:t>
        <w:br/>
        <w:t>al hacinamiento que había en el pabellón 4B, por las noches a  algunos</w:t>
        <w:br/>
        <w:t>internos les era permitido dormir en el pabellón 1A. En el pabellón 4B</w:t>
        <w:br/>
        <w:t>había más de 400 personas, siendo un pabellón con capacidad  para  90.</w:t>
        <w:br/>
        <w:t>El primer día de los hechos el testigo se encontraba  en  el  pabellón</w:t>
        <w:br/>
        <w:t>1A.</w:t>
        <w:br/>
        <w:br/>
        <w:t>Después del golpe de  Estado  del  5  de  abril  de  1992  comenzó  la</w:t>
        <w:br/>
        <w:t>militarización del Penal Castro Castro. Durante  el  golpe  de  Estado</w:t>
        <w:br/>
        <w:t>fueron restringidos derechos y libertades, “incluso no se  hacia  caso</w:t>
        <w:br/>
        <w:t>de los hábeas corpus”.</w:t>
        <w:br/>
        <w:br/>
        <w:t>A las 4:30 horas del 6 de mayo de 1992 comenzaron las explosiones  por</w:t>
        <w:br/>
        <w:t>parte de “tropas combinadas” del Ejército  y  la  Policía.  Utilizaron</w:t>
        <w:br/>
        <w:t>“armamento  largo  […]  de  guerra”,   bombas   lacrimógenas,   bombas</w:t>
        <w:br/>
        <w:t>incendiarias y helicópteros de artillería, que  dispararon  misiles  y</w:t>
        <w:br/>
        <w:t>cohetes contra el pabellón 1A. Las  bombas  incendiarias  “arden  [por</w:t>
        <w:br/>
        <w:t>dentro] y quitan el oxígeno, [e] impiden la respiración”.   El  ataque</w:t>
        <w:br/>
        <w:t>también  se  produjo  desde  los  techos  y  ventanas  de  los   otros</w:t>
        <w:br/>
        <w:t>pabellones, donde estaban ubicados los francotiradores.</w:t>
        <w:br/>
        <w:br/>
        <w:t>Durante los días del ataque bombardearon las paredes,  dispararon  con</w:t>
        <w:br/>
        <w:t>armas instalazas para golpear las  paredes,  las  cuales  “son  de  un</w:t>
        <w:br/>
        <w:t>concreto muy resistente [y] antisísmico [y miden] 25  cm.  de  ancho”.</w:t>
        <w:br/>
        <w:t>También bombardearon los techos para hacer huecos,  desde  los  cuales</w:t>
        <w:br/>
        <w:t>lanzaban  ráfagas  de  metralleta  y  explosivos.  Además,  utilizaron</w:t>
        <w:br/>
        <w:t>“helicópteros artillados” para disparar misiles  contra  el  pabellón.</w:t>
        <w:br/>
        <w:t>El  testigo  expresó  que  “[l]a  situación  era  para  darse   cuenta</w:t>
        <w:br/>
        <w:t>rápidamente que allí íba[n] a quedar triturados bajo los escombros  de</w:t>
        <w:br/>
        <w:t>ese pabellón”. “Estar bajo este bombardeo es como un infierno”  porque</w:t>
        <w:br/>
        <w:t>hay gas lacrimógeno que no permite  la  respiración,  las  explosiones</w:t>
        <w:br/>
        <w:t>sacuden el pabellón,  se  escuchan  las  ráfagas  de  las  metralletas</w:t>
        <w:br/>
        <w:t>disparando, uno piensa “aquí nos van […] a  matar  a  todos”.  Además,</w:t>
        <w:br/>
        <w:t>permanecieron sin luz, agua, ni alimentación.</w:t>
        <w:br/>
        <w:br/>
        <w:t>Según le contaron posteriormente, durante los  ataques,  los  internos</w:t>
        <w:br/>
        <w:t>que se encontraban en el penal por delitos comunes fueron llevados  al</w:t>
        <w:br/>
        <w:t>patio donde permanecieron agrupados en el centro y custodiados.</w:t>
        <w:br/>
        <w:br/>
        <w:t>En el cuarto día  de  ataques  los  internos  optaron  por  salir  del</w:t>
        <w:br/>
        <w:t>pabellón 4B porque pensaban que el pabellón iba a ser “triturado  como</w:t>
        <w:br/>
        <w:t>ha[bía] ocurrido en el 1A” y ya no podían soportar más  la  situación.</w:t>
        <w:br/>
        <w:t>Un grupo de internos pidió a gritos que no les dispararan porque  iban</w:t>
        <w:br/>
        <w:t>a salir, pero fueron fusilados. El  testigo  salió  del  pabellón  4B,</w:t>
        <w:br/>
        <w:t>caminó por “la rotonda” y llegó a la “puerta de acceso”,  desde  donde</w:t>
        <w:br/>
        <w:t>pudo ver que “había […] cientos de tropas combinadas con armamentos de</w:t>
        <w:br/>
        <w:t>guerra” y que en los cerros había soldados con armamento.  Cuando  iba</w:t>
        <w:br/>
        <w:t>caminando vio que “al frente [suyo] había una ametralladora  con  tres</w:t>
        <w:br/>
        <w:t>patas”. Se volteó y lo alcanzó una bala en la espalda  y  otra  en  la</w:t>
        <w:br/>
        <w:t>mano, y la palma de su mano se le abrió. Estaba  tendido  boca  arriba</w:t>
        <w:br/>
        <w:t>cuando un soldado con  fusil y pasamontañas le  puso  el  arma  en  su</w:t>
        <w:br/>
        <w:t>boca, lo insultó y lo pateó. Pedía agua porque sentía  mucha  sed,  le</w:t>
        <w:br/>
        <w:t>dolía la mano y también la espalda, tenía un “hueco” en la  clavícula.</w:t>
        <w:br/>
        <w:t>Aproximadamente una hora después dos soldados lo agarraron de la  mano</w:t>
        <w:br/>
        <w:t>que le dolía y lo levantaron del brazo, “como si fuera  un  costal  de</w:t>
        <w:br/>
        <w:t>papas” y lo lanzaron a un camión militar donde  había  otras  personas</w:t>
        <w:br/>
        <w:t>heridas. Tiraron a otras personas sobre él.   Luego  los  llevaron  al</w:t>
        <w:br/>
        <w:t>hospital de policías.</w:t>
        <w:br/>
        <w:br/>
        <w:t>En el Hospital de la Policía le cosieron la  mano  de  tal  forma  que</w:t>
        <w:br/>
        <w:t>quedó con muchas cicatrices y funcionalmente no la puede  mover  bien.</w:t>
        <w:br/>
        <w:t>Durante el tiempo que estuvo en el hospital “los médicos [le]s dijeron</w:t>
        <w:br/>
        <w:t>que no había medicinas para  [ellos]”.   La  Cruz  Roja  Internacional</w:t>
        <w:br/>
        <w:t>estuvo  pendiente  de  que  tuvieran  medicamentos.   En  el  hospital</w:t>
        <w:br/>
        <w:t>permaneció custodiado por  tres  o  cuatro  policías  armados  que  no</w:t>
        <w:br/>
        <w:t>permitían el ingreso a su habitación.</w:t>
        <w:br/>
        <w:br/>
        <w:t>Transcurridas dos semanas fue trasladado al hospital “Carrión”,  donde</w:t>
        <w:br/>
        <w:t>permaneció en un lugar sucio, sin ventanas, con mucho ruido, sin ropa,</w:t>
        <w:br/>
        <w:t>y con sus heridas infectadas debido a que no les fueron entregadas las</w:t>
        <w:br/>
        <w:t>medicinas que habían sido suministradas por la Cruz Roja. La Cruz Roja</w:t>
        <w:br/>
        <w:t>“pudo ingresar recién después de 15 días”.  Transcurridos alrededor de</w:t>
        <w:br/>
        <w:t>un mes y medio fueron trasladados de nuevo al Penal Castro Castro  sin</w:t>
        <w:br/>
        <w:t>ropa ni zapatos.  Debido a que era época de invierno el frío hacía que</w:t>
        <w:br/>
        <w:t>les dolieran más los huesos y las heridas. En el Penal  Castro  Castro</w:t>
        <w:br/>
        <w:t>los siguieron “torturando”, les ponían marchas militares a las 6  a.m.</w:t>
        <w:br/>
        <w:t>con mucho volumen; los golpearon; les pusieron  descargas  eléctricas;</w:t>
        <w:br/>
        <w:t>no les permitían realizar ninguna actividad como leer ni trabajar;  no</w:t>
        <w:br/>
        <w:t>podían salir a los patios; permanecían 24 horas en celdas de 2x1.80mts</w:t>
        <w:br/>
        <w:t>sin recibir luz del sol; los alimentos que les  suministraban  estaban</w:t>
        <w:br/>
        <w:t>sucios, inclusive con pequeñas piedras; y eran sometidos a pasar entre</w:t>
        <w:br/>
        <w:t>dos filas de custodios, quienes les pegaban con palos y fierros.  Tuvo</w:t>
        <w:br/>
        <w:t>que soportar todas esas “torturas” cuando estaba recuperándose  de  lo</w:t>
        <w:br/>
        <w:t>que le ocasionaron las heridas de bala.</w:t>
        <w:br/>
        <w:br/>
        <w:t>Permitieron las visitas de los familiares recién seis meses después de</w:t>
        <w:br/>
        <w:t>lo sucedido en el Penal Castro Castro.</w:t>
        <w:br/>
        <w:br/>
        <w:t>Su madre sufrió mucho y “la tensión le provocó  cáncer”,  por  lo  que</w:t>
        <w:br/>
        <w:t>falleció hace dos años. Durante los días del  ataque  su  madre  lloró</w:t>
        <w:br/>
        <w:t>mucho  y  se  sentía  muy  mal  al  ver  que  al  testigo  lo  estaban</w:t>
        <w:br/>
        <w:t>“bombardeando […] y fusilando” y ella no podía hacer nada.</w:t>
        <w:br/>
        <w:br/>
        <w:t>Está cursando quinto año de Derecho en la Universidad de  San  Marcos.</w:t>
        <w:br/>
        <w:t>También trabaja como obrero de construcción civil. Hoy en día,  además</w:t>
        <w:br/>
        <w:t>de las lesiones a causa de  los  disparos  (las  cuales  incluyen  las</w:t>
        <w:br/>
        <w:t>cicatrices), tiene una lesión  en  su  oído  que  le  ha  reducido  la</w:t>
        <w:br/>
        <w:t>capacidad de escuchar, la cual fue causada por una  explosión  durante</w:t>
        <w:br/>
        <w:t>el ataque al penal. Además tiene problemas de movimiento  en  su  mano</w:t>
        <w:br/>
        <w:t>que le han ocasionado  dificultad  para  la  realización  de   ciertos</w:t>
        <w:br/>
        <w:t>trabajos, y no puede levantar “completamente” el brazo.  Tiene  muchas</w:t>
        <w:br/>
        <w:t>dificultades para escuchar a una persona en una conversación normal, y</w:t>
        <w:br/>
        <w:t>más aún para escuchar sus clases.</w:t>
        <w:br/>
        <w:br/>
        <w:t>En el Perú  nadie  ha  sido  enjuiciado  y  ninguna  autoridad  se  ha</w:t>
        <w:br/>
        <w:t>responsabilizado de lo que les ocurrió.</w:t>
        <w:br/>
        <w:br/>
        <w:t xml:space="preserve">     4. Lastenia  Eugenia  Caballero  Mejía,  esposa  de  la  presunta</w:t>
        <w:br/>
        <w:t xml:space="preserve">        víctima Mario Aguilar Vega y madre de las  presuntas  víctimas</w:t>
        <w:br/>
        <w:t xml:space="preserve">        Ruth y Orlando Aguilar Caballero</w:t>
        <w:br/>
        <w:br/>
        <w:t>Su esposo y su hijo se encontraban recluidos en  el  pabellón  4B  del</w:t>
        <w:br/>
        <w:t>Penal Castro Castro, y su hija se encontraba recluida en  el  pabellón</w:t>
        <w:br/>
        <w:t>1A de dicho penal. Se  enteró  por  las  noticias  de  lo  que  estaba</w:t>
        <w:br/>
        <w:t>ocurriendo en el penal y se dirigió a éste junto con su nieta.  Cuando</w:t>
        <w:br/>
        <w:t>llegó observó muchos militares  y  policías  que  rodeaban  el  centro</w:t>
        <w:br/>
        <w:t>penitenciario. Escuchó disparos y explosiones, y nadie  le  suministro</w:t>
        <w:br/>
        <w:t>información acerca de los internos. Al tercer día la situación fue más</w:t>
        <w:br/>
        <w:t>grave,  el  número  de  militares  se  incrementó  y  continuaban  las</w:t>
        <w:br/>
        <w:t>explosiones y disparos. Los familiares fueron  tratados  mal  por  los</w:t>
        <w:br/>
        <w:t>militares, les decían que se fueran, les disparaban y lanzaban  bombas</w:t>
        <w:br/>
        <w:t>lacrimógenas, y también les echaron agua. Además, personas vestidas de</w:t>
        <w:br/>
        <w:t>civil les dispararon.</w:t>
        <w:br/>
        <w:br/>
        <w:t>El tercer día de los hechos, al no saber lo que podría haber  sucedido</w:t>
        <w:br/>
        <w:t>a sus familiares, se dirigió a la  morgue  a  buscar  información.  La</w:t>
        <w:br/>
        <w:t>morgue “era una carnicería total”. Para identificar a  sus  familiares</w:t>
        <w:br/>
        <w:t>le mostraron  fotos  de  personas  que  estaban  “destrozadas”.  Había</w:t>
        <w:br/>
        <w:t>gusanos en el suelo y un olor espantoso, había personas “tirad[a]s  en</w:t>
        <w:br/>
        <w:t>el piso como si fueran animales”.  Además, el personal  de  la  morgue</w:t>
        <w:br/>
        <w:t>estaba realizando las autopsias delante de los familiares, como si  no</w:t>
        <w:br/>
        <w:t>les importara que ellos vieran. Fue “un dolor  muy  inmenso”  para  la</w:t>
        <w:br/>
        <w:t>testigo, que le “quedó marcado como una huella muy grande”.  Sus hijos</w:t>
        <w:br/>
        <w:t>y esposo no estaban en la morgue, por lo que volvió al penal.</w:t>
        <w:br/>
        <w:br/>
        <w:t>Cuando estaba en las afueras del penal el cuarto  día  de  los  hechos</w:t>
        <w:br/>
        <w:t>salía humo, se escuchaban  “sonidos  estruendosos”,  y  se  escuchaban</w:t>
        <w:br/>
        <w:t>metralletas “como si fuera una guerra”.  Se imaginó que  sus  hijos  y</w:t>
        <w:br/>
        <w:t>esposo estarían muertos. Volvió a la morgue y no los encontró.</w:t>
        <w:br/>
        <w:br/>
        <w:t>El Estado no proporcionó una  lista  oficial  con  el  nombre  de  las</w:t>
        <w:br/>
        <w:t>personas que murieron ni de los sobrevivientes y su estado.</w:t>
        <w:br/>
        <w:br/>
        <w:t>Sus hijos sobrevivieron a  los  hechos  y  fueron  trasladados  a  las</w:t>
        <w:br/>
        <w:t>cárceles de Ica y Puno.  Después de 12 años de indagar con  diferentes</w:t>
        <w:br/>
        <w:t>personas sobre lo  ocurrido,  se  enteró  que  su  esposo  murió  como</w:t>
        <w:br/>
        <w:t>consecuencia de  una  explosión  de  una  bomba  incendiaria  y  quedó</w:t>
        <w:br/>
        <w:t>carbonizado.</w:t>
        <w:br/>
        <w:br/>
        <w:t>Padece trastornos psicológicos y nerviosos y sufre otras  enfermedades</w:t>
        <w:br/>
        <w:t>del sistema urinario.  Solicitó que se sancione a los  responsables  y</w:t>
        <w:br/>
        <w:t>que le entreguen el cadáver de su esposo para darle sepultura.</w:t>
        <w:br/>
        <w:br/>
        <w:br/>
        <w:t>c)    Propuesto por el Estado:</w:t>
        <w:br/>
        <w:br/>
        <w:t xml:space="preserve">     5. Omar Antonio Pimentel Calle, Juez  del  Segundo  Juzgado  Penal</w:t>
        <w:br/>
        <w:t xml:space="preserve">        Supraprovincial</w:t>
        <w:br/>
        <w:br/>
        <w:t>Se desempeña como Juez Supraprovincial, encargado de conocer casos  de</w:t>
        <w:br/>
        <w:t>terrorismo y de violación a derechos humanos. A  partir  de  julio  de</w:t>
        <w:br/>
        <w:t>2005 ha estado conociendo el caso en materia de  instrucción  por  los</w:t>
        <w:br/>
        <w:t>hechos sucedidos en el Penal Castro Castro entre el 6 y 9 de  mayo  de</w:t>
        <w:br/>
        <w:t>1992. Después de evaluar la denuncia que presentó la  Quinta  Fiscalía</w:t>
        <w:br/>
        <w:t>Supraprovincial,  el  testigo  procedió  a  dictar  la   apertura   de</w:t>
        <w:br/>
        <w:t>instrucción. La investigación judicial es exclusivamente por homicidio</w:t>
        <w:br/>
        <w:t>calificado, basado en los artículos 106 y  108  inciso  4  del  Código</w:t>
        <w:br/>
        <w:t>Penal del Perú, y los agraviados serán los familiares de las  víctimas</w:t>
        <w:br/>
        <w:t>de dichos homicidios.</w:t>
        <w:br/>
        <w:br/>
        <w:t>Respecto a los sobrevivientes y heridos el referido  Juzgado  no  está</w:t>
        <w:br/>
        <w:t>conociendo de sus casos, ya que en el Perú el monopolio de  la  acción</w:t>
        <w:br/>
        <w:t>penal está a cargo  del  Ministerio  Público.  Corresponde  al  fiscal</w:t>
        <w:br/>
        <w:t>denunciar ante el juez, y este último no puede motu propio iniciar tal</w:t>
        <w:br/>
        <w:t>acción. Es posible que estando en la etapa de juzgamiento de  un  caso</w:t>
        <w:br/>
        <w:t>se encuentre que falta completar alguna información,  supuesto  en  el</w:t>
        <w:br/>
        <w:t>cual se remitirá otra vez al Fiscal para que “la complete”. En el caso</w:t>
        <w:br/>
        <w:t>del  Penal  Castro  Castro  “se  ha   corrido   traslado   al   fiscal</w:t>
        <w:br/>
        <w:t>[competente]” para que emita opinión sobre dos aspectos: el primero es</w:t>
        <w:br/>
        <w:t>que se dice en los  autos  y  en  la  investigación  que  hubo  muchos</w:t>
        <w:br/>
        <w:t>heridos, como también otros actos que han vulnerado diferentes  bienes</w:t>
        <w:br/>
        <w:t>jurídicos que no solo condujeron a muertes; y el  segundo  es  que  la</w:t>
        <w:br/>
        <w:t>parte civil solicitó la  comparencia  al  proceso  del  ex  Presidente</w:t>
        <w:br/>
        <w:t>Fujimori.</w:t>
        <w:br/>
        <w:br/>
        <w:t>El pronunciamiento sobre la responsabilidad del ex Presidente  Alberto</w:t>
        <w:br/>
        <w:t>Fujimori correspondía a la Fiscalía de la Nación por la inmunidad  que</w:t>
        <w:br/>
        <w:t>tenía en su calidad de Presidente.  Estando el caso en dicha  Fiscalía</w:t>
        <w:br/>
        <w:t>terminó el plazo de inmunidad  del  señor  Fujimori,  por  lo  que  la</w:t>
        <w:br/>
        <w:t>Fiscalía  de  la  Nación  remitió  las  actuaciones  a   la   Fiscalía</w:t>
        <w:br/>
        <w:t>Supraprovincial, en la cual está pendiente dicho pronunciamiento.</w:t>
        <w:br/>
        <w:br/>
        <w:t>El proceso  está  en  etapa  de  instrucción  “con  el  95%  de  [las]</w:t>
        <w:br/>
        <w:t>diligencias solicitadas por la Fiscalía” culminadas, entre las  cuales</w:t>
        <w:br/>
        <w:t>se encuentran las declaraciones de 12 procesados y  106  declaraciones</w:t>
        <w:br/>
        <w:t>testimoniales entre efectivos policiales e internos, entre las  cuales</w:t>
        <w:br/>
        <w:t>están las declaraciones testimoniales de  Vladimiro  Montesinos  y  de</w:t>
        <w:br/>
        <w:t>integrantes  del  Grupo  Colina.  Se  han  hecho  15  diligencias   de</w:t>
        <w:br/>
        <w:t>confrontación entre inculpados, y entre éstos y testigos, destinadas a</w:t>
        <w:br/>
        <w:t>esclarecer algunos puntos de la investigación. Se llevaron a cabo  dos</w:t>
        <w:br/>
        <w:t>diligencias de declaración preventiva de familiares, quienes  son  los</w:t>
        <w:br/>
        <w:t>únicos que se han constituido en  parte  civil.  Se  están  realizando</w:t>
        <w:br/>
        <w:t>indagaciones para conocer los nombres y direcciones de los  familiares</w:t>
        <w:br/>
        <w:t>de las víctimas fatales. En el proceso se han tomado en  consideración</w:t>
        <w:br/>
        <w:t>las investigaciones y declaraciones que se  llevaron  a  cabo  por  la</w:t>
        <w:br/>
        <w:t>Comisión de la Verdad,  pero  muchas  de  ellas  han  tenido  que  ser</w:t>
        <w:br/>
        <w:t>“precisadas  por  el  Ministerio  Público  para  que  tenga[n]   mayor</w:t>
        <w:br/>
        <w:t>validez”.</w:t>
        <w:br/>
        <w:br/>
        <w:t>Se han realizado diligencias de ratificación pericial por parte  de  8</w:t>
        <w:br/>
        <w:t>médicos legistas que suscribieron los protocolos de necropsia  de  los</w:t>
        <w:br/>
        <w:t>internos  occisos  y  por  parte  de  8  peritos  en   balística   que</w:t>
        <w:br/>
        <w:t>suscribieron  los   dictámenes   periciales   de   balística   forense</w:t>
        <w:br/>
        <w:t>practicados  en  los  internos  occisos.  En  estas   diligencias   de</w:t>
        <w:br/>
        <w:t>ratificación  pericial  se  les  formularon  preguntas  tendientes   a</w:t>
        <w:br/>
        <w:t>esclarecer el contenido de los referidos protocolos y dictámenes  “que</w:t>
        <w:br/>
        <w:t>ya  existían  pero  […]  incompletos”,  con  el  fin   determinar:  la</w:t>
        <w:br/>
        <w:t>ubicación externa de  las  lesiones;  la  posible  causa  y  forma  de</w:t>
        <w:br/>
        <w:t>producción; la trayectoria y distancia de los proyectiles de armas  de</w:t>
        <w:br/>
        <w:t>fuego; la trayectoria y orificios de entrada y salida en  los  cuerpos</w:t>
        <w:br/>
        <w:t>de los occisos; y la causa directa de muerte.</w:t>
        <w:br/>
        <w:br/>
        <w:t>En la etapa de instrucción no se  han  llevado  a  cabo  exhumaciones,</w:t>
        <w:br/>
        <w:t>puesto que se realizaron con anterioridad y las víctimas fatales que a</w:t>
        <w:br/>
        <w:t>nivel de la investigación se han identificado, han sido  entregadas  a</w:t>
        <w:br/>
        <w:t>sus familiares. No consta en autos que se encuentre pendiente  ninguna</w:t>
        <w:br/>
        <w:t>exhumación. El 21 de abril de 2006 se llevó a cabo una  diligencia  de</w:t>
        <w:br/>
        <w:t>inspección judicial en el Penal Castro Castro,  en  presencia  de  los</w:t>
        <w:br/>
        <w:t>procesados, de internos como testigos y  de  los  médicos  y  peritos,</w:t>
        <w:br/>
        <w:t>“quienes emitirán un informe integral y un informe técnico balístico”.</w:t>
        <w:br/>
        <w:t>También se está tratando de ubicar las armas que fueron incautadas  en</w:t>
        <w:br/>
        <w:t>el “Operativo Mudanza 1”, y los proyectiles  de  armas  de  fuego  que</w:t>
        <w:br/>
        <w:t>fueron extraídos de los occisos,  así  como  los  encontrados  en  los</w:t>
        <w:br/>
        <w:t>pabellones 1A y 4B, en la “rotonda” y en “tierra de nadie”. También se</w:t>
        <w:br/>
        <w:t>está recabando  información  sobre  “armamento  afectado  al  personal</w:t>
        <w:br/>
        <w:t>estatal interviniente”, así como se han cursado oficios  para  recabar</w:t>
        <w:br/>
        <w:t>información sobre el nombre de personal y  de  los  maestros  harneros</w:t>
        <w:br/>
        <w:t>(encargados de la distribución del armamento) asignados a las diversas</w:t>
        <w:br/>
        <w:t>unidades policiales que participaron en el “operativo”.</w:t>
        <w:br/>
        <w:br/>
        <w:t>Hay 13 personas procesadas, entre quienes se encuentran el ex director</w:t>
        <w:br/>
        <w:t>del penal (Gabino Marcelo Cajahuanca Parra), el ex jefe de la  Policía</w:t>
        <w:br/>
        <w:t>Nacional (Adolfo Cuba y Escobedo) y el ex Ministro del Interior  (Juan</w:t>
        <w:br/>
        <w:t>Briones Dávila).  Los otros procesados son Teofilo  Wilfredo  Vásquez,</w:t>
        <w:br/>
        <w:t>Alfredo Vivanco Pinto, Jorge Luis Lamela, Jesús Artemio  Konja,  Jesús</w:t>
        <w:br/>
        <w:t>Manuel  Pajuelo  Garcia,  Felix  Lizarraga,  Estuardo  Mestanza,  José</w:t>
        <w:br/>
        <w:t>Johnson, Adolfo Javier Cuelles Cobero y Miguel  Barriga.  Sólo  se  ha</w:t>
        <w:br/>
        <w:t>librado mandato de detención respecto de un  imputado  que  no  se  ha</w:t>
        <w:br/>
        <w:t>presentado a rendir declaración instructiva. No  hay  ningún  imputado</w:t>
        <w:br/>
        <w:t>privado de libertad. De acuerdo a la normativa peruana, al  dictar  el</w:t>
        <w:br/>
        <w:t>auto de apertura de instrucción el juez puede disponer la detención  o</w:t>
        <w:br/>
        <w:t>mandatos de comparecencia  con  restricciones.  En  este  proceso  los</w:t>
        <w:br/>
        <w:t>mandatos de comparencia con restricciones han dado resultado  positivo</w:t>
        <w:br/>
        <w:t>ya que, con excepción de un imputado, todos los demás han comparecido.</w:t>
        <w:br/>
        <w:t>El hecho de que el delito  que  se  imputa  sea  grave  no  es  merito</w:t>
        <w:br/>
        <w:t>suficiente para dictar mandato de detención.</w:t>
        <w:br/>
        <w:br/>
        <w:t>El proceso ha sido declarado complejo porque se  tenían  que  realizar</w:t>
        <w:br/>
        <w:t>ratificaciones  de  protocolos  de  necropsia  que  estaban  un  “poco</w:t>
        <w:br/>
        <w:t>incompletos”, y recabar testimoniales de personas  que  tienen  varios</w:t>
        <w:br/>
        <w:t>procesos  en  su  contra,  lo  que  ocasiona  que  se  “cru[cen]   las</w:t>
        <w:br/>
        <w:t>diligencias”. Cuando se  declara  complejo  un  proceso  el  plazo  de</w:t>
        <w:br/>
        <w:t>investigación, que habitualmente es de 4 meses, se extiende a 8 meses,</w:t>
        <w:br/>
        <w:t>de conformidad con el artículo 202 del Código de Procedimiento Penal.</w:t>
        <w:br/>
        <w:br/>
        <w:t>El período de investigación vence aproximadamente el 25  de  julio  de</w:t>
        <w:br/>
        <w:t>2006, entonces pasará a la Fiscalía Supraprovincial  para que emita su</w:t>
        <w:br/>
        <w:t>dictamen, y luego a la Sala Penal Nacional donde se realizará la etapa</w:t>
        <w:br/>
        <w:t>de juzgamiento. En el período que resta de investigación se recibirán,</w:t>
        <w:br/>
        <w:t>“dentro de lo humanamente posible”, declaraciones de familiares de las</w:t>
        <w:br/>
        <w:t>víctimas.</w:t>
        <w:br/>
        <w:br/>
        <w:br/>
        <w:br/>
        <w:t xml:space="preserve">                                  Peritajes</w:t>
        <w:br/>
        <w:br/>
        <w:br/>
        <w:t>Propuestos por la interviniente común:</w:t>
        <w:br/>
        <w:br/>
        <w:br/>
        <w:t xml:space="preserve">      1.    Nizam Peerwani, experto forense</w:t>
        <w:br/>
        <w:br/>
        <w:t>Se refirió a  la  extensión  y  la  forma  en  qué  son  llevadas  las</w:t>
        <w:br/>
        <w:t>investigaciones forenses.  Estas  investigaciones  deben  incluir  una</w:t>
        <w:br/>
        <w:t>serie completa de exámenes  de  rayos  X  del  cuerpo  de  la  persona</w:t>
        <w:br/>
        <w:t>fallecida. Los rayos X  son  muy  importantes  porque  documentan  las</w:t>
        <w:br/>
        <w:t>heridas, lo que permite hacer una predicción sobre el tipo de armas de</w:t>
        <w:br/>
        <w:t>fuego utilizadas, y la presencia de materia externa en el cuerpo, como</w:t>
        <w:br/>
        <w:t>balas, fragmentos de granadas o metrallas. También es importante tomar</w:t>
        <w:br/>
        <w:t>fotografías que documenten la identidad y las heridas de  la  persona,</w:t>
        <w:br/>
        <w:t>de tal manera que otro experto forense pueda realizar  una  evaluación</w:t>
        <w:br/>
        <w:t>independiente.  Asimismo,  el   examen   forense   debe   incluir   la</w:t>
        <w:br/>
        <w:t>recolección, preservación y el análisis de  muestras  de  sangre  para</w:t>
        <w:br/>
        <w:t>estudios de toxicología. Las  pruebas  toxicológicas  pueden  detectar</w:t>
        <w:br/>
        <w:t>sustancias y químicos en el cuerpo, como abuso de drogas, e inhalación</w:t>
        <w:br/>
        <w:t>de humo o de gas lacrimógeno.  Por  ejemplo,  un  examen  toxicológico</w:t>
        <w:br/>
        <w:t>puede detectar si  el fósforo blanco fue usado como un incendiario  al</w:t>
        <w:br/>
        <w:t>momento de  producirse  las  heridas.  Sin  toxicología  no  se  puede</w:t>
        <w:br/>
        <w:t>realizar una verificación independiente  sobre  el  tipo  de  armas  o</w:t>
        <w:br/>
        <w:t>agentes que  fueron  usados  durante  el  asalto  o  ataque.  Para  la</w:t>
        <w:br/>
        <w:t>investigación  forense  también  se  debe  recolectar  evidencia  como</w:t>
        <w:br/>
        <w:t>casquillos de balas o fragmentos de metal, dejados después del ataque,</w:t>
        <w:br/>
        <w:t>para proveer información clave sobre el ataque y las  heridas  de  las</w:t>
        <w:br/>
        <w:t>personas. La evidencia recolectada debe incluir huellas digitales y la</w:t>
        <w:br/>
        <w:t>ropa de los fallecidos. La ropa es la evidencia más importante, porque</w:t>
        <w:br/>
        <w:t>es la que impide que la pólvora y el humo entren en  contacto  con  el</w:t>
        <w:br/>
        <w:t>cuerpo. La evaluación forense de un cuerpo sin acceso a  su  ropa,  es</w:t>
        <w:br/>
        <w:t>una evaluación insuficiente. En  el  presente  caso  varios  de  estos</w:t>
        <w:br/>
        <w:t>análisis forenses ya no se pueden realizar debido al paso del  tiempo:</w:t>
        <w:br/>
        <w:t>tales como el análisis de ropa de los internos y la toma  de  muestras</w:t>
        <w:br/>
        <w:t>de aire y de gases del penal al momento del ataque.</w:t>
        <w:br/>
        <w:br/>
        <w:t>Respecto a la controversia sobre si el “Operativo Mudanza  1”  fue  un</w:t>
        <w:br/>
        <w:t>ataque o si se trató de una operación para controlar un  motín  en  la</w:t>
        <w:br/>
        <w:t>prisión, el perito realizó una evaluación  que  incluyó:  el  tipo  de</w:t>
        <w:br/>
        <w:t>armas  utilizadas,  la  gravedad  de  las  heridas  infligidas  a  los</w:t>
        <w:br/>
        <w:t>prisioneros, el número de prisioneros asesinados, el número de heridos</w:t>
        <w:br/>
        <w:t>graves y el número de policías y  miembros  del  ejército  que  fueron</w:t>
        <w:br/>
        <w:t>heridos o que murieron.  Con base en estas circunstancias concluyó que</w:t>
        <w:br/>
        <w:t>el evento fue un ataque, y no un operativo para controlar un motín  en</w:t>
        <w:br/>
        <w:t>la cárcel. Para llegar a dicha  conclusión  se  basó  en  el  tipo  de</w:t>
        <w:br/>
        <w:t>heridas sufridas. Varios de los prisioneros sufrieron heridas extrañas</w:t>
        <w:br/>
        <w:t>como rozaduras por armas  de  fuego,  heridas  en  los  pies,  en  las</w:t>
        <w:br/>
        <w:t>piernas, en las extremidades, y en otros ángulos no comunes. Con  base</w:t>
        <w:br/>
        <w:t>en  estas  heridas  se  confirma  el  hecho  de  que  los  prisioneros</w:t>
        <w:br/>
        <w:t>esquivaron descargas de armas  de  fuego  dirigidas  hacia  ellos.  La</w:t>
        <w:br/>
        <w:t>evidencia forense también sugiere que algunos prisioneros  murieron  a</w:t>
        <w:br/>
        <w:t>causa  de  explosiones  y  quemaduras.   Asimismo,   los   prisioneros</w:t>
        <w:br/>
        <w:t>presentaban heridas en la espalda y en las extremidades,  consistentes</w:t>
        <w:br/>
        <w:t>con disparos realizados al azar y de manera imprudente.</w:t>
        <w:br/>
        <w:br/>
        <w:t>También se refirió al tipo de armas usadas en la prisión. La evidencia</w:t>
        <w:br/>
        <w:t>más importante disponible demuestra el uso de armas  de  ataque  y  de</w:t>
        <w:br/>
        <w:t>gran velocidad en contra  de  los  internos.  Particularmente,  existe</w:t>
        <w:br/>
        <w:t>evidencia que sugiere y sustenta que rondas de 7.62 milímetros  fueron</w:t>
        <w:br/>
        <w:t>disparadas en contra de los prisioneros. Las armas de  gran  velocidad</w:t>
        <w:br/>
        <w:t>producen una cantidad muy grande de destrucción en los tejidos,  y  un</w:t>
        <w:br/>
        <w:t>gran número de heridas internas en el cuerpo. Además, estas  balas  de</w:t>
        <w:br/>
        <w:t>alta velocidad, con  velocidades  excedentes  a  700-1000  metros  por</w:t>
        <w:br/>
        <w:t>segundo, llevan consigo una gran cantidad de energía cinética, la cual</w:t>
        <w:br/>
        <w:t>tiende a rebotar en su objetivo, causando aún más daño.  Esas armas de</w:t>
        <w:br/>
        <w:t>ataque de gran velocidad son usualmente usadas en la guerra, y  no  en</w:t>
        <w:br/>
        <w:t>ambientes cerrados como las cárceles.</w:t>
        <w:br/>
        <w:br/>
        <w:br/>
        <w:t xml:space="preserve">   2.  Thomas  Wenzel,   experto   en   desórdenes   psicológicos   en</w:t>
        <w:br/>
        <w:t xml:space="preserve">   sobrevivientes de tortura y en trastorno por estrés postraumático</w:t>
        <w:br/>
        <w:br/>
        <w:br/>
        <w:t>Se refirió a  cuatro  factores  importantes  que  pueden  predecir  el</w:t>
        <w:br/>
        <w:t>desarrollo de secuelas a largo plazo en las víctimas: la exposición  a</w:t>
        <w:br/>
        <w:t>violencia física extrema con la cual se vio amenazada  la  vida  y  la</w:t>
        <w:br/>
        <w:t>integridad de las personas teniendo a la vista las  lesiones  severas;</w:t>
        <w:br/>
        <w:t>la exposición a períodos largos de  traumas  físicos  que  desarrollan</w:t>
        <w:br/>
        <w:t>consecuencias severas de trauma; la pérdida completa de  reglas  y  de</w:t>
        <w:br/>
        <w:t>trato social que tiene  un  impacto  muy  severo  sobre  los  sistemas</w:t>
        <w:br/>
        <w:t>psicológicos y biológicos del cuerpo; y la pérdida de  la  dignidad  y</w:t>
        <w:br/>
        <w:t>transferencia de culpabilidad en las víctimas.</w:t>
        <w:br/>
        <w:br/>
        <w:t>Los factores previos y posteriores a lo sucedido en  el  Penal  Castro</w:t>
        <w:br/>
        <w:t>Castro pueden tener influencia sobre las secuelas a largo plazo,  como</w:t>
        <w:br/>
        <w:t>por  ejemplo  la  falta  de  acceso  a  tratamiento,  y  la  violencia</w:t>
        <w:br/>
        <w:t>traumática tal como la tortura antes y después del evento principal en</w:t>
        <w:br/>
        <w:t>la prisión.</w:t>
        <w:br/>
        <w:br/>
        <w:t>La situación de que las  mujeres  fueran  mantenidas  desnudas  en  el</w:t>
        <w:br/>
        <w:t>hospital puede ser una técnica de tortura psicolóca.</w:t>
        <w:br/>
        <w:br/>
        <w:t>Los síntomas de una persona con trastorno por estrés postraumático por</w:t>
        <w:br/>
        <w:t>haber sido torturada son:  la inhabilidad de funcionar dentro  de  una</w:t>
        <w:br/>
        <w:t>familia, así como  de  concentrarse  y  de  dormir  adecuadamente;  la</w:t>
        <w:br/>
        <w:t>destrucción completa de las funciones biológicas  del  cerebro  y  del</w:t>
        <w:br/>
        <w:t>cuerpo;  la  destrucción  de  los  patrones  de   sueño,   presentando</w:t>
        <w:br/>
        <w:t>pesadillas; y problemas en el  trabajo.  Para  una  persona  torturada</w:t>
        <w:br/>
        <w:t>estas secuelas podrían convertirse en algo de por vida si no se da  el</w:t>
        <w:br/>
        <w:t>tratamiento adecuado.  El impacto severo sobre  la  familia  se  puede</w:t>
        <w:br/>
        <w:t>convertir en una segunda traumatización.  Además, los  niños  que  son</w:t>
        <w:br/>
        <w:t>expuestos al trauma severo de sus padres sufren consecuencias a  largo</w:t>
        <w:br/>
        <w:t>plazo.</w:t>
        <w:br/>
        <w:br/>
        <w:t>En cuanto a la rehabilitación, se  tienen  que  tomar  en  cuenta  las</w:t>
        <w:br/>
        <w:t>implicaciones sociales, especialmente el estigma y los sentimientos de</w:t>
        <w:br/>
        <w:t>humillación y culpabilidad.  El sufrimiento de  los  familiares  tiene</w:t>
        <w:br/>
        <w:t>que  ser  abordado  de  manera  adecuada  y  sostenible  a  través  de</w:t>
        <w:br/>
        <w:t>intervenciones en la comunidad y la sociedad. Si la  persona  ha  sido</w:t>
        <w:br/>
        <w:t>acusada erróneamente de algo y se le culpa por lo que ha sucedido va a</w:t>
        <w:br/>
        <w:t>ser imposible que pueda funcionar en su ambiente nuevamente.</w:t>
        <w:br/>
        <w:br/>
        <w:t>Se refirió a  los  diferentes  tipos  de  reparaciones  simbólicas,  y</w:t>
        <w:br/>
        <w:t>enfatizó que hay que tratar a cada víctima individualmente. Primero se</w:t>
        <w:br/>
        <w:t>debe realizar un diagnóstico a la  víctima  porque  podría  estar  muy</w:t>
        <w:br/>
        <w:t>traumatizada. Un experto debe realizar la evaluación individual, y  en</w:t>
        <w:br/>
        <w:t>muchos casos la evaluación tiene que ser multidisciplinaria. Por medio</w:t>
        <w:br/>
        <w:t>de la evaluación de debe conformar un plan de rehabilitación que pueda</w:t>
        <w:br/>
        <w:t>permitir que la persona retome  su  vida.  Se  debe  convencer  a  las</w:t>
        <w:br/>
        <w:t>víctimas para  que  busquen  tratamiento,  y  es  preciso  que  en  la</w:t>
        <w:br/>
        <w:t>comunidad haya accesibilidad de estos  tratamientos  y  estándares  de</w:t>
        <w:br/>
        <w:t>diagnóstico de manera  individual.  Hay  que  desarrollar  medidas  de</w:t>
        <w:br/>
        <w:t>orientación comunitaria y se tiene que atender a las familias, ya  que</w:t>
        <w:br/>
        <w:t>muchas han sido traumatizadas severamente y sufren  conjuntamente  con</w:t>
        <w:br/>
        <w:t>el sobreviviente. En algunas ocasiones el trauma es tan severo que  es</w:t>
        <w:br/>
        <w:t>casi imposible de tratar.</w:t>
        <w:br/>
        <w:br/>
        <w:t>Indicó que la tensión que vive la madre puede  ser  impactante  en  el</w:t>
        <w:br/>
        <w:t>desarrollo y vida del niño, especialmente si esta tensión se da en los</w:t>
        <w:br/>
        <w:t>últimos tres meses de la gestación.</w:t>
        <w:br/>
        <w:br/>
        <w:t>Los golpes en las plantas de los pies “crea[n]  un  dolor  muy  largo,</w:t>
        <w:br/>
        <w:t>permanente [y] muy difícil de tratar”,  y “afecta[n] todo  el  sistema</w:t>
        <w:br/>
        <w:t>nervioso [debido a que l]as  plantas  de  los  pies  tienen  una  alta</w:t>
        <w:br/>
        <w:t>densidad  de  sensores  nerviosos”.  El  trato  que  fue  dado  a  los</w:t>
        <w:br/>
        <w:t>prisioneros  “definitivamente  no  es  normal  para  contener  a   los</w:t>
        <w:br/>
        <w:t>prisioneros”. El retiro de estímulos como falta de luz, prohibición de</w:t>
        <w:br/>
        <w:t>ejercicio, música y lectura tiene “efectos psicológicos y biológicos”.</w:t>
        <w:br/>
        <w:t>La  falta  de  “luz  [por]  un  período  largo  de  tiempo  […]  causa</w:t>
        <w:br/>
        <w:t>depresión[,  …]  causa  un  daño  bastante  fuerte  sobre  el  sistema</w:t>
        <w:br/>
        <w:t>psicológico y las glándulas [del] cerebro, [así como  afectaciones]  a</w:t>
        <w:br/>
        <w:t>las estructuras hormonales en el cuerpo”.  Este  tipo  de  condiciones</w:t>
        <w:br/>
        <w:t>“pueden […] activar otros efectos psicológicos [o] afectar un  área[,]</w:t>
        <w:br/>
        <w:t>un punto vulnerable [de algún interno, y] entonces esto puede llevar a</w:t>
        <w:br/>
        <w:t>problemas a largo plazo incluyendo la psicosis crónica  entre  otros”.</w:t>
        <w:br/>
        <w:t>En este caso se configuró una tortura psicológica sistemática.</w:t>
        <w:br/>
        <w:br/>
        <w:br/>
        <w:t xml:space="preserve">                         C) Valoración de la Prueba</w:t>
        <w:br/>
        <w:br/>
        <w:br/>
        <w:br/>
        <w:t>Valoración de Prueba Documental</w:t>
        <w:br/>
        <w:br/>
        <w:br/>
        <w:t>188.  En este caso, como en otros[18], el  Tribunal  admite  el  valor</w:t>
        <w:br/>
        <w:t>probatorio de aquellos documentos presentados por  las  partes  en  su</w:t>
        <w:br/>
        <w:t>oportunidad procesal o como prueba para mejor resolver, que no  fueron</w:t>
        <w:br/>
        <w:t>controvertidos ni objetados, ni cuya autenticidad fue puesta en  duda.</w:t>
        <w:br/>
        <w:t>Asimismo, en aplicación del artículo 44.2  del  Reglamento,  incorpora</w:t>
        <w:br/>
        <w:t>las  pruebas  rendidas  ante  la  Comisión,  siempre  que  hayan  sido</w:t>
        <w:br/>
        <w:t>recibidas en procedimientos contradictorios. En particular,  incorpora</w:t>
        <w:br/>
        <w:t>las declaraciones rendidas bajo juramento por las señoras Mónica Feria</w:t>
        <w:br/>
        <w:t>Tinta y Avelina García Calderón Orozco durante  la  audiencia  pública</w:t>
        <w:br/>
        <w:t>sobre el fondo celebrada ante la Comisión el 14 de noviembre de  2001,</w:t>
        <w:br/>
        <w:t>tomando en cuenta que el Estado expresó que no tenía observaciones  al</w:t>
        <w:br/>
        <w:t>respecto (supra párr. 62).</w:t>
        <w:br/>
        <w:br/>
        <w:t>189.  En cuanto a las declaraciones escritas rendidas por los testigos</w:t>
        <w:br/>
        <w:t>Michael Stephen  Bronstein,  Edith  Tinta,  Rubeth  Feria  Tinta,  Luz</w:t>
        <w:br/>
        <w:t>Liliana Peralta Saldarriaga, Osilia Ernestina Cruzatt viuda de Juárez,</w:t>
        <w:br/>
        <w:t>Eva Sofía Challco Hurtado, Luis F. Jiménez, Raul Basilio Gil Orihuela,</w:t>
        <w:br/>
        <w:t>Jesús Ángel Julcarima Antonio, Nieves Miriam Rodríguez Peralta,  Cesar</w:t>
        <w:br/>
        <w:t>Mamani Valverde, Alfredo Poccorpachi Vallejos y  Madelein  Escolástica</w:t>
        <w:br/>
        <w:t>Valle Rivera, así como por  los  peritos  Christopher  Birkbeck,  José</w:t>
        <w:br/>
        <w:t>Quiroga y Ana Deutsch (supra párrs. 73, 77, 79, 80, 81,  82,  83,  84,</w:t>
        <w:br/>
        <w:t>86, 87 y 99) la Corte las estima pertinentes en cuanto se  ajusten  al</w:t>
        <w:br/>
        <w:t>objeto que fue definido por el Tribunal en la Resolución en que ordenó</w:t>
        <w:br/>
        <w:t>recibirlas (supra párr.  65),  tomando  en  cuenta  las  observaciones</w:t>
        <w:br/>
        <w:t>presentadas por la Comisión (supra párrs.  85,  94  y  97)  y  por  la</w:t>
        <w:br/>
        <w:t>interviniente (supra párr. 98).  El  Tribunal  ha  admitido  en  otras</w:t>
        <w:br/>
        <w:t>ocasiones declaraciones juradas que no fueron rendidas ante  fedatario</w:t>
        <w:br/>
        <w:t>público, cuando no se afecta la seguridad  jurídica  y  el  equilibrio</w:t>
        <w:br/>
        <w:t>procesal  entre  las  partes[19].   Asimismo,  la  Corte   acepta   el</w:t>
        <w:br/>
        <w:t>desistimiento realizado por la Comisión respecto de la presentación de</w:t>
        <w:br/>
        <w:t>la declaración escrita del señor Wilfredo Pedraza (supra párr. 85).</w:t>
        <w:br/>
        <w:br/>
        <w:br/>
        <w:t xml:space="preserve">      190.  En aplicación de lo dispuesto  en  el  artículo  45.2  del</w:t>
        <w:br/>
        <w:t>Reglamento, la Corte incorpora al  acervo  probatorio  los  documentos</w:t>
        <w:br/>
        <w:t>presentados por la Comisión, por la interviniente y por el otro  grupo</w:t>
        <w:br/>
        <w:t>de representantes que no es la interviniente común (supra  párrs.  47,</w:t>
        <w:br/>
        <w:t>48, 93, 101, 102, 104.  105,  120,  121,  122,  124,  125  y  128)  en</w:t>
        <w:br/>
        <w:t>respuesta a las solicitudes realizadas por el Presidente y la Corte.</w:t>
        <w:br/>
        <w:br/>
        <w:t>191.  La Corte agrega al acervo  probatorio,  de  conformidad  con  el</w:t>
        <w:br/>
        <w:t>artículo 45.1 del Reglamento y por  estimarlos  útiles  para  resolver</w:t>
        <w:br/>
        <w:t>este  caso,  la  documentación  presentada  por  la  interviniente  al</w:t>
        <w:br/>
        <w:t>finalizar la audiencia pública celebrada los días 26 y 27 de junio  de</w:t>
        <w:br/>
        <w:t>2006 (supra párr. 93), los presentados  como  anexos  a  los  alegatos</w:t>
        <w:br/>
        <w:t>finales escritos (supra párrs. 103,  105,  106,  120  y  121),  y  los</w:t>
        <w:br/>
        <w:t>remitidos por el otro grupo de representantes de presuntas víctimas  a</w:t>
        <w:br/>
        <w:t>través de la interviniente y de la Comisión (supra párrs.  53  y  103)</w:t>
        <w:br/>
        <w:t>tomando en cuenta las observaciones realizadas  por  la  interviniente</w:t>
        <w:br/>
        <w:t>(supra párr. 110) y por la Comisión (supra párr. 113).</w:t>
        <w:br/>
        <w:br/>
        <w:t>192.  De igual forma, en aplicación de lo  dispuesto  en  el  artículo</w:t>
        <w:br/>
        <w:t>44.3 del Reglamento, la  Corte  incorpora  al  acervo  probatorio  los</w:t>
        <w:br/>
        <w:t>documentos presentados por el Estado (supra párrs. 108 y 112), tomando</w:t>
        <w:br/>
        <w:t>en cuenta las observaciones presentadas por la interviniente y por  la</w:t>
        <w:br/>
        <w:t>Comisión (supra párrs. 110, 113, 115 y 116),  así  como  parte  de  la</w:t>
        <w:br/>
        <w:t>documentación presentada por la interviniente común (supra párrs.  111</w:t>
        <w:br/>
        <w:t>y 127), y los valora en el conjunto del acervo  probatorio,  aplicando</w:t>
        <w:br/>
        <w:t>las reglas de la sana crítica.</w:t>
        <w:br/>
        <w:br/>
        <w:t>193.  Asimismo, en aplicación de lo dispuesto en el artículo 45.1  del</w:t>
        <w:br/>
        <w:t>Reglamento, la Corte incorpora al acervo probatorio del presente  caso</w:t>
        <w:br/>
        <w:t>el Decreto Supremo No. 065-2001-PCM de 4 de julio de 2001, el  Decreto</w:t>
        <w:br/>
        <w:t>Ley Nº 25418 de 6 de abril de 1992 y la Resolución  Suprema  No.  438-</w:t>
        <w:br/>
        <w:t>2001-PCM de 6 de septiembre de 2001, ya que resultan  útiles  para  el</w:t>
        <w:br/>
        <w:t>presente caso.</w:t>
        <w:br/>
        <w:br/>
        <w:t>194.  La  Corte  hace  constar  que  las  declaraciones  testimoniales</w:t>
        <w:br/>
        <w:t>rendidas ante fedatario público (affidávits) de  los  señores  Gustavo</w:t>
        <w:br/>
        <w:t>Adolfo Chávez Hun, Mercedes Villaverde y Rosario Falconí Alvarado, las</w:t>
        <w:br/>
        <w:t>cuales fueron propuestas por la interviniente  y  requeridas  mediante</w:t>
        <w:br/>
        <w:t>Resolución de  24  de  mayo  de  2006  (supra  párr.  65),  no  fueron</w:t>
        <w:br/>
        <w:t>remitidas a la Corte sin otorgar ninguna explicación al respecto.</w:t>
        <w:br/>
        <w:br/>
        <w:t>195.  El Tribunal no  valorará  la  documentación  presentada  por  la</w:t>
        <w:br/>
        <w:t>Comisión el 20 de octubre de 2006 (supra párr. 117), ni  parte  de  la</w:t>
        <w:br/>
        <w:t>documentación presentada por la interviniente  común  los  días  4  de</w:t>
        <w:br/>
        <w:t>octubre, 14 y 20 de noviembre de 2006 (supra párrs. 111 y 127), ya que</w:t>
        <w:br/>
        <w:t>su remisión  extemporánea  no  obedece  a  ninguno  de  los  supuestos</w:t>
        <w:br/>
        <w:t>contemplados en el artículo 44 del Reglamento.</w:t>
        <w:br/>
        <w:br/>
        <w:t>Valoración Prueba Testimonial y Pericial</w:t>
        <w:br/>
        <w:br/>
        <w:t>196.  El Tribunal admite y otorga el valor probatorio  correspondiente</w:t>
        <w:br/>
        <w:t>a las declaraciones testimoniales de Gaby Balcázar Medina, Julia  Peña</w:t>
        <w:br/>
        <w:t>Castillo, Luis Angel Pérez Zapata, Lastenia Eugenia Caballero Mejía  y</w:t>
        <w:br/>
        <w:t>Omar Antonio Pimentel Calle, así como los dictámenes periciales de los</w:t>
        <w:br/>
        <w:t>señores Nizam Peerwani y Thomas Wenzel, los cuales no fueron objetadas</w:t>
        <w:br/>
        <w:t>ni  controvertidas.  Este  Tribunal  estima  que   las   declaraciones</w:t>
        <w:br/>
        <w:t>testimoniales de Gaby Balcázar Medina, Julia Peña Castillo, Luis Angel</w:t>
        <w:br/>
        <w:t>Pérez Zapata y Lastenia Eugenia Caballero Mejía que resultan útiles en</w:t>
        <w:br/>
        <w:t>el presente caso, no pueden ser valoradas aisladamente por tratarse de</w:t>
        <w:br/>
        <w:t>presuntas víctimas y por tener un interés directo en este  caso,  sino</w:t>
        <w:br/>
        <w:t>deben serlo dentro del conjunto de las pruebas del proceso[20].</w:t>
        <w:br/>
        <w:br/>
        <w:br/>
        <w:t xml:space="preserve">                                    VIII</w:t>
        <w:br/>
        <w:t xml:space="preserve">                               Hechos Probados</w:t>
        <w:br/>
        <w:br/>
        <w:t>197.  De conformidad con el reconocimiento parcial de  responsabilidad</w:t>
        <w:br/>
        <w:t>internacional efectuado por el Estado (supra párrs. 129 a 159),  según</w:t>
        <w:br/>
        <w:t>lo señalado en los párrafos 164 a 169 de la presente Sentencia,  y  de</w:t>
        <w:br/>
        <w:t>acuerdo con el acervo probatorio del presente caso, la Corte considera</w:t>
        <w:br/>
        <w:t>probados los siguientes hechos:</w:t>
        <w:br/>
        <w:br/>
        <w:t>Antecedentes y contexto jurídico</w:t>
        <w:br/>
        <w:br/>
        <w:t>197.1.           Durante el período que se extiende desde comienzos de</w:t>
        <w:br/>
        <w:t>la década de los ochenta hasta finales del año 2000, se  vivió  en  el</w:t>
        <w:br/>
        <w:t>Perú un conflicto entre  grupos  armados  y  agentes  de  las  fuerzas</w:t>
        <w:br/>
        <w:t>policial y militar. Se agudizó en medio de una práctica sistemática de</w:t>
        <w:br/>
        <w:t>violaciones  a  los  derechos   humanos,   entre   ellas   ejecuciones</w:t>
        <w:br/>
        <w:t>extrajudiciales y desapariciones forzadas de personas  sospechosas  de</w:t>
        <w:br/>
        <w:t>pertenecer a grupos armados al margen de la ley, como Sendero Luminoso</w:t>
        <w:br/>
        <w:t>(en adelante SL)  y  el  Movimiento  Revolucionario  Tupac  Amarú  (en</w:t>
        <w:br/>
        <w:t>adelante MRTA), prácticas realizadas por agentes  estatales  siguiendo</w:t>
        <w:br/>
        <w:t>órdenes de jefes militares y policiales[21].</w:t>
        <w:br/>
        <w:br/>
        <w:t>197.2.           El 28 de julio de  1990  el  señor  Alberto  Fujimori</w:t>
        <w:br/>
        <w:t>Fujimori asumió  la  Presidencia  del  Perú,  de  conformidad  con  la</w:t>
        <w:br/>
        <w:t>Constitución Política del Perú de 1979, por el término de cinco  años.</w:t>
        <w:br/>
        <w:t>El artículo 205  de  dicha  Constitución  no  permitía  la  reelección</w:t>
        <w:br/>
        <w:t>presidencial inmediata. El 6 de abril de 1992  el  Presidente  Alberto</w:t>
        <w:br/>
        <w:t>Fujimori Fujimori promulgó el  Decreto  Ley  N°  25418,  con  el  cual</w:t>
        <w:br/>
        <w:t>instituyó  transitoriamente  el  llamado  “Gobierno  de  Emergencia  y</w:t>
        <w:br/>
        <w:t>Reconstrucción Nacional”. Dicho Gobierno disolvió  el  Congreso  y  el</w:t>
        <w:br/>
        <w:t>Tribunal de Garantías Constitucionales, intervino el Poder Judicial  y</w:t>
        <w:br/>
        <w:t>el Ministerio Público[22] y destituyó a numerosos jueces de  la  Corte</w:t>
        <w:br/>
        <w:t>Suprema de Justicia[23].</w:t>
        <w:br/>
        <w:br/>
        <w:t>La Comisión de la Verdad y Reconciliación</w:t>
        <w:br/>
        <w:br/>
        <w:t>197.3.      En relación con los sucesos ocurridos en las  dos  décadas</w:t>
        <w:br/>
        <w:t>de violencia, el Estado, mediante el Decreto Supremo No.  065-2001-PCM</w:t>
        <w:br/>
        <w:t>de 4 de julio de 2001, modificado por el Decreto Supremo No. 101-2001-</w:t>
        <w:br/>
        <w:t>PCM, emitidos ambos por  el  Presidente  de  la  República,  creó  una</w:t>
        <w:br/>
        <w:t>Comisión de la Verdad  y  Reconciliación  (en  adelante  CVR)  con  la</w:t>
        <w:br/>
        <w:t>finalidad de esclarecer el proceso, los hechos y responsabilidades  de</w:t>
        <w:br/>
        <w:t>la violencia terrorista y de la  violación  de  los  derechos  humanos</w:t>
        <w:br/>
        <w:t>producidos desde mayo de 1980  hasta  noviembre  de  2000,  imputables</w:t>
        <w:br/>
        <w:t>tanto a las organizaciones terroristas como a los agentes del  Estado,</w:t>
        <w:br/>
        <w:t>así como proponer  iniciativas  destinadas  a  afirmar  la  paz  y  la</w:t>
        <w:br/>
        <w:t>concordia entre los peruanos[24]. Dicha  Comisión  emitió  su  Informe</w:t>
        <w:br/>
        <w:t>Final el 27 de agosto de 2003[25].</w:t>
        <w:br/>
        <w:br/>
        <w:t>197.4.           La Comisión de  la  Verdad  y  Reconciliación  estuvo</w:t>
        <w:br/>
        <w:t>conformada por doce personas de  nacionalidad peruana, “de  reconocida</w:t>
        <w:br/>
        <w:t>trayectoria  ética,  prestigio  y  legitimidad  en  la   sociedad    e</w:t>
        <w:br/>
        <w:t>identificadas con la defensa de la democracia y  la  institucionalidad</w:t>
        <w:br/>
        <w:t>constitucional”, un observador y un secretario adjunto, designados por</w:t>
        <w:br/>
        <w:t>el Presidente de la República, con el voto aprobatorio del Consejo  de</w:t>
        <w:br/>
        <w:t>Ministros,  mediante  Resolución  Suprema  438-2001-PCM   del   6   de</w:t>
        <w:br/>
        <w:t>septiembre de 2001, refrendada  por  el  presidente   del  Consejo  de</w:t>
        <w:br/>
        <w:t>Ministros[26].</w:t>
        <w:br/>
        <w:br/>
        <w:t>197.5.      La CVR recibió miles de denuncias sobre actos de tortura y</w:t>
        <w:br/>
        <w:t>tratos o penas crueles, inhumanos o degradantes producidos durante  el</w:t>
        <w:br/>
        <w:t>período comprendido entre 1980 y 2000. En su informe final afirma  que</w:t>
        <w:br/>
        <w:t>de 6.443 actos de tortura  y  tratos  o  penas  crueles,  inhumanos  o</w:t>
        <w:br/>
        <w:t>degradantes registrados por dicho órgano,  el  74.90%  correspondió  a</w:t>
        <w:br/>
        <w:t>acciones atribuidas a funcionarios del Estado o personas que  actuaron</w:t>
        <w:br/>
        <w:t>bajo su autorización o aquiescencia,  y  el  22.51%  correspondió   al</w:t>
        <w:br/>
        <w:t>grupo subversivo PCP- Sendero Luminoso.  Asimismo la CVR en su informe</w:t>
        <w:br/>
        <w:t>final expresó que “la desaparición forzada de personas fu[e …] uno  de</w:t>
        <w:br/>
        <w:t>los principales mecanismos de lucha contrasubversiva empleados por los</w:t>
        <w:br/>
        <w:t>agentes del Estado, adquiriendo las características  de  una  práctica</w:t>
        <w:br/>
        <w:t>sistemática o generalizada”. “Del total de víctimas  reportadas  a  la</w:t>
        <w:br/>
        <w:t>CVR  como  ejecutadas  o  cuyo  paradero  continúa   desconocido   por</w:t>
        <w:br/>
        <w:t>responsabilidad de agentes del Estado, el 61% habrían sido víctimas de</w:t>
        <w:br/>
        <w:t>desaparición forzada”[27].</w:t>
        <w:br/>
        <w:br/>
        <w:t>197.6.           La CVR en  su  informe  final,  dentro  del  capítulo</w:t>
        <w:br/>
        <w:t>denominado “Los casos investigados por la CVR”, dedicó un  apartado  a</w:t>
        <w:br/>
        <w:t>los hechos sucedidos en el Penal Miguel Castro  Castro  titulado  “Las</w:t>
        <w:br/>
        <w:t>ejecuciones extrajudiciales en el penal Canto Grande”[28].</w:t>
        <w:br/>
        <w:br/>
        <w:t>197.7.      El 20 de julio de 2005 se expidió en el  Perú  la  Ley  N°</w:t>
        <w:br/>
        <w:t>28592 que crea el Plan Nacional Integral de Reparaciones (en  adelante</w:t>
        <w:br/>
        <w:t>PIR), con el  objeto  de  “establecer  el  Marco  Normativo  del  Plan</w:t>
        <w:br/>
        <w:t>Integral de Reparaciones  -PIR  para  las  víctimas  de  la  violencia</w:t>
        <w:br/>
        <w:t>ocurrida durante el período de mayo  de  1980  a  noviembre  de  2000,</w:t>
        <w:br/>
        <w:t>conforme a las  conclusiones  y  recomendaciones  del  Informe  de  la</w:t>
        <w:br/>
        <w:t>Comisión de la Verdad y Reconciliación”. El 6  de  julio  de  2006  se</w:t>
        <w:br/>
        <w:t>aprobó el Reglamento de la referida Ley N° 28592[29].</w:t>
        <w:br/>
        <w:br/>
        <w:br/>
        <w:br/>
        <w:t>Los centros penales y el conflicto armado</w:t>
        <w:br/>
        <w:br/>
        <w:t>197.8.           En el informe final emitido por la CVR se  estableció</w:t>
        <w:br/>
        <w:t>que “durante los años de violencia política, [las  cárceles]  no  sólo</w:t>
        <w:br/>
        <w:t>fueron espacios de detención de procesados o condenados por delitos de</w:t>
        <w:br/>
        <w:t>terrorismo, sino escenarios en los que el Partido Comunista  del  Perú</w:t>
        <w:br/>
        <w:t>[PCP-Sendero   Luminoso]   y,   en   menor   medida,   el   Movimiento</w:t>
        <w:br/>
        <w:t>Revolucionario Túpac Amaru, extendieron el conflicto armado”[30].</w:t>
        <w:br/>
        <w:br/>
        <w:t>197.9.      A partir del golpe de estado de 5 de abril de 1992, y  con</w:t>
        <w:br/>
        <w:t>el fin de combatir a  grupos  subversivos  y  terroristas,  el  Estado</w:t>
        <w:br/>
        <w:t>implementó en las prisiones prácticas incompatibles  con  la  efectiva</w:t>
        <w:br/>
        <w:t>protección del  derecho  a  la  vida  y  otros  derechos,  tales  como</w:t>
        <w:br/>
        <w:t>ejecuciones extrajudiciales y tratos crueles e inhumanos, así como  el</w:t>
        <w:br/>
        <w:t>uso desproporcionado de la fuerza en circunstancias críticas[31].</w:t>
        <w:br/>
        <w:br/>
        <w:t>197.10.     El Estado improvisó un sistema único de  concentración  de</w:t>
        <w:br/>
        <w:t>reclusos,  sin  implementar  regímenes  adecuados  a  estos   internos</w:t>
        <w:br/>
        <w:t>acusados y sentenciados por delitos de  terrorismo  y  traición  a  la</w:t>
        <w:br/>
        <w:t>patria[32].</w:t>
        <w:br/>
        <w:br/>
        <w:t>197.11.     La  prensa  nacional  difundió  reportajes  y  editoriales</w:t>
        <w:br/>
        <w:t>advirtiendo que Sendero Luminoso ejercía  control  territorial  dentro</w:t>
        <w:br/>
        <w:t>del Penal Miguel Castro Castro, que desde  allí  planificaba  diversos</w:t>
        <w:br/>
        <w:t>atentados[33] y que había convertido sus  pabellones  “en  centros  de</w:t>
        <w:br/>
        <w:t>adoctrinamiento”[34].</w:t>
        <w:br/>
        <w:br/>
        <w:br/>
        <w:t>Penal Miguel Castro Castro</w:t>
        <w:br/>
        <w:br/>
        <w:t>197.12.     El penal de máxima seguridad Miguel Castro  Castro  es  un</w:t>
        <w:br/>
        <w:t>reclusorio para varones y está ubicado en San Juan de  Lurigancho,  al</w:t>
        <w:br/>
        <w:t>este de la ciudad de Lima, capital del Perú[35]. Está constituido  por</w:t>
        <w:br/>
        <w:t>12 pabellones de 4 pisos, identificados como 1-A y 1-B hasta 6-A y  6-</w:t>
        <w:br/>
        <w:t>B. Cada uno de estos pabellones cuenta con un patio independiente.  El</w:t>
        <w:br/>
        <w:t>acceso a los pabellones se efectúa a través de  un  patio  central  de</w:t>
        <w:br/>
        <w:t>forma octogonal,  conocido  como  "Rotonda".  A  la  entrada  de  cada</w:t>
        <w:br/>
        <w:t>pabellón  existe  un  espacio  enrejado  denominado  "Gallinero".   El</w:t>
        <w:br/>
        <w:t>conjunto de pabellones se encuentra rodeado  por  un  patio  de  arena</w:t>
        <w:br/>
        <w:t>conocido como "Tierra de nadie". La entrada  al  establecimiento  está</w:t>
        <w:br/>
        <w:t>constituida por un patio y oficinas  administrativas,  conocidos  como</w:t>
        <w:br/>
        <w:t>"Admisión"[36].</w:t>
        <w:br/>
        <w:br/>
        <w:t>197.13.     En la época en que ocurrieron los hechos, el  pabellón  1A</w:t>
        <w:br/>
        <w:t>del Penal Miguel Castro Castro estaba ocupado  por  alrededor  de  135</w:t>
        <w:br/>
        <w:t>internas mujeres y 50  varones,  y  el  pabellón  4B   lo  estaba  por</w:t>
        <w:br/>
        <w:t>aproximadamente  400  internos  varones[37].  Los  internos   de   los</w:t>
        <w:br/>
        <w:t>pabellones 1A y 4B se encontraban  acusados  o  sentenciados  por  los</w:t>
        <w:br/>
        <w:t>delitos de terrorismo o traición a la patria[38], y eran presuntamente</w:t>
        <w:br/>
        <w:t>miembros  del  Sendero  Luminoso[39].  Muchos  eran   procesados   sin</w:t>
        <w:br/>
        <w:t>sentencia condenatoria y en algunos casos se dispuso el sobreseimiento</w:t>
        <w:br/>
        <w:t>de las causas[40].</w:t>
        <w:br/>
        <w:br/>
        <w:t>197.14.     El 14 de abril de 1992 se realizó  una  inspección  en  el</w:t>
        <w:br/>
        <w:t>interior  del  pabellón  1A    del   penal   Miguel   Castro   Castro.</w:t>
        <w:br/>
        <w:t>Intervinieron en la citada inspección,  entre  otros,  directivos  del</w:t>
        <w:br/>
        <w:t>penal, las internas delegadas de dicho pabellón y  representantes  del</w:t>
        <w:br/>
        <w:t>Ministerio Público. En el acta de inspección se hizo constar que no se</w:t>
        <w:br/>
        <w:t>hallaron armas de fuego, explosivos ni excavación de túneles[41].</w:t>
        <w:br/>
        <w:br/>
        <w:t>“Operativo Mudanza 1”</w:t>
        <w:br/>
        <w:br/>
        <w:t>197.15.     El Decreto Ley No. 25421 de 6 de abril de 1992  ordenó  la</w:t>
        <w:br/>
        <w:t>reorganización del Instituto Nacional Penitenciario (INPE) y encargó a</w:t>
        <w:br/>
        <w:t>la Policía Nacional del  Perú  el  control  de  la  seguridad  en  los</w:t>
        <w:br/>
        <w:t>establecimientos penitenciarios. Fue en el marco de  esta  disposición</w:t>
        <w:br/>
        <w:t>que se planificó y ejecutó el “Operativo Mudanza  1”[42].  La  versión</w:t>
        <w:br/>
        <w:t>oficial fue que dicho “operativo” consistía  en  el  traslado  de  las</w:t>
        <w:br/>
        <w:t>mujeres que se hallaban recluidas en el pabellón 1A del  Penal  Miguel</w:t>
        <w:br/>
        <w:t>Castro  Castro,  a  la  cárcel  de  máxima  seguridad  de  mujeres  en</w:t>
        <w:br/>
        <w:t>Chorrillos[43]. Las autoridades estatales no informaron  del  referido</w:t>
        <w:br/>
        <w:t>traslado  ni  al  Director  del  penal,  ni  a  las  prisioneras,  sus</w:t>
        <w:br/>
        <w:t>familiares o abogados[44].</w:t>
        <w:br/>
        <w:br/>
        <w:t>197.16.     El objetivo  real  del  “operativo”  no  fue  el  referido</w:t>
        <w:br/>
        <w:t>traslado de las internas, sino que se trató de un ataque  premeditado,</w:t>
        <w:br/>
        <w:t>un operativo diseñado para atentar contra la vida y la  integridad  de</w:t>
        <w:br/>
        <w:t>los prisioneros que se encontraban en los pabellones 1A y 4B del Penal</w:t>
        <w:br/>
        <w:t>Miguel Castro Castro. Los actos de violencia fueron  dirigidos  contra</w:t>
        <w:br/>
        <w:t>dichos pabellones, ocupados en el momento de los hechos  por  internos</w:t>
        <w:br/>
        <w:t>acusados o sentenciados por delitos de  terrorismo  y  traición  a  la</w:t>
        <w:br/>
        <w:t>patria[45].</w:t>
        <w:br/>
        <w:br/>
        <w:t>197.17.     La sentencia de la Sala Nacional de  Terrorismo  de  3  de</w:t>
        <w:br/>
        <w:t>febrero de 2004 indicó que “existen  elementos  que  generan  sospecha</w:t>
        <w:br/>
        <w:t>razonable en el Colegiado  Juzgador,  respecto  que,  con  motivo  del</w:t>
        <w:br/>
        <w:t>operativo Mudanza Uno, se  habría  planificado  desde  las  más  altas</w:t>
        <w:br/>
        <w:t>esferas del gobierno […] la eliminación física  de  los  internos  por</w:t>
        <w:br/>
        <w:t>terrorismo que ocupaban los pabellones Uno A y cuatro B”. Durante  los</w:t>
        <w:br/>
        <w:t>días 7 al 12 de mayo de 1992 los recortes de prensa  referidos  a  los</w:t>
        <w:br/>
        <w:t>sucesos que estaban ocurriendo en el Penal  Castro  Castro,  relataban</w:t>
        <w:br/>
        <w:t>las visitas que hizo al interior del penal el  entonces  Ministro  del</w:t>
        <w:br/>
        <w:t>Interior, así como las reuniones  que  llevó  a  cabo  el  Consejo  de</w:t>
        <w:br/>
        <w:t>Ministros para evaluar la situación del penal, y la  visita  que  hizo</w:t>
        <w:br/>
        <w:t>Fujimori  el  día  10  de  mayo  de  1992,  al   interior   de   dicho</w:t>
        <w:br/>
        <w:t>establecimiento penitenciario[46].</w:t>
        <w:br/>
        <w:br/>
        <w:br/>
        <w:t>Desarrollo del “Operativo Mudanza 1”: hechos ocurridos entre el 6 y el</w:t>
        <w:br/>
        <w:t>9 de mayo de 1992 en el Penal Miguel Castro Castro</w:t>
        <w:br/>
        <w:br/>
        <w:t>197.18.     El “operativo” comenzó el miércoles 6 de mayo de 1992, día</w:t>
        <w:br/>
        <w:t>de visita femenina en el penal, razón por la cual se encontraba afuera</w:t>
        <w:br/>
        <w:t>del mismo un gran número de familiares, madres,  hermanas,  esposas  e</w:t>
        <w:br/>
        <w:t>hijos, quienes se percataron, desde el exterior, de  lo  que  ocurrió.</w:t>
        <w:br/>
        <w:t>Además, el domingo 10 de mayo de 1992  se  celebraba  el  día  de  las</w:t>
        <w:br/>
        <w:t>madres en el Perú[47].</w:t>
        <w:br/>
        <w:br/>
        <w:t>197.19.      Los  familiares  que  se  encontraban  afuera  del  penal</w:t>
        <w:br/>
        <w:t>trataron de que se les informara sobre lo que estaba sucediendo en  el</w:t>
        <w:br/>
        <w:t>interior del mismo, y cuál era el estado de salud de  sus  familiares.</w:t>
        <w:br/>
        <w:t>Sin  embargo,  no  obtuvieron  respuesta.   Algunos  de  ellos  fueron</w:t>
        <w:br/>
        <w:t>insultados y golpeados, les arrojaron agua y bombas lacrimógenas  para</w:t>
        <w:br/>
        <w:t>obligarlos a alejarse del penal; y si trataban de  escalar  un  cerro,</w:t>
        <w:br/>
        <w:t>para poder ver mejor lo que sucedía en el  interior  del  penal,  eran</w:t>
        <w:br/>
        <w:t>ahuyentados con disparos[48].</w:t>
        <w:br/>
        <w:br/>
        <w:t>197.20.     Aproximadamente a las 4:00 horas del miércoles 6  de  mayo</w:t>
        <w:br/>
        <w:t>de 1992, efectivos de las fuerzas de seguridad peruanas  iniciaron  el</w:t>
        <w:br/>
        <w:t>“operativo”. Al efecto, la Policía Nacional derribó parte de la  pared</w:t>
        <w:br/>
        <w:t>externa del patio del pabellón 1A utilizando explosivos. Se produjeron</w:t>
        <w:br/>
        <w:t>tres detonaciones sucesivas. Simultáneamente los efectivos  policiales</w:t>
        <w:br/>
        <w:t>tomaron el control de los techos del penal abriendo  boquetes  en  los</w:t>
        <w:br/>
        <w:t>mismos, desde los cuales realizaron disparos con armas de fuego[49].</w:t>
        <w:br/>
        <w:br/>
        <w:t>197.21.     Los agentes estatales, policía y ejército utilizaron armas</w:t>
        <w:br/>
        <w:t>de guerra, explosivos, bombas lacrimógenas, vomitivas  y  paralizantes</w:t>
        <w:br/>
        <w:t>en contra de los internos, desde el inicio de la  operación[50].   Las</w:t>
        <w:br/>
        <w:t>balas y granadas utilizadas se fragmentaban  al  impactar  contra  las</w:t>
        <w:br/>
        <w:t>paredes, hiriendo a muchos internos con esquirlas[51]. En los techos y</w:t>
        <w:br/>
        <w:t>ventanas   de   los   otros   pabellones   se   encontraban   ubicados</w:t>
        <w:br/>
        <w:t>francotiradores[52].   Durante   el   desarrollo    del    “operativo”</w:t>
        <w:br/>
        <w:t>participaron   personal   policial,   efectivos   de   las    unidades</w:t>
        <w:br/>
        <w:t>especializadas UDEX,  SUAT,  USE,  DINOES  y  efectivos  del  Ejército</w:t>
        <w:br/>
        <w:t>peruano[53].</w:t>
        <w:br/>
        <w:br/>
        <w:t>197.22.     Entre las 9:00 y las 9:30 horas del 6 de mayo  la  Policía</w:t>
        <w:br/>
        <w:t>Nacional introdujo granadas, bombas de gas de fósforo blanco  y  gases</w:t>
        <w:br/>
        <w:t>lacrimógenos en el pabellón 1A, lo que produjo en los internos cuadros</w:t>
        <w:br/>
        <w:t>de asfixia, sensación de ardor en el sistema respiratorio, en los ojos</w:t>
        <w:br/>
        <w:t>y en la piel. Si bien al principio los internos utilizaron pedazos  de</w:t>
        <w:br/>
        <w:t>tela empapados en vinagre para resistir los  gases  disparados  en  el</w:t>
        <w:br/>
        <w:t>espacio cerrado de los pabellones atacados, cuando el vinagre se agotó</w:t>
        <w:br/>
        <w:t>tuvieron que usar su propia orina para este propósito[54].</w:t>
        <w:br/>
        <w:br/>
        <w:t>197.23.     A las 10:00 horas los reclusos del pabellón  4B  iniciaron</w:t>
        <w:br/>
        <w:t>una protesta por el ataque a  sus  compañeras;  la  policía  reaccionó</w:t>
        <w:br/>
        <w:t>disparándoles[55].</w:t>
        <w:br/>
        <w:br/>
        <w:t>197.24.     Existía comunicación subterránea entre los pabellones 4B y</w:t>
        <w:br/>
        <w:t>1A, a través de dúctos o túneles mediante los cuales los  internos  se</w:t>
        <w:br/>
        <w:t>trasladaron del pabellón 4B al 1A y viceversa. A la salida  de  dichos</w:t>
        <w:br/>
        <w:t>túneles se enfrentaron  con  grupos  de  policías,  resultando  varios</w:t>
        <w:br/>
        <w:t>muertos y heridos[56]. Para poder trasladarse hacia el pabellón  4B  y</w:t>
        <w:br/>
        <w:t>evitar ser alcanzadas  por  las  balas  de  los  francotiradores,  las</w:t>
        <w:br/>
        <w:t>internas tuvieron que arrastrarse pegadas al piso, y pasar por  encima</w:t>
        <w:br/>
        <w:t>de  cuerpos de otros internos recién fallecidos[57].</w:t>
        <w:br/>
        <w:br/>
        <w:t>197.25.     Según artículos periodísticos publicados el 7 de  mayo  de</w:t>
        <w:br/>
        <w:t>1992, aproximadamente a las 13:00 horas el Ministro del Interior y  el</w:t>
        <w:br/>
        <w:t>Director General de la Policía Nacional se apersonaron en el  penal  y</w:t>
        <w:br/>
        <w:t>supervisaron las acciones[58].</w:t>
        <w:br/>
        <w:br/>
        <w:t>197.26.     Por la tarde  del  6  de  mayo  de  1992  los  agentes  de</w:t>
        <w:br/>
        <w:t>seguridad ingresaron al cuarto piso del pabellón 1A, deteniendo  a  un</w:t>
        <w:br/>
        <w:t>grupo de internas que se encontraban heridas a causa de los disparos y</w:t>
        <w:br/>
        <w:t>las  explosiones.  Las  trasladaron  primero  a  la  zona   denominada</w:t>
        <w:br/>
        <w:t>"admisión" y posteriormente al penal "Santa Mónica" de Chorrillos[59].</w:t>
        <w:br/>
        <w:br/>
        <w:t>197.27.     Los presos que  tenían  algún  conocimiento  médico  o  de</w:t>
        <w:br/>
        <w:t>enfermería instalaron en el pabellón  4B  un  dispensario  improvisado</w:t>
        <w:br/>
        <w:t>para atender a alrededor de  70  personas  heridas[60].   Los  ataques</w:t>
        <w:br/>
        <w:t>continuaron el resto del día[61].</w:t>
        <w:br/>
        <w:br/>
        <w:t>197.28.     Según artículos periodísticos publicados los días 7 y 8 de</w:t>
        <w:br/>
        <w:t>mayo de 1992, al finalizar el día  6  de  mayo  de  1992  el  entonces</w:t>
        <w:br/>
        <w:t>Presidente de  la  República,  Alberto  Fujimori,  se  reunió  en  las</w:t>
        <w:br/>
        <w:t>instalaciones de la Comandancia General del  Ejército,  conocida  como</w:t>
        <w:br/>
        <w:t>“Pentagonito”, con el Consejo de Ministros y autoridades policiales  y</w:t>
        <w:br/>
        <w:t>militares, para  evaluar la situación del penal[62].</w:t>
        <w:br/>
        <w:br/>
        <w:t>197.29.     En el segundo día, el 7 de mayo de 1992,  miembros  de  la</w:t>
        <w:br/>
        <w:t>Coordinadora Nacional de Derechos Humanos y familiares de los reclusos</w:t>
        <w:br/>
        <w:t>intentaron ingresar al penal y dialogar con los internos, pero  fueron</w:t>
        <w:br/>
        <w:t>obligados por la policía a alejarse del lugar. Los agentes  policiales</w:t>
        <w:br/>
        <w:t>efectuaron advertencias a los internos, exhortándolos a salir  de  los</w:t>
        <w:br/>
        <w:t>pabellones  “de  cuatro  en  cuatro  y  con  las   manos   en   alto”,</w:t>
        <w:br/>
        <w:t>requerimiento que no fue obedecido[63].</w:t>
        <w:br/>
        <w:br/>
        <w:t>197.30.     Según se indicó en el Informe final de la CVR y en  varios</w:t>
        <w:br/>
        <w:t>artículos periodísticos, ese mismo día el Presidente Alberto  Fujimori</w:t>
        <w:br/>
        <w:t>Fujimori  se  reunió  nuevamente  con  el  Consejo  de   Ministros   y</w:t>
        <w:br/>
        <w:t>autoridades policiales y militares en el “Pentagonito” para evaluar la</w:t>
        <w:br/>
        <w:t>situación del penal.  En  esas  fuentes  se  señaló  que  entre  otras</w:t>
        <w:br/>
        <w:t>acciones inmediatas se prohibió la  presencia  en  las  cercanías  del</w:t>
        <w:br/>
        <w:t>penal de los organismos de derechos humanos, se dispuso  el  corte  de</w:t>
        <w:br/>
        <w:t>luz, agua y alimentos para los internos, así como el incremento de los</w:t>
        <w:br/>
        <w:t>ataques con armas de fuego y explosivos[64].</w:t>
        <w:br/>
        <w:br/>
        <w:t>197.31.     Por la tarde,  efectivos  policiales  y  miembros  de  las</w:t>
        <w:br/>
        <w:t>Fuerzas Armadas intensificaron los  ataques  contra  el  pabellón  4B,</w:t>
        <w:br/>
        <w:t>utilizando granadas, ametralladoras y bombas lacrimógenas[65].</w:t>
        <w:br/>
        <w:br/>
        <w:t>197.32.     El 8 de mayo de 1992,  tercer  día  del  “operativo”,  los</w:t>
        <w:br/>
        <w:t>efectivos policiales, conjuntamente con el  Ejército,  continuaron  el</w:t>
        <w:br/>
        <w:t>ataque con cohetes disparados desde helicópteros, fuego de  mortero  y</w:t>
        <w:br/>
        <w:t>granadas[66].</w:t>
        <w:br/>
        <w:br/>
        <w:t>197.33.     Una delegación de  internas  salió  de  los  pabellones  a</w:t>
        <w:br/>
        <w:t>conversar con la Fiscal Mirtha Campos,  retornando  sólo  una  de  las</w:t>
        <w:br/>
        <w:t>internas a comunicar los acuerdos. Como  parte  de  las  negociaciones</w:t>
        <w:br/>
        <w:t>aproximadamente 30 internos heridos salieron a la zona del “gallinero”</w:t>
        <w:br/>
        <w:t>del pabellón 4B para  ser  llevados  al  hospital,  pero  ello  no  se</w:t>
        <w:br/>
        <w:t>cumplió, sino fueron mantenidos a la intemperie e inmóviles[67].</w:t>
        <w:br/>
        <w:br/>
        <w:t>197.34.     Hubo varios intentos de negociación entre delegados de los</w:t>
        <w:br/>
        <w:t>internos y autoridades  del  Estado,  pero  no  lograron  alcanzar  un</w:t>
        <w:br/>
        <w:t>acuerdo, pues los internos exigían la presencia de la Cruz Roja, de la</w:t>
        <w:br/>
        <w:t>Comisión  Interamericana  de  Derechos  Humanos,  de  sus  abogados  y</w:t>
        <w:br/>
        <w:t>familiares para el traslado a otros  penales,  así  como  la  atención</w:t>
        <w:br/>
        <w:t>médica inmediata a los heridos, quienes hasta ese momento habían  sido</w:t>
        <w:br/>
        <w:t>auxiliados por los mismos presos que lanzaban  medicinas  desde  otros</w:t>
        <w:br/>
        <w:t>pabellones. Por su  parte,  el  Estado  exigía  la  rendición  de  los</w:t>
        <w:br/>
        <w:t>internos sin condiciones y su salida del pabellón 4B,  dejando  en  el</w:t>
        <w:br/>
        <w:t>interior a  los  heridos  y  los  muertos  para  que  aquellos  fueran</w:t>
        <w:br/>
        <w:t>atendidos más tarde[68].</w:t>
        <w:br/>
        <w:br/>
        <w:t>197.35.      El  Estado  rechazó  expresamente  el   ofrecimiento   de</w:t>
        <w:br/>
        <w:t>intervención efectuado por la Cruz  Roja  Internacional,  la  Comisión</w:t>
        <w:br/>
        <w:t>Interamericana de Derechos Humanos, la Comisión  Episcopal  de  Acción</w:t>
        <w:br/>
        <w:t>Social  y  la  Coordinadora  Nacional  de  Derechos   Humanos,   cuyos</w:t>
        <w:br/>
        <w:t>representantes se encontraban afuera del penal[69]. También se negó el</w:t>
        <w:br/>
        <w:t>auxilio a muchos internos gravemente heridos[70].</w:t>
        <w:br/>
        <w:br/>
        <w:t>197.36.     El 9 de mayo de 1992 fue el último día del “operativo”,  y</w:t>
        <w:br/>
        <w:t>desde las 6:00 horas se reanudó con mayor intensidad el ataque  contra</w:t>
        <w:br/>
        <w:t>el pabellón 4B, con más granadas, disparos,  explosiones  e  incendios</w:t>
        <w:br/>
        <w:t>que provocaron varios muertos y heridos[71].</w:t>
        <w:br/>
        <w:br/>
        <w:t>197.37.     Aproximadamente a las 18:00 horas de  ese  mismo  día  los</w:t>
        <w:br/>
        <w:t>reclusos anunciaron a los agentes estatales que iban  a  salir  y  les</w:t>
        <w:br/>
        <w:t>pidieron que dejaran  de  disparar.  Grupos  de  internos  desarmados,</w:t>
        <w:br/>
        <w:t>compuestos principalmente por personas señaladas como miembros  de  la</w:t>
        <w:br/>
        <w:t>directiva de Sendero Luminoso,  salieron  al  exterior  del  pabellón,</w:t>
        <w:br/>
        <w:t>momento en el que fueron alcanzados por ráfagas  de  balas  disparadas</w:t>
        <w:br/>
        <w:t>por  agentes  estatales.  Falleció  la  mayoría  de   esos   internos.</w:t>
        <w:br/>
        <w:t>Posteriormente un gran número de internos salieron del pabellón 4B,  a</w:t>
        <w:br/>
        <w:t>paso ligero. Los  agentes  de  seguridad  del  Estado  les  dispararon</w:t>
        <w:br/>
        <w:t>indiscriminadamente y  en  diferentes  partes  del  cuerpo,  inclusive</w:t>
        <w:br/>
        <w:t>cuando se encontraban heridos en el suelo. Seguidamente, entre gritos,</w:t>
        <w:br/>
        <w:t>insultos y forcejeos la policía separó a los hombres de las mujeres  y</w:t>
        <w:br/>
        <w:t>los obligaron a acostarse boca  abajo  en  las  zonas  conocidas  como</w:t>
        <w:br/>
        <w:t>“tierra de nadie” y “admisión”[72].</w:t>
        <w:br/>
        <w:br/>
        <w:t>197.38.     Cuando los internos se encontraban bajo el control de  las</w:t>
        <w:br/>
        <w:t>autoridades estatales, algunos fueron separados del grupo y ejecutados</w:t>
        <w:br/>
        <w:t>por  agentes  estatales[73].   Uno   de   los   cadáveres   presentaba</w:t>
        <w:br/>
        <w:t>mutilaciones y signos de tortura[74].</w:t>
        <w:br/>
        <w:br/>
        <w:t>197.39.     La mayoría de los internos víctimas  mortales  presentaban</w:t>
        <w:br/>
        <w:t>entre 3 y 12 impactos de bala en la cabeza y el tórax[75].</w:t>
        <w:br/>
        <w:br/>
        <w:t>197.40.     Durante los hechos del 6 al 9  de  mayo  de  1992  resultó</w:t>
        <w:br/>
        <w:t>muerto un policía, como consecuencia de haber recibido el  impacto  de</w:t>
        <w:br/>
        <w:t>proyectiles de arma de fuego en la cabeza y  el  tórax;  y  resultaron</w:t>
        <w:br/>
        <w:t>heridos aproximadamente 9 efectivos policiales[76].</w:t>
        <w:br/>
        <w:br/>
        <w:t>Sucesos posteriores al 9 de mayo de 1992</w:t>
        <w:br/>
        <w:br/>
        <w:t>197.41.     El 10 de mayo de 1992 se  levantó  un  acta  del  material</w:t>
        <w:br/>
        <w:t>incautado en el penal por el  personal  especializado  de  la  Policía</w:t>
        <w:br/>
        <w:t>Nacional,  en  la  cual  constan  10  armas  (2  subametralladoras,  4</w:t>
        <w:br/>
        <w:t>revólveres, 1 escopeta y 3 pistolas),  11  granadas  y  24  artefactos</w:t>
        <w:br/>
        <w:t>explosivos caseros “queso ruso”. Dicha acta fue firmada por la  fiscal</w:t>
        <w:br/>
        <w:t>Mirtha Campos[77].</w:t>
        <w:br/>
        <w:br/>
        <w:t>197.42.     Una vez que salieron de los pabellones la mayoría  de  los</w:t>
        <w:br/>
        <w:t>internos sobrevivientes fueron obligados a permanecer en las zonas del</w:t>
        <w:br/>
        <w:t>penal denominadas “tierra de nadie” y “admisión”, tendidos boca  abajo</w:t>
        <w:br/>
        <w:t>sobre la tierra, en posición de  cúbito  ventral,  sin  abrigo,  a  la</w:t>
        <w:br/>
        <w:t>intemperie, permitiéndoseles levantarse únicamente para ir a orinar, y</w:t>
        <w:br/>
        <w:t>fueron objeto de constantes golpes y agresiones. Quienes estuvieron en</w:t>
        <w:br/>
        <w:t>estas condiciones durante varios días, recibieron como único  alimento</w:t>
        <w:br/>
        <w:t>pan y agua de manera irregular por las mañanas y una  sopa  aguada,  y</w:t>
        <w:br/>
        <w:t>fueron vigilados por agentes de seguridad armados y con perros,  y  si</w:t>
        <w:br/>
        <w:t>alguien se movía o se quejaba  dichos  agentes  se  paraban  sobre  el</w:t>
        <w:br/>
        <w:t>cuerpo del sobreviviente y lo insultaban.  Dentro  de  este  grupo  de</w:t>
        <w:br/>
        <w:t>personas se encontraban heridos[78] y mujeres en estado de  gestación,</w:t>
        <w:br/>
        <w:t>quienes también fueron forzadas a yacer boca abajo, al igual  que  los</w:t>
        <w:br/>
        <w:t>demás detenidos. Muchos permanecieron en estas condiciones hasta el 22</w:t>
        <w:br/>
        <w:t>de mayo de 1992 (infra párr. 197.46)[79].</w:t>
        <w:br/>
        <w:br/>
        <w:t>197.43.     El 10 de mayo  de  1992  el  Presidente  Alberto  Fujimori</w:t>
        <w:br/>
        <w:t>Fujimori estuvo presente en el penal y caminó  entre  los  prisioneros</w:t>
        <w:br/>
        <w:t>tendidos boca abajo en el suelo de los patios del presidio[80].</w:t>
        <w:br/>
        <w:br/>
        <w:t>197.44.     Algunas  internas  mujeres  fueron  trasladadas  al  penal</w:t>
        <w:br/>
        <w:t>“Santa  Mónica  de  Chorrillos”  y  otras  al  penal  “Cristo  Rey  de</w:t>
        <w:br/>
        <w:t>Cachiche”. Los internos varones fueron  mantenidos  en  el  patio  del</w:t>
        <w:br/>
        <w:t>penal hasta el 22 de mayo de  1992,  fecha  en  que  algunos  quedaron</w:t>
        <w:br/>
        <w:t>reubicados dentro del mismo Penal Miguel Castro Castro y otros  fueron</w:t>
        <w:br/>
        <w:t>trasladados a otros penales como “Lurigancho” y  “Yanamayo”.   Algunos</w:t>
        <w:br/>
        <w:t>de los internos heridos, tanto hombres como mujeres,  fueron  llevados</w:t>
        <w:br/>
        <w:t>al Hospital de la Sanidad de la Policía, para luego ser reubicados  en</w:t>
        <w:br/>
        <w:t>los penales antes mencionados[81].</w:t>
        <w:br/>
        <w:br/>
        <w:t>197.45.     El señor Víctor Olivos Peña fue trasladado con vida  a  la</w:t>
        <w:br/>
        <w:t>morgue de un hospital, donde fue encontrado y rescatado por su madre y</w:t>
        <w:br/>
        <w:t>un médico de dicho establecimiento[82].</w:t>
        <w:br/>
        <w:br/>
        <w:t>197.46.     El 22 de mayo de 1992 agentes del Estado trasladaron a los</w:t>
        <w:br/>
        <w:t>prisioneros que se encontraban en “tierra de nadie” y en “admisión” al</w:t>
        <w:br/>
        <w:t>patio del pabellón 1A. Durante ese traslado, los agentes se  colocaron</w:t>
        <w:br/>
        <w:t>en filas paralelas formando un callejón por el cual debían  pasar  los</w:t>
        <w:br/>
        <w:t>internos,  quienes  habían  sido  obligados  a  desnudarse,  y  fueron</w:t>
        <w:br/>
        <w:t>golpeados con objetos contundentes, en la cabeza, los riñones y  otras</w:t>
        <w:br/>
        <w:t>partes del cuerpo[83].</w:t>
        <w:br/>
        <w:br/>
        <w:t>197.47.     Muchos de  los  heridos  fueron  mantenidos  sin  atención</w:t>
        <w:br/>
        <w:t>médica por varios  días  y  los  heridos  que  fueron  trasladados  al</w:t>
        <w:br/>
        <w:t>hospital no recibieron los medicamentos  ni  la  atención  médica  que</w:t>
        <w:br/>
        <w:t>requerían.  Estas omisiones causaron complicaciones  en  la  salud  de</w:t>
        <w:br/>
        <w:t>algunos internos y en otros provocó su muerte[84].</w:t>
        <w:br/>
        <w:br/>
        <w:t>197.48.     Los traslados tanto al hospital como a los centros penales</w:t>
        <w:br/>
        <w:t>se realizaron en camiones, donde los internos,  incluso  los  heridos,</w:t>
        <w:br/>
        <w:t>iban hacinados uno encima de otro. Durante dichos traslados recibieron</w:t>
        <w:br/>
        <w:t>golpes e insultos[85].</w:t>
        <w:br/>
        <w:br/>
        <w:t>197.49.     Algunas internas e internos heridas fueron trasladadas  al</w:t>
        <w:br/>
        <w:t>Hospital de la  Sanidad  de  la  Policía.  Allí  fueron  desnudados  y</w:t>
        <w:br/>
        <w:t>obligados a permanecer sin  ropa  durante  casi  todo  el  tiempo  que</w:t>
        <w:br/>
        <w:t>estuvieron en el hospital, que en algunos casos  se  prolongó  durante</w:t>
        <w:br/>
        <w:t>varios días y en otros durante semanas. En algunos  casos  les  dieron</w:t>
        <w:br/>
        <w:t>una bata luego de quince  días,  al  momento  de  trasladarlas  a  los</w:t>
        <w:br/>
        <w:t>penales  donde  fueron  reubicadas.  En  el  Hospital  se  encontraban</w:t>
        <w:br/>
        <w:t>rodeados de individuos armados, quienes aparentemente eran miembros de</w:t>
        <w:br/>
        <w:t>las fuerzas de seguridad del Estado. A las internas no se les permitió</w:t>
        <w:br/>
        <w:t>asearse, estaban cubiertas con tan solo una sábana, y en algunos casos</w:t>
        <w:br/>
        <w:t>para utilizar los servicios sanitarios debían hacerlo  acompañadas  de</w:t>
        <w:br/>
        <w:t>un guardia armado, quien no  les  permitía  cerrar  la  puerta  y  las</w:t>
        <w:br/>
        <w:t>apuntaba con el arma mientras hacían sus necesidades fisiológicas[86].</w:t>
        <w:br/>
        <w:br/>
        <w:br/>
        <w:t>197.50.     Cuando llegó al Hospital de la Sanidad de la  Policía  una</w:t>
        <w:br/>
        <w:t>de las internas fue  objeto  de  una  “inspección”  vaginal  dactilar,</w:t>
        <w:br/>
        <w:t>realizada  por  varias  personas  encapuchadas  a  la  vez,  con  suma</w:t>
        <w:br/>
        <w:t>brusquedad,  bajo  el  pretexto  de  revisarla  (infra  párrs.  309  a</w:t>
        <w:br/>
        <w:t>313)[87].</w:t>
        <w:br/>
        <w:br/>
        <w:t>197.51.     Las internas trasladadas a las cárceles de  “Santa  Mónica</w:t>
        <w:br/>
        <w:t>de Chorrillos”  y  de  “Cristo  Rey  de  Cachiche”  fueron  objeto  de</w:t>
        <w:br/>
        <w:t>constantes maltratos físicos y  psicológicos.  Fueron  mantenidas  sin</w:t>
        <w:br/>
        <w:t>contacto con el mundo exterior, ni acceso a libros, televisión, radios</w:t>
        <w:br/>
        <w:t>o periódicos. No se les permitía dialogar entre sí, leer  o  estudiar,</w:t>
        <w:br/>
        <w:t>ni realizar trabajos manuales de ningún tipo, ni siquiera aquellos que</w:t>
        <w:br/>
        <w:t>trataban de realizar con hilos tomados de sus propias ropas, con migas</w:t>
        <w:br/>
        <w:t>de pan o con restos de “valvas de choro” que venían  en  la  sopa.  La</w:t>
        <w:br/>
        <w:t>violación de cualquiera de esta prohibiciones era motivo de  golpizas.</w:t>
        <w:br/>
        <w:t>Tampoco tenían acceso a materiales de aseo personal, tales como jabón,</w:t>
        <w:br/>
        <w:t>papel higiénico, toallas sanitarias, ni ropa  íntima  para  cambiarse,</w:t>
        <w:br/>
        <w:t>así como ropa de abrigo. Permanecían encerradas 23 horas y media o  24</w:t>
        <w:br/>
        <w:t>horas del día en una celda de dos  metros  por  dos  metros,  la  cual</w:t>
        <w:br/>
        <w:t>compartían al menos dos personas. Dichas celdas no tenían acceso a luz</w:t>
        <w:br/>
        <w:t>de ningún tipo, natural o artificial, por lo que  permanecían  en  una</w:t>
        <w:br/>
        <w:t>oscuridad constante.  Los  alimentos  eran  escasos.  Eran  objeto  de</w:t>
        <w:br/>
        <w:t>constantes requisas, durante las cuales  recibían  golpes,  puntapiés,</w:t>
        <w:br/>
        <w:t>choques eléctricos, golpes en la planta de los pies con varillas,  les</w:t>
        <w:br/>
        <w:t>arrojaban agua y las amenazaban con matarlas. Asimismo, si se  negaban</w:t>
        <w:br/>
        <w:t>a cantar el himno nacional eran castigadas[88].</w:t>
        <w:br/>
        <w:br/>
        <w:t>197.52.     Los internos varones, que fueron reacomodados  dentro  del</w:t>
        <w:br/>
        <w:t>penal Castro Castro, así como aquellos trasladados a  Lurigancho  o  a</w:t>
        <w:br/>
        <w:t>Yanamayo, fueron objeto de maltratos físicos y psicológicos  similares</w:t>
        <w:br/>
        <w:t>a los descritos en el  párrafo  anterior[89].   Los  internos  varones</w:t>
        <w:br/>
        <w:t>reacomodados en el penal Miguel Castro Castro, como forma de  castigo,</w:t>
        <w:br/>
        <w:t>eran trasladados a la celda conocida como “el hueco”[90].  Al  momento</w:t>
        <w:br/>
        <w:t>de ser trasladados  a  las  cárceles  de  Lurigancho  y  Yanamayo  los</w:t>
        <w:br/>
        <w:t>internos fueron  insultados  y  golpeados  incluso  con  varas  en  la</w:t>
        <w:br/>
        <w:t>espalda[91].</w:t>
        <w:br/>
        <w:br/>
        <w:t>197.53.     El penal de Yanamayo se encuentra en Puno, ubicado  a  más</w:t>
        <w:br/>
        <w:t>de 3.800 metros de altura, por lo cual la temperatura desciende varios</w:t>
        <w:br/>
        <w:t>grados bajo cero. Los internos  no  contaban  con  abrigo  suficiente.</w:t>
        <w:br/>
        <w:t>Además, sólo podían recibir visitas de familiares directos,  a  través</w:t>
        <w:br/>
        <w:t>de locutorios con doble malla, durante media hora al mes. Debido a  la</w:t>
        <w:br/>
        <w:t>lejanía del penal los internos recibían visitas solamente  un  par  de</w:t>
        <w:br/>
        <w:t>veces al año[92].</w:t>
        <w:br/>
        <w:br/>
        <w:t>197.54.     Una vez concluido el “operativo”, e incluso después de que</w:t>
        <w:br/>
        <w:t>fueron   trasladados   a   hospitales   u    otros    establecimientos</w:t>
        <w:br/>
        <w:t>penitenciarios,  se  impidió  a  los  internos  comunicarse  con   sus</w:t>
        <w:br/>
        <w:t>familiares y abogados durante varios días y en algunos  casos  durante</w:t>
        <w:br/>
        <w:t>semanas o meses[93].</w:t>
        <w:br/>
        <w:br/>
        <w:t>197.55.     Los familiares de los internos recorrieron durante  varios</w:t>
        <w:br/>
        <w:t>días hospitales y morgues en busca de sus  seres  queridos.  Trataron,</w:t>
        <w:br/>
        <w:t>sin éxito, de obtener información acerca de lo ocurrido en el interior</w:t>
        <w:br/>
        <w:t>del penal, quiénes estaban vivos y quiénes muertos, a dónde los habían</w:t>
        <w:br/>
        <w:t>trasladado y  el  estado  de  salud  de  sus  familiares.  No  se  les</w:t>
        <w:br/>
        <w:t>proporcionó ninguna ayuda para buscar e identificar los restos de  sus</w:t>
        <w:br/>
        <w:t>familiares[94]. En  el  caso  particular  del  señor  Mario  Francisco</w:t>
        <w:br/>
        <w:t>Aguilar Vega sus restos nunca fueron entregados a sus familiares[95].</w:t>
        <w:br/>
        <w:br/>
        <w:t>197.56.     Luego de levantada la incomunicación absoluta  aplicada  a</w:t>
        <w:br/>
        <w:t>las internas  e  internos  durante  semanas,  el  régimen  de  visitas</w:t>
        <w:br/>
        <w:t>impuesto a aquéllas sólo les permitía comunicarse con sus  familiares,</w:t>
        <w:br/>
        <w:t>incluyendo sus hijos, una vez al mes, cosa que  hacían a través de una</w:t>
        <w:br/>
        <w:t>malla[96].</w:t>
        <w:br/>
        <w:br/>
        <w:t>197.57.     Se acreditó ante la Corte que las  internas  Eva  Challco,</w:t>
        <w:br/>
        <w:t>Vicente Genua López y Sabina Quispe Rojas al momento de los hechos  en</w:t>
        <w:br/>
        <w:t>Castro Castro se encontraban embarazadas. Tenían, respectivamente,  7,</w:t>
        <w:br/>
        <w:t>5 y 8 meses de embarazo. Las internas  Eva  Challco  y  Sabina  Quispe</w:t>
        <w:br/>
        <w:t>dieron a luz cuando se encontraban, respectivamente, en  las  cárceles</w:t>
        <w:br/>
        <w:t>de Cachiche y Chorrillos, y no recibieron atención médica  sino  hasta</w:t>
        <w:br/>
        <w:t>que las llevaron al hospital para el parto. La interna  Sabina  Quispe</w:t>
        <w:br/>
        <w:t>no recibió atención médica post parto[97].</w:t>
        <w:br/>
        <w:br/>
        <w:br/>
        <w:br/>
        <w:t>197.58.     Los internos presuntas víctimas  de  este  caso  han  sido</w:t>
        <w:br/>
        <w:t>calificados como terroristas, incluso por los medios  de  prensa,  aun</w:t>
        <w:br/>
        <w:t>cuando  muchos  de  ellos  se  encontraban  detenidos  sin   sentencia</w:t>
        <w:br/>
        <w:t>condenatoria  y  en  varios  casos  fueron  sobreseídos  los  procesos</w:t>
        <w:br/>
        <w:t>correspondientes. Asimismo,  se  estigmatizó  a  sus  familias  y,  en</w:t>
        <w:br/>
        <w:t>algunos casos, éstas han sido rechazadas, excluidas y apartadas por la</w:t>
        <w:br/>
        <w:t>sociedad e incluso por su círculo más íntimo[98].</w:t>
        <w:br/>
        <w:br/>
        <w:t>197.59.     Entre los días 6 y 12 de mayo de  1992  se  publicaron  en</w:t>
        <w:br/>
        <w:t>varios  periódicos  del  Perú,  artículos  en  los  cuales  se   hacía</w:t>
        <w:br/>
        <w:t>referencia a los internos que ocupaban los pabellones 1-A  y  4-B  del</w:t>
        <w:br/>
        <w:t>penal calificándolos de “internos  por  terrorismo”,  “terroristas”  y</w:t>
        <w:br/>
        <w:t>“delincuentes terroristas”. Algunos de los artículos de prensa  tenían</w:t>
        <w:br/>
        <w:t>los siguientes títulos:  “unos  600  terroristas  siguen  en  evidente</w:t>
        <w:br/>
        <w:t>rebeldía”,  “600  terroristas  hombres  y  mujeres  amotinados  en  el</w:t>
        <w:br/>
        <w:t>pabellón 4B del penal Castro Castro, depusieron su actitud de  rebelde</w:t>
        <w:br/>
        <w:t>y se rindieron”,  “470 terroristas se rinden tras infernal balacera en</w:t>
        <w:br/>
        <w:t>Canto Grande”, y “pabellón 4B asilo para terroristas”[99].</w:t>
        <w:br/>
        <w:br/>
        <w:br/>
        <w:br/>
        <w:t>Investigaciones y Procesos en Sede Judicial</w:t>
        <w:br/>
        <w:br/>
        <w:br/>
        <w:br/>
        <w:t>197.60.     El 11 de mayo de 1992 peritos del Laboratorio  Central  de</w:t>
        <w:br/>
        <w:t>Criminalística efectuaron un examen físico químico en  los  pabellones</w:t>
        <w:br/>
        <w:t>4B  y  1A.  Durante  la  inspección  técnico  criminal  se  removieron</w:t>
        <w:br/>
        <w:t>escombros y enseres y se retiraron los cadáveres para su traslado a la</w:t>
        <w:br/>
        <w:t>Morgue Central de Lima, en presencia del  Juez  Instructor  de  Turno.</w:t>
        <w:br/>
        <w:t>Asimismo, se realizaron pericias médicas forenses, toxicológicas y  de</w:t>
        <w:br/>
        <w:t>dosaje  etílico,  balísticas,  y  de  absorción  atómica[100].  No  se</w:t>
        <w:br/>
        <w:t>hicieron actas de levantamiento  de  cadáveres.  Los  certificados  de</w:t>
        <w:br/>
        <w:t>necropsia e informes médicos  forenses  se  limitan  a  describir  las</w:t>
        <w:br/>
        <w:t>heridas sufridas por las víctimas mortales y las lesiones  encontradas</w:t>
        <w:br/>
        <w:t>en algunos de los heridos. En dichos informes no se da cuenta  de  los</w:t>
        <w:br/>
        <w:t>proyectiles recuperados de los cuerpos de las víctimas[101].</w:t>
        <w:br/>
        <w:br/>
        <w:t>Investigaciones Policiales</w:t>
        <w:br/>
        <w:br/>
        <w:t>197.61.     El 7 de agosto de 1992 se instruyó  el  Atestado  Policial</w:t>
        <w:br/>
        <w:t>No. 322 IC-H-DDCV, conteniendo el “resultado de  la  investigación  de</w:t>
        <w:br/>
        <w:t>los sucesos ocurridos  en  el  Establecimiento  Penal  ‘Miguel  Castro</w:t>
        <w:br/>
        <w:t>Castro’ entre los días 6 y 10 de mayo de 1992”, como consecuencia  del</w:t>
        <w:br/>
        <w:t>“Operativo Mudanza 1”.  El referido atestado estableció,  inter  alia,</w:t>
        <w:br/>
        <w:t>que como consecuencia  de  la  ejecución  del  “Operativo  Mudanza  1”</w:t>
        <w:br/>
        <w:t>fallecieron 40 internos acusados de terrorismo,  y  que  “el  personal</w:t>
        <w:br/>
        <w:t>policial que intervino en el develamiento del motín   en  el  interior</w:t>
        <w:br/>
        <w:t>[del penal había] actuado dentro del marco legal con apoyo de  la  FF.</w:t>
        <w:br/>
        <w:t>AA”. Dicho atestado fue cursado ante el Fuero Privativo Militar[102].</w:t>
        <w:br/>
        <w:br/>
        <w:t>197.62.     En aplicación de la Resolución Ministerial No.  456-90-IN-</w:t>
        <w:br/>
        <w:t>PNP y de los artículos 35, 36 y 37  del  Reglamento  de  Documentación</w:t>
        <w:br/>
        <w:t>Policial, el 13 de abril de 1998 se incineró la “documentación pasiva”</w:t>
        <w:br/>
        <w:t>producida  por  las  Unidades  Operativas  y  Administrativas  de   la</w:t>
        <w:br/>
        <w:t>Dirección de Investigación Criminal durante  los  años  1990,  1991  y</w:t>
        <w:br/>
        <w:t>1992,  dentro de la cual se quemó gran parte  del  expediente  interno</w:t>
        <w:br/>
        <w:t>referido al presente caso[103].</w:t>
        <w:br/>
        <w:br/>
        <w:t>197.63.     Mediante Resolución No. 631-2002- MP-FN de 17 de abril  de</w:t>
        <w:br/>
        <w:t>2002 se creó la Fiscalía Especializada para  Desapariciones  Forzosas,</w:t>
        <w:br/>
        <w:t>Ejecuciones Extrajudiciales y Exhumación de Fosas Clandestinas[104].</w:t>
        <w:br/>
        <w:br/>
        <w:t>197.64.      El  25  de  noviembre  de   2005   la   citada   Fiscalía</w:t>
        <w:br/>
        <w:t>Especializada    para     Desapariciones     Forzosas,     Ejecuciones</w:t>
        <w:br/>
        <w:t>Extrajudiciales  y  Exhumación  de  Fosas  Clandestinas   emitió   una</w:t>
        <w:br/>
        <w:t>Resolución, que ordenó ampliar la investigación policial[105].</w:t>
        <w:br/>
        <w:br/>
        <w:t>197.65.     La Dirección  de  Investigación  Criminal  de  la  Policía</w:t>
        <w:br/>
        <w:t>Nacional del Perú llevó a cabo una investigación,  que  consta  en  el</w:t>
        <w:br/>
        <w:t>Atestado No. 121 de 26 de mayo de 2004, ampliado  mediante  Parte  No.</w:t>
        <w:br/>
        <w:t>468 de 28 de noviembre de  2004,  “con  relación  al  presunto  Delito</w:t>
        <w:br/>
        <w:t>contra la Vida, el Cuerpo y la Salud (Homicidio Calificado por  PAF  y</w:t>
        <w:br/>
        <w:t>Tentativa Punible de Homicidio con subsecuentes lesiones  por  PAF)  y</w:t>
        <w:br/>
        <w:t>presuntas Ejecuciones Extrajudiciales, ocurrido el 9 de mayo  de  1992</w:t>
        <w:br/>
        <w:t>entre las 17:30 y las 18:30 horas aproximadamente en  agravio  de  los</w:t>
        <w:br/>
        <w:t>internos por terrorismo  recluidos  en  el  Establecimiento  Penal  de</w:t>
        <w:br/>
        <w:t>Máxima Seguridad Miguel Castro Castro”. En dichas  investigaciones  no</w:t>
        <w:br/>
        <w:t>se logró individualizar a los responsables  directos  de  los  citados</w:t>
        <w:br/>
        <w:t>delitos. Dicho atestado fue cursado  ante  la  Fiscalía  Especializada</w:t>
        <w:br/>
        <w:t>para Desapariciones Forzosas, Ejecuciones Extrajudiciales y Exhumación</w:t>
        <w:br/>
        <w:t>de Fosas Clandestinas[106].</w:t>
        <w:br/>
        <w:br/>
        <w:t>Investigación y juzgamiento de cuatro internos</w:t>
        <w:br/>
        <w:br/>
        <w:t>197.66.     En el año 1992 la investigación fiscal relacionada con los</w:t>
        <w:br/>
        <w:t>hechos del presente caso estuvo encaminada a determinar exclusivamente</w:t>
        <w:br/>
        <w:t>la responsabilidad de los internos. El 1 de junio de  1992  la  Décima</w:t>
        <w:br/>
        <w:t>Fiscalía Especial para casos de Terrorismo formalizó denuncia penal en</w:t>
        <w:br/>
        <w:t>contra de 4 internos presuntas víctimas en este caso, por los  delitos</w:t>
        <w:br/>
        <w:t>de  terrorismo,  violación  de  la  libertad  personal,  exposición  o</w:t>
        <w:br/>
        <w:t>abandono de personas en peligro, tenencia ilegal de armas y materiales</w:t>
        <w:br/>
        <w:t>explosivos y violencia y resistencia a la  autoridad  en  agravio  del</w:t>
        <w:br/>
        <w:t>Estado, con base  en  los  hechos  suscitados  como  consecuencia  del</w:t>
        <w:br/>
        <w:t>“Operativo Mudanza 1”. Mediante sentencia de  20  de  abril  de  1996,</w:t>
        <w:br/>
        <w:t>emitida por la Sala Penal Especial de la Corte Superior de Justicia de</w:t>
        <w:br/>
        <w:t>Lima,  los  acusados  fueron  condenados  a  cadena  perpetua.   Dicha</w:t>
        <w:br/>
        <w:t>sentencia fue anulada y se dio inicio a un nuevo juzgamiento[107].</w:t>
        <w:br/>
        <w:br/>
        <w:t>197.67.     El 3 de febrero de 2004 la Sala Nacional  para  Terrorismo</w:t>
        <w:br/>
        <w:t>de la Corte Suprema de Justicia del Perú emitió una  sentencia  en  la</w:t>
        <w:br/>
        <w:t>que,  luego  de  meses  de  investigaciones,  audiencias  y  tomas  de</w:t>
        <w:br/>
        <w:t>declaraciones, absolvió a los internos que habían  sido  acusados  por</w:t>
        <w:br/>
        <w:t>los delitos arriba mencionados[108].  En dicha sentencia, la  Sala  de</w:t>
        <w:br/>
        <w:t>Terrorismo estableció, inter alia, que “el  6  de  mayo  de  1992  los</w:t>
        <w:br/>
        <w:t>internos de los  pabellones  Uno  A  y  cuatro  B  no  se  encontraban</w:t>
        <w:br/>
        <w:t>amotinados, ni  llevando  a  cabo  acto  de  fuerza  o  despliegue  de</w:t>
        <w:br/>
        <w:t>violencia alguna, que  hubiere  justificado  una  intervención  de  la</w:t>
        <w:br/>
        <w:t>fuerza pública de las características […] del operativo ‘Mudanza  I’”.</w:t>
        <w:br/>
        <w:t>Asimismo estableció que “el mantenimiento por parte  de  los  internos</w:t>
        <w:br/>
        <w:t>[…] de una resistencia armada al desarrollo del operativo durante  los</w:t>
        <w:br/>
        <w:t>cuatro días referidos, resultaba materialmente  imposible,  debido  al</w:t>
        <w:br/>
        <w:t>volumen del fuego (de armas largas) y de las cargas  de  demolición  a</w:t>
        <w:br/>
        <w:t>que eran sometidos los pabellones que ocupaban”.  Además,  señaló  que</w:t>
        <w:br/>
        <w:t>“[l]o antes establecido no enerva el hecho que frente a  las  primeras</w:t>
        <w:br/>
        <w:t>acciones del operativo, se produjera una  inicial  resistencia  armada</w:t>
        <w:br/>
        <w:t>por parte de un sector de los internos,  la  misma  que  el  Colegiado</w:t>
        <w:br/>
        <w:t>Juzgador […] ha llegado a establecer que se produjo luego de compulsar</w:t>
        <w:br/>
        <w:t>no solo las versiones de los efectivos  policiales  que  testificaron,</w:t>
        <w:br/>
        <w:t>sino también el hecho que  se  diera  el  fallecimiento  del  efectivo</w:t>
        <w:br/>
        <w:t>policial José Idroho Olano[, …] como consecuencia de haber recibido el</w:t>
        <w:br/>
        <w:t>impacto de proyectiles de armas de fuego en la cabeza,  y  heridas  en</w:t>
        <w:br/>
        <w:t>[varios] efectivos policiales […] por esquirlas de explosivos  algunos</w:t>
        <w:br/>
        <w:t>y proyectil de armas de fuego otros” [109].</w:t>
        <w:br/>
        <w:br/>
        <w:t>Investigación contra miembros de la Policía Nacional</w:t>
        <w:br/>
        <w:br/>
        <w:t>197.68.     Ante la Segunda Sala del Consejo Superior de  Justicia  de</w:t>
        <w:br/>
        <w:t>la II  Zona Judicial de la Policía Nacional del Perú, se llevó a  cabo</w:t>
        <w:br/>
        <w:t>un proceso originado en una denuncia contra el personal de la  policía</w:t>
        <w:br/>
        <w:t>que participó en el “Operativo Mudanza 1”.  Este proceso  culminó  con</w:t>
        <w:br/>
        <w:t>la Resolución No. 41592 de 5 de noviembre de 1992, que declaró que  no</w:t>
        <w:br/>
        <w:t>había mérito para la apertura de instrucción contra los miembros de la</w:t>
        <w:br/>
        <w:t>Policía Nacional del Perú que  intervinieron  en  el  “operativo”  por</w:t>
        <w:br/>
        <w:t>encontrarse en acto de servicio y en cumplimiento de   la  Ley,  y  se</w:t>
        <w:br/>
        <w:t>dispuso el archivo definitivo de la denuncia[110].</w:t>
        <w:br/>
        <w:br/>
        <w:t>Proceso ante el Segundo Juzgado Penal Supraprovincial</w:t>
        <w:br/>
        <w:br/>
        <w:t>197.69.     El 31 de mayo  de  2005  la  Fiscalía  Especializada  para</w:t>
        <w:br/>
        <w:t>Desapariciones Forzosas, Ejecuciones Extrajudiciales y  Exhumación  de</w:t>
        <w:br/>
        <w:t>Fosas Clandestinas presentó la denuncia penal No. 35-02, por el Delito</w:t>
        <w:br/>
        <w:t>contra la Vida, el Cuerpo y la Salud, Homicidio Calificado, en agravio</w:t>
        <w:br/>
        <w:t>de presuntas víctimas fallecidas de este caso, basada  en  los  hechos</w:t>
        <w:br/>
        <w:t>acontecidos en el Penal Miguel Castro Castro entre los días 6 y 10  de</w:t>
        <w:br/>
        <w:t>mayo de 1992[111].</w:t>
        <w:br/>
        <w:br/>
        <w:t>197.70.      El  16  de  junio  de  2005  el  Segundo  Juzgado   Penal</w:t>
        <w:br/>
        <w:t>Supraprovincial expidió el Auto Apertorio de Instrucción  del  proceso</w:t>
        <w:br/>
        <w:t>No. 0045-2005,  correspondiente  a  la  investigación  de  los  hechos</w:t>
        <w:br/>
        <w:t>suscitados en el Penal Castro Castro entre los días 6 y 9 de  mayo  de</w:t>
        <w:br/>
        <w:t>1992, contra Juan Briones Dávila (ex Ministro  del  Interior),  Adolfo</w:t>
        <w:br/>
        <w:t>Cuba y Escobedo (ex Director General de la Policía  Nacional),  Miguel</w:t>
        <w:br/>
        <w:t>Barriga Gallardo (General de la Policía Nacional  del  Perú),  Teófilo</w:t>
        <w:br/>
        <w:t>Vásquez (Coronel de la Policía Nacional del  Perú),  Teniente  General</w:t>
        <w:br/>
        <w:t>Federico Gonzalo Hurtado  Esquerre  (ex  jefe  DINOES  de  la  Policía</w:t>
        <w:br/>
        <w:t>Nacional del Perú), Coronel Jesús Artemio Konja Chacon  (Mayor  de  la</w:t>
        <w:br/>
        <w:t>Policía Nacional del Perú en  1992),  General  Alfredo  Vivanco  Pinto</w:t>
        <w:br/>
        <w:t>(Coronel de la  Policía  Nacional  del  Perú),  Coronel  Jesús  Manuel</w:t>
        <w:br/>
        <w:t>Pajuelo García (Sub jefe del “Operativo Mudanza 1”),  Comandante Jorge</w:t>
        <w:br/>
        <w:t>Luis Lamela Rodríguez, Mayor Félix Guilleromo Lizarraga Lazo,  Coronel</w:t>
        <w:br/>
        <w:t>Estuardo Napoleón Mestanza Bautista y Mayor José Raúl  Málaga  Johnson</w:t>
        <w:br/>
        <w:t>por Delitos contra la Vida, el Cuerpo y la Salud, Homicidio Calificado-</w:t>
        <w:br/>
        <w:t xml:space="preserve"> Asesinato, y contra Gabino Marcelo Cajahuanca Parra (ex Director  del</w:t>
        <w:br/>
        <w:t>Penal Miguel Castro Castro) por  el  delito  de  Omisión  Impropia  de</w:t>
        <w:br/>
        <w:t>Homicidio Calificado- Asesinato,  en  agravio  de  presuntas  víctimas</w:t>
        <w:br/>
        <w:t>fallecidas de este caso. Además, contra cada uno de los encausados  se</w:t>
        <w:br/>
        <w:t>dictó mandato de comparecencia  restringida,  y  se  ordenó  practicar</w:t>
        <w:br/>
        <w:t>determinadas diligencias, tales como declaraciones instructivas de los</w:t>
        <w:br/>
        <w:t>encausados, declaraciones testimoniales y declaraciones preventivas de</w:t>
        <w:br/>
        <w:t>los familiares más cercanos de las víctimas[112].</w:t>
        <w:br/>
        <w:br/>
        <w:t>197.71.     El 7  de  noviembre  de  2005  el  Segundo  Juzgado  Penal</w:t>
        <w:br/>
        <w:t>Supraprovincial declaró complejo el proceso No. 0045-2005, debido a la</w:t>
        <w:br/>
        <w:t>cantidad de medios de prueba pendientes de práctica, la pluralidad  de</w:t>
        <w:br/>
        <w:t>procesados y agraviados, el concurso de hechos materia de  instrucción</w:t>
        <w:br/>
        <w:t>y la gravedad del delito materia de la investigación judicial. Además,</w:t>
        <w:br/>
        <w:t>ordenó ampliar el plazo de la instrucción por seis meses, a fin de que</w:t>
        <w:br/>
        <w:t>se  practicaran  determinadas  diligencias,  tales  como   declaración</w:t>
        <w:br/>
        <w:t>instructiva de un procesado, recibir  declaración  testimonial  de  45</w:t>
        <w:br/>
        <w:t>personas, y diligencias de ratificación pericial e inspección judicial</w:t>
        <w:br/>
        <w:t>[113].</w:t>
        <w:br/>
        <w:br/>
        <w:t>197.72.     El 16 de  noviembre  de  2005  el  Segundo  Juzgado  Penal</w:t>
        <w:br/>
        <w:t>Supraprovincial revocó  el  mandato  de  comparecencia  restringida  y</w:t>
        <w:br/>
        <w:t>decretó  Mandato  de  Detención  contra  el  señor  Federico   Hurtado</w:t>
        <w:br/>
        <w:t>Esquerre,  debido  a  que  este  imputado  no  se  presentó  a  rendir</w:t>
        <w:br/>
        <w:t>declaración[114].</w:t>
        <w:br/>
        <w:br/>
        <w:t>197.73.      El  25  de  mayo  de  2006  el  Segundo   Juzgado   Penal</w:t>
        <w:br/>
        <w:t>Supraprovincial amplió el proceso penal  por  el  término  de  sesenta</w:t>
        <w:br/>
        <w:t>días, a efecto de que se practicaran diligencias[115].</w:t>
        <w:br/>
        <w:br/>
        <w:t>197.74.     Durante la  audiencia  pública  celebrada  ante  la  Corte</w:t>
        <w:br/>
        <w:t>Interamericana los días 26 y 27  de  junio  de  2006,  el  señor  Omar</w:t>
        <w:br/>
        <w:t>Antonio   Pimentel   Calle,   Juez   del   Segundo    Juzgado    Penal</w:t>
        <w:br/>
        <w:t>Supraprovincial, quien ha tramitado la investigación  judicial  en  el</w:t>
        <w:br/>
        <w:t>fuero interno de los hechos materia del presente caso, expresó  cuáles</w:t>
        <w:br/>
        <w:t>han sido las diligencias que se han llevado a cabo:  recepción  de  12</w:t>
        <w:br/>
        <w:t>declaraciones  instructivas  de  procesados  y  de  106  declaraciones</w:t>
        <w:br/>
        <w:t>testimoniales de efectivos policiales y de internos  que  presenciaron</w:t>
        <w:br/>
        <w:t>los hechos; ratificación pericial por  parte  de  8  médicos  legistas</w:t>
        <w:br/>
        <w:t>suscriptores de los protocolos de necropsia de los  internos  occisos;</w:t>
        <w:br/>
        <w:t>ratificación pericial por parte de 8 peritos en balística suscriptores</w:t>
        <w:br/>
        <w:t>de los dictámenes periciales de balística forense practicados  en  los</w:t>
        <w:br/>
        <w:t>internos  occisos;  15  diligencias   de   confrontación   entre   los</w:t>
        <w:br/>
        <w:t>inculpados,  así  como  entre  éstos  y  testigos;  2  diligencias  de</w:t>
        <w:br/>
        <w:t>declaraciones preventivas de familiares  de  agraviados,  quienes  han</w:t>
        <w:br/>
        <w:t>sido los únicos que  se  han  apersonado  a  la  instancia  y  se  han</w:t>
        <w:br/>
        <w:t>constituido en parte civil; inspección judicial  en  el  Penal  Miguel</w:t>
        <w:br/>
        <w:t>Castro Castro, que contó con  la  participación  y  presencia  de  los</w:t>
        <w:br/>
        <w:t>procesados, algunos internos testigos, médicos legistas  y  peritos; y</w:t>
        <w:br/>
        <w:t>reconocimiento de víctimas a nivel  de  la  investigación  preliminar.</w:t>
        <w:br/>
        <w:t xml:space="preserve"> Además indicó que se están llevando  a  cabo  acciones  tendentes  a:</w:t>
        <w:br/>
        <w:t>ubicar las armas incautadas al  término  del  “Operativo  Mudanza  1”;</w:t>
        <w:br/>
        <w:t>establecer la ubicación de los proyectiles de armas de fuego extraídos</w:t>
        <w:br/>
        <w:t>de los cuerpos de  los  occisos,  así  como  los  encontrados  en  las</w:t>
        <w:br/>
        <w:t>instalaciones de los pabellones 1A y 4B, rotonda y explanada de tierra</w:t>
        <w:br/>
        <w:t>de nadie, que permitirán  la  homologación  para  determinar  el  arma</w:t>
        <w:br/>
        <w:t>empleada; recabar información  del  armamento   afectado  al  personal</w:t>
        <w:br/>
        <w:t>interviniente, así como los nombres de  dicho  personal,  incluido  el</w:t>
        <w:br/>
        <w:t>asignado a las  diversas  unidades  policiales  intervinientes  en  el</w:t>
        <w:br/>
        <w:t>“operativo” tales como  DINOES, UDEX, SUAT y USE[116].</w:t>
        <w:br/>
        <w:br/>
        <w:t>197.75.      El  29  de  agosto  de  2006  el  Segundo  Juzgado  Penal</w:t>
        <w:br/>
        <w:t>Supraprovincial ordenó “abrir instrucción en la vía  ordinaria  contra</w:t>
        <w:br/>
        <w:t>Alberto Fujimori Fujimori, como presunto autor del  delito  contra  la</w:t>
        <w:br/>
        <w:t>Vida, el Cuerpo y la Salud, en la modalidad de  Homicidio  Calificado,</w:t>
        <w:br/>
        <w:t>en agravio de  [40  presuntas  víctimas  fallecidas  en  este  caso]”.</w:t>
        <w:br/>
        <w:t>Asimismo se decretó en su contra “la medida de  coerción  personal  de</w:t>
        <w:br/>
        <w:t>DETENCIÓN, ordenándose  la  inmediata  ubicación  y  captura  a  nivel</w:t>
        <w:br/>
        <w:t>nacional e internacional” y se ordenó practicar el embargo  preventivo</w:t>
        <w:br/>
        <w:t>de bienes muebles e inmuebles y de las cuentas  bancarias.  Finalmente</w:t>
        <w:br/>
        <w:t>se  dispuso  practicar  determinadas  diligencias  como  declaraciones</w:t>
        <w:br/>
        <w:t>testimoniales,  protocolos  de  necropcias,  dictámenes  periciales  y</w:t>
        <w:br/>
        <w:t>recabar la información sobre el personal que laboró en el mes de  mayo</w:t>
        <w:br/>
        <w:t>en el Penal Castro Castro así como de los internos que se  encontraban</w:t>
        <w:br/>
        <w:t>en la época de los hechos en el mismo[117].</w:t>
        <w:br/>
        <w:br/>
        <w:br/>
        <w:t>Costas y Gastos</w:t>
        <w:br/>
        <w:br/>
        <w:t>197.76.     Las presuntas víctimas  y  sus  representantes  realizaron</w:t>
        <w:br/>
        <w:t>gestiones y diligencias, y sufragaron los gastos correspondientes a su</w:t>
        <w:br/>
        <w:t>gestión ante el Sistema Interamericano de Protección de  los  Derechos</w:t>
        <w:br/>
        <w:t>Humanos[118].</w:t>
        <w:br/>
        <w:br/>
        <w:t xml:space="preserve">                                     IX</w:t>
        <w:br/>
        <w:br/>
        <w:t xml:space="preserve">       La responsabilidad internacional del Estado en el contexto del</w:t>
        <w:br/>
        <w:t xml:space="preserve">                                presente caso</w:t>
        <w:br/>
        <w:br/>
        <w:br/>
        <w:t>198.  Tal como fue señalado (supra párr. 148),  el  reconocimiento  de</w:t>
        <w:br/>
        <w:t>responsabilidad efectuado por el Estado  constituye  una  contribución</w:t>
        <w:br/>
        <w:t>positiva al desarrollo  de  este  proceso  y  a  la  vigencia  de  los</w:t>
        <w:br/>
        <w:t>principios que inspiran la Convención Americana.</w:t>
        <w:br/>
        <w:br/>
        <w:t>199.  Asimismo, dicho reconocimiento puede tener gran relevancia en el</w:t>
        <w:br/>
        <w:t>ámbito interno, pues los hechos que el Estado reconoce en  el  proceso</w:t>
        <w:br/>
        <w:t>ante esta Corte, es decir, más de catorce años después  de  ocurridos,</w:t>
        <w:br/>
        <w:t>se caracterizan por  ser  sumamente  graves  y  tratarse  de  acciones</w:t>
        <w:br/>
        <w:t>realizadas de forma directa por agentes del Estado, que implican,  por</w:t>
        <w:br/>
        <w:t>consiguiente, graves violaciones a derechos humanos protegidos  en  la</w:t>
        <w:br/>
        <w:t>Convención Americana. Durante muchos años esos hechos fueron negados o</w:t>
        <w:br/>
        <w:t>calificados  de  diversas  formas  tanto  por  distintas   autoridades</w:t>
        <w:br/>
        <w:t>estatales como por algunos sectores de la sociedad civil y los  medios</w:t>
        <w:br/>
        <w:t>de comunicación, y  en  múltiples  ocasiones  fueron  enmarcados  como</w:t>
        <w:br/>
        <w:t>legítimos dentro de la “lucha contra el terrorismo”.</w:t>
        <w:br/>
        <w:br/>
        <w:br/>
        <w:t>200.  Dadas  las  particularidades  de  este  caso,  la  Corte  estima</w:t>
        <w:br/>
        <w:t>adecuado  exponer   en   el   presente   capítulo   algunos   factores</w:t>
        <w:br/>
        <w:t>correspondientes a los  hechos  que  caracterizan  la  responsabilidad</w:t>
        <w:br/>
        <w:t>internacional del Estado en relación con su obligación de  respetar  y</w:t>
        <w:br/>
        <w:t>garantizar los derechos consagrados en la  Convención  que  se  alegan</w:t>
        <w:br/>
        <w:t>violados en este caso, tanto en los  aspectos  reconocidos  por  aquél</w:t>
        <w:br/>
        <w:t>como en los que quedan por  determinarse  en  los  próximos  capítulos</w:t>
        <w:br/>
        <w:t>relativos al fondo y  a  las  eventuales  reparaciones.  La  Corte  no</w:t>
        <w:br/>
        <w:t>pretende abarcar aquí todos los factores que aumentan la  gravedad  de</w:t>
        <w:br/>
        <w:t>los hechos de este caso, los cuales serán analizados en los  capítulos</w:t>
        <w:br/>
        <w:t>correspondientes a las violaciones de la Convención, pero sí encuentra</w:t>
        <w:br/>
        <w:t>necesario resaltar algunos de esos factores, tales  como  el  contexto</w:t>
        <w:br/>
        <w:t>histórico en que ocurrieron los hechos, y algunas características  del</w:t>
        <w:br/>
        <w:t>llamado “Operativo Mudanza 1” que se deben tener presentes al  momento</w:t>
        <w:br/>
        <w:t>de analizar las alegadas violaciones a la Convención.</w:t>
        <w:br/>
        <w:br/>
        <w:t>El contexto histórico en que ocurrieron los hechos</w:t>
        <w:br/>
        <w:br/>
        <w:t>201.  El Estado reconoció los hechos expuestos en la demanda sobre  lo</w:t>
        <w:br/>
        <w:t>sucedido del 6 al 9 de mayo de 1992 en el Penal Miguel Castro Castro y</w:t>
        <w:br/>
        <w:t>también se refirió al contexto en que ocurrieron,  resaltando  que  se</w:t>
        <w:br/>
        <w:t>dieron dentro de “una situación de conflicto interno sumamente grave”,</w:t>
        <w:br/>
        <w:t>cuando  el  Gobierno  se  había  apartado  de  la   “institucionalidad</w:t>
        <w:br/>
        <w:t>democrática un mes antes de los [hechos]”  y en el marco  de  una  ley</w:t>
        <w:br/>
        <w:t>“que declaró la emergencia de los penales y brindó la ‘legitimidad’  a</w:t>
        <w:br/>
        <w:t>los actos que hoy est[á conociendo …] la Corte”. Asimismo,  el  Estado</w:t>
        <w:br/>
        <w:t>agregó que “es evidente” que “los actos  de  violencia  se  cometieron</w:t>
        <w:br/>
        <w:t>contra internos de determinada orientación”, ya que “fueron  dirigidos</w:t>
        <w:br/>
        <w:t>contra  dos  pabellones,  o  contra  un  pabellón  principalmente,  el</w:t>
        <w:br/>
        <w:t>pabellón 1A y el pabellón 4B, ocupados en el momento de los hechos por</w:t>
        <w:br/>
        <w:t>internos acusados de  delitos  de  terrorismo  vinculados  al  partido</w:t>
        <w:br/>
        <w:t>comunista del Perú Sendero Luminoso”.</w:t>
        <w:br/>
        <w:br/>
        <w:t>202.  Es importante destacar el contexto  en  que  se  produjeron  los</w:t>
        <w:br/>
        <w:t>hechos,  ya  que  ese  constituye  un  entorno  político  e  histórico</w:t>
        <w:br/>
        <w:t>determinante para el establecimiento de las consecuencias jurídicas en</w:t>
        <w:br/>
        <w:t>este caso, comprendiendo tanto las violaciones a  la  Convención  como</w:t>
        <w:br/>
        <w:t>las correspondientes reparaciones.</w:t>
        <w:br/>
        <w:br/>
        <w:t>203.  Se vivía en Perú un conflicto entre grupos armados y agentes de</w:t>
        <w:br/>
        <w:t>las fuerzas  policial  y  militar,  que  había  generado  violaciones</w:t>
        <w:br/>
        <w:t>sistemáticas  a  los  derechos   humanos,   entre   ellas   torturas,</w:t>
        <w:br/>
        <w:t>ejecuciones extrajudiciales y  desapariciones  forzadas  de  personas</w:t>
        <w:br/>
        <w:t>sospechosas de pertenecer a grupos  armados  al  margen  de  la  ley,</w:t>
        <w:br/>
        <w:t>realizadas por agentes estatales siguiendo órdenes de jefes militares</w:t>
        <w:br/>
        <w:t>y policiales[119]. Al respecto, la  Corte  ha  conocido  de  diversos</w:t>
        <w:br/>
        <w:t>casos de violaciones  a  derechos   humanos  que  ocurrieron  en  ese</w:t>
        <w:br/>
        <w:t>contexto[120],  y  ha  establecido  que  “dichas  violaciones  graves</w:t>
        <w:br/>
        <w:t>infringen el jus cogens internacional”[121]. Existen antecedentes  de</w:t>
        <w:br/>
        <w:t>casos correspondientes a la época abarcada entre 1991 y 2000, en  que</w:t>
        <w:br/>
        <w:t>se sometió a personas acusadas de terrorismo o traición a la patria a</w:t>
        <w:br/>
        <w:t>múltiples violaciones de sus derechos humanos en los centros  penales</w:t>
        <w:br/>
        <w:t>en los que estuvieron detenidos[122].</w:t>
        <w:br/>
        <w:br/>
        <w:t>204.  Con posterioridad a esa época de conflicto interno, que  culminó</w:t>
        <w:br/>
        <w:t>aproximadamente en noviembre de 2000, diversos órganos del Estado  han</w:t>
        <w:br/>
        <w:t>emitido  decisiones  pronunciándose  sobre  el  referido  contexto  de</w:t>
        <w:br/>
        <w:t>violaciones a los  derechos  humanos,  en  las  que  inclusive  se  ha</w:t>
        <w:br/>
        <w:t>analizado de forma específica lo sucedido en el  Penal  Miguel  Castro</w:t>
        <w:br/>
        <w:t>Castro.</w:t>
        <w:br/>
        <w:br/>
        <w:t>205.  Al respecto, cabe destacar la creación  de  la  Comisión  de  la</w:t>
        <w:br/>
        <w:t>Verdad y la Reconciliación (en adelante “CVR”) en el 2001 (supra párr.</w:t>
        <w:br/>
        <w:t>197.3 a 197.7), la cual tenía la finalidad, inter alia, de  esclarecer</w:t>
        <w:br/>
        <w:t>el proceso, los hechos y responsabilidades de la violencia  terrorista</w:t>
        <w:br/>
        <w:t>y de la violación de los derechos humanos  producidos  desde  mayo  de</w:t>
        <w:br/>
        <w:t>1980 hasta noviembre de 2000, imputables tanto  a  las  organizaciones</w:t>
        <w:br/>
        <w:t>terroristas como a los agentes del Estado.  Del análisis de  miles  de</w:t>
        <w:br/>
        <w:t>denuncias que recibió, dicha Comisión  determinó  que  la  mayoría  de</w:t>
        <w:br/>
        <w:t>violaciones correspondió a  acciones  atribuidas  a  funcionarios  del</w:t>
        <w:br/>
        <w:t>Estado o personas que actuaron bajo su  aquiescencia.  En  su  informe</w:t>
        <w:br/>
        <w:t>final de 2003 la CVR dedicó un apartado a los hechos sucedidos  en  el</w:t>
        <w:br/>
        <w:t>penal Miguel Castro Castro titulado “Las  ejecuciones  extrajudiciales</w:t>
        <w:br/>
        <w:t>en el penal de Canto Grande (1992)”.  En cuanto al  contexto  presente</w:t>
        <w:br/>
        <w:t>en mayo de 1992, época de los hechos, es ilustrativo lo  señalado  por</w:t>
        <w:br/>
        <w:t>la CVR en el sentido de que a partir del golpe de Estado de 5 de abril</w:t>
        <w:br/>
        <w:t>de 1992, y con el fin de combatir a grupos subversivos y  terroristas,</w:t>
        <w:br/>
        <w:t>el Estado implementó en las prisiones prácticas incompatibles  con  la</w:t>
        <w:br/>
        <w:t>efectiva protección del derecho a la vida y otros derechos, tales como</w:t>
        <w:br/>
        <w:t>ejecuciones extrajudiciales y tratos crueles e inhumanos, así como  el</w:t>
        <w:br/>
        <w:t>“uso desproporcionado de la fuerza en  circunstancias  críticas”.   En</w:t>
        <w:br/>
        <w:t>cuanto a un contexto más general la CVR también indicó que</w:t>
        <w:br/>
        <w:br/>
        <w:t xml:space="preserve">      a partir del golpe de Estado del 5 de abril de 1992 se  estableció  un</w:t>
        <w:br/>
        <w:t xml:space="preserve">      régimen de facto que suspendió la  institucionalidad  democrática  del</w:t>
        <w:br/>
        <w:t xml:space="preserve">      país a través de la abierta intervención en el Poder Judicial,  en  el</w:t>
        <w:br/>
        <w:t xml:space="preserve">      Tribunal Constitucional, en el Ministerio Público y en  otros  órganos</w:t>
        <w:br/>
        <w:t xml:space="preserve">      constitucionales. Se gobernó  por  decreto  a  través  del  denominado</w:t>
        <w:br/>
        <w:t xml:space="preserve">      “Gobierno de Emergencia y  Re-construcción  Nacional”,  que  concentró</w:t>
        <w:br/>
        <w:t xml:space="preserve">      durante un breve lapso las funciones  ejecutivas  y  legislativas  del</w:t>
        <w:br/>
        <w:t xml:space="preserve">      Estado, neutralizando en la práctica el control  político  y  judicial</w:t>
        <w:br/>
        <w:t xml:space="preserve">      sobre sus actos.</w:t>
        <w:br/>
        <w:br/>
        <w:t>206.  También es preciso resaltar que en el referido informe final  de</w:t>
        <w:br/>
        <w:t>la CVR se analizó que, dentro de ese contexto  de  violaciones  a  los</w:t>
        <w:br/>
        <w:t>derechos humanos durante el conflicto interno, las mujeres  se  vieron</w:t>
        <w:br/>
        <w:t>afectadas por la violencia de manera diferente a los hombres.  La  CVR</w:t>
        <w:br/>
        <w:t>incluyó en su informe un capítulo específico sobre la violencia sexual</w:t>
        <w:br/>
        <w:t>contra  las  mujeres  y  también  se  refirió  a  la   situación   que</w:t>
        <w:br/>
        <w:t>experimentaron  las  madres  recluidas  en   centros   penitenciarios.</w:t>
        <w:br/>
        <w:t>Asimismo, en dicho  informe  se  concluyó  que  durante  el  conflicto</w:t>
        <w:br/>
        <w:t>interno  y  con   motivo  de  éste  los   agentes   estatales   fueron</w:t>
        <w:br/>
        <w:t>responsables de aproximadamente un  83%  de  los  casos  de  violación</w:t>
        <w:br/>
        <w:t>sexual contra las mujeres.</w:t>
        <w:br/>
        <w:br/>
        <w:t>207.  Asimismo, otro acto estatal  de  reconocimiento  de  las  graves</w:t>
        <w:br/>
        <w:t>violaciones a los  derechos  humanos  que  se  dieron  en  el  período</w:t>
        <w:br/>
        <w:t>comprendido de mayo de 1980 a noviembre de 2000  fue  la  promulgación</w:t>
        <w:br/>
        <w:t>por el Congreso del Perú de la Ley No. 28592 el 20 de julio  de  2005,</w:t>
        <w:br/>
        <w:t>la cual “tiene por objeto  establecer  el  Marco  Normativo  del  Plan</w:t>
        <w:br/>
        <w:t>Integral de Reparaciones  –PIR  para  las  víctimas  de  la  violencia</w:t>
        <w:br/>
        <w:t>ocurrida durante [dicho] período”, con el fin de dar seguimiento a las</w:t>
        <w:br/>
        <w:t>recomendaciones de la CVR.</w:t>
        <w:br/>
        <w:br/>
        <w:t>208.  También resulta pertinente resaltar que la Defensoría del Pueblo</w:t>
        <w:br/>
        <w:t>del Perú se ha referido en varios  informes a tal contexto, y  ha dado</w:t>
        <w:br/>
        <w:t>seguimiento al proceso de reparación de las víctimas de  la  violencia</w:t>
        <w:br/>
        <w:t>de dicha época y, en particular, se ha pronunciado sobre la  forma  en</w:t>
        <w:br/>
        <w:t>que se han investigado las  denuncias  por  tales  violaciones  a  los</w:t>
        <w:br/>
        <w:t>derechos humanos[123].</w:t>
        <w:br/>
        <w:br/>
        <w:t>209.  La investigación  interna  que  correspondía  realizar  por  los</w:t>
        <w:br/>
        <w:t>hechos de este caso se vio afectada  por  la  situación  de  impunidad</w:t>
        <w:br/>
        <w:t>imperante en el Perú en aquella época  de  graves  violaciones  a  los</w:t>
        <w:br/>
        <w:t>derechos humanos. Recientemente, trece años después de  ocurridos  los</w:t>
        <w:br/>
        <w:t>hechos, el 16 de junio de 2005  un  juzgado  abrió  un  proceso  penal</w:t>
        <w:br/>
        <w:t>correspondiente a la investigación de hechos suscitados  en  el  Penal</w:t>
        <w:br/>
        <w:t>Castro Castro entre los días 6 y 9 de mayo de 1992, aspectos que serán</w:t>
        <w:br/>
        <w:t>analizados en el capítulo sobre la alegada violación a los artículos 8</w:t>
        <w:br/>
        <w:t>y 25 de la Convención (infra párrs. 372 a 408). Hace casi  tres  meses</w:t>
        <w:br/>
        <w:t>se ordenó abrir instrucción en un proceso penal en  la  vía  ordinaria</w:t>
        <w:br/>
        <w:t>contra Alberto  Fujimori  Fujimori  por  algunos  de  los  hechos  del</w:t>
        <w:br/>
        <w:t>presente caso (supra párr. 197.75), en cuyo auto de apertura  el  juez</w:t>
        <w:br/>
        <w:t>penal indicó, inter alia, que:</w:t>
        <w:br/>
        <w:br/>
        <w:t xml:space="preserve">      fluye de las investigaciones preliminares, que se incrimina a ALBERTO</w:t>
        <w:br/>
        <w:t xml:space="preserve">      FUJIMORI FUJIMORI, en su calidad de Ex  Presidente  del  Gobierno  de</w:t>
        <w:br/>
        <w:t xml:space="preserve">      Reconstrucción Nacional y Jefe  Supremo  de  las  Fuerzas  Armadas  y</w:t>
        <w:br/>
        <w:t xml:space="preserve">      Policiales del Perú, haber ordenado la planificación y  ejecución  de</w:t>
        <w:br/>
        <w:t xml:space="preserve">      un plan para asesinar a dirigentes e integrantes de Sendero Luminoso,</w:t>
        <w:br/>
        <w:t xml:space="preserve">      sucesos acontecidos en el Establecimiento Penal  de  Regimen  Cerrado</w:t>
        <w:br/>
        <w:t xml:space="preserve">      Especial Miguel Castro Castro, entre el seis al diez de mayo  de  mil</w:t>
        <w:br/>
        <w:t xml:space="preserve">      novecientos noventidós, para lo cual el denunciado, como parte de  su</w:t>
        <w:br/>
        <w:t xml:space="preserve">      estrategia integral contra el terrorismo, que anunciara  después  del</w:t>
        <w:br/>
        <w:t xml:space="preserve">      denominado autogolpe de  Estado  de  fecha  cinco  de  abril  de  mil</w:t>
        <w:br/>
        <w:t xml:space="preserve">      novecientos noventa y dos, dictó el Decreto  Ley  Número  veinticinco</w:t>
        <w:br/>
        <w:t xml:space="preserve">      mil cuatrocientos veintiuno de fecha seis de abril de mil novecientos</w:t>
        <w:br/>
        <w:t xml:space="preserve">      noventa y dos, declarando en estado de  reorganización  al  Instituto</w:t>
        <w:br/>
        <w:t xml:space="preserve">      Nacional Penitenciario […][124].</w:t>
        <w:br/>
        <w:br/>
        <w:br/>
        <w:br/>
        <w:t>El llamado “Operativo Mudanza 1” que inició el 6 de mayo de 1992</w:t>
        <w:br/>
        <w:br/>
        <w:t>210.  En el contexto descrito, el Estado realizó el llamado “Operativo</w:t>
        <w:br/>
        <w:t>Mudanza 1”, que según fuentes oficiales pretendía el traslado  de  las</w:t>
        <w:br/>
        <w:t>internas que se encontraban en el pabellón 1A del Penal Miguel  Castro</w:t>
        <w:br/>
        <w:t>Castro a otra cárcel de máxima seguridad de mujeres. En  ese  pabellón</w:t>
        <w:br/>
        <w:t>se hallaban aproximadamente 135 internas mujeres y 50  varones  (supra</w:t>
        <w:br/>
        <w:t>párr. 197.13).  Asimismo, se encuentra acreditado que  el  “operativo”</w:t>
        <w:br/>
        <w:t>también se dirigió contra el pabellón 4B de dicho centro penal, en  el</w:t>
        <w:br/>
        <w:t>que  había  aproximadamente  400  internos  varones.  Las  internas  e</w:t>
        <w:br/>
        <w:t>internos ubicados en esos pabellones del penal se encontraban acusados</w:t>
        <w:br/>
        <w:t>o sentenciados por los delitos  de  terrorismo  o  de  traición  a  la</w:t>
        <w:br/>
        <w:t>patria, y eran presuntamente  miembros  del  Sendero  Luminoso  (supra</w:t>
        <w:br/>
        <w:t>párr. 197.13).</w:t>
        <w:br/>
        <w:br/>
        <w:t>211.  En cuanto al inicio de este “operativo”, las partes coinciden en</w:t>
        <w:br/>
        <w:t>que el primer acto se presentó el 6 de mayo de 1992 aproximadamente  a</w:t>
        <w:br/>
        <w:t>las 4:00 horas, cuando efectivos de las fuerzas de seguridad  peruanas</w:t>
        <w:br/>
        <w:t>iniciaron una incursión en el pabellón  1A,  derribando  parte  de  la</w:t>
        <w:br/>
        <w:t>pared mediante el uso de explosivos, para lo cual se  produjeron  tres</w:t>
        <w:br/>
        <w:t>detonaciones  sucesivas.  Simultáneamente,  los  efectivos  policiales</w:t>
        <w:br/>
        <w:t>abrieron huecos en los techos,  desde  los  cuales  dispararon  (supra</w:t>
        <w:br/>
        <w:t>párr. 197.20). Ello se encuentra apoyado por  la  prueba  aportada  al</w:t>
        <w:br/>
        <w:t>expediente de este caso.</w:t>
        <w:br/>
        <w:br/>
        <w:t>212.  No escapa a la consideración de  la  Corte  la  magnitud  de  la</w:t>
        <w:br/>
        <w:t>fuerza utilizada en ese primer acto del “operativo”  realizado  en  la</w:t>
        <w:br/>
        <w:t>madrugada del 6 de mayo de 1992. La Comisión resaltó en su demanda que</w:t>
        <w:br/>
        <w:t>“las fuerzas de seguridad del Estado emplearon, desde  el  inicio  del</w:t>
        <w:br/>
        <w:t>‘operativo’, fuerza excesiva e inclusive material bélico que  ocasionó</w:t>
        <w:br/>
        <w:t>la destrucción parcial de los pabellones”.</w:t>
        <w:br/>
        <w:br/>
        <w:t>213.  Según las explicaciones del Estado, en la época de los hechos se</w:t>
        <w:br/>
        <w:t>utilizó la fuerza  porque  los  internos  se  encontraban  amotinados.</w:t>
        <w:br/>
        <w:t>Sobre  este  punto,  la  Comisión  señaló  en  la  demanda  que   “las</w:t>
        <w:br/>
        <w:t>autoridades encontraron resistencia” para realizar el  “operativo”  de</w:t>
        <w:br/>
        <w:t>traslado y ello “desencadenó en la utilización de la  fuerza”,  aunque</w:t>
        <w:br/>
        <w:t>en su escrito de alegatos finales se refiere a que  “supuestamente  se</w:t>
        <w:br/>
        <w:t>produjo resistencia al traslado”.   En  la  misma  demanda  asume  una</w:t>
        <w:br/>
        <w:t>posición poco clara al indicar que “es irrelevante  quien  ejecutó  la</w:t>
        <w:br/>
        <w:t>primera agresión […]”. Asimismo, en la demanda la Comisión afirmó  que</w:t>
        <w:br/>
        <w:t>se cometió una “masacre […]  contra  los  internos  del  Centro  Penal</w:t>
        <w:br/>
        <w:t>‘Miguel Castro Castro’”. En la demanda también señaló que “[e]l  hecho</w:t>
        <w:br/>
        <w:t>de que los internos recluidos en los pabellones ‘1A’ y ‘4B’ del  penal</w:t>
        <w:br/>
        <w:t>‘Castro Castro’ contaran con armas,  cuyo  número,  características  y</w:t>
        <w:br/>
        <w:t>funcionalidad era desconocida por las fuerzas  de  seguridad  peruanas</w:t>
        <w:br/>
        <w:t>evidenciaba una voluntad de resistencia al operativo de traslado[,  …]</w:t>
        <w:br/>
        <w:t>situación [que] autorizaba el uso gradual de fuerza”.   Estas  últimas</w:t>
        <w:br/>
        <w:t>afirmaciones no fueron sostenidas por la Comisión  en  su  escrito  de</w:t>
        <w:br/>
        <w:t>alegatos finales, sino que al referirse a la “ejecución  extrajudicial</w:t>
        <w:br/>
        <w:t>de internos desarmados”, la Comisión señaló en dichos alegatos que “en</w:t>
        <w:br/>
        <w:t>casos como los del Penal Castro Castro […] se constata que el  uso  de</w:t>
        <w:br/>
        <w:t>armas de fuego no es necesario y que[,] en todo  caso,  la  motivación</w:t>
        <w:br/>
        <w:t>anunciada para la operación no es la real”.</w:t>
        <w:br/>
        <w:br/>
        <w:t>214.  La interviniente común  señaló  que  no  existía  un  motín  que</w:t>
        <w:br/>
        <w:t>justificara el uso de fuerza por parte del Estado, y que “[n]ada en la</w:t>
        <w:br/>
        <w:t>prueba actuada durante el proceso ante la Comisión probó que en efecto</w:t>
        <w:br/>
        <w:t>el operativo ‘Mudanza I’ fue  un  operativo  legal  con  fines  de  un</w:t>
        <w:br/>
        <w:t>traslado de prisioneros”.  Asimismo, la interviniente indicó que “[l]a</w:t>
        <w:br/>
        <w:t>Comisión […] se asienta en la versión de los hechos reflejad[a] en  un</w:t>
        <w:br/>
        <w:t>reporte emanado de un organismo Estatal peruano (la CVR)”, y que dicho</w:t>
        <w:br/>
        <w:t>reporte “se contradice con todo lo  actuado  ante  la  Comisión  misma</w:t>
        <w:br/>
        <w:t>(prueba nunca refutada por el Estado peruano) y más  aún  que  en  sus</w:t>
        <w:br/>
        <w:t>aspectos fundamentales se contradice con las conclusiones  del  órgano</w:t>
        <w:br/>
        <w:t>judicial peruano (Sala Nacional de Terrorismo)  que  investigó  hechos</w:t>
        <w:br/>
        <w:t>relativos a lo sucedido en Castro Castro emitiendo  sentencia  en  los</w:t>
        <w:br/>
        <w:t>primeros meses de 2004”. Además, la interviniente enfatizó  que  “[s]i</w:t>
        <w:br/>
        <w:t>el objeto hubiera sido un ‘necesario’ traslado de mujeres  prisioneras</w:t>
        <w:br/>
        <w:t>a otra prisión ‘porque ya no existía capacidad en  dicho  penal’  ¿por</w:t>
        <w:br/>
        <w:t>qué  se  continuó  llevando  prisioneras  hasta  la  última  semana  a</w:t>
        <w:br/>
        <w:t>precisamente dicho lugar?”.</w:t>
        <w:br/>
        <w:br/>
        <w:t>215.  No ha sido probado ante esta Corte que existiera un motín cuando</w:t>
        <w:br/>
        <w:t>se realizó ese primer acto del  “operativo”,  ni  otra  situación  que</w:t>
        <w:br/>
        <w:t>ameritara el uso legítimo de la fuerza por los agentes del Estado. Por</w:t>
        <w:br/>
        <w:t>el  contrario,  el  comportamiento  observado  por  los   agentes   de</w:t>
        <w:br/>
        <w:t>seguridad, altas autoridades del Estado y otros funcionarios estatales</w:t>
        <w:br/>
        <w:t>durante los  cuatro  días  que  duró  el  “operativo”,  así  como  con</w:t>
        <w:br/>
        <w:t>posterioridad a éste, demuestran que se trató de un  ataque  ejecutado</w:t>
        <w:br/>
        <w:t>para atentar contra la vida e integridad de las  internas  e  internos</w:t>
        <w:br/>
        <w:t>que se encontraban en los pabellones 1A y 4B del Penal  Miguel  Castro</w:t>
        <w:br/>
        <w:t>Castro.</w:t>
        <w:br/>
        <w:br/>
        <w:t>216.  Para llegar a la conclusión de que  no  existía  una  causa  que</w:t>
        <w:br/>
        <w:t>ameritara el uso legítimo de la fuerza por los agentes estatales y que</w:t>
        <w:br/>
        <w:t>se trató de  un  ataque  ejecutado  para  atentar  contra  la  vida  e</w:t>
        <w:br/>
        <w:t>integridad de las internas  e  internos  que  se  encontraban  en  los</w:t>
        <w:br/>
        <w:t>pabellones 1A y 4B, la Corte ha tomado en consideración, entre  otras,</w:t>
        <w:br/>
        <w:t>las  siguientes  actuaciones  y  omisiones  en  que  incurrieron   las</w:t>
        <w:br/>
        <w:t>autoridades estatales en la época de los hechos:</w:t>
        <w:br/>
        <w:br/>
        <w:t xml:space="preserve">    • las autoridades estatales no notificaron que el día 6 de mayo de</w:t>
        <w:br/>
        <w:t xml:space="preserve">      1992 realizarían  un  traslado  de  las  internas  (supra  párr.</w:t>
        <w:br/>
        <w:t xml:space="preserve">      197.15);</w:t>
        <w:br/>
        <w:t xml:space="preserve">    • el primer acto del “operativo” fue sumamente  violento  y  no  hay</w:t>
        <w:br/>
        <w:t xml:space="preserve">      prueba de que los  agentes  estatales  hubieren  recurrido  a  las</w:t>
        <w:br/>
        <w:t xml:space="preserve">      medidas que es indispensable adoptar  previamente  al  uso  de  la</w:t>
        <w:br/>
        <w:t xml:space="preserve">      fuerza; es decir, el primero y único recurso fue el ataque  contra</w:t>
        <w:br/>
        <w:t xml:space="preserve">      las internas;</w:t>
        <w:br/>
        <w:t xml:space="preserve">    • desde el primer acto se utilizaron explosivos para  derribar  la</w:t>
        <w:br/>
        <w:t xml:space="preserve">      pared externa del pabellón 1A (supra párr. 197.20);</w:t>
        <w:br/>
        <w:t xml:space="preserve">    •  desde  el  primer  día  del  “operativo”  y  durante  los  tres</w:t>
        <w:br/>
        <w:t xml:space="preserve">      siguientes se empleó armamento que los  peritos  han  calificado</w:t>
        <w:br/>
        <w:t xml:space="preserve">      como de guerra o propio de una “incursión militar” (supra párrs.</w:t>
        <w:br/>
        <w:t xml:space="preserve">      186  y  187),  tales  como  granadas  tipo  instalazza,  bombas,</w:t>
        <w:br/>
        <w:t xml:space="preserve">      cohetes, helicópteros de artillería,  morteros  y  tanques,  así</w:t>
        <w:br/>
        <w:t xml:space="preserve">      como  también  utilizaron  bombas  lacrimógenas,   vomitivas   y</w:t>
        <w:br/>
        <w:t xml:space="preserve">      paralizantes en contra de los  internos.   El  perito  Peerwani,</w:t>
        <w:br/>
        <w:t xml:space="preserve">      quien es experto forense  (supra  párr.  187),  resaltó  que  se</w:t>
        <w:br/>
        <w:t xml:space="preserve">      utilizaron armas de  gran  velocidad  que  se  caracterizan  por</w:t>
        <w:br/>
        <w:t xml:space="preserve">      producir una mayor destrucción en los tejidos y muchas   heridas</w:t>
        <w:br/>
        <w:t xml:space="preserve">      internas en el  cuerpo,  además  que  llevan  consigo  una  gran</w:t>
        <w:br/>
        <w:t xml:space="preserve">      cantidad de  energía  cinética,  que  tiende  a  rebotar  en  su</w:t>
        <w:br/>
        <w:t xml:space="preserve">      objetivo, causando aún más daño;</w:t>
        <w:br/>
        <w:t xml:space="preserve">    • la magnitud de la fuerza empleada también se desprende de que en</w:t>
        <w:br/>
        <w:t xml:space="preserve">      el “operativo” participaron agentes de la policía, del  ejército</w:t>
        <w:br/>
        <w:t xml:space="preserve">      y de fuerzas especiales tales como DINOES,  UDEX,  SUAT  y  USE,</w:t>
        <w:br/>
        <w:t xml:space="preserve">      quienes incluso se ubicaron como francotiradores en  los  techos</w:t>
        <w:br/>
        <w:t xml:space="preserve">      del penal y dispararon contra los internos (supra párr. 197.21);</w:t>
        <w:br/>
        <w:t xml:space="preserve">    • el tipo de heridas sufridas por los internos confirman  que  los</w:t>
        <w:br/>
        <w:t xml:space="preserve">      prisioneros esquivaron descargas de  armas  de  fuego  dirigidas</w:t>
        <w:br/>
        <w:t xml:space="preserve">      hacia  ellos;  y  algunos  prisioneros  murieron  a   causa   de</w:t>
        <w:br/>
        <w:t xml:space="preserve">      explosiones  y  quemaduras  (supra  párr.  187).  Asimismo,  los</w:t>
        <w:br/>
        <w:t xml:space="preserve">      prisioneros  presentaban  heridas  en  la  espalda  y   en   las</w:t>
        <w:br/>
        <w:t xml:space="preserve">      extremidades. Además, la mayoría de los internos que fallecieron</w:t>
        <w:br/>
        <w:t xml:space="preserve">      presentaban entre 3 y 12 impactos de bala en zonas de la  cabeza</w:t>
        <w:br/>
        <w:t xml:space="preserve">      y el tórax (supra párr. 197.39);</w:t>
        <w:br/>
        <w:t xml:space="preserve">    • a pesar de que durante  el  desarrollo  del  “operativo”  varios</w:t>
        <w:br/>
        <w:t xml:space="preserve">      órganos internacionales y  otras  organizaciones  ofrecieron  su</w:t>
        <w:br/>
        <w:t xml:space="preserve">      intervención para que cesara la violencia, el Estado no  utilizó</w:t>
        <w:br/>
        <w:t xml:space="preserve">      medios que no fueran la fuerza letal (supra párr. 197.35);</w:t>
        <w:br/>
        <w:t xml:space="preserve">    •  en  el  último  día  del  “operativo”  los  agentes   estatales</w:t>
        <w:br/>
        <w:t xml:space="preserve">      dispararon contra los internos que  salieron  del  pabellón  4B,</w:t>
        <w:br/>
        <w:t xml:space="preserve">      después de  haber  pedido  que  no  les  dispararan;  es  decir,</w:t>
        <w:br/>
        <w:t xml:space="preserve">      dispararon indiscriminadamente contra internos que estaban  bajo</w:t>
        <w:br/>
        <w:t xml:space="preserve">      el control de las autoridades estatales, y  no  significaban  un</w:t>
        <w:br/>
        <w:t xml:space="preserve">      peligro que ameritara el uso de la fuerza (supra párr. 197.37);</w:t>
        <w:br/>
        <w:t xml:space="preserve">    • algunos internos que se  encontraban  bajo  el  control  de  las</w:t>
        <w:br/>
        <w:t xml:space="preserve">      autoridades estatales fueron separados del  grupo  y  ejecutados</w:t>
        <w:br/>
        <w:t xml:space="preserve">      por agentes estatales (supra párr. 197.38);</w:t>
        <w:br/>
        <w:t xml:space="preserve">    • durante los días del “operativo” se publicó que, en al menos dos</w:t>
        <w:br/>
        <w:t xml:space="preserve">      ocasiones (supra párr. 197.28 y 197.30), el entonces  Presidente</w:t>
        <w:br/>
        <w:t xml:space="preserve">      de  la  República,  Alberto   Fujimori,   se   reunió   en   las</w:t>
        <w:br/>
        <w:t xml:space="preserve">      instalaciones de la Comandancia General del  Ejército,  conocida</w:t>
        <w:br/>
        <w:t xml:space="preserve">      como “Pentagonito”, con el Consejo de  Ministros  y  autoridades</w:t>
        <w:br/>
        <w:t xml:space="preserve">      policiales y militares, para evaluar la situación  del  penal  y</w:t>
        <w:br/>
        <w:t xml:space="preserve">      determinar las acciones por seguir. Asimismo, el día 10 de  mayo</w:t>
        <w:br/>
        <w:t xml:space="preserve">      Fujimori se presentó en el penal y caminó entre los  prisioneros</w:t>
        <w:br/>
        <w:t xml:space="preserve">      tendidos boca abajo en el  suelo  de  los  patios  del  presidio</w:t>
        <w:br/>
        <w:t xml:space="preserve">      (supra párr. 197.42);</w:t>
        <w:br/>
        <w:t xml:space="preserve">    • una vez terminado el “operativo” y  encontrándose  los  internos</w:t>
        <w:br/>
        <w:t xml:space="preserve">      bajo el control de  las  autoridades  estatales,  el  Estado  no</w:t>
        <w:br/>
        <w:t xml:space="preserve">      brindó a  algunos  de  ellos  la  necesaria  asistencia  médica,</w:t>
        <w:br/>
        <w:t xml:space="preserve">      durante horas, y a otros durante días, como consecuencia  de  lo</w:t>
        <w:br/>
        <w:t xml:space="preserve">      cual algunos murieron y otros resultaron  con  secuelas  físicas</w:t>
        <w:br/>
        <w:t xml:space="preserve">      permanentes (supra párr. 197.43 y 197.47);</w:t>
        <w:br/>
        <w:t xml:space="preserve">    • después de concluido el  “operativo”  algunos  de  los  internos</w:t>
        <w:br/>
        <w:t xml:space="preserve">      heridos que permanecieron durante horas  sin  asistencia  médica</w:t>
        <w:br/>
        <w:t xml:space="preserve">      fueron llevados a hospitales, en los  que  varios  de  ellos  no</w:t>
        <w:br/>
        <w:t xml:space="preserve">      recibieron los medicamentos que requerían (supra párr.  197.47);</w:t>
        <w:br/>
        <w:t xml:space="preserve">      y</w:t>
        <w:br/>
        <w:t xml:space="preserve">    • las autoridades estatales incurrieron en graves omisiones en  la</w:t>
        <w:br/>
        <w:t xml:space="preserve">      recolección,  preservación  y  análisis  de  la  prueba:  no  se</w:t>
        <w:br/>
        <w:t xml:space="preserve">      hicieron pruebas toxicológicas; no se recolectó  evidencia  como</w:t>
        <w:br/>
        <w:t xml:space="preserve">      casquillos de balas o fragmentos de metal; no  se   recolectaron</w:t>
        <w:br/>
        <w:t xml:space="preserve">      huellas digitales ni la ropa  de  los  fallecidos  (supra  párr.</w:t>
        <w:br/>
        <w:t xml:space="preserve">      187); los protocolos de necropsia y los dictámenes periciales de</w:t>
        <w:br/>
        <w:t xml:space="preserve">      balística forense practicados en  los  internos  occisos  fueron</w:t>
        <w:br/>
        <w:t xml:space="preserve">      realizados de forma incompleta;  no  se  preservaron  las  armas</w:t>
        <w:br/>
        <w:t xml:space="preserve">      incautadas en el “operativo” ni  los  proyectiles  de  armas  de</w:t>
        <w:br/>
        <w:t xml:space="preserve">      fuego extraídos de los cadáveres, así como  los  encontrados  en</w:t>
        <w:br/>
        <w:t xml:space="preserve">      los pabellones 1A y 4B, y en la “rotonda” y  “tierra  de  nadie”</w:t>
        <w:br/>
        <w:t xml:space="preserve">      del Penal Castro Castro; y recientemente el 21 de abril de  2006</w:t>
        <w:br/>
        <w:t xml:space="preserve">      se llevó a cabo una diligencia  de  inspección  judicial  en  el</w:t>
        <w:br/>
        <w:t xml:space="preserve">      penal (supra párr. 197.74).</w:t>
        <w:br/>
        <w:br/>
        <w:t>217.  Es importante observar las diferencias que hubo en el número  de</w:t>
        <w:br/>
        <w:t>bajas: 41 internos identificados y un policía, así como el  número  de</w:t>
        <w:br/>
        <w:t>internos   heridos   (aproximadamente   190)    en    contraste    con</w:t>
        <w:br/>
        <w:t>aproximadamente 9 agentes policiales heridos (supra párr. 197.40).  El</w:t>
        <w:br/>
        <w:t>Estado no ha establecido la causa de la muerte del policía ni  de  las</w:t>
        <w:br/>
        <w:t>heridas de los referidos agentes.</w:t>
        <w:br/>
        <w:br/>
        <w:t>218.  En este orden de consideraciones es preciso hacer  referencia  a</w:t>
        <w:br/>
        <w:t>lo establecido en la sentencia emitida el 3 de febrero de 2004 por  la</w:t>
        <w:br/>
        <w:t>Sala Nacional para Terrorismo de la Corte Suprema de Justicia del Perú</w:t>
        <w:br/>
        <w:t>(supra párr. 197.67), que absolvió a los cuatro internos  acusados  de</w:t>
        <w:br/>
        <w:t>terrorismo, violación de la libertad personal, exposición  o  abandono</w:t>
        <w:br/>
        <w:t>de personas en peligro, tenencia ilegal de armas y material  explosivo</w:t>
        <w:br/>
        <w:t>y violencia y resistencia a la autoridad  “en  agravio  del  Estado  y</w:t>
        <w:br/>
        <w:t>otros”, con base  en  los  hechos  suscitados  como  consecuencia  del</w:t>
        <w:br/>
        <w:t>desarrollo del “Operativo Mudanza 1”.   En  dicha  sentencia  la  Sala</w:t>
        <w:br/>
        <w:t>Nacional de Terrorismo estableció, inter alia, que “el 6  de  mayo  de</w:t>
        <w:br/>
        <w:t>1992 los internos de los pabellones Uno A y cuatro B no se encontraban</w:t>
        <w:br/>
        <w:t>amotinados, ni  llevando  a  cabo  acto  de  fuerza  o  despliegue  de</w:t>
        <w:br/>
        <w:t>violencia alguna que hubiere justificado una intervención de la fuerza</w:t>
        <w:br/>
        <w:t>pública de las características del operativo ‘Mudanza I’”.  La  prueba</w:t>
        <w:br/>
        <w:t>testimonial rendida ante esta Corte también coincide en que no existía</w:t>
        <w:br/>
        <w:t>un motín de los internos cuando el Estado dio inicio al ataque  (supra</w:t>
        <w:br/>
        <w:t>párrs. 186 y 187).</w:t>
        <w:br/>
        <w:br/>
        <w:t>219.  Debido a que esta Corte ha tenido por probado que no existía  un</w:t>
        <w:br/>
        <w:t>motín ni otra situación que ameritara el uso legítimo de la fuerza  al</w:t>
        <w:br/>
        <w:t>inicio del “Operativo Mudanza 1”, resulta  innecesario  e  irrelevante</w:t>
        <w:br/>
        <w:t>entrar a considerar la controversia sobre la posesión y utilización de</w:t>
        <w:br/>
        <w:t>armas por parte de los internos, punto respecto  del  cual  no  existe</w:t>
        <w:br/>
        <w:t>prueba concluyente.</w:t>
        <w:br/>
        <w:br/>
        <w:t>220.  En el presente caso es claro que los actos estatales del llamado</w:t>
        <w:br/>
        <w:t>“Operativo Mudanza  1”,  que  duró  cuatro  días,  fueron  ampliamente</w:t>
        <w:br/>
        <w:t>difundidos en la sociedad peruana, fueron tratados por los  medios  de</w:t>
        <w:br/>
        <w:t>comunicación  y  públicamente  por  las  autoridades  estatales   como</w:t>
        <w:br/>
        <w:t>acciones estatales tendientes a controlar un amotinamiento de reclusos</w:t>
        <w:br/>
        <w:t>considerados como miembros de grupos  subversivos,  así  como  también</w:t>
        <w:br/>
        <w:t>significaron una exposición pública acerca de la magnitud   de  fuerza</w:t>
        <w:br/>
        <w:t>que el Estado era capaz de utilizar en la lucha antisubversiva.</w:t>
        <w:br/>
        <w:br/>
        <w:t>221.  Los hechos, realizados de forma directa  por  agentes  estatales</w:t>
        <w:br/>
        <w:t>cuya actuación se encontraba protegida por su autoridad, se dirigieron</w:t>
        <w:br/>
        <w:t>contra personas recluidas  en  un  centro  penal  estatal,  es  decir,</w:t>
        <w:br/>
        <w:t>personas respecto de quienes el Estado  tenía  la  responsabilidad  de</w:t>
        <w:br/>
        <w:t>adoptar medidas de seguridad y protección especiales, en su  condición</w:t>
        <w:br/>
        <w:t>de garante directo de sus derechos, puesto que aquellas se encontraban</w:t>
        <w:br/>
        <w:t>bajo su custodia[125].</w:t>
        <w:br/>
        <w:br/>
        <w:t>222.  Otro dato importante que  este  Tribunal  tomará  en  cuenta  al</w:t>
        <w:br/>
        <w:t>analizar la  responsabilidad  internacional  del  Estado  es  que  los</w:t>
        <w:br/>
        <w:t>referidos actos de violencia extrema del llamado “Operativo Mudanza 1”</w:t>
        <w:br/>
        <w:t>se encontraron dirigidos,  en  primer  término,  contra  las  internas</w:t>
        <w:br/>
        <w:t>recluidas en el pabellón 1A del  Penal  Miguel  Castro  Castro  (supra</w:t>
        <w:br/>
        <w:t>párr. 197.20).  Posteriormente se dirigió la fuerza contra el pabellón</w:t>
        <w:br/>
        <w:t>4B del penal (supra párr. 197.23, 197.24 y 197. 31), una vez  que  las</w:t>
        <w:br/>
        <w:t>internas empezaron a pasar a este pabellón para protegerse, y que  los</w:t>
        <w:br/>
        <w:t>internos del 4B comenzaron a ayudarlas.  En la época  de  los  hechos,</w:t>
        <w:br/>
        <w:t>las altas autoridades estatales consideraban que esas mujeres ubicadas</w:t>
        <w:br/>
        <w:t>en el pabellón 1A eran miembros de organizaciones subversivas  y  ello</w:t>
        <w:br/>
        <w:t>determinaba, en gran medida, la actuación estatal.</w:t>
        <w:br/>
        <w:br/>
        <w:t>223.  Al analizar los hechos y sus consecuencias la  Corte  tomará  en</w:t>
        <w:br/>
        <w:t>cuenta que las mujeres se vieron afectadas por los actos de  violencia</w:t>
        <w:br/>
        <w:t>de manera diferente a los hombres, que algunos actos de  violencia  se</w:t>
        <w:br/>
        <w:t>encontraron dirigidos específicamente a ellas y otros les afectaron en</w:t>
        <w:br/>
        <w:t>mayor proporción que a los hombres.  Ha sido reconocido  por  diversos</w:t>
        <w:br/>
        <w:t>órganos peruanos e internacionales que durante los conflictos  armados</w:t>
        <w:br/>
        <w:t>las mujeres enfrentan situaciones  específicas  de  afectación  a  sus</w:t>
        <w:br/>
        <w:t>derechos humanos, como lo son los actos de violencia sexual,  la  cual</w:t>
        <w:br/>
        <w:t>en muchas  ocasiones  es  utilizada  como  “un  medio  simbólico  para</w:t>
        <w:br/>
        <w:t>humillar a la parte contraria”[126].</w:t>
        <w:br/>
        <w:br/>
        <w:t>224.  Es reconocido que durante  los  conflictos  armados  internos  e</w:t>
        <w:br/>
        <w:t>internacionales las partes que  se  enfrentan  utilizan  la  violencia</w:t>
        <w:br/>
        <w:t>sexual contra las mujeres como un medio de  castigo  y  represión.  La</w:t>
        <w:br/>
        <w:t>utilización del poder estatal para violar los derechos de las  mujeres</w:t>
        <w:br/>
        <w:t>en un conflicto  interno,  además  de  afectarles  a  ellas  de  forma</w:t>
        <w:br/>
        <w:t>directa, puede tener el objetivo de causar un efecto en la sociedad  a</w:t>
        <w:br/>
        <w:t>través de esas violaciones y dar un mensaje o lección.</w:t>
        <w:br/>
        <w:br/>
        <w:t>225.  Al respecto, en su Informe Final la  Comisión  de  la  Verdad  y</w:t>
        <w:br/>
        <w:t>Reconciliación del Perú afirmó que en el conflicto armado existió “una</w:t>
        <w:br/>
        <w:t>práctica […] de violaciones sexuales y violencia sexual contra mujeres</w:t>
        <w:br/>
        <w:t>principalmente”, la cual “es imputable […] en primer término a agentes</w:t>
        <w:br/>
        <w:t>estatales [… y] en menor medida a miembros de los grupos subversivos”.</w:t>
        <w:br/>
        <w:t xml:space="preserve"> Asimismo, la CVR señaló que durante el referido conflicto  los  actos</w:t>
        <w:br/>
        <w:t>de violencia sexual contra las mujeres tenían como objetivos castigar,</w:t>
        <w:br/>
        <w:t>intimidar, presionar, humillar y degradar a la población.</w:t>
        <w:br/>
        <w:br/>
        <w:t>226.  La Corte ha constatado que diversos actos que se  dieron  en  el</w:t>
        <w:br/>
        <w:t>presente caso en perjuicio de las  mujeres  respondieron  al  referido</w:t>
        <w:br/>
        <w:t>contexto de violencia contra la mujer en dicho conflicto armado (infra</w:t>
        <w:br/>
        <w:t>párrs. 306 a 313).</w:t>
        <w:br/>
        <w:br/>
        <w:t>227.  Con base en lo expuesto en este  capítulo  en  relación  con  el</w:t>
        <w:br/>
        <w:t>contexto en que ocurrieron los hechos y sobre la ejecución del llamado</w:t>
        <w:br/>
        <w:t>“Operativo Mudanza 1”, que buscaba atentar contra la vida e integridad</w:t>
        <w:br/>
        <w:t>de las internas e internos que se encontraban en los pabellones  1A  y</w:t>
        <w:br/>
        <w:t>4B del Penal Castro Castro, la Corte ha tenido por establecido que  en</w:t>
        <w:br/>
        <w:t>el presente caso se presentaron múltiples factores que  determinan  la</w:t>
        <w:br/>
        <w:t>gravedad de tales hechos y que serán considerados  por  este  Tribunal</w:t>
        <w:br/>
        <w:t>para  determinar  las  consecuencias  jurídicas  en   los   siguientes</w:t>
        <w:br/>
        <w:t>capítulos sobre las alegadas violaciones a la Convención Americana.</w:t>
        <w:br/>
        <w:br/>
        <w:t xml:space="preserve">                                      X</w:t>
        <w:br/>
        <w:t xml:space="preserve">                Violación del artículo 4 (Derecho a la Vida)</w:t>
        <w:br/>
        <w:t xml:space="preserve">   de la Convención Americana en relación con el artículo 1.1 de la misma</w:t>
        <w:br/>
        <w:br/>
        <w:br/>
        <w:br/>
        <w:t>Alegatos de la Comisión</w:t>
        <w:br/>
        <w:br/>
        <w:t>228.   En  cuanto  a  la  alegada  violación  del  artículo  4  de  la</w:t>
        <w:br/>
        <w:t>Convención, en relación con el artículo 1.1 de la misma,  la  Comisión</w:t>
        <w:br/>
        <w:t>alegó, en resumen, lo siguiente:</w:t>
        <w:br/>
        <w:br/>
        <w:t xml:space="preserve">      “Falta de prevención y uso excesivo de la fuerza”</w:t>
        <w:br/>
        <w:br/>
        <w:t xml:space="preserve">      a)    hubo una manifiesta falta de previsión de las  autoridades</w:t>
        <w:br/>
        <w:t xml:space="preserve">      peruanas en supervisar y controlar a los internos dentro de  los</w:t>
        <w:br/>
        <w:t xml:space="preserve">      pabellones en los que supuestamente se produjo la resistencia al</w:t>
        <w:br/>
        <w:t xml:space="preserve">      traslado, y en la facilitación del ingreso de armas;</w:t>
        <w:br/>
        <w:br/>
        <w:br/>
        <w:t xml:space="preserve">      b)    al iniciar el operativo el Estado no recurrió a mecanismos</w:t>
        <w:br/>
        <w:t xml:space="preserve">      alternativos tendientes  a  lograr  una  solución  negociada  al</w:t>
        <w:br/>
        <w:t xml:space="preserve">      traslado o a  debilitar  la  capacidad  de  resistencia  de  los</w:t>
        <w:br/>
        <w:t xml:space="preserve">      internos y rechazó en  forma  expresa  la  intervención  de  los</w:t>
        <w:br/>
        <w:t xml:space="preserve">      representantes del Comité Internacional de la Cruz Roja,  de  la</w:t>
        <w:br/>
        <w:t xml:space="preserve">      Comisión Episcopal de Acción Social, de la Coordinadora Nacional</w:t>
        <w:br/>
        <w:t xml:space="preserve">      de Derechos Humanos y de la Comisión Interamericana de  Derechos</w:t>
        <w:br/>
        <w:t xml:space="preserve">      Humanos. Las fuerzas de seguridad del Estado emplearon, desde el</w:t>
        <w:br/>
        <w:t xml:space="preserve">      inicio del  operativo,  fuerza  excesiva  e  inclusive  material</w:t>
        <w:br/>
        <w:t xml:space="preserve">      bélico que ocasionó la destrucción  parcial  de  los  pabellones</w:t>
        <w:br/>
        <w:t xml:space="preserve">      materia del operativo;</w:t>
        <w:br/>
        <w:br/>
        <w:br/>
        <w:t xml:space="preserve">      c)     una acción de traslado de detenidos debe ser  planeada  y</w:t>
        <w:br/>
        <w:t xml:space="preserve">      controlada para reducir al mínimo el uso  de  la  fuerza  y  los</w:t>
        <w:br/>
        <w:t xml:space="preserve">      riesgos para la vida y la  integridad  física  de  las  personas</w:t>
        <w:br/>
        <w:t xml:space="preserve">      involucradas, y debe contar con las previsiones necesarias  para</w:t>
        <w:br/>
        <w:t xml:space="preserve">      determinar las responsabilidades de los  agentes  estatales  que</w:t>
        <w:br/>
        <w:t xml:space="preserve">      hagan uso de las armas;</w:t>
        <w:br/>
        <w:br/>
        <w:t xml:space="preserve">      d)    el uso legítimo de la fuerza pública implica, entre  otros</w:t>
        <w:br/>
        <w:t xml:space="preserve">      factores, que  ésta  debe  ser  necesaria  y  proporcionada.  La</w:t>
        <w:br/>
        <w:t xml:space="preserve">      policía y otros funcionarios encargados de hacer cumplir la  ley</w:t>
        <w:br/>
        <w:t xml:space="preserve">      deben proteger los derechos a la vida, a  la  libertad  y  a  la</w:t>
        <w:br/>
        <w:t xml:space="preserve">      seguridad de la persona, pudiendo emplear la fuerza, únicamente,</w:t>
        <w:br/>
        <w:t xml:space="preserve">      en caso de peligro directo o inminente de muerte o  de  lesiones</w:t>
        <w:br/>
        <w:t xml:space="preserve">      para los propios agentes u otras personas;</w:t>
        <w:br/>
        <w:br/>
        <w:br/>
        <w:t xml:space="preserve">      e)    para resistir el ingreso de la fuerza  pública  al  penal,</w:t>
        <w:br/>
        <w:t xml:space="preserve">      algunos de los internos pudieron haber accionado armas de fuego,</w:t>
        <w:br/>
        <w:t xml:space="preserve">      existiendo discrepancia entre las  partes  respecto  al  número,</w:t>
        <w:br/>
        <w:t xml:space="preserve">      poder, alcance y funcionalidad de dichas armas.  Esta  situación</w:t>
        <w:br/>
        <w:t xml:space="preserve">      no se pudo esclarecer debido al manejo irregular de la evidencia</w:t>
        <w:br/>
        <w:t xml:space="preserve">      y la destrucción parcial de los resultados de la investigación;</w:t>
        <w:br/>
        <w:br/>
        <w:br/>
        <w:t xml:space="preserve">      f)    la prueba aportada por el Estado demuestra que la  mayoría</w:t>
        <w:br/>
        <w:t xml:space="preserve">      de las víctimas mortales presentaban entre 3 y  12  impactos  de</w:t>
        <w:br/>
        <w:t xml:space="preserve">      bala, algunos de éstos en sus  extremidades  inferiores,  y  que</w:t>
        <w:br/>
        <w:t xml:space="preserve">      otras  víctimas  mortales   y   heridos   presentaban   lesiones</w:t>
        <w:br/>
        <w:t xml:space="preserve">      compatibles con las producidas por objetos contundentes o  corto</w:t>
        <w:br/>
        <w:t xml:space="preserve">      punzantes  y  laceraciones  que  pudieran  ser  consecuencia  de</w:t>
        <w:br/>
        <w:t xml:space="preserve">      golpes. Adicionalmente, está  demostrada  la  forma  en  que  se</w:t>
        <w:br/>
        <w:t xml:space="preserve">      ejecutó el operativo desde  un  comienzo,  empleando  explosivos</w:t>
        <w:br/>
        <w:t xml:space="preserve">      para derribar paredes, y hasta su conclusión, con la  demolición</w:t>
        <w:br/>
        <w:t xml:space="preserve">      parcial  del  pabellón  4B  del  penal  Castro  Castro,  lo  que</w:t>
        <w:br/>
        <w:t xml:space="preserve">      evidencia un uso desproporcionado  de  la  fuerza,  y  en  forma</w:t>
        <w:br/>
        <w:t xml:space="preserve">      indiscriminada contra cualquier interno sin atender al hecho  de</w:t>
        <w:br/>
        <w:t xml:space="preserve">      que se hubiera rendido o entregado;</w:t>
        <w:br/>
        <w:br/>
        <w:br/>
        <w:t xml:space="preserve">      g)    el tipo de armamento empleado durante la incursión permite</w:t>
        <w:br/>
        <w:t xml:space="preserve">      concluir que la intención de los agentes estatales era ocasionar</w:t>
        <w:br/>
        <w:t xml:space="preserve">      grave daño físico y psicológico, así  como  la  eliminación  del</w:t>
        <w:br/>
        <w:t xml:space="preserve">      mayor número de internos posible;</w:t>
        <w:br/>
        <w:br/>
        <w:t xml:space="preserve">      h)    la falta de prevención de las autoridades para impedir  el</w:t>
        <w:br/>
        <w:t xml:space="preserve">      ingreso de armas al centro penal y su posesión, la  tenencia  de</w:t>
        <w:br/>
        <w:t xml:space="preserve">      explosivos de fabricación casera por parte de los internos, y el</w:t>
        <w:br/>
        <w:t xml:space="preserve">      uso desproporcionado de la fuerza a lo largo de los 4  días  que</w:t>
        <w:br/>
        <w:t xml:space="preserve">      duró la incursión,  permiten  atribuir  al  Estado  las  muertes</w:t>
        <w:br/>
        <w:t xml:space="preserve">      ocurridas desde el primer día del operativo  "Mudanza  1"  hasta</w:t>
        <w:br/>
        <w:t xml:space="preserve">      los instantes anteriores a la rendición de los reclusos, el 9 de</w:t>
        <w:br/>
        <w:t xml:space="preserve">      mayo de 1992, constituyendo violaciones  al  artículo  4  de  la</w:t>
        <w:br/>
        <w:t xml:space="preserve">      Convención Americana  y  un  inclumplimiento  de  la  obligación</w:t>
        <w:br/>
        <w:t xml:space="preserve">      general de respeto y garantía contemplada en el artículo 1.1  de</w:t>
        <w:br/>
        <w:t xml:space="preserve">      la misma;</w:t>
        <w:br/>
        <w:br/>
        <w:br/>
        <w:t xml:space="preserve">      “Ejecuciones extrajudiciales”</w:t>
        <w:br/>
        <w:br/>
        <w:br/>
        <w:t xml:space="preserve">      i)     en  los  alegatos  finales  indicó  que  “la   falta   de</w:t>
        <w:br/>
        <w:t xml:space="preserve">      capacitación así como la  falta  de  control  del  operativo  se</w:t>
        <w:br/>
        <w:t xml:space="preserve">      evidencia, en casos como el del penal Castro Castro,  en  hechos</w:t>
        <w:br/>
        <w:t xml:space="preserve">      que  degeneran  en  la  ejecución  extrajudicial   de   internos</w:t>
        <w:br/>
        <w:t xml:space="preserve">      desarmados. En estos casos se constata que el uso  de  armas  de</w:t>
        <w:br/>
        <w:t xml:space="preserve">      fuego no es  necesario  y  que,  en  todo  caso,  la  motivación</w:t>
        <w:br/>
        <w:t xml:space="preserve">      anunciada para la operación no es la real”;</w:t>
        <w:br/>
        <w:br/>
        <w:br/>
        <w:t xml:space="preserve">      j)    una vez  que  los  prisioneros  “fueron  sometidos”  y  se</w:t>
        <w:br/>
        <w:t xml:space="preserve">      encontraban notoriamente indefensos, varios  estando  gravemente</w:t>
        <w:br/>
        <w:t xml:space="preserve">      heridos, el Estado tenía el deber de tratar humanamente a  estas</w:t>
        <w:br/>
        <w:t xml:space="preserve">      personas en toda circunstancia, y de evitarles cualquier tipo de</w:t>
        <w:br/>
        <w:t xml:space="preserve">      daño, sin que fuera justificable el uso de la fuerza letal. Tras</w:t>
        <w:br/>
        <w:t xml:space="preserve">      la rendición  de  los  prisioneros,  las  fuerzas  de  seguridad</w:t>
        <w:br/>
        <w:t xml:space="preserve">      ejecutaron en  forma  selectiva  a  por  lo  menos  11  reclusos</w:t>
        <w:br/>
        <w:t xml:space="preserve">      mientras estos salían del pabellón 4B; y posteriormente al menos</w:t>
        <w:br/>
        <w:t xml:space="preserve">      5 prisioneros fueron separados por las fuerzas de seguridad  del</w:t>
        <w:br/>
        <w:t xml:space="preserve">      grupo de internos  rendidos  ubicados  en  el  patio  denominado</w:t>
        <w:br/>
        <w:t xml:space="preserve">      "tierra de nadie", apareciendo  muertos  en  otros  lugares  del</w:t>
        <w:br/>
        <w:t xml:space="preserve">      penal. Esas 16 personas, identificadas desde antes de los hechos</w:t>
        <w:br/>
        <w:t xml:space="preserve">      como  dirigentes  de  "Sendero  Luminoso",   fueron   ejecutadas</w:t>
        <w:br/>
        <w:t xml:space="preserve">      extrajudicialmente, presumiblemente en cumplimiento  de  órdenes</w:t>
        <w:br/>
        <w:t xml:space="preserve">      emanadas  del  Director  de  Inteligencia  del   Ejército,   del</w:t>
        <w:br/>
        <w:t xml:space="preserve">      Comandante de las Fuerzas Armadas y del propio Presidente de  la</w:t>
        <w:br/>
        <w:t xml:space="preserve">      República, por  lo  que  la  Comisión  alega  la  violación  del</w:t>
        <w:br/>
        <w:t xml:space="preserve">      artículo 4 de la  Convención  y  de  la  obligación  general  de</w:t>
        <w:br/>
        <w:t xml:space="preserve">      respeto y garantía contemplada en  el  artículo  1.1  del  mismo</w:t>
        <w:br/>
        <w:t xml:space="preserve">      instrumento, también por estos hechos;</w:t>
        <w:br/>
        <w:br/>
        <w:t xml:space="preserve">      k)    en los alegatos finales indicó que, al menos en  un  caso,</w:t>
        <w:br/>
        <w:t xml:space="preserve">      uno de los internos fue trasladado con vida a la  morgue,  donde</w:t>
        <w:br/>
        <w:t xml:space="preserve">      se pretendió ejecutarlo, acción  impedida  por  su  madre  y  un</w:t>
        <w:br/>
        <w:t xml:space="preserve">      médico de dicho establecimiento;</w:t>
        <w:br/>
        <w:br/>
        <w:br/>
        <w:t xml:space="preserve">      “Falta de investigación”</w:t>
        <w:br/>
        <w:br/>
        <w:br/>
        <w:t xml:space="preserve">      l)    cuando el uso de fuerza ha ocasionado muerte, o  inclusive</w:t>
        <w:br/>
        <w:t xml:space="preserve">      lesiones,  el  Estado  tiene  la  obligación  internacional   de</w:t>
        <w:br/>
        <w:t xml:space="preserve">      determinar, a través  de  órganos  judiciales  independientes  e</w:t>
        <w:br/>
        <w:t xml:space="preserve">      imparciales, si la fuerza utilizada fue excesiva y, en su  caso,</w:t>
        <w:br/>
        <w:t xml:space="preserve">      debe sancionar a los responsables  materiales  e  intelectuales,</w:t>
        <w:br/>
        <w:t xml:space="preserve">      así como indemnizar a las víctimas o a  sus  familiares.  Si  no</w:t>
        <w:br/>
        <w:t xml:space="preserve">      realiza la investigación en tales términos el Estado incurre  en</w:t>
        <w:br/>
        <w:t xml:space="preserve">      responsabilidad internacional relacionada con su  obligación  de</w:t>
        <w:br/>
        <w:t xml:space="preserve">      garantizar el derecho a la  vida  consagrado  en  la  Convención</w:t>
        <w:br/>
        <w:t xml:space="preserve">      Americana. Además se estaría creando un ambiente  de  impunidad,</w:t>
        <w:br/>
        <w:t xml:space="preserve">      en el que pudieran repetirse estos hechos contrarios al deber de</w:t>
        <w:br/>
        <w:t xml:space="preserve">      respetar y garantizar el derecho a la vida.  Aún  cuando  no  se</w:t>
        <w:br/>
        <w:t xml:space="preserve">      haya  determinado  el  autor   individual   de   la   violación,</w:t>
        <w:br/>
        <w:t xml:space="preserve">      corresponde al Estado indemnizar a la víctima o a sus familiares</w:t>
        <w:br/>
        <w:t xml:space="preserve">      si tal violación fue cometida por un agente estatal;</w:t>
        <w:br/>
        <w:br/>
        <w:br/>
        <w:t xml:space="preserve">      m)    la fragmentaria documentación entregada por el Estado bajo</w:t>
        <w:br/>
        <w:t xml:space="preserve">      la denominación  de  “certificados  de  necropsia”  e  “informes</w:t>
        <w:br/>
        <w:t xml:space="preserve">      médico forenses” contiene únicamente  descripciones  incompletas</w:t>
        <w:br/>
        <w:t xml:space="preserve">      de las heridas sufridas por  las  víctimas  mortales  y  de  las</w:t>
        <w:br/>
        <w:t xml:space="preserve">      lesiones encontradas en algunos de los heridos,  sin  determinar</w:t>
        <w:br/>
        <w:t xml:space="preserve">      su ubicación externa,  posible  causa  y  forma  de  producción,</w:t>
        <w:br/>
        <w:t xml:space="preserve">      antigüedad, trayectoria y orificios de entrada o salida  (en  el</w:t>
        <w:br/>
        <w:t xml:space="preserve">      caso de heridas producidas por impactos de bala). Tampoco se  da</w:t>
        <w:br/>
        <w:t xml:space="preserve">      cuenta en dichos informes de los proyectiles recuperados de  los</w:t>
        <w:br/>
        <w:t xml:space="preserve">      cuerpos de las víctimas. De igual modo, la ausencia de actas  de</w:t>
        <w:br/>
        <w:t xml:space="preserve">      levantamiento de los cadáveres es una omisión trascendental  que</w:t>
        <w:br/>
        <w:t xml:space="preserve">      contribuye a la imposibilidad  de  determinar  técnicamente  las</w:t>
        <w:br/>
        <w:t xml:space="preserve">      circunstancias de  las  muertes  en  relación  con  los  autores</w:t>
        <w:br/>
        <w:t xml:space="preserve">      materiales de las mismas, ya que la única evidencia con  la  que</w:t>
        <w:br/>
        <w:t xml:space="preserve">      cuenta la Comisión para saber cómo ocurrieron  las  muertes  son</w:t>
        <w:br/>
        <w:t xml:space="preserve">      las declaraciones escritas aportadas por los peticionarios y  no</w:t>
        <w:br/>
        <w:t xml:space="preserve">      controvertidas por el Estado, así como lo descrito en el informe</w:t>
        <w:br/>
        <w:t xml:space="preserve">      de la Comisión de la Verdad y Reconciliación;</w:t>
        <w:br/>
        <w:br/>
        <w:br/>
        <w:t xml:space="preserve">      n)    una parte del expediente interno fue incinerada, al amparo</w:t>
        <w:br/>
        <w:t xml:space="preserve">      de lo dispuesto por el R.M.N° 456-90-IN-PNP y el artículo 35 del</w:t>
        <w:br/>
        <w:t xml:space="preserve">      Reglamento  de  Documentación  Policial.   La   destrucción   de</w:t>
        <w:br/>
        <w:t xml:space="preserve">      evidencia esencial para el pleno esclarecimiento de  los  hechos</w:t>
        <w:br/>
        <w:t xml:space="preserve">      constituye una obstaculización a la justicia;</w:t>
        <w:br/>
        <w:br/>
        <w:br/>
        <w:t xml:space="preserve">      o)    debido al patrón  de  obstrucción  a  la  justicia  en  el</w:t>
        <w:br/>
        <w:t xml:space="preserve">      presente  caso  y  ante  el  incumplimiento  del  Estado  de  su</w:t>
        <w:br/>
        <w:t xml:space="preserve">      obligación de actuar con la debida diligencia para esclarecer la</w:t>
        <w:br/>
        <w:t xml:space="preserve">      “masacre” cometida  en  el  Penal  Castro  Castro,  el  Perú  es</w:t>
        <w:br/>
        <w:t xml:space="preserve">      responsable por la  violación  del  derecho  a  la  vida  y  del</w:t>
        <w:br/>
        <w:t xml:space="preserve">      inclumplimiento de la obligación general de respeto  y  garantía</w:t>
        <w:br/>
        <w:t xml:space="preserve">      contemplada en el artículo 1.1 de la Convención, en perjuicio de</w:t>
        <w:br/>
        <w:t xml:space="preserve">      las personas individualizadas en el apartado 42.1 de la demanda;</w:t>
        <w:br/>
        <w:br/>
        <w:br/>
        <w:br/>
        <w:br/>
        <w:t xml:space="preserve">      “Incumplimiento  por  parte  del  Estado   con   la   obligación</w:t>
        <w:br/>
        <w:t xml:space="preserve">      establecida en el artículo 1.1 de la Convención Americana”</w:t>
        <w:br/>
        <w:br/>
        <w:br/>
        <w:t xml:space="preserve">      p)    en su escrito de  alegatos  finales  indicó  que  casi  un</w:t>
        <w:br/>
        <w:t xml:space="preserve">      centenar de las víctimas del presente  caso  son  mujeres,  para</w:t>
        <w:br/>
        <w:t xml:space="preserve">      quienes las consecuencias de  las  violaciones  a  los  derechos</w:t>
        <w:br/>
        <w:t xml:space="preserve">      humanos analizadas resultaron particularmente gravosas;</w:t>
        <w:br/>
        <w:br/>
        <w:br/>
        <w:t xml:space="preserve">      q)    en su escrito de alegatos finales indicó que  los  deberes</w:t>
        <w:br/>
        <w:t xml:space="preserve">      de prevención, investigación y sanción a cargo  del  Estado  han</w:t>
        <w:br/>
        <w:t xml:space="preserve">      sido recogidos por la Convención de Belém do Pará, que  si  bien</w:t>
        <w:br/>
        <w:t xml:space="preserve">      no estaba vigente para el Perú en la época de los hechos,  puede</w:t>
        <w:br/>
        <w:t xml:space="preserve">      ser utilizada a efectos de analizar la  responsabilidad  estatal</w:t>
        <w:br/>
        <w:t xml:space="preserve">      por las violaciones  a  los  artículos  4,  5,  8  y  25  de  la</w:t>
        <w:br/>
        <w:t xml:space="preserve">      Convención Americana, en virtud de lo dispuesto por el  artículo</w:t>
        <w:br/>
        <w:t xml:space="preserve">      29 de la misma; y</w:t>
        <w:br/>
        <w:br/>
        <w:t xml:space="preserve">      r)    en su escrito de alegatos finales indicó que el derecho  a</w:t>
        <w:br/>
        <w:t xml:space="preserve">      estar exento de violencia en la esfera pública y  en  la  esfera</w:t>
        <w:br/>
        <w:t xml:space="preserve">      privada, estipulado en el artículo 3 de la Convención  de  Belém</w:t>
        <w:br/>
        <w:t xml:space="preserve">      do Pará, incluye el derecho a la protección  de  otros  derechos</w:t>
        <w:br/>
        <w:t xml:space="preserve">      básicos, entre  ellos  la  vida.  En  consecuencia,  existe  una</w:t>
        <w:br/>
        <w:t xml:space="preserve">      conexión  integral  entre  las  garantías  establecidas  en   la</w:t>
        <w:br/>
        <w:t xml:space="preserve">      Convención de Belém do Pará y los derechos y libertades  básicos</w:t>
        <w:br/>
        <w:t xml:space="preserve">      estipulados en la Convención Americana, que se aplica al  tratar</w:t>
        <w:br/>
        <w:t xml:space="preserve">      la violencia contra la mujer  como  violación  de  los  derechos</w:t>
        <w:br/>
        <w:t xml:space="preserve">      humanos.</w:t>
        <w:br/>
        <w:br/>
        <w:br/>
        <w:br/>
        <w:t>Alegatos de la interviniente común</w:t>
        <w:br/>
        <w:br/>
        <w:br/>
        <w:t>229.   En  cuanto  a  la  alegada  violación  del  artículo  4  de  la</w:t>
        <w:br/>
        <w:t>Convención,  en  relación  con  el  artículo  1.1  de  la  misma,   la</w:t>
        <w:br/>
        <w:t>interviniente común alegó que:</w:t>
        <w:br/>
        <w:br/>
        <w:t xml:space="preserve">      “La violación flagrante del principio de derecho general de  las</w:t>
        <w:br/>
        <w:t xml:space="preserve">      consideraciones elementales de humanidad en el caso sub judice”</w:t>
        <w:br/>
        <w:br/>
        <w:t xml:space="preserve">      a)      de la prueba se  desprende  que  los  hechos  fueron  un</w:t>
        <w:br/>
        <w:t xml:space="preserve">      “deliberado ataque militar por parte del Estado contra  personas</w:t>
        <w:br/>
        <w:t xml:space="preserve">      privadas de libertad bajo su custodia,  indefensas,  abarrotadas</w:t>
        <w:br/>
        <w:t xml:space="preserve">      en  un  edificio,  [sin  medio  de  escape],  entre  quienes  se</w:t>
        <w:br/>
        <w:t xml:space="preserve">      encontraban personas en estado avanzado de gestación, ancianas y</w:t>
        <w:br/>
        <w:t xml:space="preserve">      discapacitados,  quienes  fueron  sometidos  a  cuatro  días  de</w:t>
        <w:br/>
        <w:t xml:space="preserve">      ininterrumpido uso de fuerza armada por aire y por  tierra,  con</w:t>
        <w:br/>
        <w:t xml:space="preserve">      armas especialmente  escogidas  para  causar  un  daño  atroz  e</w:t>
        <w:br/>
        <w:t xml:space="preserve">      inhumano […] con el propósito de su  exterminio”.  Dicho  ataque</w:t>
        <w:br/>
        <w:t xml:space="preserve">      violó toda consideración de humanidad con respecto a la  vida  e</w:t>
        <w:br/>
        <w:t xml:space="preserve">      integridad de los presos;</w:t>
        <w:br/>
        <w:br/>
        <w:t xml:space="preserve">      “La existencia de un conflicto armado y el derecho a la  vida  y</w:t>
        <w:br/>
        <w:t xml:space="preserve">      la integridad de los prisioneros de los pabellones 1A y 4B”</w:t>
        <w:br/>
        <w:br/>
        <w:t xml:space="preserve">      b)    las personas que se encontraban detenidas en el penal eran</w:t>
        <w:br/>
        <w:t xml:space="preserve">      civiles bajo la  custodia  del  Estado  y,  por  tanto,  estaban</w:t>
        <w:br/>
        <w:t xml:space="preserve">      protegidas por el  artículo  común  3  de  las  Convenciones  de</w:t>
        <w:br/>
        <w:t xml:space="preserve">      Ginebra, el cual prohíbe ataques contra personas que, dentro  de</w:t>
        <w:br/>
        <w:t xml:space="preserve">      un conflicto armado, no estén  tomando  parte  en  hostilidades,</w:t>
        <w:br/>
        <w:t xml:space="preserve">      están fuera de combate o privadas de su libertad;</w:t>
        <w:br/>
        <w:br/>
        <w:br/>
        <w:br/>
        <w:t xml:space="preserve">      “Hermenéutica del  derecho  humanitario  y  el  derecho  de  los</w:t>
        <w:br/>
        <w:t xml:space="preserve">      derechos humanos”</w:t>
        <w:br/>
        <w:br/>
        <w:br/>
        <w:t xml:space="preserve">      c)    el operativo en la prisión “Castro Castro”  tenía  el  fin</w:t>
        <w:br/>
        <w:t xml:space="preserve">      ilegal de asesinar en masa a los prisioneros, “por tanto no cabe</w:t>
        <w:br/>
        <w:t xml:space="preserve">      aquí aplicar tests de  proporcionalidad.  No  existen  ‘masacres</w:t>
        <w:br/>
        <w:t xml:space="preserve">      proporcionales y no proporcionales’. Las masacres que  han  sido</w:t>
        <w:br/>
        <w:t xml:space="preserve">      planeadas, ordenadas y dirigidas como tal[es] son actos ilegales</w:t>
        <w:br/>
        <w:t xml:space="preserve">      bajo el derecho internacional”;</w:t>
        <w:br/>
        <w:br/>
        <w:t xml:space="preserve">      d)     se  utilizaron  armas  de  gases  de   fósforos   blanco,</w:t>
        <w:br/>
        <w:t xml:space="preserve">      clasificadas como incendiarias, y balas de  alta  velocidad.  El</w:t>
        <w:br/>
        <w:t xml:space="preserve">      uso de estas armas contra civiles y combatientes, o  como  armas</w:t>
        <w:br/>
        <w:t xml:space="preserve">      antipersonales, está  prohibido  por  el  derecho  internacional</w:t>
        <w:br/>
        <w:t xml:space="preserve">      humanitario;</w:t>
        <w:br/>
        <w:br/>
        <w:br/>
        <w:t xml:space="preserve">      e)    la violación al artículo  4  de  la  Convención  Americana</w:t>
        <w:br/>
        <w:t xml:space="preserve">      también se refiere a conductas dirigidas a privar de la  vida  a</w:t>
        <w:br/>
        <w:t xml:space="preserve">      una persona, “tal es así que la conducta de un Estado de amenaza</w:t>
        <w:br/>
        <w:t xml:space="preserve">      inminente  contra  la  vida  (como  se  dio  contra  todos   los</w:t>
        <w:br/>
        <w:t xml:space="preserve">      sobrevivientes los  4  días)  constituye  una  violación  a  las</w:t>
        <w:br/>
        <w:t xml:space="preserve">      obligaciones del Estado peruano bajo [este] artículo”;</w:t>
        <w:br/>
        <w:br/>
        <w:br/>
        <w:t xml:space="preserve">      “La violencia de género en el presente caso”</w:t>
        <w:br/>
        <w:br/>
        <w:br/>
        <w:t xml:space="preserve">      f)     la  masacre  fue   inicialmente   dirigida   contra   las</w:t>
        <w:br/>
        <w:t xml:space="preserve">      aproximadamente 133 mujeres que se encontraban en el pabellón 1-</w:t>
        <w:br/>
        <w:t xml:space="preserve">      A  de  la  prisión  Miguel  Castro  Castro,  con  el  objeto  de</w:t>
        <w:br/>
        <w:t xml:space="preserve">      exterminarlas,  convirtiéndose  en  blancos  singularizados  del</w:t>
        <w:br/>
        <w:t xml:space="preserve">      ataque  contra  la  prisión.  Muchas  de  las  internas   fueron</w:t>
        <w:br/>
        <w:t xml:space="preserve">      asesinadas a quemarropa;</w:t>
        <w:br/>
        <w:br/>
        <w:br/>
        <w:t xml:space="preserve">      g)    en los alegatos finales orales indicó que  al  momento  de</w:t>
        <w:br/>
        <w:t xml:space="preserve">      los hechos la interna Eva Challco se  encontraba  embarazada  de</w:t>
        <w:br/>
        <w:t xml:space="preserve">      aproximadamente 7 meses y dio a  luz  prematuramente  el  27  de</w:t>
        <w:br/>
        <w:t xml:space="preserve">      junio de 1992.  Sadi, el hijo de Eva  Challco,  “ha  debido  ser</w:t>
        <w:br/>
        <w:t xml:space="preserve">      considerado como presente en el pabellón 1A, ya que él estaba  a</w:t>
        <w:br/>
        <w:t xml:space="preserve">      apunto de nacer y ha sido víctima directa de todo el ataque como</w:t>
        <w:br/>
        <w:t xml:space="preserve">      persona que ya físicamente se encontraba allí dentro del vientre</w:t>
        <w:br/>
        <w:t xml:space="preserve">      de Eva”;</w:t>
        <w:br/>
        <w:br/>
        <w:t xml:space="preserve">      “Crímenes  de  Estado  y  la  Responsabilidad  Internacional  de</w:t>
        <w:br/>
        <w:t>Estado”</w:t>
        <w:br/>
        <w:br/>
        <w:br/>
        <w:t xml:space="preserve">      h)     “las  violaciones  de  derechos  humanos  […]  no  fueron</w:t>
        <w:br/>
        <w:t xml:space="preserve">      ‘excesos’ de algunos policías que no supieron  como  ‘controlar’</w:t>
        <w:br/>
        <w:t xml:space="preserve">      una situación de  violencia  en  la  prisión.  Fue  una  masacre</w:t>
        <w:br/>
        <w:t xml:space="preserve">      planeada desde los escalones más altos del Estado  peruano,  […]</w:t>
        <w:br/>
        <w:t xml:space="preserve">      existió una  cadena  de  comando”  desde  Alberto  Fujimori,  el</w:t>
        <w:br/>
        <w:t xml:space="preserve">      Consejo de Ministros y los altos mandos militares del Perú;</w:t>
        <w:br/>
        <w:br/>
        <w:t xml:space="preserve">      “Crímenes de lesa Humanidad”</w:t>
        <w:br/>
        <w:br/>
        <w:t xml:space="preserve">      i)    “las violaciones materia [de este caso …] constituyen  por</w:t>
        <w:br/>
        <w:t xml:space="preserve">      lo menos, crímenes de lesa humanidad”;</w:t>
        <w:br/>
        <w:br/>
        <w:t xml:space="preserve">      “Genocidio”</w:t>
        <w:br/>
        <w:br/>
        <w:t xml:space="preserve">      j)    “las violaciones materia [de este caso …] fueron cometidas</w:t>
        <w:br/>
        <w:t xml:space="preserve">      contra las víctimas teniendo como blanco su alegada  pertenencia</w:t>
        <w:br/>
        <w:t xml:space="preserve">      a un grupo específico (o considerados por el Estado peruano como</w:t>
        <w:br/>
        <w:t xml:space="preserve">      ‘permeables’ a ideas comunistas), con el intento de  destruir  a</w:t>
        <w:br/>
        <w:t xml:space="preserve">      dicho grupo en todo o parte”. Si bien en  el  presente  caso  la</w:t>
        <w:br/>
        <w:t xml:space="preserve">      identidad del grupo de presuntas víctimas no  es  una  categoría</w:t>
        <w:br/>
        <w:t xml:space="preserve">      protegida bajo la definición de la Convención para la Prevención</w:t>
        <w:br/>
        <w:t xml:space="preserve">      y Sanción al Crimen de Genocidio, “el Estado  del  Perú  [en  su</w:t>
        <w:br/>
        <w:t xml:space="preserve">      Código Penal] ha consentido a una definición  de  genocidio  que</w:t>
        <w:br/>
        <w:t xml:space="preserve">      amplía la definición reflejada en [dicha] Convención, incluyendo</w:t>
        <w:br/>
        <w:t xml:space="preserve">      al ‘grupo social’  entre  los  grupos  protegidos  y  por  tanto</w:t>
        <w:br/>
        <w:t xml:space="preserve">      está[n] vinculados vis a vis aquellos bajo su jurisdicción a  no</w:t>
        <w:br/>
        <w:t xml:space="preserve">      someter a aquellos grupos sociales a actos genocidas”; y</w:t>
        <w:br/>
        <w:br/>
        <w:br/>
        <w:t xml:space="preserve">      k)     en el presente caso se configura el genocidio  en  virtud</w:t>
        <w:br/>
        <w:t xml:space="preserve">      de que el Estado “es responsable por asesinar miembros del grupo</w:t>
        <w:br/>
        <w:t xml:space="preserve">      de prisioneros en cuestión”, causarles daño físico y  mental  de</w:t>
        <w:br/>
        <w:t xml:space="preserve">      gravedad, así como someter a dicho grupo a “condiciones de  vida</w:t>
        <w:br/>
        <w:t xml:space="preserve">      calculadas para causar  su  destrucción  física  en  todo  o  en</w:t>
        <w:br/>
        <w:t xml:space="preserve">      parte”.  Además  estos  actos  fueron  cometidos  contra   estos</w:t>
        <w:br/>
        <w:t xml:space="preserve">      prisioneros “por considerárseles parte de un grupo específico el</w:t>
        <w:br/>
        <w:t xml:space="preserve">      cual era blanco del Estado”. El “intento” o “dolo specialis” que</w:t>
        <w:br/>
        <w:t xml:space="preserve">      requiere  el  crimen  de  genocidio  puede  ser  demostrado  por</w:t>
        <w:br/>
        <w:t xml:space="preserve">      diversos actos atribuidos al Estado.</w:t>
        <w:br/>
        <w:br/>
        <w:br/>
        <w:br/>
        <w:t>Alegatos del Estado</w:t>
        <w:br/>
        <w:br/>
        <w:t>230.  El Estado expresó:</w:t>
        <w:br/>
        <w:br/>
        <w:t xml:space="preserve">      a)    en su escrito de contestación a la demanda y observaciones</w:t>
        <w:br/>
        <w:t xml:space="preserve">      al  escrito  de  solicitudes  y  argumentos,  que   “acepta   el</w:t>
        <w:br/>
        <w:t xml:space="preserve">      incumplimiento de la obligación general de respeto y garantía de</w:t>
        <w:br/>
        <w:t xml:space="preserve">      los derechos humanos  establecida  en  el  artículo  1.1  de  la</w:t>
        <w:br/>
        <w:t xml:space="preserve">      Convención Americana[, …] acepta la responsabilidad  parcial  en</w:t>
        <w:br/>
        <w:t xml:space="preserve">      las violaciones del derecho a la vida[, …]  en  tanto  el  Poder</w:t>
        <w:br/>
        <w:t xml:space="preserve">      Judicial del Perú no se pronuncie sobre la  verdad  histórica  y</w:t>
        <w:br/>
        <w:t xml:space="preserve">      detallada de los sucesos acaecidos entre el 6 y el 9 de mayo  de</w:t>
        <w:br/>
        <w:t xml:space="preserve">      1992”;</w:t>
        <w:br/>
        <w:br/>
        <w:br/>
        <w:t xml:space="preserve">      b)    en sus alegatos finales orales señaló que el Perú, durante</w:t>
        <w:br/>
        <w:t xml:space="preserve">      veinte años, vivió una situación de conflicto interno  sumamente</w:t>
        <w:br/>
        <w:t xml:space="preserve">      grave” y que “los hechos del 6 al 9 de mayo  [  de  1992  …]  se</w:t>
        <w:br/>
        <w:t xml:space="preserve">      cometieron contra  internos  de  determinada  orientación.   Los</w:t>
        <w:br/>
        <w:t xml:space="preserve">      actos de violencia fueron dirigidos  contra  dos  pabellones,  o</w:t>
        <w:br/>
        <w:t xml:space="preserve">      contra un pabellón principalmente, el pabellón 1 A y el pabellón</w:t>
        <w:br/>
        <w:t xml:space="preserve">      4B, ocupados en el momento de los hechos por  internos  acusados</w:t>
        <w:br/>
        <w:t xml:space="preserve">      de delitos de terrorismo vinculados  al  partido  comunista  del</w:t>
        <w:br/>
        <w:t xml:space="preserve">      Perú Sendero Luminoso[. … E]l  acto  tuvo  un  destino  directo:</w:t>
        <w:br/>
        <w:t xml:space="preserve">      atacar a Sendero Luminoso”;</w:t>
        <w:br/>
        <w:br/>
        <w:br/>
        <w:t xml:space="preserve">      c)    en sus alegatos finales escritos que “si bien a nivel  del</w:t>
        <w:br/>
        <w:t xml:space="preserve">      Fuero Interno se determinarán las responsabilidad  individuales,</w:t>
        <w:br/>
        <w:t xml:space="preserve">      en los términos [d]el proceso actualmente  en  trámite  ante  el</w:t>
        <w:br/>
        <w:t xml:space="preserve">      Poder Judicial […,] no se puede dejar de reconocer  la  magnitud</w:t>
        <w:br/>
        <w:t xml:space="preserve">      de los hechos  a  que  se  refiere  el  presente  proceso  y  la</w:t>
        <w:br/>
        <w:t xml:space="preserve">      responsabilidad del Estado Peruano en los mismos”; y</w:t>
        <w:br/>
        <w:br/>
        <w:br/>
        <w:br/>
        <w:t xml:space="preserve">      d)    que “reconoce su responsabilidad de los  hechos  acaecidos</w:t>
        <w:br/>
        <w:t xml:space="preserve">      entre el 6 y el 9 de mayo de 1992”.</w:t>
        <w:br/>
        <w:br/>
        <w:br/>
        <w:t>Consideraciones de la Corte</w:t>
        <w:br/>
        <w:br/>
        <w:t>231.  El artículo 1.1 de la Convención señala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232.  El artículo 4.1 de la Convención dispone que:</w:t>
        <w:br/>
        <w:br/>
        <w:t xml:space="preserve">      [t]oda persona tiene derecho a que se respete su vida.   Este  derecho</w:t>
        <w:br/>
        <w:t xml:space="preserve">      estará protegido por la ley y, en general, a partir del momento de  la</w:t>
        <w:br/>
        <w:t xml:space="preserve">      concepción.  Nadie puede ser privado de la vida arbitrariamente.</w:t>
        <w:br/>
        <w:br/>
        <w:t>233.  El Tribunal  considera  pertinente  analizar  la  violación  del</w:t>
        <w:br/>
        <w:t>artículo 4 de la Convención debido a la gravedad de los hechos, a  las</w:t>
        <w:br/>
        <w:t>circunstancias en que acontecieron y a que el Perú  no  reconoció  los</w:t>
        <w:br/>
        <w:t>hechos posteriores al 9 de  mayo de 1992 (supra párrs. 150 a 152).</w:t>
        <w:br/>
        <w:br/>
        <w:t>234.  Tal como fue indicado por la Corte  (supra  párr.  227),  en  el</w:t>
        <w:br/>
        <w:t>análisis del presente capítulo se  tomarán  en  cuenta  los  señalados</w:t>
        <w:br/>
        <w:t>datos que determinan la gravedad de los hechos de este caso. Por  ello</w:t>
        <w:br/>
        <w:t>es preciso partir de que lo sucedido en el Penal Miguel Castro  Castro</w:t>
        <w:br/>
        <w:t>fue una masacre y que carece de fundamento afirmar  que  los  internos</w:t>
        <w:br/>
        <w:t>significaran un peligro para los agentes estatales  que  ameritase  un</w:t>
        <w:br/>
        <w:t>ataque de tal magnitud (supra párrs. 215 a 219). Cuando se realizó  el</w:t>
        <w:br/>
        <w:t>primer acto del “operativo” no existía motín de los internos, ni  otra</w:t>
        <w:br/>
        <w:t>causa que determinara el uso legítimo de la  fuerza  por  los  agentes</w:t>
        <w:br/>
        <w:t>estatales (supra párr.  215).  Por  el  contrario,  el  comportamiento</w:t>
        <w:br/>
        <w:t>observado por los agentes de seguridad, altas autoridades del Estado y</w:t>
        <w:br/>
        <w:t>otros funcionarios estatales durante  los  cuatro  días  que  duró  el</w:t>
        <w:br/>
        <w:t>“operativo”, así como con posterioridad  a  éste,  demuestran  que  se</w:t>
        <w:br/>
        <w:t>trató de un ataque ejecutado para atentar contra la vida e  integridad</w:t>
        <w:br/>
        <w:t>de los internos que se encontraban en  los  pabellones  1A  y  4B.  Al</w:t>
        <w:br/>
        <w:t>respecto, en la sentencia que emitió la Sala Nacional de Terrorismo el</w:t>
        <w:br/>
        <w:t>3 de febrero de 2004 se indicó  que  “existen  elementos  que  generan</w:t>
        <w:br/>
        <w:t>sospecha razonable en el Colegiado Juzgador, respecto que, con  motivo</w:t>
        <w:br/>
        <w:t>del operativo Mudanza uno, se habría planificado desde las  más  altas</w:t>
        <w:br/>
        <w:t>esferas del gobierno […] la eliminación física  de  los  internos  por</w:t>
        <w:br/>
        <w:t>terrorismo que ocupaban los pabellones Uno A y cuatro B” (supra  párr.</w:t>
        <w:br/>
        <w:t>197.17).</w:t>
        <w:br/>
        <w:br/>
        <w:t>235.  Al respecto, al reconocer su responsabilidad internacional  por</w:t>
        <w:br/>
        <w:t>los hechos del 6 al 9 de mayo de 1992, el propio Estado manifestó que</w:t>
        <w:br/>
        <w:t>“los actos de violencia se cometieron contra internos de  determinada</w:t>
        <w:br/>
        <w:t>orientación”, quienes estaban en “el pabellón 1A y  el  pabellón  4B,</w:t>
        <w:br/>
        <w:t>ocupados en el momento de los hechos por internos acusados de delitos</w:t>
        <w:br/>
        <w:t>de terrorismo vinculados  al  partido  comunista  del  Perú,  Sendero</w:t>
        <w:br/>
        <w:t>Luminoso”.  Según señaló el Estado, “el acto tuvo un destino directo:</w:t>
        <w:br/>
        <w:t>atacar a  Sendero  Luminoso”  y  “desde  la  estrategia  militar  del</w:t>
        <w:br/>
        <w:t>Gobierno de ese entonces hubo un  direccionamiento  de  las  acciones</w:t>
        <w:br/>
        <w:t>hacia ese partido, hacia ese grupo, hubo una lógica  de  guerra  [al]</w:t>
        <w:br/>
        <w:t>adversario”.</w:t>
        <w:br/>
        <w:br/>
        <w:t>236.   Este caso se presentó en un contexto de sistemática violación a</w:t>
        <w:br/>
        <w:t>los derechos humanos, en el que hubo  ejecuciones  extrajudiciales  de</w:t>
        <w:br/>
        <w:t>personas sospechosas de pertenecer a grupos armados al  margen  de  la</w:t>
        <w:br/>
        <w:t>ley, como Sendero Luminoso, y dichas  prácticas  eran  realizadas  por</w:t>
        <w:br/>
        <w:t>agentes estatales siguiendo órdenes de jefes  militares  y  policiales</w:t>
        <w:br/>
        <w:t>(supra párr. 203).</w:t>
        <w:br/>
        <w:br/>
        <w:t>237.  La Corte ha establecido que el derecho a la vida juega un  papel</w:t>
        <w:br/>
        <w:t>fundamental en la Convención Americana por ser el presupuesto esencial</w:t>
        <w:br/>
        <w:t>para la realización de los demás derechos[127]. Los Estados tienen  la</w:t>
        <w:br/>
        <w:t>obligación de  garantizar  la  creación  de  las  condiciones  que  se</w:t>
        <w:br/>
        <w:t>requieran  para  que  no  se  produzcan  violaciones  de  ese  derecho</w:t>
        <w:br/>
        <w:t>inalienable y, en particular, el deber  de  impedir  que  sus  agentes</w:t>
        <w:br/>
        <w:t>atenten contra él[128].  La observancia del  artículo  4,  relacionado</w:t>
        <w:br/>
        <w:t>con el artículo 1.1 de la Convención Americana, no sólo presupone  que</w:t>
        <w:br/>
        <w:t>ninguna persona sea privada de  su  vida  arbitrariamente  (obligación</w:t>
        <w:br/>
        <w:t>negativa), sino que además requiere que los Estados adopten todas  las</w:t>
        <w:br/>
        <w:t>medidas apropiadas para proteger y preservar  el  derecho  a  la  vida</w:t>
        <w:br/>
        <w:t>(obligación positiva)[129], conforme al deber de garantizar el pleno y</w:t>
        <w:br/>
        <w:t>libre ejercicio  de  los  derechos  de  todas  las  personas  bajo  su</w:t>
        <w:br/>
        <w:t>jurisdicción[130].  Esta protección activa del derecho a la  vida  por</w:t>
        <w:br/>
        <w:t>parte del Estado no sólo involucra a sus  legisladores,  sino  a  toda</w:t>
        <w:br/>
        <w:t>institución estatal y a quienes deben resguardar  la  seguridad,  sean</w:t>
        <w:br/>
        <w:t>éstas sus fuerzas de policía o sus fuerzas armadas[131].</w:t>
        <w:br/>
        <w:br/>
        <w:t>238.  En razón de lo anterior, los Estados deben adoptar  las  medidas</w:t>
        <w:br/>
        <w:t>necesarias no sólo para prevenir y castigar la privación  de  la  vida</w:t>
        <w:br/>
        <w:t>como consecuencia de actos criminales, sino también para prevenir  las</w:t>
        <w:br/>
        <w:t>ejecuciones  arbitrarias  por  parte  de  sus   propias   fuerzas   de</w:t>
        <w:br/>
        <w:t>seguridad[132], situación que se ve agravada cuando existe  un  patrón</w:t>
        <w:br/>
        <w:t>de violaciones de los derechos humanos[133]. De manera  especial,  los</w:t>
        <w:br/>
        <w:t>Estados deben vigilar que sus cuerpos de seguridad, a quienes les está</w:t>
        <w:br/>
        <w:t>atribuido el uso de la fuerza legítima, respeten el derecho a la  vida</w:t>
        <w:br/>
        <w:t>de quienes se encuentren bajo su jurisdicción[134].</w:t>
        <w:br/>
        <w:br/>
        <w:t>239.  Como se desprende de los “Principios Básicos sobre el Empleo  de</w:t>
        <w:br/>
        <w:t>la Fuerza y de Armas de Fuego por parte  de  Oficiales  Encargados  de</w:t>
        <w:br/>
        <w:t>Hacer Cumplir la Ley”, los cuerpos de  seguridad  estatales  solamente</w:t>
        <w:br/>
        <w:t>pueden recurrir al empleo de armas letales cuando  sea  “estrictamente</w:t>
        <w:br/>
        <w:t>inevitable para  proteger  una  vida”  y  cuando  resulten  ineficaces</w:t>
        <w:br/>
        <w:t>medidas menos extremas[135].</w:t>
        <w:br/>
        <w:br/>
        <w:t>240.  Como lo ha señalado en ocasiones anteriores, esta Corte reconoce</w:t>
        <w:br/>
        <w:t>la existencia de la facultad e incluso la  obligación  del  Estado  de</w:t>
        <w:br/>
        <w:t>garantizar la seguridad y  mantener  el  orden  público,  en  especial</w:t>
        <w:br/>
        <w:t>dentro de las cárceles, utilizando la fuerza si es necesario[136].  Al</w:t>
        <w:br/>
        <w:t>respecto, también ha establecido que al reducir alteraciones al  orden</w:t>
        <w:br/>
        <w:t>público el Estado debe  hacerlo  con  apego  y  en  aplicación  de  la</w:t>
        <w:br/>
        <w:t>normativa interna en procura de la  satisfacción  del  orden  público,</w:t>
        <w:br/>
        <w:t>siempre que esta normativa y las acciones  tomadas  en  aplicación  de</w:t>
        <w:br/>
        <w:t>ella se ajusten, a su vez, a las normas de protección de los  derechos</w:t>
        <w:br/>
        <w:t>humanos  aplicables  a  la  materia[137].  El  poder  estatal  no   es</w:t>
        <w:br/>
        <w:t>ilimitado; es preciso que el Estado actúe ‘‘dentro de  los  límites  y</w:t>
        <w:br/>
        <w:t>conforme  a  los  procedimientos  que  permiten  preservar  tanto   la</w:t>
        <w:br/>
        <w:t>seguridad pública  como  los  derechos  fundamentales  de  la  persona</w:t>
        <w:br/>
        <w:t>humana”[138]. En casos que esta Corte ha conocido en los que el Estado</w:t>
        <w:br/>
        <w:t>ha utilizado la fuerza  para  mantener  el  orden  dentro  de  centros</w:t>
        <w:br/>
        <w:t>penales cuando se presenta un amotinamiento, cosa que no sucedió en el</w:t>
        <w:br/>
        <w:t>presente  caso,  el  Tribunal  ha  analizado  si  existían   elementos</w:t>
        <w:br/>
        <w:t>suficientes para justificar la magnitud de la fuerza utilizada[139].</w:t>
        <w:br/>
        <w:br/>
        <w:t>241.  Sin embargo, tal como fue  establecido  (supra  párr.  215),  al</w:t>
        <w:br/>
        <w:t>momento en que el Estado inició el  “operativo”  los  internos  no  se</w:t>
        <w:br/>
        <w:t>encontraban amotinados y no se ha probado que existiera ninguna causal</w:t>
        <w:br/>
        <w:t>que ameritara el uso legítimo de la fuerza por los  agentes  estatales</w:t>
        <w:br/>
        <w:t>en ese primer acto  del  ataque.  La  resistencia  que  opusieron  los</w:t>
        <w:br/>
        <w:t>internos se presentó después del ataque, como  reacción  normal  a  la</w:t>
        <w:br/>
        <w:t>ofensiva de las fuerzas de  seguridad,  por  un  instinto  natural  de</w:t>
        <w:br/>
        <w:t>defensa de la vida e integridad física.</w:t>
        <w:br/>
        <w:br/>
        <w:t>242.  Durante los cuatro días que duró el llamado  “Operativo  Mudanza</w:t>
        <w:br/>
        <w:t>1” los internos de  los  pabellones  1A  y  4B  vieron  constantemente</w:t>
        <w:br/>
        <w:t>amenazadas sus vidas por la intensidad del ataque, que implicó el  uso</w:t>
        <w:br/>
        <w:t>de armas de guerra y la participación de agentes de  la  policía,  del</w:t>
        <w:br/>
        <w:t>ejército y de fuerzas especiales, y por la magnitud de los  daños  que</w:t>
        <w:br/>
        <w:t>producía (supra párr. 197.18 a 197.38). Según la  prueba  aportada  al</w:t>
        <w:br/>
        <w:t>expediente, los internos pasaron esos cuatro días buscando  formas  de</w:t>
        <w:br/>
        <w:t>sobrevivir ante las múltiples y constantes acciones estatales que  les</w:t>
        <w:br/>
        <w:t>podían producir la muerte.</w:t>
        <w:br/>
        <w:br/>
        <w:t>243.   Asimismo, de acuerdo a los hechos expuestos, perdieron la  vida</w:t>
        <w:br/>
        <w:t>41  personas  identificadas.  Del  análisis  de  los  certificados  de</w:t>
        <w:br/>
        <w:t>necropsia de los cadáveres  surge  que  la  mayoría  de  las  víctimas</w:t>
        <w:br/>
        <w:t>presentaban de 3 a 12 heridas de bala en  la  cabeza  y  tórax  (supra</w:t>
        <w:br/>
        <w:t>párr. 197.39). De igual manera, de los exámenes físicos realizados por</w:t>
        <w:br/>
        <w:t>el perito José  Quiroga,  que  describe  las  heridas  de  13  de  los</w:t>
        <w:br/>
        <w:t>sobrevivientes, surge que por lo menos  cuatro  presentan  heridas  de</w:t>
        <w:br/>
        <w:t>arma  de  fuego  en  partes  del  cuerpo  donde  se  presume  que   la</w:t>
        <w:br/>
        <w:t>consecuencia del disparo sería la muerte, como son la cabeza, cuello y</w:t>
        <w:br/>
        <w:t>tórax. Por estas razones, entre  otras,  se  puede  concluir  que  los</w:t>
        <w:br/>
        <w:t>disparos  efectuados  por  las  fuerzas  de  seguridad  no  tenían  la</w:t>
        <w:br/>
        <w:t>finalidad de inmovilizar o persuadir a los internos,  sino  causar  un</w:t>
        <w:br/>
        <w:t>daño irreparable a la vida de dichas personas.</w:t>
        <w:br/>
        <w:br/>
        <w:t>244.  En el presente caso las fuerzas de  seguridad,  en  una  actitud</w:t>
        <w:br/>
        <w:t>coherente con el fin que tenía el “Operativo Mudanza 1”,  no  hicieron</w:t>
        <w:br/>
        <w:t>nada por utilizar otros medios que no fueran el uso de la fuerza letal</w:t>
        <w:br/>
        <w:t>(supra párr. 216); así, se rechazó  el  ofrecimiento  de  intervención</w:t>
        <w:br/>
        <w:t>realizado por la Cruz Roja Internacional, la  Comisión  Interamericana</w:t>
        <w:br/>
        <w:t>de Derechos Humanos, la Comisión  Episcopal  de  Acción  Social  y  la</w:t>
        <w:br/>
        <w:t>Coordinadora Nacional de Derechos Humanos.</w:t>
        <w:br/>
        <w:br/>
        <w:t>245.  La gravedad de los  hechos  del  presente  caso  se  refleja  de</w:t>
        <w:br/>
        <w:t>evidencia al analizar la forma en la  que  fueron  ejecutados  algunos</w:t>
        <w:br/>
        <w:t>internos, quienes el último  día  del  “operativo”  anunciaron  a  los</w:t>
        <w:br/>
        <w:t>agentes estatales que iban a salir del  pabellón  4B  y  pidieron  que</w:t>
        <w:br/>
        <w:t>dejaran de disparar;  sin  embargo,  al  salir  fueron  recibidos  por</w:t>
        <w:br/>
        <w:t>ráfagas de balas provenientes de disparos de agentes estatales  (supra</w:t>
        <w:br/>
        <w:t>párr. 197.37). Los demás internos que  también  decidieron  salir  del</w:t>
        <w:br/>
        <w:t>pabellón 4B corrieron la misma suerte (supra párr. 197.37). Ese último</w:t>
        <w:br/>
        <w:t>día otro grupo de internos, quienes también  se  encontraban  bajo  el</w:t>
        <w:br/>
        <w:t>control de las autoridades estatales, fueron  separados  del  grupo  y</w:t>
        <w:br/>
        <w:t>ejecutados por agentes estatales (supra párr. 197.38). En estos  casos</w:t>
        <w:br/>
        <w:t>es notaria  la  forma  deliberada  en  que  actuaron  las  fuerzas  de</w:t>
        <w:br/>
        <w:t>seguridad para privar a los reclusos de la vida. Por la  situación  en</w:t>
        <w:br/>
        <w:t>que se encontraban esos internos no había justificación alguna del uso</w:t>
        <w:br/>
        <w:t>de las armas en su contra, no existía necesidad de defensa propia,  ni</w:t>
        <w:br/>
        <w:t>un peligro inminente de muerte o  lesiones  graves  para  los  agentes</w:t>
        <w:br/>
        <w:t>estatales.</w:t>
        <w:br/>
        <w:br/>
        <w:t>246.  Asimismo, se encuentra probado que algunos internos  después  de</w:t>
        <w:br/>
        <w:t>concluido el “Operativo Mudanza 1” fueron llevados a los hospitales  y</w:t>
        <w:br/>
        <w:t>murieron debido a que no recibieron los medicamentos  ni  la  atención</w:t>
        <w:br/>
        <w:t>médica que requerían  (supra  párr.  197.47).  Esas  omisiones  en  la</w:t>
        <w:br/>
        <w:t>asistencia médica a los internos  heridos  respondieron  a  decisiones</w:t>
        <w:br/>
        <w:t>deliberadas y no a meros descuidos o negligencias, que dieron lugar  a</w:t>
        <w:br/>
        <w:t>privaciones arbitrarias de la vida.</w:t>
        <w:br/>
        <w:br/>
        <w:t>247.  Respecto de los  internos  fallecidos,  la  Corte  declara  como</w:t>
        <w:br/>
        <w:t>víctimas a  las  41  personas   identificadas  en  la  demanda  de  la</w:t>
        <w:br/>
        <w:t>Comisión,  quienes  coinciden  con  las  personas  identificadas  como</w:t>
        <w:br/>
        <w:t>fallecidos por la interviniente común, y respecto de quienes se cuenta</w:t>
        <w:br/>
        <w:t>con prueba sobre su deceso e identificación.</w:t>
        <w:br/>
        <w:br/>
        <w:t>248.  El Tribunal estima necesario referirse  a  lo  señalado  por  la</w:t>
        <w:br/>
        <w:t>Comisión y la interviniente respecto de la  posibilidad  de  que  haya</w:t>
        <w:br/>
        <w:t>internos fallecidos sin identificar. En su demanda  la  Comisión  hizo</w:t>
        <w:br/>
        <w:t>hincapié en que  “los  peticionarios  han  alegado  que  las  víctimas</w:t>
        <w:br/>
        <w:t>fatales fueron al menos 86”, pero que  la  Comisión  haría  referencia</w:t>
        <w:br/>
        <w:t>“únicamente a las víctimas cuyo deceso ha podido establecer de  manera</w:t>
        <w:br/>
        <w:t>fehaciente a través del acervo probatorio ofrecido por  las  partes  y</w:t>
        <w:br/>
        <w:t>del  informe  elaborado  por  la  Comisión   de   la   Verdad   y   la</w:t>
        <w:br/>
        <w:t>Reconciliación, sin perjuicio de nueva evidencia que pudiera surgir en</w:t>
        <w:br/>
        <w:t>el futuro y demostrar la identidad y circunstancias  de  la  muerte  o</w:t>
        <w:br/>
        <w:t>desaparición de las otras víctimas referidas por  los  peticionarios”.</w:t>
        <w:br/>
        <w:t>La Comisión en  su  demanda  señaló  como  víctimas  fallecidas  a  41</w:t>
        <w:br/>
        <w:t>personas identificadas y  a  un  “N.N.  protocolo  necropsia  1944  de</w:t>
        <w:br/>
        <w:t>7/5/92”.  Asimismo, aportó copia de 10 certificados  de  necropsia  de</w:t>
        <w:br/>
        <w:t>personas identificadas, una de las cuales corresponde al  policía  que</w:t>
        <w:br/>
        <w:t>falleció (supra párr. 197.40). La Comisión no  alegó  que  ninguna  de</w:t>
        <w:br/>
        <w:t>esas 10 personas fuera víctima de este caso.</w:t>
        <w:br/>
        <w:br/>
        <w:t>249.  Por su parte, la interviniente  común  presentó  como  anexo  al</w:t>
        <w:br/>
        <w:t>escrito de solicitudes y argumentos una relación en la que figuran las</w:t>
        <w:br/>
        <w:t>mismas 41 víctimas fallecidas identificadas incluidas en  la  demanda,</w:t>
        <w:br/>
        <w:t>pero agregó a un “N.N.  Protocolo  2007,  (hombre)  murió  quemado”  e</w:t>
        <w:br/>
        <w:t>incluyó al final de su lista a 43 “prisioneros sin  identificar”,  sin</w:t>
        <w:br/>
        <w:t>indicar que existiera algún protocolo de  necropsia  o  que  estuviese</w:t>
        <w:br/>
        <w:t>pendiente de realización.</w:t>
        <w:br/>
        <w:br/>
        <w:t>250.  Al respecto, cabe aclarar que:</w:t>
        <w:br/>
        <w:br/>
        <w:t xml:space="preserve">      a)    ni la Comisión ni la  interviniente  aportaron  copia  del</w:t>
        <w:br/>
        <w:t xml:space="preserve">           “protocolo de necropsia 1944 de 7 de mayo de 1992” incluido</w:t>
        <w:br/>
        <w:t xml:space="preserve">           en la lista de víctimas de la Comisión;</w:t>
        <w:br/>
        <w:t xml:space="preserve">      b)     de  la  prueba  aportada  al  expediente,  la  Corte   ha</w:t>
        <w:br/>
        <w:t xml:space="preserve">           constatado  que  el   protocolo   de   necropsia   que   la</w:t>
        <w:br/>
        <w:t xml:space="preserve">           interviniente denomina como “N.N. Protocolo 2007,  (hombre)</w:t>
        <w:br/>
        <w:t xml:space="preserve">           murió quemado”, corresponde en  realidad  al  protocolo  de</w:t>
        <w:br/>
        <w:t xml:space="preserve">           necropsia del señor Mario Francisco Aguilar Vega que es  el</w:t>
        <w:br/>
        <w:t xml:space="preserve">           Nº 2007. En dicho documento consta que el  diagnóstico  fue</w:t>
        <w:br/>
        <w:t xml:space="preserve">           “debido a: proyectiles de arma  de  fuego.  Carbonización”.</w:t>
        <w:br/>
        <w:t xml:space="preserve">           Dicho señor figura entre los  41  fallecidos  identificados</w:t>
        <w:br/>
        <w:t xml:space="preserve">           que  nombran  tanto  la  Comisión  como  la  interviniente.</w:t>
        <w:br/>
        <w:t xml:space="preserve">           Asimismo, de la prueba testimonial  y  documental  aportada</w:t>
        <w:br/>
        <w:t xml:space="preserve">           surge que el cadáver de este señor nunca  fue  entregado  a</w:t>
        <w:br/>
        <w:t xml:space="preserve">           sus familiares;</w:t>
        <w:br/>
        <w:t xml:space="preserve">      c)    respecto de lo alegado por la interviniente, en el sentido</w:t>
        <w:br/>
        <w:t xml:space="preserve">           de  que  habría  43  “prisioneros  sin   identificar”,   es</w:t>
        <w:br/>
        <w:t xml:space="preserve">           necesario aclarar que la prueba en la que la  interviniente</w:t>
        <w:br/>
        <w:t xml:space="preserve">           se basa para  agregarlos  a  su  lista  de  fallecidos  son</w:t>
        <w:br/>
        <w:t xml:space="preserve">           declaraciones de  otros  internos  sobrevivientes,  en  las</w:t>
        <w:br/>
        <w:t xml:space="preserve">           cuales éstos relatan haber  visto  morir  a  internos,  sin</w:t>
        <w:br/>
        <w:t xml:space="preserve">           identificarlos. Al respecto, la Corte nota que esos relatos</w:t>
        <w:br/>
        <w:t xml:space="preserve">           podrían referirse a la forma en que murieron  personas  que</w:t>
        <w:br/>
        <w:t xml:space="preserve">           ya están identificadas; y</w:t>
        <w:br/>
        <w:t xml:space="preserve">      d)    no surge de la prueba aportada al expediente  que  existan</w:t>
        <w:br/>
        <w:t xml:space="preserve">           en la actualidad cadáveres de víctimas sin identificar.</w:t>
        <w:br/>
        <w:br/>
        <w:t>251.  Por lo tanto, existe duda respecto al cumplimiento por parte del</w:t>
        <w:br/>
        <w:t>Estado del deber de identificar a todos los internos que fallecieron y</w:t>
        <w:br/>
        <w:t>entregar los restos a sus familiares, y está probado que  en  el  caso</w:t>
        <w:br/>
        <w:t>del interno Mario Francisco Aguilar Vega no los entregó.  Con respecto</w:t>
        <w:br/>
        <w:t>a  los  restos  de  este  último  el  Tribunal  dispondrá  la   medida</w:t>
        <w:br/>
        <w:t>correspondiente en el capítulo sobre Reparaciones (infra  párr.  442).</w:t>
        <w:br/>
        <w:t>Asimismo, este Tribunal considera que el Estado debe adoptar todas las</w:t>
        <w:br/>
        <w:t>medidas  necesarias  para  asegurar  que  todos   los   internos   que</w:t>
        <w:br/>
        <w:t>fallecieron como consecuencia del  ataque  sean  identificados  y  sus</w:t>
        <w:br/>
        <w:t>restos entregados a sus familiares,  de  acuerdo  con  su  legislación</w:t>
        <w:br/>
        <w:t>interna. En caso  de  que  se  llegue  a  identificar  otros  internos</w:t>
        <w:br/>
        <w:t>fallecidos,   sus   familiares   podrán   hacer   las    reclamaciones</w:t>
        <w:br/>
        <w:t>correspondientes en el derecho interno.</w:t>
        <w:br/>
        <w:br/>
        <w:t>252.   De  acuerdo  al  reconocimiento  de   responsabilidad   parcial</w:t>
        <w:br/>
        <w:t>efectuado por el Estado y a lo considerado en los párrafos anteriores,</w:t>
        <w:br/>
        <w:t>el Perú es  responsable  por  la  violación  del  derecho  a  la  vida</w:t>
        <w:br/>
        <w:t>consagrado en el artículo 4 de la Convención  Americana,  en  relación</w:t>
        <w:br/>
        <w:t>con el 1.1 de la misma, en perjuicio de  los  41  internos  fallecidos</w:t>
        <w:br/>
        <w:t>identificados, cuyos nombres se encuentran incluidos en el Anexo 1  de</w:t>
        <w:br/>
        <w:t>víctimas de la presente Sentencia que para estos efectos  forma  parte</w:t>
        <w:br/>
        <w:t>de la misma.</w:t>
        <w:br/>
        <w:br/>
        <w:t xml:space="preserve">                                      *</w:t>
        <w:br/>
        <w:t xml:space="preserve">                                   *     *</w:t>
        <w:br/>
        <w:br/>
        <w:t>Obligación de investigar efectivamente los hechos</w:t>
        <w:br/>
        <w:br/>
        <w:t>253.  La Corte ha establecido que para  garantizar  efectivamente  los</w:t>
        <w:br/>
        <w:t>derechos a la vida y a la integridad es preciso cumplir la  obligación</w:t>
        <w:br/>
        <w:t>de investigar las afectaciones a los mismos, que deriva  del  artículo</w:t>
        <w:br/>
        <w:t>1.1 de la Convención en conjunto con el derecho  sustantivo  que  debe</w:t>
        <w:br/>
        <w:t>ser amparado, protegido o garantizado[140].</w:t>
        <w:br/>
        <w:br/>
        <w:t>254.  En el presente caso, esta  Corte  entiende  que  de  los  hechos</w:t>
        <w:br/>
        <w:t>ocurridos en el Penal Miguel Castro Castro surgió para  el  Estado  la</w:t>
        <w:br/>
        <w:t>obligación de investigar respecto de la violación  del  derecho  a  la</w:t>
        <w:br/>
        <w:t>vida, máxime si se tiene en cuenta que murieron decenas de personas  y</w:t>
        <w:br/>
        <w:t>que muchas más resultaron heridas debido a un “operativo” que  implicó</w:t>
        <w:br/>
        <w:t>el uso de la fuerza, con gran intensidad, durante 4 días y en  el  que</w:t>
        <w:br/>
        <w:t>participaron agentes de la policía y del ejército.</w:t>
        <w:br/>
        <w:br/>
        <w:t>255.  El deber de investigar  es  una  obligación  de  medios,  no  de</w:t>
        <w:br/>
        <w:t>resultados. Ésta debe ser asumida por el Estado como un deber jurídico</w:t>
        <w:br/>
        <w:t>propio y no como una simple formalidad condenada  de  antemano  a  ser</w:t>
        <w:br/>
        <w:t>infructuosa[141], o como una mera gestión de  intereses  particulares,</w:t>
        <w:br/>
        <w:t>que dependa de la  iniciativa  procesal  de  las  víctimas  o  de  sus</w:t>
        <w:br/>
        <w:t>familiares o de la aportación privada de  elementos  probatorios[142].</w:t>
        <w:br/>
        <w:t>Esto último no se contrapone con el derecho que tienen las víctimas de</w:t>
        <w:br/>
        <w:t>violaciones a los derechos humanos o sus familiares, a ser  escuchados</w:t>
        <w:br/>
        <w:t>durante el proceso de investigación y el trámite judicial, así como  a</w:t>
        <w:br/>
        <w:t>participar ampliamente de los mismos[143].</w:t>
        <w:br/>
        <w:br/>
        <w:t>256.  A la luz de ese deber, una vez  que  las  autoridades  estatales</w:t>
        <w:br/>
        <w:t>tengan  conocimiento  del  hecho,  deben  iniciar  ex  officio  y  sin</w:t>
        <w:br/>
        <w:t>dilación, una investigación seria, imparcial  y  efectiva[144].   Esta</w:t>
        <w:br/>
        <w:t>investigación  debe  ser  realizada  por  todos  los  medios   legales</w:t>
        <w:br/>
        <w:t>disponibles  y  orientada  a  la  determinación  de  la  verdad  y  la</w:t>
        <w:br/>
        <w:t>investigación, persecución, captura, enjuiciamiento y, en su caso,  el</w:t>
        <w:br/>
        <w:t>castigo de todos los responsables de los hechos, especialmente  cuando</w:t>
        <w:br/>
        <w:t>están involucrados agentes estatales[145].</w:t>
        <w:br/>
        <w:br/>
        <w:t>257.  Para determinar si se ha cumplido la obligación de  proteger  el</w:t>
        <w:br/>
        <w:t>derecho a la vida  por  la  vía  de  una  investigación  seria  de  lo</w:t>
        <w:br/>
        <w:t>ocurrido, es preciso examinar  los  procedimientos  abiertos  a  nivel</w:t>
        <w:br/>
        <w:t>interno destinados a identificar a los responsables por los hechos del</w:t>
        <w:br/>
        <w:t>caso.  Este examen se hará a la luz de lo que dispone el  artículo  25</w:t>
        <w:br/>
        <w:t>de la Convención Americana y  de  los  requerimientos  que  impone  el</w:t>
        <w:br/>
        <w:t>artículo 8 de la misma  para  todo  proceso,  y  se  efectuará  en  el</w:t>
        <w:br/>
        <w:t>Capítulo XV de la presente Sentencia.</w:t>
        <w:br/>
        <w:br/>
        <w:t xml:space="preserve">                                      *</w:t>
        <w:br/>
        <w:t xml:space="preserve">                                   *     *</w:t>
        <w:br/>
        <w:br/>
        <w:t>258.  Por todo lo  anterior,  la  Corte  concluye  que  el  Estado  es</w:t>
        <w:br/>
        <w:t>responsable por la violación del derecho a la vida  consagrado  en  el</w:t>
        <w:br/>
        <w:t>artículo 4.1 de la Convención, en relación  con  el  artículo  1.1  de</w:t>
        <w:br/>
        <w:t>dicho  tratado,  en  perjuicio   de   los   41   internos   fallecidos</w:t>
        <w:br/>
        <w:t>identificados, cuyos nombres se  encuentran en el Anexo 1 de  víctimas</w:t>
        <w:br/>
        <w:t>de la presente Sentencia que para estos  efectos  forma  parte  de  la</w:t>
        <w:br/>
        <w:t>misma.  Los  hechos  revisten  especial  gravedad  en  razón  de   las</w:t>
        <w:br/>
        <w:t>consideraciones indicadas en este capítulo y  en  el  capítulo  IX  de</w:t>
        <w:br/>
        <w:t>“Responsabilidad internacional del Estado en el contexto del  presente</w:t>
        <w:br/>
        <w:t>caso”.</w:t>
        <w:br/>
        <w:br/>
        <w:br/>
        <w:t xml:space="preserve">                                     XI</w:t>
        <w:br/>
        <w:t xml:space="preserve">         Violación del artículo 5 (Derecho a la Integridad Personal)</w:t>
        <w:br/>
        <w:t xml:space="preserve">      de la Convención Americana en relación con el artículo 1.1 de la</w:t>
        <w:br/>
        <w:t xml:space="preserve">      misma, y en conexión con los artículos 1, 6 y 8 de la Convención</w:t>
        <w:br/>
        <w:t xml:space="preserve">             Interamericana para Prevenir y Sancionar la Tortura</w:t>
        <w:br/>
        <w:br/>
        <w:br/>
        <w:t>Alegatos de la Comisión</w:t>
        <w:br/>
        <w:br/>
        <w:t>259.   En  cuanto  a  la  alegada  violación  del  artículo  5  de  la</w:t>
        <w:br/>
        <w:t>Convención, en relación con el artículo 1.1 de la misma,  la  Comisión</w:t>
        <w:br/>
        <w:t>señaló, en resumen, lo siguiente:</w:t>
        <w:br/>
        <w:br/>
        <w:t>“Internos heridos durante ‘el enfrentamiento’”</w:t>
        <w:br/>
        <w:br/>
        <w:t xml:space="preserve">      a)    aproximadamente 175 reclusos resultaron heridos durante el</w:t>
        <w:br/>
        <w:t xml:space="preserve">      operativo denominado "Mudanza 1", a  causa  de  los  disparos  y</w:t>
        <w:br/>
        <w:t xml:space="preserve">      explosiones efectuados por las fuerzas de seguridad del  Estado,</w:t>
        <w:br/>
        <w:t xml:space="preserve">      y de la caída de escombros durante el enfrentamiento,  así  como</w:t>
        <w:br/>
        <w:t xml:space="preserve">      de  las  golpizas  y  maltratos  inflingidos  por  los   agentes</w:t>
        <w:br/>
        <w:t xml:space="preserve">      estatales a  los  prisioneros  rendidos  una  vez  concluido  el</w:t>
        <w:br/>
        <w:t xml:space="preserve">      asalto;</w:t>
        <w:br/>
        <w:br/>
        <w:br/>
        <w:t xml:space="preserve">      b)    el propio Estado, por su falta de prevención en el ingreso</w:t>
        <w:br/>
        <w:t xml:space="preserve">      de armas al centro penal, creó una situación en la que resultaba</w:t>
        <w:br/>
        <w:t xml:space="preserve">      previsible la necesidad de someter por la fuerza a los  internos</w:t>
        <w:br/>
        <w:t xml:space="preserve">      y,  en  consecuencia,  ocasionarles  eventuales  lesiones  a  su</w:t>
        <w:br/>
        <w:t xml:space="preserve">      integridad personal. Es irrelevante  quién  ejecutó  la  primera</w:t>
        <w:br/>
        <w:t xml:space="preserve">      agresión, pues aún si  los  prisioneros  iniciaron  un  motín  o</w:t>
        <w:br/>
        <w:t xml:space="preserve">      dispararon armas de fuego, existen indicios suficientes  de  que</w:t>
        <w:br/>
        <w:t xml:space="preserve">      la policía utilizó fuerza excesiva, innecesaria, sin gradualidad</w:t>
        <w:br/>
        <w:t xml:space="preserve">      y desproporcionada contra  los  presos,  hiriendo  a  muchos  de</w:t>
        <w:br/>
        <w:t xml:space="preserve">      ellos;</w:t>
        <w:br/>
        <w:br/>
        <w:t xml:space="preserve">      c)    varios de los internos resultaron heridos por los disparos</w:t>
        <w:br/>
        <w:t xml:space="preserve">      efectuados por las fuerzas  de  seguridad  mientras  salían  del</w:t>
        <w:br/>
        <w:t xml:space="preserve">      pabellón 4B, luego de “haberse rendido y desarmado”;</w:t>
        <w:br/>
        <w:br/>
        <w:br/>
        <w:t xml:space="preserve">      d)    el Estado  no  investigó  con  la  debida  diligencia  las</w:t>
        <w:br/>
        <w:t xml:space="preserve">      lesiones  producidas  a   los   reclusos   en   el   curso   del</w:t>
        <w:br/>
        <w:t xml:space="preserve">      enfrentamiento, ni sancionó a los responsables. En  consecuencia</w:t>
        <w:br/>
        <w:t xml:space="preserve">      resulta imposible para la Comisión determinar si algunas de  las</w:t>
        <w:br/>
        <w:t xml:space="preserve">      lesiones ocasionadas a los presos se produjeron  en  utilización</w:t>
        <w:br/>
        <w:t xml:space="preserve">      legítima, necesaria y proporcionada de la fuerza  pública  o  en</w:t>
        <w:br/>
        <w:t xml:space="preserve">      legítima defensa por parte de algunos de sus agentes;</w:t>
        <w:br/>
        <w:br/>
        <w:br/>
        <w:t xml:space="preserve">      e)    el análisis efectuado por la Comisión en relación  con  la</w:t>
        <w:br/>
        <w:t xml:space="preserve">      falta de prevención y el exceso en  el  uso  de  la  fuerza  que</w:t>
        <w:br/>
        <w:t xml:space="preserve">      ocasionaron violaciones del derecho a la vida, resulta aplicable</w:t>
        <w:br/>
        <w:t xml:space="preserve">      mutatis mutandi respecto  de  la  violación  del  derecho  a  la</w:t>
        <w:br/>
        <w:t xml:space="preserve">      integridad personal, en concordancia con la  obligación  general</w:t>
        <w:br/>
        <w:t xml:space="preserve">      de respeto y garantía contemplada  en  el  artículo  1.1  de  la</w:t>
        <w:br/>
        <w:t xml:space="preserve">      Convención;</w:t>
        <w:br/>
        <w:br/>
        <w:br/>
        <w:t xml:space="preserve">      “Tratamiento otorgado a los internos con posterioridad a la toma</w:t>
        <w:br/>
        <w:t xml:space="preserve">      de los pabellones 1A y 4B”</w:t>
        <w:br/>
        <w:br/>
        <w:t xml:space="preserve">      f)    en los días posteriores al operativo  denominado  “Mudanza</w:t>
        <w:br/>
        <w:t xml:space="preserve">      1” y hasta el 22  de  mayo  de  1992,  inclusive,  los  internos</w:t>
        <w:br/>
        <w:t xml:space="preserve">      individualizados en la demanda  fueron  obligados  a  permanecer</w:t>
        <w:br/>
        <w:t xml:space="preserve">      acostados boca abajo en los patios  conocidos  como  “tierra  de</w:t>
        <w:br/>
        <w:t xml:space="preserve">      nadie” y “admisión”, sin que se les proveyera  agua  y  alimento</w:t>
        <w:br/>
        <w:t xml:space="preserve">      suficiente, ni se les permitiera cambiarse de ropa,  ni  se  les</w:t>
        <w:br/>
        <w:t xml:space="preserve">      ofreciera mantas para abrigarse o un  colchón  donde  acostarse.</w:t>
        <w:br/>
        <w:t xml:space="preserve">      Lo anterior, a pesar de que muchos de los reclusos  habían  sido</w:t>
        <w:br/>
        <w:t xml:space="preserve">      heridos durante el asalto;</w:t>
        <w:br/>
        <w:br/>
        <w:br/>
        <w:t xml:space="preserve">      g)    en los alegatos finales escritos indicó que  los  internos</w:t>
        <w:br/>
        <w:t xml:space="preserve">      heridos  que  fueron   trasladados   a    centros    de    salud</w:t>
        <w:br/>
        <w:t xml:space="preserve">      recibieron  nuevos  maltratos  en  el  trayecto   hasta   dichos</w:t>
        <w:br/>
        <w:t xml:space="preserve">      establecimientos,  así  como  nuevos   intentos   de   ejecución</w:t>
        <w:br/>
        <w:t xml:space="preserve">      extrajudicial. Fueron  sometidos  a  condiciones  sanitariamente</w:t>
        <w:br/>
        <w:t xml:space="preserve">      inadecuadas   y   moralmente   denigrantes,   lo   que   resulta</w:t>
        <w:br/>
        <w:t xml:space="preserve">      particularmente grave en el caso de las mujeres. Muchos  de  los</w:t>
        <w:br/>
        <w:t xml:space="preserve">      heridos, aún cuando no habían logrado recuperarse, fueron  dados</w:t>
        <w:br/>
        <w:t xml:space="preserve">      de  alta con  el  único  propósito  de  llevarlos  nuevamente  a</w:t>
        <w:br/>
        <w:t xml:space="preserve">      prisión, destacándose las vivencias de las señoras Gaby Balcázar</w:t>
        <w:br/>
        <w:t xml:space="preserve">      y Miriam Rodríguez, y del hijo de la señora Julia Peña Castillo,</w:t>
        <w:br/>
        <w:t xml:space="preserve">      Víctor Olivos Peña,  relatadas  en  el  curso  de  la  audiencia</w:t>
        <w:br/>
        <w:t xml:space="preserve">      pública ante la Corte;</w:t>
        <w:br/>
        <w:br/>
        <w:t xml:space="preserve">      h)    en los alegatos finales escritos indicó que  las  internas</w:t>
        <w:br/>
        <w:t xml:space="preserve">      fueron  tratadas  por  los  agentes  estatales  con   particular</w:t>
        <w:br/>
        <w:t xml:space="preserve">      desprecio  y  ensañamiento  desde  el  inicio  del  ataque.  Las</w:t>
        <w:br/>
        <w:t xml:space="preserve">      “situaciones      [violatorias]      tuvieron      consecuencias</w:t>
        <w:br/>
        <w:t xml:space="preserve">      particularmente graves para las víctimas mujeres, varias de  las</w:t>
        <w:br/>
        <w:t xml:space="preserve">      cuales se encontraban embarazadas”. El asalto se  inició  en  el</w:t>
        <w:br/>
        <w:t xml:space="preserve">      único pabellón de la prisión ocupado  por  mujeres,  y  tras  la</w:t>
        <w:br/>
        <w:t xml:space="preserve">      conclusión del  operativo  estuvieron  sometidas  a  condiciones</w:t>
        <w:br/>
        <w:t xml:space="preserve">      atentatorias contra  su  dignidad  como  mujeres.  Las  internas</w:t>
        <w:br/>
        <w:t xml:space="preserve">      reubicadas en cárceles de mujeres fueron víctimas  de  maltratos</w:t>
        <w:br/>
        <w:t xml:space="preserve">      físicos y psicológicos durante  el  traslado  y  dentro  de  los</w:t>
        <w:br/>
        <w:t xml:space="preserve">      establecimientos penitenciarios a los que fueron llevadas. De la</w:t>
        <w:br/>
        <w:t xml:space="preserve">      misma manera las heridas trasladadas  a  los  hospitales  fueron</w:t>
        <w:br/>
        <w:t xml:space="preserve">      desnudadas y obligadas a permanecer así por semanas, rodeadas de</w:t>
        <w:br/>
        <w:t xml:space="preserve">      individuos armados, sin permitírseles  asearse  o  utilizar  los</w:t>
        <w:br/>
        <w:t xml:space="preserve">      servicios sanitarios, salvo acompañadas de un guardia armado que</w:t>
        <w:br/>
        <w:t xml:space="preserve">      no les permitía cerrar la puerta;</w:t>
        <w:br/>
        <w:br/>
        <w:br/>
        <w:t xml:space="preserve">      i)    en los alegatos finales escritos indicó  que  las  mujeres</w:t>
        <w:br/>
        <w:t xml:space="preserve">      han sido víctimas de una historia de discriminación y  exclusión</w:t>
        <w:br/>
        <w:t xml:space="preserve">      por su sexo, que las ha hecho más  vulnerables  a  ser  abusadas</w:t>
        <w:br/>
        <w:t xml:space="preserve">      cuando se ejercen actos violentos contra grupos determinados por</w:t>
        <w:br/>
        <w:t xml:space="preserve">      distintos motivos, como los privados de libertad.  La  violencia</w:t>
        <w:br/>
        <w:t xml:space="preserve">      contra las mujeres es una estrategia  de  guerra  que  usan  los</w:t>
        <w:br/>
        <w:t xml:space="preserve">      actores del conflicto armado  para  avanzar  en  su  control  de</w:t>
        <w:br/>
        <w:t xml:space="preserve">      territorio y recursos. Adicionalmente, estas  agresiones  sirven</w:t>
        <w:br/>
        <w:t xml:space="preserve">      como una táctica para humillar, aterrorizar, destruir y lesionar</w:t>
        <w:br/>
        <w:t xml:space="preserve">      al “enemigo”, ya sea el núcleo familiar o la comunidad a la  que</w:t>
        <w:br/>
        <w:t xml:space="preserve">      pertenece la víctima;</w:t>
        <w:br/>
        <w:br/>
        <w:t xml:space="preserve">      “Falta de asistencia médica a los internos heridos”</w:t>
        <w:br/>
        <w:br/>
        <w:t xml:space="preserve">      j)    tras la rendición de los internos, entre los días 10 y  22</w:t>
        <w:br/>
        <w:t xml:space="preserve">      de mayo de  1992,  alrededor  de  160  reclusos  que  resultaron</w:t>
        <w:br/>
        <w:t xml:space="preserve">      heridos durante la ejecución del operativo  "Mudanza  1"  y  que</w:t>
        <w:br/>
        <w:t xml:space="preserve">      habían sido sometidos por las fuerzas de seguridad  peruana,  no</w:t>
        <w:br/>
        <w:t xml:space="preserve">      recibieron  asistencia  médica  adecuada  y  oportuna,  lo   que</w:t>
        <w:br/>
        <w:t xml:space="preserve">      ocasionó el agravamiento de sus lesiones, y en algunos casos dio</w:t>
        <w:br/>
        <w:t xml:space="preserve">      lugar a secuelas físicas permanentes;</w:t>
        <w:br/>
        <w:br/>
        <w:br/>
        <w:t xml:space="preserve">      k)    en situaciones de heridas de gravedad, resultantes del uso</w:t>
        <w:br/>
        <w:t xml:space="preserve">      de la fuerza por parte de autoridades estatales,  la  norma  que</w:t>
        <w:br/>
        <w:t xml:space="preserve">      consagra el derecho a la integridad personal exige que el Estado</w:t>
        <w:br/>
        <w:t xml:space="preserve">      adopte medidas inmediatas para salvaguardar la integridad física</w:t>
        <w:br/>
        <w:t xml:space="preserve">      de la persona que se encuentra  bajo  custodia  de  la  policía,</w:t>
        <w:br/>
        <w:t xml:space="preserve">      autoridades judiciales o autoridades penitenciarias.  El  Estado</w:t>
        <w:br/>
        <w:t xml:space="preserve">      tiene el deber positivo específico  de  proteger  la  integridad</w:t>
        <w:br/>
        <w:t xml:space="preserve">      física de toda persona privada de libertad, el  cual  abarca  la</w:t>
        <w:br/>
        <w:t xml:space="preserve">      adopción de las acciones necesarias para  mantener  un  estándar</w:t>
        <w:br/>
        <w:t xml:space="preserve">      adecuado de salud.  La falta de un adecuado  tratamiento  médico</w:t>
        <w:br/>
        <w:t xml:space="preserve">      en tal situación debe ser calificada de tratamiento inhumano;</w:t>
        <w:br/>
        <w:br/>
        <w:br/>
        <w:t xml:space="preserve">      l)    en las circunstancias particulares del presente  caso,  la</w:t>
        <w:br/>
        <w:t xml:space="preserve">      Comisión solicita a la Corte que declare que, una vez  concluido</w:t>
        <w:br/>
        <w:t xml:space="preserve">      el operativo "Mudanza 1", la falta de atención médica oportuna y</w:t>
        <w:br/>
        <w:t xml:space="preserve">      adecuada a los heridos individualizados en la demanda, así  como</w:t>
        <w:br/>
        <w:t xml:space="preserve">      la falta de adopción de acciones necesarias para  garantizar  de</w:t>
        <w:br/>
        <w:t xml:space="preserve">      manera  oportuna  y  eficaz  los  procedimientos   y   medicinas</w:t>
        <w:br/>
        <w:t xml:space="preserve">      necesarias para restablecer el nivel más alto posible  de  salud</w:t>
        <w:br/>
        <w:t xml:space="preserve">      de todas las personas heridas en los hechos del  presente  caso,</w:t>
        <w:br/>
        <w:t xml:space="preserve">      constituyen una infracción al artículo 5 de la Convención  y  un</w:t>
        <w:br/>
        <w:t xml:space="preserve">      incumplimiento de la obligación general de  respeto  y  garantía</w:t>
        <w:br/>
        <w:t xml:space="preserve">      contemplada en el artículo 1.1 de la misma;</w:t>
        <w:br/>
        <w:br/>
        <w:t xml:space="preserve">      “Incomunicación”</w:t>
        <w:br/>
        <w:br/>
        <w:br/>
        <w:t xml:space="preserve">      m)    una vez concluido el operativo denominado "Mudanza 1", los</w:t>
        <w:br/>
        <w:t xml:space="preserve">      internos e internas fueron  impedidos  de  comunicarse  con  sus</w:t>
        <w:br/>
        <w:t xml:space="preserve">      familiares y abogados durante varios días  y  en  ciertos  casos</w:t>
        <w:br/>
        <w:t xml:space="preserve">      durante semanas. Ello coloca al individuo en  una  situación  de</w:t>
        <w:br/>
        <w:t xml:space="preserve">      vulnerabilidad    innecesaria,    pudiendo     constituir     la</w:t>
        <w:br/>
        <w:t xml:space="preserve">      incomunicación,  en  sí  misma,  una  forma  de  maltrato.   Las</w:t>
        <w:br/>
        <w:t xml:space="preserve">      autoridades peruanas debieron permitir que los sobrevivientes se</w:t>
        <w:br/>
        <w:t xml:space="preserve">      comunicaran con sus familias y abogados para  informarles  sobre</w:t>
        <w:br/>
        <w:t xml:space="preserve">      su situación y mermar la incertidumbre  general  que  produjeron</w:t>
        <w:br/>
        <w:t xml:space="preserve">      los hechos;</w:t>
        <w:br/>
        <w:br/>
        <w:t xml:space="preserve">      “Falta de información a los familiares sobre la situación de las</w:t>
        <w:br/>
        <w:t xml:space="preserve">      presuntas víctimas”</w:t>
        <w:br/>
        <w:br/>
        <w:t xml:space="preserve">      n)    en los alegatos finales escritos indicó que la desatención</w:t>
        <w:br/>
        <w:t xml:space="preserve">      negligente o dolosa de los familiares, quienes esperaron en  las</w:t>
        <w:br/>
        <w:t xml:space="preserve">      inmediaciones de la prisión, en los hospitales y en las morgues,</w:t>
        <w:br/>
        <w:t xml:space="preserve">      constituye en sí  una  violación  al  derecho  a  la  integridad</w:t>
        <w:br/>
        <w:t xml:space="preserve">      personal, por la angustia psíquica que generó en los  familiares</w:t>
        <w:br/>
        <w:t xml:space="preserve">      la injustificada dilación en informar sobre  quiénes  resultaron</w:t>
        <w:br/>
        <w:t xml:space="preserve">      muertos y heridos;</w:t>
        <w:br/>
        <w:br/>
        <w:br/>
        <w:t xml:space="preserve">      o)      en   los   alegatos   finales   escritos   indicó    que</w:t>
        <w:br/>
        <w:t xml:space="preserve">      particularmente  las  madres  trataron  sin  éxito  de   obtener</w:t>
        <w:br/>
        <w:t xml:space="preserve">      información sobre la situación  de  sus  familiares,  recibiendo</w:t>
        <w:br/>
        <w:t xml:space="preserve">      todo tipo de insultos y  agresiones físicas. Además tuvieron que</w:t>
        <w:br/>
        <w:t xml:space="preserve">      pasar por terribles condiciones para buscar a sus seres queridos</w:t>
        <w:br/>
        <w:t xml:space="preserve">      y recuperar sus restos, cuando lograban  identificarlos.   A  la</w:t>
        <w:br/>
        <w:t xml:space="preserve">      señora Julia Peña se le negó en reiteradas ocasiones que su hija</w:t>
        <w:br/>
        <w:t xml:space="preserve">      se encontrara en la morgue, y para poder  darle  sepultura  tuvo</w:t>
        <w:br/>
        <w:t xml:space="preserve">      que  entrar   furtivamente   a   dicho   lugar,   abriendo   los</w:t>
        <w:br/>
        <w:t xml:space="preserve">      frigoríficos, encontrándose  con  el  horror  de  los  cadáveres</w:t>
        <w:br/>
        <w:t xml:space="preserve">      descompuestos y hasta  descuartizados  de  otras  víctimas,  que</w:t>
        <w:br/>
        <w:t xml:space="preserve">      tampoco habían sido entregados a  sus  familias.   Durante  todo</w:t>
        <w:br/>
        <w:t xml:space="preserve">      este proceso no  recibió  asistencia  alguna  de  parte  de  los</w:t>
        <w:br/>
        <w:t xml:space="preserve">      funcionarios encargados de la morgue; y</w:t>
        <w:br/>
        <w:br/>
        <w:br/>
        <w:t xml:space="preserve">      p)     en los alegatos finales escritos indicó que “[e]n  virtud</w:t>
        <w:br/>
        <w:t xml:space="preserve">      de […] evidencia presentada al proceso en  forma  sobreviniente,</w:t>
        <w:br/>
        <w:t xml:space="preserve">      […]  considera  que  el  sufrimiento  experimentado  por  dichos</w:t>
        <w:br/>
        <w:t xml:space="preserve">      familiares por la falta de información, así como la impotencia y</w:t>
        <w:br/>
        <w:t xml:space="preserve">      angustia soportadas durante años  ante  la  inactividad  de  las</w:t>
        <w:br/>
        <w:t xml:space="preserve">      autoridades estatales para esclarecer los hechos y  sancionar  a</w:t>
        <w:br/>
        <w:t xml:space="preserve">      los responsables de los  mismos,  constituyen  razones  por  las</w:t>
        <w:br/>
        <w:t xml:space="preserve">      cuales los familiares de las  víctimas  deben  ser  considerados</w:t>
        <w:br/>
        <w:t xml:space="preserve">      víctimas de tratos  crueles,  inhumanos  y  degradantes  en  los</w:t>
        <w:br/>
        <w:t xml:space="preserve">      términos del artículo 5 de la Convención,  en  relación  con  la</w:t>
        <w:br/>
        <w:t xml:space="preserve">      obligación general de respeto y garantía establecida en el mismo</w:t>
        <w:br/>
        <w:t xml:space="preserve">      tratado”.</w:t>
        <w:br/>
        <w:br/>
        <w:br/>
        <w:br/>
        <w:t>Alegatos de la interviniente común</w:t>
        <w:br/>
        <w:br/>
        <w:t>260.  La interviniente común alegó la violación del artículo 5  de  la</w:t>
        <w:br/>
        <w:t>Convención Americana. Además, alegó la violación de los  artículos  1,</w:t>
        <w:br/>
        <w:t>6, 7, 8, y 9 de la Convención Interamericana para Prevenir y Sancionar</w:t>
        <w:br/>
        <w:t>la Tortura, y de los artículos 4 y 7 de la  Convención  Interamericana</w:t>
        <w:br/>
        <w:t>para Prevenir, Sancionar y Erradicar la  Violencia  contra  la  Mujer,</w:t>
        <w:br/>
        <w:t>apreciaciones que no se encuentran en la  demanda  presentada  por  la</w:t>
        <w:br/>
        <w:t>Comisión  Interamericana.  La  interviniente  alegó,  en  resumen,  lo</w:t>
        <w:br/>
        <w:t>siguiente:</w:t>
        <w:br/>
        <w:br/>
        <w:t xml:space="preserve"> “Hermenéutica  del  derecho  humanitario  y  el  derecho  de  los  derechos</w:t>
        <w:br/>
        <w:t>humanos”</w:t>
        <w:br/>
        <w:br/>
        <w:t xml:space="preserve">      a)     “la  asfixia,  la  privación  de  agua  y  alimentos,  el</w:t>
        <w:br/>
        <w:t xml:space="preserve">      hacinamiento forzado, el sufrimiento severo mental infligido por</w:t>
        <w:br/>
        <w:t xml:space="preserve">      el ataque y las armas específicas escogidas para él  constituyen</w:t>
        <w:br/>
        <w:t xml:space="preserve">      una violación flagrante de la prohibición contra la tortura”;</w:t>
        <w:br/>
        <w:br/>
        <w:br/>
        <w:t xml:space="preserve">      b)     “el  ataque  fue  diseñado  como  una  reproducción   del</w:t>
        <w:br/>
        <w:t xml:space="preserve">      infierno”. Este ataque incluyó cortes de electricidad, bombardeo</w:t>
        <w:br/>
        <w:t xml:space="preserve">      y bombas incendiarias que producían una luz  anaranjada,  en  un</w:t>
        <w:br/>
        <w:t xml:space="preserve">      ambiente de oscuridad absoluta y de  voces  gritando.  Esto  fue</w:t>
        <w:br/>
        <w:t xml:space="preserve">      “intencionalmente planeado así” para que quedará en las neuronas</w:t>
        <w:br/>
        <w:t xml:space="preserve">      de los sobrevivientes;</w:t>
        <w:br/>
        <w:br/>
        <w:t>“La incomunicación como forma de tortura”</w:t>
        <w:br/>
        <w:br/>
        <w:t xml:space="preserve">      c)     las  condiciones  de  incomunicación  aplicadas  en   las</w:t>
        <w:br/>
        <w:t xml:space="preserve">      prisiones  Santa  Mónica,  Castro  Castro  y  Cachiche   a   los</w:t>
        <w:br/>
        <w:t xml:space="preserve">      sobrevivientes del “operativo”, incluyeron aislamiento total del</w:t>
        <w:br/>
        <w:t xml:space="preserve">      mundo exterior, “sin acceso a  radios,  periódicos,  televisión,</w:t>
        <w:br/>
        <w:t xml:space="preserve">      libros, actividades de trabajo o de estudio, las  24  horas  del</w:t>
        <w:br/>
        <w:t xml:space="preserve">      día, en celdas de 2 por 2 metros,  con  por  lo  menos  otras  2</w:t>
        <w:br/>
        <w:t xml:space="preserve">      personas, con letrina  incluida,  sin  acceso  adecuado  a  agua</w:t>
        <w:br/>
        <w:t xml:space="preserve">      corriente, ningún tipo de luz, con prohibición de  hablar  entre</w:t>
        <w:br/>
        <w:t xml:space="preserve">      si, sin materiales de aseo, ropa de abrigo ni atención  médica”.</w:t>
        <w:br/>
        <w:t xml:space="preserve">      Estas  condiciones  se  prolongaron  por  más  de  5   meses   y</w:t>
        <w:br/>
        <w:t xml:space="preserve">      constituyeron tortura  para  los  internos,  quienes  en  muchas</w:t>
        <w:br/>
        <w:t xml:space="preserve">      ocasiones  “se  volvieron  locos”  como  resultado   de   dichas</w:t>
        <w:br/>
        <w:t xml:space="preserve">      condiciones;</w:t>
        <w:br/>
        <w:br/>
        <w:br/>
        <w:t xml:space="preserve">      d)    las prisioneras de Santa Mónica no vieron a sus  parientes</w:t>
        <w:br/>
        <w:t xml:space="preserve">      hasta septiembre de 1992, ni la luz del sol hasta meses  después</w:t>
        <w:br/>
        <w:t xml:space="preserve">      de la masacre, lo que les ocasiono pérdida  de  pigmentación  en</w:t>
        <w:br/>
        <w:t xml:space="preserve">      sus rostros y mareos. Además, permanecieron con las mismas ropas</w:t>
        <w:br/>
        <w:t xml:space="preserve">      ensangrentadas de la masacre, sin poder realizar cambio de  ropa</w:t>
        <w:br/>
        <w:t xml:space="preserve">      interior u obtener abrigo para el frío;</w:t>
        <w:br/>
        <w:br/>
        <w:br/>
        <w:t xml:space="preserve">      e)    solicita “que en el presente  caso  se  reconozca  que  la</w:t>
        <w:br/>
        <w:t xml:space="preserve">      incomunicación  prolongada  a  la  que  fueron   sometidos   los</w:t>
        <w:br/>
        <w:t xml:space="preserve">      prisioneros constituyó tortura por su extensión, […] condiciones</w:t>
        <w:br/>
        <w:t xml:space="preserve">      y propósito específicos de su aplicación”;</w:t>
        <w:br/>
        <w:br/>
        <w:t>“Confinamiento aislado del mundo y el  control  total  de  la  persona</w:t>
        <w:br/>
        <w:t>humana: su institucionalización total para su destrucción lenta”</w:t>
        <w:br/>
        <w:br/>
        <w:t xml:space="preserve">      f)     el régimen de incomunicación absoluta buscaba el  control</w:t>
        <w:br/>
        <w:t xml:space="preserve">      total del ambiente del  preso  con  dos  objetivos  adicionales:</w:t>
        <w:br/>
        <w:t xml:space="preserve">      infligir sufrimiento mental al interno por la falta de  contacto</w:t>
        <w:br/>
        <w:t xml:space="preserve">      con sus familiares, y restringir el apoyo y comunicación con  el</w:t>
        <w:br/>
        <w:t xml:space="preserve">      exterior.  La falta  de  contacto  con  familiares  también  era</w:t>
        <w:br/>
        <w:t xml:space="preserve">      utilizada para controlar la voluntad de los internos;</w:t>
        <w:br/>
        <w:br/>
        <w:br/>
        <w:t xml:space="preserve">      g)    la confinación del preso a inmovilidad las  24  horas  del</w:t>
        <w:br/>
        <w:t xml:space="preserve">      día, así como la privación de luz y ejercicio fueron  una  forma</w:t>
        <w:br/>
        <w:t xml:space="preserve">      severa  de  infligir  sufrimiento  humano.  Existía  una   orden</w:t>
        <w:br/>
        <w:t xml:space="preserve">      específica  para  mantenerlos  inactivos,  “sólo  podían  comer,</w:t>
        <w:br/>
        <w:t xml:space="preserve">      defecar y dormir”;</w:t>
        <w:br/>
        <w:br/>
        <w:br/>
        <w:t xml:space="preserve">      h)     según  un  estudio  “métodos  como  privación  sensorial,</w:t>
        <w:br/>
        <w:t xml:space="preserve">      aislamiento, privación de sueño,  desnudo  forzado,  humillación</w:t>
        <w:br/>
        <w:t xml:space="preserve">      cultural y sexual, el uso de perros entrenados militarmente para</w:t>
        <w:br/>
        <w:t xml:space="preserve">      instigar miedo, ejecuciones simuladas, y amenazas de violencia o</w:t>
        <w:br/>
        <w:t xml:space="preserve">      muerte hacia detenidos  o  sus  seres  queridos  son  formas  de</w:t>
        <w:br/>
        <w:t xml:space="preserve">      tortura psicológica”;</w:t>
        <w:br/>
        <w:br/>
        <w:t>“El uso de desnudo forzado, el uso de perros sin bozal contra personas</w:t>
        <w:br/>
        <w:t>en detención”</w:t>
        <w:br/>
        <w:br/>
        <w:br/>
        <w:t xml:space="preserve">      i)    se utilizaron perros sin bozal para intimidar y degradar a</w:t>
        <w:br/>
        <w:t xml:space="preserve">      los prisioneros en  estado  de  indefensión,  en  violación  del</w:t>
        <w:br/>
        <w:t xml:space="preserve">      artículo 5 de la Convención y del Manual de las Naciones  Unidas</w:t>
        <w:br/>
        <w:t xml:space="preserve">      en su Protocolo de Estambul;</w:t>
        <w:br/>
        <w:br/>
        <w:br/>
        <w:t xml:space="preserve">      j)     el desnudo a que fueron sometidos los presos, acompañados</w:t>
        <w:br/>
        <w:t xml:space="preserve">      por “golpes brutales, sadistas y de exposición [al]  frío  o  la</w:t>
        <w:br/>
        <w:t xml:space="preserve">      noche por largas horas” constituyó un sufrimiento severo;</w:t>
        <w:br/>
        <w:br/>
        <w:t>“Electroshocks, falange y golpes contundentes en partes sensibles  del</w:t>
        <w:br/>
        <w:t>cuerpo como forma de tortura”</w:t>
        <w:br/>
        <w:br/>
        <w:t xml:space="preserve">      k)    los prisioneros y enfermos  sobrevivientes  a  la  masacre</w:t>
        <w:br/>
        <w:t xml:space="preserve">      fueron   desnudados   y   golpeados   con   fierros,   palos   y</w:t>
        <w:br/>
        <w:t xml:space="preserve">      electroshocks, en la  cabeza,  espalda,  plantas  de  los  pies,</w:t>
        <w:br/>
        <w:t xml:space="preserve">      tobillos,  pulmones,  columna  vertebral,  costillas,   caderas,</w:t>
        <w:br/>
        <w:t xml:space="preserve">      manos, hígado y riñones. Lo anterior ocasionó daño físico severo</w:t>
        <w:br/>
        <w:t xml:space="preserve">      a los  sobrevivientes,  y  en  algunos  casos  les  imposibilitó</w:t>
        <w:br/>
        <w:t xml:space="preserve">      caminar  por  varios  días.    Solicita  que  esos  golpes  sean</w:t>
        <w:br/>
        <w:t xml:space="preserve">      reconocidos por la Corte como una forma de tortura, en violación</w:t>
        <w:br/>
        <w:t xml:space="preserve">      al artículo 5 de la Convención Americana;</w:t>
        <w:br/>
        <w:br/>
        <w:br/>
        <w:br/>
        <w:br/>
        <w:br/>
        <w:br/>
        <w:t>“Celdas de Castigo: El hueco”</w:t>
        <w:br/>
        <w:br/>
        <w:t xml:space="preserve">      l)    la tortura de los sobrevivientes incluyó  el  uso  de  una</w:t>
        <w:br/>
        <w:t xml:space="preserve">      celda especial de castigo llamada “el hueco”. Esta celda era  de</w:t>
        <w:br/>
        <w:t xml:space="preserve">      metal, medía aproximadamente 1.70x2 mts.,  con  una  ventana  de</w:t>
        <w:br/>
        <w:t xml:space="preserve">      10x10 cm., hacinada  con  agua,  ratas,  sin  luz  y  con  hedor</w:t>
        <w:br/>
        <w:t xml:space="preserve">      nauseabundo. Los internos  recluidos  en  la  celda  tenían  que</w:t>
        <w:br/>
        <w:t xml:space="preserve">      permanecer parados día y noche por la falta de espacio.  En  ese</w:t>
        <w:br/>
        <w:t xml:space="preserve">      lugar eran torturados personalmente por el director  del  penal,</w:t>
        <w:br/>
        <w:t xml:space="preserve">      recibiendo golpes con un palo en los testículos, en la pierna, y</w:t>
        <w:br/>
        <w:t xml:space="preserve">      en los pies. Asimismo, las presuntas víctimas  eran  alimentadas</w:t>
        <w:br/>
        <w:t xml:space="preserve">      en un balde de plástico sucio en el que comían los perros de  la</w:t>
        <w:br/>
        <w:t xml:space="preserve">      cocina;</w:t>
        <w:br/>
        <w:br/>
        <w:t>“Las condiciones generales de prisión aplicadas a  los  sobrevivientes</w:t>
        <w:br/>
        <w:t>constituyeron tortura porque  fueron  una  afrenta  para  la  dignidad</w:t>
        <w:br/>
        <w:t>humana de los presos”</w:t>
        <w:br/>
        <w:br/>
        <w:t xml:space="preserve">      m)    “las condiciones generales  de  prisión  aplicadas  a  los</w:t>
        <w:br/>
        <w:t xml:space="preserve">      sobrevivientes y  descritas  en  detalle  en  cada  uno  de  los</w:t>
        <w:br/>
        <w:t xml:space="preserve">      testimonios  presentados  ante   la   Corte   Interamericana   y</w:t>
        <w:br/>
        <w:t xml:space="preserve">      subsumidos en  el  documento  Lista  de  Víctimas  constituyeron</w:t>
        <w:br/>
        <w:t xml:space="preserve">      tortura porque fue  un  régimen  infligido  intencionalmente  en</w:t>
        <w:br/>
        <w:t xml:space="preserve">      ellos”;</w:t>
        <w:br/>
        <w:br/>
        <w:t>“La violencia de género en el presente caso”</w:t>
        <w:br/>
        <w:br/>
        <w:t xml:space="preserve">      n)     las  internas  fueron  heridas  gravemente   durante   el</w:t>
        <w:br/>
        <w:t xml:space="preserve">      transcurso de la masacre y fueron arrastradas  sobre  cadáveres,</w:t>
        <w:br/>
        <w:t xml:space="preserve">      sin que se permitiera que otras personas las ayudaran;</w:t>
        <w:br/>
        <w:br/>
        <w:br/>
        <w:t xml:space="preserve">      o)    la violencia también se dirigió  contra  las  madres,  las</w:t>
        <w:br/>
        <w:t xml:space="preserve">      hermanas y las esposas de las presuntas víctimas  que  fueron  a</w:t>
        <w:br/>
        <w:t xml:space="preserve">      visitar a sus familiares, sometiéndolas a torturas  psicológicas</w:t>
        <w:br/>
        <w:t xml:space="preserve">      por tener que presenciar la masacre, así como a ataques  físicos</w:t>
        <w:br/>
        <w:t xml:space="preserve">      y verbales por parte de las autoridades del  operativo.  Durante</w:t>
        <w:br/>
        <w:t xml:space="preserve">      estos  ataques  les  lanzaron  agua,  bombas  lacrimógenas,  les</w:t>
        <w:br/>
        <w:t xml:space="preserve">      dispararon y las golpearon. Varias de las mujeres se encontraban</w:t>
        <w:br/>
        <w:t xml:space="preserve">      embarazadas o iban en compañía  de  niños.  Las  madres  también</w:t>
        <w:br/>
        <w:t xml:space="preserve">      fueron amenazadas de muerte sino se retiraban  del  lugar  donde</w:t>
        <w:br/>
        <w:t xml:space="preserve">      estaba ocurriendo “el operativo”;</w:t>
        <w:br/>
        <w:br/>
        <w:br/>
        <w:t xml:space="preserve">      p)    es  significativo  que  el  Estado  realizó  la  operación</w:t>
        <w:br/>
        <w:t xml:space="preserve">      militar un día de visita femenina a la  prisión,  más  aún,  “el</w:t>
        <w:br/>
        <w:t xml:space="preserve">      ataque fue realizado […] la semana del día de  la  [m]adre”.  La</w:t>
        <w:br/>
        <w:t xml:space="preserve">      violencia del Estado  “había  sido  planeada  de  forma  que  el</w:t>
        <w:br/>
        <w:t xml:space="preserve">      castigo ejemplarizante de las prisioneras políticas y el de  los</w:t>
        <w:br/>
        <w:t xml:space="preserve">      prisioneros políticos varones  […]  fuera  presenciado  por  sus</w:t>
        <w:br/>
        <w:t xml:space="preserve">      propias madres y hermanas”. El domingo que se celebró el día  de</w:t>
        <w:br/>
        <w:t xml:space="preserve">      la madre, las madres  de  los  prisioneros  estarían  recogiendo</w:t>
        <w:br/>
        <w:t xml:space="preserve">      cadáveres de las morgues o visitando hospitales para saber si su</w:t>
        <w:br/>
        <w:t xml:space="preserve">      ser  querido  había  sobrevivido.  De  la  misma  forma  “varias</w:t>
        <w:br/>
        <w:t xml:space="preserve">      prisioneras sobrevivientes que eran madres, llevarían atado  por</w:t>
        <w:br/>
        <w:t xml:space="preserve">      siempre […] en la memoria, la  conexión  entre  [el  día  de  la</w:t>
        <w:br/>
        <w:t xml:space="preserve">      madre] y su sufrimiento extremo en dicha matanza”. La masacre de</w:t>
        <w:br/>
        <w:t xml:space="preserve">      Castro Castro  se realizó  de  manera  que  “cada  [d]ía  de  la</w:t>
        <w:br/>
        <w:t xml:space="preserve">      [m]adre todos los años, [las] mujeres revivieran el  sufrimiento</w:t>
        <w:br/>
        <w:t xml:space="preserve">      infligido”, así como para influir  en  que  “las  madres  o  las</w:t>
        <w:br/>
        <w:t xml:space="preserve">      esposas se n[egaran] a que sus hijos se integr[aran a] las filas</w:t>
        <w:br/>
        <w:t xml:space="preserve">      senderistas];</w:t>
        <w:br/>
        <w:br/>
        <w:br/>
        <w:br/>
        <w:br/>
        <w:t xml:space="preserve">      q)     “[n]o existe tortura que no tome en cuenta el  género  de</w:t>
        <w:br/>
        <w:t xml:space="preserve">      la víctima. No existe […] tortura ‘neutral’ […]. Aún cuando  una</w:t>
        <w:br/>
        <w:t xml:space="preserve">      forma de tortura no sea ‘específica’  para  la  mujer[,  …]  sus</w:t>
        <w:br/>
        <w:t xml:space="preserve">      efectos si  tendrán  especifi[ci]dades  propias  en  la  mujer”.</w:t>
        <w:br/>
        <w:t xml:space="preserve">      Debido a lo anterior, “pese a que no toda forma de violencia  en</w:t>
        <w:br/>
        <w:t xml:space="preserve">      este caso  fue  específica  de  las  mujeres,  […]  constituy[ó]</w:t>
        <w:br/>
        <w:t xml:space="preserve">      violencia de  género  pues  estaba  dirigida  […]  a  atacar  la</w:t>
        <w:br/>
        <w:t xml:space="preserve">      identidad femenina”;</w:t>
        <w:br/>
        <w:br/>
        <w:br/>
        <w:t xml:space="preserve">      r)    “el tipo de insultos dirigidos a [las mujeres], la  manera</w:t>
        <w:br/>
        <w:t xml:space="preserve">      como eran golpeadas y el régimen de prisión que les negó  acceso</w:t>
        <w:br/>
        <w:t xml:space="preserve">      a artefactos propios del cuidado femenino, atención ginecológica</w:t>
        <w:br/>
        <w:t xml:space="preserve">      [y] derechos de maternidad, junto  con  el  ofrecimiento  de  un</w:t>
        <w:br/>
        <w:t xml:space="preserve">      sistema de ‘premios’ a aquella que ‘abandonará’ su  libertad  de</w:t>
        <w:br/>
        <w:t xml:space="preserve">      pensamiento a cambio de  ‘devolvérsele’  su  feminidad  dándoles</w:t>
        <w:br/>
        <w:t xml:space="preserve">      acceso a enseres tales como peine, lápiz labial, etc., y al  ser</w:t>
        <w:br/>
        <w:t xml:space="preserve">      reintegrada en su  rol  de  ‘buena  madre’  (las  que  aceptaban</w:t>
        <w:br/>
        <w:t xml:space="preserve">      sumisión volvían a ver a sus hijos) demuestran los  aspectos  de</w:t>
        <w:br/>
        <w:t xml:space="preserve">      género integrales a las torturas infligidas y el daño específico</w:t>
        <w:br/>
        <w:t xml:space="preserve">      en la mujer vis a vis los hombres”;</w:t>
        <w:br/>
        <w:br/>
        <w:br/>
        <w:t xml:space="preserve">      s)    “el régimen aplicado a las sobrevivientes  de  la  masacre</w:t>
        <w:br/>
        <w:t xml:space="preserve">      constituyó  un  ataque  contra  su  dignidad,  y  una  violación</w:t>
        <w:br/>
        <w:t xml:space="preserve">      sostenida a ser libres de torturas, tal como  están  reconocidos</w:t>
        <w:br/>
        <w:t xml:space="preserve">      en  el  artículo  4  de  la  Convención  Americana”.  Además  el</w:t>
        <w:br/>
        <w:t xml:space="preserve">      sufrimiento infligido en las mujeres en  el  presente  caso  cae</w:t>
        <w:br/>
        <w:t xml:space="preserve">      bajo la definición de violencia contra la mujer contenida en  el</w:t>
        <w:br/>
        <w:t xml:space="preserve">      artículo 2 de la Convención de Belém do Pará;</w:t>
        <w:br/>
        <w:br/>
        <w:t xml:space="preserve">      t)   “cubriendo el período del 12 de Julio de 1995 en  adelante,</w:t>
        <w:br/>
        <w:t xml:space="preserve">      dichas violaciones constituyeron  una  violación  del  objeto  y</w:t>
        <w:br/>
        <w:t xml:space="preserve">      propósito  de  la  Convención  Inter[a]mericana  para  Prevenir,</w:t>
        <w:br/>
        <w:t xml:space="preserve">      Sancionar y Erradicar la Violencia contra la Mujer[, …] la  cual</w:t>
        <w:br/>
        <w:t xml:space="preserve">      fue firmada por Perú el 12 de Julio de 1995[,]  y violaciones de</w:t>
        <w:br/>
        <w:t xml:space="preserve">      [los] Artículo[s] 4 y 7 de la misma Convención  por  el  período</w:t>
        <w:br/>
        <w:t xml:space="preserve">      que cubre 1996 hacia adelante, desde que Perú  ratificara  dicho</w:t>
        <w:br/>
        <w:t xml:space="preserve">      tratado  el  4  de  junio  de  1996”.  “  El  Estado  del   Perú</w:t>
        <w:br/>
        <w:t xml:space="preserve">      intencionalmente  inflingió  violencia  contra  las  prisioneras</w:t>
        <w:br/>
        <w:t xml:space="preserve">      políticas como castigo por su  doble  transgresión  del  sistema</w:t>
        <w:br/>
        <w:t xml:space="preserve">      imperante: el  uso  del  factor  género  para  infligir  daño  y</w:t>
        <w:br/>
        <w:t xml:space="preserve">      torturar a las prisioneras“;</w:t>
        <w:br/>
        <w:br/>
        <w:t>“Violencia física y psicológica post-masacre”</w:t>
        <w:br/>
        <w:br/>
        <w:t xml:space="preserve">      u)  “el Estado […] infligió violencia física brutal y  violencia</w:t>
        <w:br/>
        <w:t xml:space="preserve">      psicológica seria que en su conjunto  constituyeron  tortura  en</w:t>
        <w:br/>
        <w:t xml:space="preserve">      las  sobrevivientes  de  la  masacre”.  Esta  violencia   abarcó</w:t>
        <w:br/>
        <w:t xml:space="preserve">      golpizas frecuentes, conductas que negaron intencionalmente  que</w:t>
        <w:br/>
        <w:t xml:space="preserve">      las prisioneras con hijos pudieran cumplir efectivamente su  rol</w:t>
        <w:br/>
        <w:t xml:space="preserve">      de madres, negación intencional de atención médica adecuada  pre</w:t>
        <w:br/>
        <w:t xml:space="preserve">      y post natal a gestantes, así como de condiciones básicas en  la</w:t>
        <w:br/>
        <w:t xml:space="preserve">      prisión que respetaran la dignidad humana de las mujeres;</w:t>
        <w:br/>
        <w:br/>
        <w:br/>
        <w:t xml:space="preserve">      v)    las medidas de incomunicación  afectaron  a  la  mujer  de</w:t>
        <w:br/>
        <w:t xml:space="preserve">      manera particular porque afectaron su  relación  con  sus  niños</w:t>
        <w:br/>
        <w:t xml:space="preserve">      pequeños. Por lo general, los niños que no pudieron  ver  a  sus</w:t>
        <w:br/>
        <w:t xml:space="preserve">      madres sino a través de rejas por breves momentos,  empezaron  a</w:t>
        <w:br/>
        <w:t xml:space="preserve">      perder contacto emocional con ellas y muchos las desconocieron;</w:t>
        <w:br/>
        <w:br/>
        <w:br/>
        <w:t xml:space="preserve">      w)    las condiciones de prisión impuestas en las sobrevivientes</w:t>
        <w:br/>
        <w:t xml:space="preserve">      violaron los artículos 4, 5  y  12  de  la  Convención  para  la</w:t>
        <w:br/>
        <w:t xml:space="preserve">      Eliminación de todas las  Formas  de  Discriminación  Contra  la</w:t>
        <w:br/>
        <w:t xml:space="preserve">      Mujer;</w:t>
        <w:br/>
        <w:br/>
        <w:br/>
        <w:t>“Violencia sexual” y “violación de la mujer como forma de tortura”</w:t>
        <w:br/>
        <w:br/>
        <w:t xml:space="preserve">      x)    la violencia contra la mujer en el caso incluyó  violencia</w:t>
        <w:br/>
        <w:t xml:space="preserve">      sexual de varios tipos. Esta violencia “no se limitó a violación</w:t>
        <w:br/>
        <w:t xml:space="preserve">      sexual, sino que las mujeres fueron sometidas [a] una  gama  más</w:t>
        <w:br/>
        <w:t xml:space="preserve">      amplia de violencia sexual que incluyó actos que no  env[olvían]</w:t>
        <w:br/>
        <w:t xml:space="preserve">      penetración o […] contacto físico”. Por lo menos en un caso  hay</w:t>
        <w:br/>
        <w:t xml:space="preserve">      evidencia que una sobreviviente de la masacre de  Castro  Castro</w:t>
        <w:br/>
        <w:t xml:space="preserve">      fue violada sexualmente en el Hospital  de  Policía,  y  existen</w:t>
        <w:br/>
        <w:t xml:space="preserve">      alegaciones  de  violación  sexual  con  las  “puntas   de   las</w:t>
        <w:br/>
        <w:t xml:space="preserve">      bayonetas” con  respecto  a  la  prisionera  “extrajudicialmente</w:t>
        <w:br/>
        <w:t xml:space="preserve">      asesinada Julia Marlene Peña Olivos”;</w:t>
        <w:br/>
        <w:br/>
        <w:br/>
        <w:t xml:space="preserve">      y)    “las revisiones o inspecciones vaginales de las presas  en</w:t>
        <w:br/>
        <w:t xml:space="preserve">      el contexto de requisas […] llevadas a cabo por policías varones</w:t>
        <w:br/>
        <w:t xml:space="preserve">      encapuchados,  usando  fuerza,  y  sin  otro  propósito  que  la</w:t>
        <w:br/>
        <w:t xml:space="preserve">      intimidación  y  abuso   de   ellas   constituyeron   flagrantes</w:t>
        <w:br/>
        <w:t xml:space="preserve">      violaciones  a  los  derechos  de  las   presas,   constituyendo</w:t>
        <w:br/>
        <w:t xml:space="preserve">      violencia contra la mujer”. Asimismo, las  revisiones  vaginales</w:t>
        <w:br/>
        <w:t xml:space="preserve">      practicadas a la visita femenina de los sobrevivientes “en total</w:t>
        <w:br/>
        <w:t xml:space="preserve">      ausencia de regulación, practicada por personal policial y no de</w:t>
        <w:br/>
        <w:t xml:space="preserve">      salud, y como una medida primera y no de último  recurso  en  el</w:t>
        <w:br/>
        <w:t xml:space="preserve">      objetivo de mantener  la  seguridad  en  la  prisión  constituyó</w:t>
        <w:br/>
        <w:t xml:space="preserve">      violencia contra la mujer”; y</w:t>
        <w:br/>
        <w:br/>
        <w:br/>
        <w:t xml:space="preserve">      z)    otras formas de violencia sexual  incluyeron  amenazas  de</w:t>
        <w:br/>
        <w:t xml:space="preserve">      actos sexuales, “manoseos”, insultos con connotaciones sexuales,</w:t>
        <w:br/>
        <w:t xml:space="preserve">      desnudo forzado, golpes  en  los  senos,  entre  las  piernas  y</w:t>
        <w:br/>
        <w:t xml:space="preserve">      glúteos, golpes a mujeres embarazadas  en  el  vientre  y  otros</w:t>
        <w:br/>
        <w:t xml:space="preserve">      actos humillantes y dañinos que fueron  una  forma  de  agresión</w:t>
        <w:br/>
        <w:t xml:space="preserve">      sexual.</w:t>
        <w:br/>
        <w:br/>
        <w:t>Alegatos del Estado</w:t>
        <w:br/>
        <w:br/>
        <w:t>261.  El Estado alegó en resumen lo siguiente:</w:t>
        <w:br/>
        <w:br/>
        <w:t xml:space="preserve">      a)    en su escrito de contestación a la demanda y observaciones</w:t>
        <w:br/>
        <w:t xml:space="preserve">      al escrito de solicitudes y argumentos  señaló  que  “acepta  el</w:t>
        <w:br/>
        <w:t xml:space="preserve">      incumplimiento de la obligación general de respeto y garantía de</w:t>
        <w:br/>
        <w:t xml:space="preserve">      los derechos humanos  establecida  en  el  artículo  1.1  de  la</w:t>
        <w:br/>
        <w:t xml:space="preserve">      Convención Americana[, …] acepta la responsabilidad  parcial  en</w:t>
        <w:br/>
        <w:t xml:space="preserve">      las violaciones del derecho […] a la integridad física, en tanto</w:t>
        <w:br/>
        <w:t xml:space="preserve">      el Poder Judicial del Perú  no  se  pronuncie  sobre  la  verdad</w:t>
        <w:br/>
        <w:t xml:space="preserve">      histórica y detallada de los sucesos acaecidos entre el 6 y el 9</w:t>
        <w:br/>
        <w:t xml:space="preserve">      de mayo de 1992”;</w:t>
        <w:br/>
        <w:br/>
        <w:br/>
        <w:t xml:space="preserve">      b)    en sus alegatos finales orales manifestó que  “los  hechos</w:t>
        <w:br/>
        <w:t xml:space="preserve">      […] no se pueden ocultar, no se puede ocultar el dolor,  […]  no</w:t>
        <w:br/>
        <w:t xml:space="preserve">      se pueden ocultar los heridos, no se pueden ocultar el dolor  de</w:t>
        <w:br/>
        <w:t xml:space="preserve">      los familiares de las víctimas”;</w:t>
        <w:br/>
        <w:br/>
        <w:br/>
        <w:t xml:space="preserve">      c)    en sus alegatos finales escritos manifestó que “si bien  a</w:t>
        <w:br/>
        <w:t xml:space="preserve">      nivel del Fuero Interno se  determinarán  las  responsabilidades</w:t>
        <w:br/>
        <w:t xml:space="preserve">      individuales, en  los  términos  [d]el  proceso  actualmente  en</w:t>
        <w:br/>
        <w:t xml:space="preserve">      trámite ante  el  Poder  Judicial  […]  no  se  puede  dejar  de</w:t>
        <w:br/>
        <w:t xml:space="preserve">      reconocer la magnitud de los hechos a que se refiere el presente</w:t>
        <w:br/>
        <w:t xml:space="preserve">      proceso y la responsabilidad del Estado Peruano en los  mismos”;</w:t>
        <w:br/>
        <w:t xml:space="preserve">      y</w:t>
        <w:br/>
        <w:br/>
        <w:br/>
        <w:br/>
        <w:t xml:space="preserve">      d)    “reconoce su responsabilidad de los hechos acaecidos entre</w:t>
        <w:br/>
        <w:t xml:space="preserve">      el 6 y el 9 de mayo de 1992”.</w:t>
        <w:br/>
        <w:br/>
        <w:br/>
        <w:t>Consideraciones de la Corte</w:t>
        <w:br/>
        <w:br/>
        <w:t>262.  El artículo 1.1 de la Convención Americana establece que:</w:t>
        <w:br/>
        <w:br/>
        <w:t xml:space="preserve">      Los Estados Partes en esta Convención se comprometen  a  respetar  los</w:t>
        <w:br/>
        <w:t xml:space="preserve">      derechos y libertades reconocidos en ella y a garantizar  su  libre  y</w:t>
        <w:br/>
        <w:t xml:space="preserve">      pleno ejercicio a toda persona que esté sujeta a su jurisdicción,  sin</w:t>
        <w:br/>
        <w:t xml:space="preserve">      discriminación alguna  por  motivos  de  raza,  color,  sexo,  idioma,</w:t>
        <w:br/>
        <w:t xml:space="preserve">      religión, opiniones políticas  o  de  cualquier  otra  índole,  origen</w:t>
        <w:br/>
        <w:t xml:space="preserve">      nacional o social, posición económica,  nacimiento  o  cualquier  otra</w:t>
        <w:br/>
        <w:t xml:space="preserve">      condición social.</w:t>
        <w:br/>
        <w:br/>
        <w:t>263.  El artículo 5 de la Convención Americana establece que:</w:t>
        <w:br/>
        <w:br/>
        <w:br/>
        <w:t xml:space="preserve">      1.    Toda persona tiene  derecho  a  que  se  respete  su  integridad</w:t>
        <w:br/>
        <w:t xml:space="preserve">      física, psíquica y moral.</w:t>
        <w:br/>
        <w:br/>
        <w:br/>
        <w:t xml:space="preserve">      2.    Nadie debe ser sometido a torturas ni a penas o tratos  crueles,</w:t>
        <w:br/>
        <w:t xml:space="preserve">      inhumanos o degradantes. Toda persona privada de libertad será tratada</w:t>
        <w:br/>
        <w:t xml:space="preserve">      con el respeto debido a la dignidad inherente al ser humano.</w:t>
        <w:br/>
        <w:t xml:space="preserve">      […]</w:t>
        <w:br/>
        <w:t xml:space="preserve">      6.    Las penas privativas  de  la  libertad  tendrán  como  finalidad</w:t>
        <w:br/>
        <w:t xml:space="preserve">      esencial la reforma y la readaptación social de los condenados.</w:t>
        <w:br/>
        <w:br/>
        <w:t>264.  Los artículos 1, 6 y 8  de  la  Convención  Interamericana  para</w:t>
        <w:br/>
        <w:t>Prevenir y Sancionar la Tortura establecen que:</w:t>
        <w:br/>
        <w:br/>
        <w:t xml:space="preserve">      Los Estados partes se obligan a prevenir y a sancionar la  tortura  en</w:t>
        <w:br/>
        <w:t xml:space="preserve">      los términos de la […] Convención [Interamericana contra la Tortura].</w:t>
        <w:br/>
        <w:t xml:space="preserve">      […]</w:t>
        <w:br/>
        <w:t xml:space="preserve">      De conformidad con lo dispuesto en el artículo  1  [de  la  Convención</w:t>
        <w:br/>
        <w:t xml:space="preserve">      Interamericana contra la Tortura], los Estados partes tomarán  medidas</w:t>
        <w:br/>
        <w:t xml:space="preserve">      efectivas para prevenir y sancionar la tortura  en  el  ámbito  de  su</w:t>
        <w:br/>
        <w:t xml:space="preserve">      jurisdicción.</w:t>
        <w:br/>
        <w:t xml:space="preserve">      […]</w:t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br/>
        <w:t>265.   En  cuanto  a  la   alegada   violación   de   la   Convención</w:t>
        <w:br/>
        <w:t>Interamericana para Prevenir  y  Sancionar  la  Tortura,  esta  Corte</w:t>
        <w:br/>
        <w:t>reitera su jurisprudencia sobre la posibilidad de que  las  presuntas</w:t>
        <w:br/>
        <w:t>víctimas o sus representantes  invoquen  derechos  distintos  de  los</w:t>
        <w:br/>
        <w:t>comprendidos en la demanda de la Comisión[146], la  cual  es  también</w:t>
        <w:br/>
        <w:t>aplicable en relación con la  alegación  de  otros  instrumentos  que</w:t>
        <w:br/>
        <w:t>otorguen competencia a la Corte para declarar  violaciones,  respecto</w:t>
        <w:br/>
        <w:t>de los mismos hechos objeto de la demanda.</w:t>
        <w:br/>
        <w:br/>
        <w:t>266.   Como lo ha hecho en otros  casos[147],  la  Corte  ejercerá  su</w:t>
        <w:br/>
        <w:t>competencia material para aplicar la  Convención  Interamericana  para</w:t>
        <w:br/>
        <w:t>Prevenir y Sancionar la Tortura y determinar  la  responsabilidad  del</w:t>
        <w:br/>
        <w:t>Estado conforme a este tratado, ratificado por el Perú el 28 de  marzo</w:t>
        <w:br/>
        <w:t>de 1991, que se encontraba en vigencia cuando ocurrieron  los  hechos.</w:t>
        <w:br/>
        <w:t>Los artículos 1, 6 y 8 de dicho tratado obligan a los Estados Partes a</w:t>
        <w:br/>
        <w:t>adoptar todas las medidas efectivas para prevenir  y  sancionar  todos</w:t>
        <w:br/>
        <w:t>los actos de tortura dentro del ámbito de su jurisdicción.</w:t>
        <w:br/>
        <w:br/>
        <w:t>267.  Tal como indicó la Corte (supra párr. 148), el reconocimiento de</w:t>
        <w:br/>
        <w:t>responsabilidad del Estado en cuanto a los hechos acaecidos entre el 6</w:t>
        <w:br/>
        <w:t>y el 9 de mayo de 1992 en el Penal Miguel Castro Castro constituye una</w:t>
        <w:br/>
        <w:t>contribución positiva. En cuanto a esos hechos el Perú  señaló,  inter</w:t>
        <w:br/>
        <w:t>alia, que “no se pueden ocultar, no se puede ocultar el dolor, […]  no</w:t>
        <w:br/>
        <w:t>se pueden ocultar los heridos, no se pueden ocultar el  dolor  de  los</w:t>
        <w:br/>
        <w:t>familiares de las víctimas” (supra párr. 135).</w:t>
        <w:br/>
        <w:br/>
        <w:t>268.   No  obstante,  debido  a  las  graves  circunstancias  en   que</w:t>
        <w:br/>
        <w:t>acontecieron los hechos y a  que  el  Perú  no  reconoció  los  hechos</w:t>
        <w:br/>
        <w:t>posteriores al 9 de mayo  de  1992  (supra  párr.  152),  el  Tribunal</w:t>
        <w:br/>
        <w:t>considera pertinente analizar  la  violación  del  artículo  5  de  la</w:t>
        <w:br/>
        <w:t>Convención.</w:t>
        <w:br/>
        <w:br/>
        <w:t>269.  Tal como fue indicado por la Corte  (supra  párr.  227),  en  el</w:t>
        <w:br/>
        <w:t>análisis del presente capítulo se tomarán en cuenta los elementos  que</w:t>
        <w:br/>
        <w:t>determinan la gravedad de los hechos de este caso.</w:t>
        <w:br/>
        <w:br/>
        <w:t>270.  Asimismo, es relevante indicar que, en uno de sus  informes,  la</w:t>
        <w:br/>
        <w:t>Defensoría del Pueblo del Perú concluyó que el involucramiento de  las</w:t>
        <w:br/>
        <w:t>mujeres en el conflicto armado cambió la  percepción  de  la  mujer  y</w:t>
        <w:br/>
        <w:t>provocó  “un  trato  más  cruel  y  violento  sobre  aquellas  mujeres</w:t>
        <w:br/>
        <w:t>consideradas ‘sospechosas’”[148]. En este caso ya ha  quedado  probado</w:t>
        <w:br/>
        <w:t>que el ataque inició específicamente en el pabellón del penal  ocupado</w:t>
        <w:br/>
        <w:t>por las internas acusadas o sentenciadas por delitos de  terrorismo  y</w:t>
        <w:br/>
        <w:t>traición a la patria (supra párr. 197.13 y 197.20).</w:t>
        <w:br/>
        <w:br/>
        <w:t>271.  Este Tribunal ha indicado que la tortura y las  penas  o  tratos</w:t>
        <w:br/>
        <w:t>crueles, inhumanos o degradantes están estrictamente prohibidos por el</w:t>
        <w:br/>
        <w:t>Derecho  Internacional  de  los  Derechos  Humanos.   La   prohibición</w:t>
        <w:br/>
        <w:t>absoluta de la tortura, tanto física como psicológica,  pertenece  hoy</w:t>
        <w:br/>
        <w:t>día al  dominio  del  jus  cogens  internacional.   Dicha  prohibición</w:t>
        <w:br/>
        <w:t>subsiste aun en las circunstancias más difíciles, tales  como  guerra,</w:t>
        <w:br/>
        <w:t>amenaza de guerra, lucha contra el  terrorismo  y  cualesquiera  otros</w:t>
        <w:br/>
        <w:t>delitos, estado de  sitio  o  de  emergencia,  conmoción  o  conflicto</w:t>
        <w:br/>
        <w:t>interno,  suspensión  de  garantías  constitucionales,   inestabilidad</w:t>
        <w:br/>
        <w:t>política interna u otras emergencias o calamidades públicas[149].</w:t>
        <w:br/>
        <w:br/>
        <w:t>272.  Asimismo, se ha reconocido que las amenazas y el peligro real de</w:t>
        <w:br/>
        <w:t>someter a una persona a  lesiones  físicas  produce,  en  determinadas</w:t>
        <w:br/>
        <w:t>circunstancias,  una  angustia  moral  de  tal  grado  que  puede  ser</w:t>
        <w:br/>
        <w:t>considerada tortura psicológica[150].</w:t>
        <w:br/>
        <w:br/>
        <w:t>273.  La Corte ha establecido que el  Estado  es  responsable,  en  su</w:t>
        <w:br/>
        <w:t>condición de garante de los derechos consagrados en la Convención,  de</w:t>
        <w:br/>
        <w:t>la observancia del derecho a la integridad personal de todo  individuo</w:t>
        <w:br/>
        <w:t>que se halla bajo su custodia[151].  Es posible considerar responsable</w:t>
        <w:br/>
        <w:t>al Estado por las torturas, tratos crueles,  inhumanos  o  degradantes</w:t>
        <w:br/>
        <w:t>que sufre una persona que  ha  estado  bajo  la  custodia  de  agentes</w:t>
        <w:br/>
        <w:t>estatales, si las autoridades no han realizado una investigación seria</w:t>
        <w:br/>
        <w:t>de los hechos seguida del  procesamiento  de  quienes  aparezcan  como</w:t>
        <w:br/>
        <w:t>responsables de ellos[152].  Recae  en  el  Estado  la  obligación  de</w:t>
        <w:br/>
        <w:t>proveer una explicación satisfactoria y convincente de lo  sucedido  y</w:t>
        <w:br/>
        <w:t>desvirtuar  las  alegaciones  sobre   su   responsabilidad,   mediante</w:t>
        <w:br/>
        <w:t>elementos probatorios adecuados[153].</w:t>
        <w:br/>
        <w:br/>
        <w:t>274.  En lo que se refiere a personas  privadas  de  la  libertad,  el</w:t>
        <w:br/>
        <w:t>propio artículo 5.2 de la Convención establece que serán tratadas  con</w:t>
        <w:br/>
        <w:t>el  respeto  debido  a  la  dignidad  inherente  al  ser  humano.   De</w:t>
        <w:br/>
        <w:t>conformidad con el artículo 27.2 de la Convención este  derecho  forma</w:t>
        <w:br/>
        <w:t>parte del núcleo inderogable, que no es susceptible de  suspensión  en</w:t>
        <w:br/>
        <w:t>casos de guerra, peligro público u otras amenazas a la independencia o</w:t>
        <w:br/>
        <w:t>seguridad de los Estados Partes[154].</w:t>
        <w:br/>
        <w:br/>
        <w:t>275.  En seguida el Tribunal analizará las consecuencias de los hechos</w:t>
        <w:br/>
        <w:t>reconocidos por el Estado acaecidos del 6 al 9 de mayo de 1992,  y  de</w:t>
        <w:br/>
        <w:t>los hechos que  sucedieron  después  de  esa  fecha  y  que  la  Corte</w:t>
        <w:br/>
        <w:t>consideró probados, en lo que toca a la  integridad  personal  de  los</w:t>
        <w:br/>
        <w:t>internos  y  de  sus  familiares.  Cuando  corresponda,  el   Tribunal</w:t>
        <w:br/>
        <w:t>especificará los efectos particulares de los hechos con respecto a las</w:t>
        <w:br/>
        <w:t>internas en general y a las internas embarazadas.</w:t>
        <w:br/>
        <w:br/>
        <w:t>276.  Asimismo, en cuanto a  los  referidos  aspectos  específicos  de</w:t>
        <w:br/>
        <w:t>violencia contra la mujer, esta Corte aplicará el  artículo  5  de  la</w:t>
        <w:br/>
        <w:t>Convención Americana y fijará sus alcances, tomando  en  consideración</w:t>
        <w:br/>
        <w:t>como referencia de interpretación las disposiciones pertinentes de  la</w:t>
        <w:br/>
        <w:t>Convención Interamericana para  Prevenir,  Sancionar  y  Erradicar  la</w:t>
        <w:br/>
        <w:t>Violencia contra la Mujer, ratificada por el Perú el  4  de  junio  de</w:t>
        <w:br/>
        <w:t>1996, y la  Convención  sobre  Eliminación  de  todas  las  Formas  de</w:t>
        <w:br/>
        <w:t>Discriminación  contra  la  Mujer,  ratificada  por  Perú  el  13   de</w:t>
        <w:br/>
        <w:t>septiembre de 1982, vigente en la época de los hechos,  ya  que  estos</w:t>
        <w:br/>
        <w:t>instrumentos complementan el corpus juris internacional en materia  de</w:t>
        <w:br/>
        <w:t>protección de la integridad personal de las mujeres,  del  cual  forma</w:t>
        <w:br/>
        <w:t>parte la Convención Americana[155].</w:t>
        <w:br/>
        <w:br/>
        <w:br/>
        <w:t xml:space="preserve">      A)    Respecto de los internos</w:t>
        <w:br/>
        <w:br/>
        <w:br/>
        <w:t xml:space="preserve">      1)    Violaciones a la integridad personal de los internos  como</w:t>
        <w:br/>
        <w:t xml:space="preserve">      consecuencia del “Operativo Mudanza 1”</w:t>
        <w:br/>
        <w:br/>
        <w:t>277.  Las violaciones a la integridad personal de  los  internos  como</w:t>
        <w:br/>
        <w:t>consecuencia del llamado “Operativo Mudanza 1” se enmarcan  dentro  de</w:t>
        <w:br/>
        <w:t>las consideraciones realizadas por el Tribunal en  el  capítulo  sobre</w:t>
        <w:br/>
        <w:t>violación del artículo 4 (Derecho a la  Vida)  de  la  Convención,  en</w:t>
        <w:br/>
        <w:t>cuanto al uso ilegítimo  de  la  fuerza,  la  magnitud  de  la  fuerza</w:t>
        <w:br/>
        <w:t>utilizada, el tipo de armas, explosivos y gases empleados  contra  los</w:t>
        <w:br/>
        <w:t>internos que se encontraban en los pabellones 1A y 4B del Penal Miguel</w:t>
        <w:br/>
        <w:t>Castro Castro.</w:t>
        <w:br/>
        <w:br/>
        <w:t>278.  La Corte se remite a esas consideraciones sobre los factores que</w:t>
        <w:br/>
        <w:t>repercuten en la gravedad de los hechos.  Es claro que el uso  de  esa</w:t>
        <w:br/>
        <w:t>fuerza por los  agentes  estatales  contra  los  internos  implicó  la</w:t>
        <w:br/>
        <w:t>violación de la integridad física de éstos.</w:t>
        <w:br/>
        <w:br/>
        <w:t>279.  Este Tribunal ha sostenido que la mera amenaza de que ocurra una</w:t>
        <w:br/>
        <w:t>conducta prohibida por el  artículo  5  de  la  Convención  Americana,</w:t>
        <w:br/>
        <w:t>cuando sea suficientemente real e inminente, puede  constituir  en  sí</w:t>
        <w:br/>
        <w:t>misma una transgresión a la norma de que se trata. Para determinar  la</w:t>
        <w:br/>
        <w:t>violación al artículo 5 de la Convención, debe tomarse  en  cuenta  no</w:t>
        <w:br/>
        <w:t>sólo el sufrimiento físico sino también la angustia psíquica y  moral.</w:t>
        <w:br/>
        <w:t>La amenaza de sufrir una grave lesión física puede llegar a configurar</w:t>
        <w:br/>
        <w:t>una “tortura psicológica”[156].</w:t>
        <w:br/>
        <w:br/>
        <w:t>280.   Para determinar la gravedad de las lesiones y los  sufrimientos</w:t>
        <w:br/>
        <w:t>causados la Corte tomará en cuenta  los  peritajes  rendidos  ante  el</w:t>
        <w:br/>
        <w:t>Tribunal y las demás pruebas pertinentes.</w:t>
        <w:br/>
        <w:br/>
        <w:t>281.  Los efectos descritos por el perito Quiroga  (supra  párr.  186)</w:t>
        <w:br/>
        <w:t>con respecto a algunos gases que son los más usados  son  consistentes</w:t>
        <w:br/>
        <w:t>con los  testimonios  rendidos  por  internos  que  experimentaron  el</w:t>
        <w:br/>
        <w:t>ataque, que describieron sensaciones de ardor,  asfixia  y  dificultad</w:t>
        <w:br/>
        <w:t>para respirar.</w:t>
        <w:br/>
        <w:br/>
        <w:t>282.  En cuanto al uso de bombas de gas de fósforo blanco,  el  perito</w:t>
        <w:br/>
        <w:t>Peerwani indicó que cuando este producto químico entra en contacto con</w:t>
        <w:br/>
        <w:t>el tejido humano “ocasiona  quemaduras  muy  severas”.  Dentro  de  su</w:t>
        <w:br/>
        <w:t>experiencia como perito forense  ha  observado  que  estas  quemaduras</w:t>
        <w:br/>
        <w:t>atraviesan el tejido humano “hasta [llegar a]l hueso”. Asimismo, estas</w:t>
        <w:br/>
        <w:t>bombas de  fósforo  blanco  producen  mucho  humo,  el  cual  “es  muy</w:t>
        <w:br/>
        <w:t>peligroso”, y su uso “no es recomendado dentro de ambientes cerrados”.</w:t>
        <w:br/>
        <w:t>La testigo Gaby Bálcazar se refirió  al  efecto  que  producían  estas</w:t>
        <w:br/>
        <w:t>bombas, señalando “que ya no se podía ni respirar, como que el  cuerpo</w:t>
        <w:br/>
        <w:t>ardía, como que el cuerpo quería zafarse de ti”, y se  refirió  a  las</w:t>
        <w:br/>
        <w:t>medidas que se vieron obligadas a adoptar ante ello (supra párr. 187).</w:t>
        <w:br/>
        <w:t xml:space="preserve"> El testigo Raúl Basilio Gil Orihuela  indicó  que  dicho  químico  al</w:t>
        <w:br/>
        <w:t>contacto  con  el  cuerpo  humano  produce   ardor   en   las   partes</w:t>
        <w:br/>
        <w:t>descubiertas, en las fosas nasales,  así  como  asfixia  y  “quemazón”</w:t>
        <w:br/>
        <w:t>química de los órganos internos y la piel (supra párr. 186).</w:t>
        <w:br/>
        <w:br/>
        <w:t>283.  Se ha  probado  que  185  internos  resultaron  lesionados  como</w:t>
        <w:br/>
        <w:t>resultado del “Operativo Mudanza 1”, afectándose su integridad física.</w:t>
        <w:br/>
        <w:t>Todos los internos contra quienes se dirigió el ataque  experimentaron</w:t>
        <w:br/>
        <w:t>el sufrimiento inherente a un ataque de tal magnitud, lo cual  incluye</w:t>
        <w:br/>
        <w:t>tanto a los internos que fallecieron  como  a  los  que  sobrevivieron</w:t>
        <w:br/>
        <w:t>(heridos e ilesos).</w:t>
        <w:br/>
        <w:br/>
        <w:t>284.  El ataque se realizó con armas  muy  lesivas,  con  explosiones,</w:t>
        <w:br/>
        <w:t>gases y humo, con disparos indiscriminados, en oscuridad total, en  un</w:t>
        <w:br/>
        <w:t>espacio  cerrado  y  en  condiciones  de  hacinamiento.  Los  internos</w:t>
        <w:br/>
        <w:t>sufrieron  heridas  por  las  balas,  explosiones,  gases,  esquirlas,</w:t>
        <w:br/>
        <w:t>granadas, bombas y caída de escombros durante los cuatro días que duró</w:t>
        <w:br/>
        <w:t>el ataque. Con respecto al tipo de lesiones sufridas por los internos,</w:t>
        <w:br/>
        <w:t>el perito Peerwani señaló que se trató de “heridas  extrañas”,  dentro</w:t>
        <w:br/>
        <w:t>de las cuales se encontraban “rozaduras por armas de fuego, heridas en</w:t>
        <w:br/>
        <w:t>los pies, en las piernas, en las extremidades, y en otros  ángulos  no</w:t>
        <w:br/>
        <w:t>comunes”, así como en la espalda y las extremidades.  En  opinión  del</w:t>
        <w:br/>
        <w:t>perito, este tipo de heridas evidenció que los disparos fueron  hechos</w:t>
        <w:br/>
        <w:t>al azar, en forma arbitraria, por lo cual los internos  se  esforzaron</w:t>
        <w:br/>
        <w:t>en esquivar las ráfagas dirigidas hacia ellos (supra párr. 187).</w:t>
        <w:br/>
        <w:br/>
        <w:t>285.   Todos  los  internos  enfrentaron  condiciones  de  sufrimiento</w:t>
        <w:br/>
        <w:t>adicionales en el curso  de  esos  cuatro  días,  como  lo  fueron  la</w:t>
        <w:br/>
        <w:t>privación de alimentos, agua, luz y atención médica.</w:t>
        <w:br/>
        <w:br/>
        <w:t>286.  En su peritaje, la  perito  Deutsch  destacó  que  los  internos</w:t>
        <w:br/>
        <w:t>experimentaron “sufrimiento psicológico y emocional intenso  debido  a</w:t>
        <w:br/>
        <w:t>que los heridos no recibieron atención y […] tuvieron  que  presenciar</w:t>
        <w:br/>
        <w:t>con impotencia [dicha] situación” (supra párr. 186).</w:t>
        <w:br/>
        <w:br/>
        <w:t>287.  Según los peritajes rendidos en este proceso y  los  testimonios</w:t>
        <w:br/>
        <w:t>allegados, los internos e internas que vivieron el ataque en  mayo  de</w:t>
        <w:br/>
        <w:t>1992 aún sufren graves secuelas psicológicas. Los  peritos  Deutsch  y</w:t>
        <w:br/>
        <w:t>Quiroga manifestaron que las  consecuencias  psicológicas  del  ataque</w:t>
        <w:br/>
        <w:t>corresponden al síndrome de estrés post traumático.</w:t>
        <w:br/>
        <w:br/>
        <w:t>288.  La Corte estima que los internos  que  sobrevivieron  al  ataque</w:t>
        <w:br/>
        <w:t>experimentaron tortura psicológica por las amenazas  constantes  y  el</w:t>
        <w:br/>
        <w:t>peligro real que generaron las acciones estatales que podían  producir</w:t>
        <w:br/>
        <w:t>su muerte y serias lesiones a su integridad física.</w:t>
        <w:br/>
        <w:br/>
        <w:t>289.  También es preciso señalar que el cadáver de  la  interna  Julia</w:t>
        <w:br/>
        <w:t>Marlene Olivos Peña presentaba “signos  visibles  de  tortura”  (supra</w:t>
        <w:br/>
        <w:t>párr. 197.38). Esta circunstancia muestra la violencia extrema con que</w:t>
        <w:br/>
        <w:t>los agentes estatales actuaron durante el “operativo”.</w:t>
        <w:br/>
        <w:br/>
        <w:t>290.  El ataque inició contra el pabellón  de  mujeres  1A  del  Penal</w:t>
        <w:br/>
        <w:t>Miguel Castro Castro. Las internas que se encontraban en ese pabellón,</w:t>
        <w:br/>
        <w:t>incluidas las embarazadas, se vieron obligadas a huir  del  ataque  en</w:t>
        <w:br/>
        <w:t>dirección al pabellón 4B. Este traslado  fue  especialmente  peligroso</w:t>
        <w:br/>
        <w:t>por las condiciones del ataque antes descritas; las internas sufrieron</w:t>
        <w:br/>
        <w:t>diversas heridas. Un dato que muestra las condiciones extremas en  que</w:t>
        <w:br/>
        <w:t>se  desarrolló  el  ataque  fue  que  las  prisioneras  tuvieron   que</w:t>
        <w:br/>
        <w:t>arrastrarse pegadas al piso, y pasar por encima de cuerpos de personas</w:t>
        <w:br/>
        <w:t>fallecidas,  para  evitar  ser  alcanzadas  por   las   balas.    Esta</w:t>
        <w:br/>
        <w:t>circunstancia resultó particularmente grave en el caso de las  mujeres</w:t>
        <w:br/>
        <w:t>embarazadas quienes se arrastraron sobre su vientre.</w:t>
        <w:br/>
        <w:br/>
        <w:t>291.  Estas características del  ataque  que  vivieron  las  internas,</w:t>
        <w:br/>
        <w:t>quienes observaron la muerte de sus  compañeras  y  vieron  a  mujeres</w:t>
        <w:br/>
        <w:t>embarazadas heridas arrastrándose por el suelo,  generaron,  como  fue</w:t>
        <w:br/>
        <w:t>descrito por la testigo Gaby  Balcázar,  “un  clima  de  desesperación</w:t>
        <w:br/>
        <w:t>entre las mujeres”, de forma tal que sentían  que  iban  a  morir.  En</w:t>
        <w:br/>
        <w:t>igual sentido, la perito Deutsch concluyó que durante los cuatro  días</w:t>
        <w:br/>
        <w:t>que duró el ataque “[l]os internos permanecieron con el terror de  que</w:t>
        <w:br/>
        <w:t>iban a morir[, lo cual] originó un sufrimiento psicológico y emocional</w:t>
        <w:br/>
        <w:t>intenso”.</w:t>
        <w:br/>
        <w:br/>
        <w:t>292.  Es importante aclarar que de la prueba aportada al Tribunal y de</w:t>
        <w:br/>
        <w:t>los  testimonios  de  los  internos  se  desprende  que  las  internas</w:t>
        <w:br/>
        <w:t>embarazadas también fueron víctimas del ataque al penal.  Las  mujeres</w:t>
        <w:br/>
        <w:t>embarazadas que  vivieron  el  ataque  experimentaron  un  sufrimiento</w:t>
        <w:br/>
        <w:t>psicológico adicional, ya que  además  de  haber  visto  lesionada  su</w:t>
        <w:br/>
        <w:t>propia  integridad  física,  padecieron  sentimientos   de   angustia,</w:t>
        <w:br/>
        <w:t>desesperación y miedo por el peligro que corría la vida de sus  hijos.</w:t>
        <w:br/>
        <w:t>Las internas embarazadas que han sido identificadas  ante  esta  Corte</w:t>
        <w:br/>
        <w:t>son las señoras Eva Challco, quien aproximadamente un mes después  del</w:t>
        <w:br/>
        <w:t>ataque tuvo a su hijo Said  Gabriel  Challco  Hurtado;  Vicenta  Genua</w:t>
        <w:br/>
        <w:t>López, quien tenía cinco meses de embarazo;  y  Sabina  Quispe  Rojas,</w:t>
        <w:br/>
        <w:t>quien tenía ocho meses de embarazo (supra párr. 197.57).  Al respecto,</w:t>
        <w:br/>
        <w:t>además de la protección que otorga el  artículo  5  de  la  Convención</w:t>
        <w:br/>
        <w:t>Americana, es preciso señalar que el artículo 7 de  la  Convención  de</w:t>
        <w:br/>
        <w:t>Belem do Pará señala expresamente que los Estados deben  velar  porque</w:t>
        <w:br/>
        <w:t>las autoridades y agentes estatales se abstengan de cualquier acción o</w:t>
        <w:br/>
        <w:t>práctica de violencia contra la mujer.</w:t>
        <w:br/>
        <w:br/>
        <w:t>293.  Con base en lo indicado anteriormente, este  Tribunal  considera</w:t>
        <w:br/>
        <w:t>que el Estado es responsable de la violación a la integridad física de</w:t>
        <w:br/>
        <w:t>los internos que resultaron heridos durante los hechos del 6 al  9  de</w:t>
        <w:br/>
        <w:t>mayo de 1992, lo cual constituyó una violación al  artículo  5  de  la</w:t>
        <w:br/>
        <w:t>Convención  Americana.  Asimismo,  la  Corte  considera  que,  en  las</w:t>
        <w:br/>
        <w:t>circunstancias del presente caso, el conjunto de actos de  agresión  y</w:t>
        <w:br/>
        <w:t>las condiciones en que el Estado puso deliberadamente a  los  internos</w:t>
        <w:br/>
        <w:t>(los que fallecieron y los que sobrevivieron)  durante  los  días  del</w:t>
        <w:br/>
        <w:t>ataque, que causaron en todos ellos un grave sufrimiento psicológico y</w:t>
        <w:br/>
        <w:t>emocional, constituyó una tortura psicológica inferida en  agravio  de</w:t>
        <w:br/>
        <w:t>todos los miembros del grupo, con violación de los artículos 5.1 y 5.2</w:t>
        <w:br/>
        <w:t>de la Convención Americana, y 1, 6 y 8 de la Convención Interamericana</w:t>
        <w:br/>
        <w:t>para Prevenir y Sancionar la Tortura. Además, esta Corte estima que la</w:t>
        <w:br/>
        <w:t>violación del derecho a la integridad  personal  de  las  señoras  Eva</w:t>
        <w:br/>
        <w:t>Challco, Sabina Quispe Rojas y Vicenta Genua López se vio agravada por</w:t>
        <w:br/>
        <w:t>el factor de que se encontraban embarazadas,  de  forma  tal  que  los</w:t>
        <w:br/>
        <w:t>actos de violencia les afectaron en mayor medida. Igualmente, la Corte</w:t>
        <w:br/>
        <w:t>considera que el Estado  es  responsable  por  los  actos  de  tortura</w:t>
        <w:br/>
        <w:t>infligidos a Julia Marlene Olivos Peña, con violación del artículo 5.2</w:t>
        <w:br/>
        <w:t>de la Convención Americana  y  de  los  artículos  1,  6  y  8  de  la</w:t>
        <w:br/>
        <w:t>Convención Interamericana para Prevenir y Sancionar la Tortura.</w:t>
        <w:br/>
        <w:br/>
        <w:br/>
        <w:t>2)    Tratos recibidos por los internos con posterioridad al 9 de mayo</w:t>
        <w:br/>
        <w:t>de 1992 y durante los traslados a otros penales y a los hospitales</w:t>
        <w:br/>
        <w:br/>
        <w:t>294.  Se ha probado (supra párr. 197.42) las condiciones inhumanas  en</w:t>
        <w:br/>
        <w:t>que tuvieron que permanecer la mayoría de los  internos  una  vez  que</w:t>
        <w:br/>
        <w:t>terminó el ataque el 9 de mayo de 1992. Además, se  encuentra  probado</w:t>
        <w:br/>
        <w:t>que el 10 de mayo de 1992 el ex Presidente del Perú, Alberto  Fujimori</w:t>
        <w:br/>
        <w:t>Fujimori, estuvo en el Penal Miguel Castro Castro y caminó  entre  los</w:t>
        <w:br/>
        <w:t>internos tendidos boca abajo en  el  suelo  de  los  patios  de  dicho</w:t>
        <w:br/>
        <w:t>establecimiento (supra párr.  197.43),  constatando  directamente  las</w:t>
        <w:br/>
        <w:t>condiciones en que se encontraban.</w:t>
        <w:br/>
        <w:br/>
        <w:t>295.  La Corte encuentra particularmente grave que  los  internos  que</w:t>
        <w:br/>
        <w:t>estaban heridos y fueron mantenidos en las zonas  del  referido  penal</w:t>
        <w:br/>
        <w:t>conocidas como “tierra de nadie” y “admisión” no  recibieran  atención</w:t>
        <w:br/>
        <w:t>médica (supra párr. 197.42). El Estado tenía el deber de brindarles la</w:t>
        <w:br/>
        <w:t>atención médica que requerían, considerando que era el garante directo</w:t>
        <w:br/>
        <w:t>de sus derechos.</w:t>
        <w:br/>
        <w:br/>
        <w:t>296.  Se ha probado asimismo que una minoría de los  internos  heridos</w:t>
        <w:br/>
        <w:t>fueron trasladados al Hospital de la Sanidad de la Policía el día 9 de</w:t>
        <w:br/>
        <w:t>mayo de  1992  (supra  párr.  197.44)  y  que  durante  los  traslados</w:t>
        <w:br/>
        <w:t>sufrieron nuevas violaciones a su integridad física, psíquica y moral.</w:t>
        <w:br/>
        <w:t>Se les trasladó hacinados  y  fueron  golpeados  por  los  agentes  de</w:t>
        <w:br/>
        <w:t>seguridad, a pesar de que se encontraban heridos (supra párr. 197.48).</w:t>
        <w:br/>
        <w:t>La víctima Gaby Balcázar declaró que creía que “ni a un animal  se  le</w:t>
        <w:br/>
        <w:t>hace eso” (supra párr. 187). Este hecho es un elemento más  del  trato</w:t>
        <w:br/>
        <w:t>particularmente grave que se dio a los internos durante el “operativo”</w:t>
        <w:br/>
        <w:t>y con posterioridad al mismo. El perito Quiroga describió la manera de</w:t>
        <w:br/>
        <w:t>trasladar a los internos heridos a los hospitales como “actos de  gran</w:t>
        <w:br/>
        <w:t>crueldad” (supra párr. 186).</w:t>
        <w:br/>
        <w:br/>
        <w:t>297.  En igual sentido, cuando los  internos  que  se  encontraban  en</w:t>
        <w:br/>
        <w:t>“tierra de nadie” y en “admisión” del Penal Castro Castro (supra párr.</w:t>
        <w:br/>
        <w:t>197.42) fueron traslados a otros penales  o  reubicados  en  el  mismo</w:t>
        <w:br/>
        <w:t>penal Castro Castro  sufrieron  nuevas  violaciones  a  su  integridad</w:t>
        <w:br/>
        <w:t>física, psíquica y moral, ya que fueron golpeados una vez más, incluso</w:t>
        <w:br/>
        <w:t>con objetos contundentes, en la cabeza, los riñones y otras partes del</w:t>
        <w:br/>
        <w:t>cuerpo (supra párr. 197.46 y ** 197.48). Como parte de esas agresiones</w:t>
        <w:br/>
        <w:t>se sometió a gran parte de los internos varones a  lo  que  el  perito</w:t>
        <w:br/>
        <w:t>Quiroga describe como el “Callejón  Oscuro”,  método  de  castigo  que</w:t>
        <w:br/>
        <w:t>consiste en obligar al detenido a caminar en una doble fila de agentes</w:t>
        <w:br/>
        <w:t>que les golpean con  elementos  contundentes  como  palos  y  bastones</w:t>
        <w:br/>
        <w:t>metálicos o de goma, y quien cae al suelo recibe más golpes hasta  que</w:t>
        <w:br/>
        <w:t>llega al otro extremo del callejón. El perito señaló que  este  método</w:t>
        <w:br/>
        <w:t>de castigo colectivo, “por su  severidad  y  consecuencias  físicas  y</w:t>
        <w:br/>
        <w:t>psicológicas[, es] consistente con tortura”.</w:t>
        <w:br/>
        <w:br/>
        <w:t>298.  Entre las internas que estuvieron en las  condiciones  descritas</w:t>
        <w:br/>
        <w:t>había mujeres embarazadas. Los agentes estatales no  tuvieron  ninguna</w:t>
        <w:br/>
        <w:t>consideración respecto a la condición específica de éstas. Sólo fueron</w:t>
        <w:br/>
        <w:t>identificadas ante la Corte las señoras  Eva  Challco,  Sabina  Quispe</w:t>
        <w:br/>
        <w:t>Rojas y Vicenta Genua López (supra párr.  197.57).  La  posición  boca</w:t>
        <w:br/>
        <w:t>abajo en que tuvieron que permanecer resulta particularmente grave  en</w:t>
        <w:br/>
        <w:t>el caso de las mujeres embarazadas. Presenciar este trato hacia  ellas</w:t>
        <w:br/>
        <w:t>generó mayor angustia entre los demás internos.</w:t>
        <w:br/>
        <w:br/>
        <w:t>299.  Asimismo, la Corte hace  notar  el  caso  particular  del  señor</w:t>
        <w:br/>
        <w:t>Víctor Olivos Peña, quien estando  vivo  pero  gravemente  herido  fue</w:t>
        <w:br/>
        <w:t>llevado a la morgue de un hospital, donde fue rescatado por su madre y</w:t>
        <w:br/>
        <w:t>un médico (supra párr. 197.45).</w:t>
        <w:br/>
        <w:br/>
        <w:t>300.  La Corte considera que los  tratos  descritos  en  los  párrafos</w:t>
        <w:br/>
        <w:t>precedentes  constituyeron  un  tratamiento  inhumano  violatorio  del</w:t>
        <w:br/>
        <w:t>artículo 5 de la Convención Americana. Esta violación se vio  agravada</w:t>
        <w:br/>
        <w:t>respecto de aquellos internos que se encontraban heridos y respecto de</w:t>
        <w:br/>
        <w:t>las mujeres que se encontraban embarazadas.</w:t>
        <w:br/>
        <w:br/>
        <w:br/>
        <w:t>3)    Tratos recibidos en los  centros  de  salud  a  los  que  fueron</w:t>
        <w:br/>
        <w:t>trasladados los internos durante el ataque o una vez terminado éste</w:t>
        <w:br/>
        <w:br/>
        <w:t>301.  Quedó probado que los internos trasladados  al  Hospital  de  la</w:t>
        <w:br/>
        <w:t>Policía  no  recibieron  tratamiento  médico  adecuado  (supra   párr.</w:t>
        <w:br/>
        <w:t>197.47). El Principio vigésimo cuarto para la Protección de Todas  las</w:t>
        <w:br/>
        <w:t>Personas Sometidas a Cualquier Forma de Detención o Prisión  establece</w:t>
        <w:br/>
        <w:t>que “[…] toda persona detenida […] recibirá[…] atención y  tratamiento</w:t>
        <w:br/>
        <w:t>médico cada vez que sea necesario[…]”[157]. Esta Corte ha  establecido</w:t>
        <w:br/>
        <w:t>que “el Estado tiene el deber de  proporcionar  a  los  detenidos  […]</w:t>
        <w:br/>
        <w:t>atención   y   tratamiento   [médicos]   adecuados   cuando   así   se</w:t>
        <w:br/>
        <w:t>requiera”[158].</w:t>
        <w:br/>
        <w:br/>
        <w:t>302.  El Estado debía cumplir este deber, con mayor razón, respecto de</w:t>
        <w:br/>
        <w:t>las personas que resultaron heridas en un centro penal y  mediante  la</w:t>
        <w:br/>
        <w:t>acción de los agentes de seguridad. Es evidente que todos los  heridos</w:t>
        <w:br/>
        <w:t>como consecuencia del llamado “Operativo Mudanza 1”  y  de  los  actos</w:t>
        <w:br/>
        <w:t>siguientes a esa operación necesitaban atención médica urgente, máxime</w:t>
        <w:br/>
        <w:t>si se considera la magnitud del ataque, el tipo de heridas causadas  y</w:t>
        <w:br/>
        <w:t>las características de las armas utilizadas durante  ese  “operativo”.</w:t>
        <w:br/>
        <w:t>La falta de atención médica adecuada ocasionó sufrimiento  psicológico</w:t>
        <w:br/>
        <w:t>y  físico  adicional,  y  determinó  que  las   lesiones   no   fueran</w:t>
        <w:br/>
        <w:t>adecuadamente atendidas y dieran lugar a padecimientos crónicos.</w:t>
        <w:br/>
        <w:br/>
        <w:t>303.  Con respecto  al  tratamiento  que  deben  recibir  las  mujeres</w:t>
        <w:br/>
        <w:t>detenidas o arrestadas, el Alto Comisionado  de  las  Naciones  Unidas</w:t>
        <w:br/>
        <w:t>para  los  Derechos  Humanos  ha  señalado  que   “no   deben   sufrir</w:t>
        <w:br/>
        <w:t>discriminación,  y  deben  ser  protegidas  de  todas  las  formas  de</w:t>
        <w:br/>
        <w:t>violencia o explotación”. Asimismo,  ha  indicado  que  las  detenidas</w:t>
        <w:br/>
        <w:t>deben ser supervisadas y  revisadas  por  oficiales  femeninas  y  las</w:t>
        <w:br/>
        <w:t>mujeres embarazadas y en lactancia deben ser proveídas con condiciones</w:t>
        <w:br/>
        <w:t>especiales durante su detención[159]. El Comité para la Eliminación de</w:t>
        <w:br/>
        <w:t>la Discriminación contra la Mujer ha señalado que dicha discriminación</w:t>
        <w:br/>
        <w:t>incluye la violencia basada  en  el  sexo,  “es  decir,  la  violencia</w:t>
        <w:br/>
        <w:t>dirigida contra la mujer porque es mujer o  que  la  afecta  en  forma</w:t>
        <w:br/>
        <w:t>desproporcionada”,  y  que  abarca  “actos  que   infligen   daños   o</w:t>
        <w:br/>
        <w:t>sufrimientos de índole física, mental o sexual,  amenazas  de  cometer</w:t>
        <w:br/>
        <w:t>esos actos, coacción y otras formas de privación de la libertad”[160].</w:t>
        <w:br/>
        <w:br/>
        <w:t>304.  Se probó que en el Hospital de la Policía los internos  heridos,</w:t>
        <w:br/>
        <w:t>quienes se  encontraban  en  deplorables  condiciones,  fueron  además</w:t>
        <w:br/>
        <w:t>desnudados y obligados a permanecer sin  ropa  durante  casi  todo  el</w:t>
        <w:br/>
        <w:t>tiempo que estuvieron en el hospital, que en algunos casos se prolongó</w:t>
        <w:br/>
        <w:t>durante varios días y en  otros  durante  semanas,  y  se  encontraron</w:t>
        <w:br/>
        <w:t>vigilados por agentes armados (supra párr. 197.49).</w:t>
        <w:br/>
        <w:br/>
        <w:t>305.  La Corte considera que todos los internos que  fueron  sometidos</w:t>
        <w:br/>
        <w:t>durante ese prolongado período a la referida desnudez  forzada  fueron</w:t>
        <w:br/>
        <w:t>víctimas de un trato violatorio de su dignidad personal.</w:t>
        <w:br/>
        <w:br/>
        <w:t>306.  En relación con lo anterior,  es  preciso  enfatizar  que  dicha</w:t>
        <w:br/>
        <w:t>desnudez forzada tuvo características especialmente  graves  para  las</w:t>
        <w:br/>
        <w:t>seis mujeres internas que se ha acreditado que fueron sometidas a  ese</w:t>
        <w:br/>
        <w:t>trato. Asimismo, durante todo el  tiempo  que  permanecieron  en  este</w:t>
        <w:br/>
        <w:t>lugar a las internas no se les permitió asearse y, en  algunos  casos,</w:t>
        <w:br/>
        <w:t>para utilizar los servicios sanitarios debían hacerlo  acompañadas  de</w:t>
        <w:br/>
        <w:t>un guardia armado quien  no  les  permitía  cerrar  la  puerta  y  las</w:t>
        <w:br/>
        <w:t>apuntaba con el arma  mientras  hacían  sus  necesidades  fisiológicas</w:t>
        <w:br/>
        <w:t>(supra párr. 197.49). El Tribunal estima que esas mujeres,  además  de</w:t>
        <w:br/>
        <w:t>recibir un trato violatorio de su dignidad  personal,  también  fueron</w:t>
        <w:br/>
        <w:t>víctimas de violencia sexual, ya que estuvieron desnudas  y  cubiertas</w:t>
        <w:br/>
        <w:t>con tan solo una sábana, estando rodeadas de hombres armados,  quienes</w:t>
        <w:br/>
        <w:t>aparentemente eran miembros de las fuerzas de seguridad del Estado. Lo</w:t>
        <w:br/>
        <w:t>que califica este tratamiento de violencia sexual es que  las  mujeres</w:t>
        <w:br/>
        <w:t>fueron constantemente observadas por hombres. La Corte,  siguiendo  la</w:t>
        <w:br/>
        <w:t>línea de la  jurisprudencia  internacional  y  tomando  en  cuenta  lo</w:t>
        <w:br/>
        <w:t>dispuesto en la Convención para Prevenir,  Sancionar  y  Erradicar  la</w:t>
        <w:br/>
        <w:t>Violencia contra la  Mujer,  considera  que  la  violencia  sexual  se</w:t>
        <w:br/>
        <w:t>configura con acciones de naturaleza sexual  que  se  cometen  en  una</w:t>
        <w:br/>
        <w:t>persona sin su consentimiento, que además de  comprender  la  invasión</w:t>
        <w:br/>
        <w:t>física del cuerpo humano,  pueden  incluir  actos  que  no  involucren</w:t>
        <w:br/>
        <w:t>penetración o incluso contacto físico alguno[161].</w:t>
        <w:br/>
        <w:br/>
        <w:t>307.  La Corte hace notar el contexto  en  el  que  fueron  realizados</w:t>
        <w:br/>
        <w:t>dichos actos, ya que las mujeres que los sufrieron se hallaban sujetas</w:t>
        <w:br/>
        <w:t>al completo control del poder de  agentes  del  Estado,  absolutamente</w:t>
        <w:br/>
        <w:t>indefensas, y habían sido heridas precisamente por  agentes  estatales</w:t>
        <w:br/>
        <w:t>de seguridad.</w:t>
        <w:br/>
        <w:br/>
        <w:t>308.  El haber forzado a las internas  a  permanecer  desnudas  en  el</w:t>
        <w:br/>
        <w:t>hospital, vigiladas por hombres armados,  en  el  estado  precario  de</w:t>
        <w:br/>
        <w:t>salud en que  se  encontraban,  constituyó  violencia  sexual  en  los</w:t>
        <w:br/>
        <w:t>términos antes descritos, que les  produjo  constante  temor  ante  la</w:t>
        <w:br/>
        <w:t>posibilidad de que dicha violencia se extremara aún más por  parte  de</w:t>
        <w:br/>
        <w:t>los agentes de seguridad, todo lo cual les ocasionó grave  sufrimiento</w:t>
        <w:br/>
        <w:t>psicológico y moral, que se añade al sufrimiento físico que ya estaban</w:t>
        <w:br/>
        <w:t>padeciendo a causa de sus heridas. Dichos actos  de  violencia  sexual</w:t>
        <w:br/>
        <w:t>atentaron directamente contra la dignidad de esas mujeres.  El  Estado</w:t>
        <w:br/>
        <w:t>es responsable por la violación del derecho a la  integridad  personal</w:t>
        <w:br/>
        <w:t>consagrado en el artículo 5.2 de la Convención Americana, en perjuicio</w:t>
        <w:br/>
        <w:t>de las seis internas que sufrieron esos tratos crueles, cuyos  nombres</w:t>
        <w:br/>
        <w:t>se encuentran incluidos en el Anexo  2  de  víctimas  de  la  presente</w:t>
        <w:br/>
        <w:t>Sentencia que para estos efectos forma parte de la misma.</w:t>
        <w:br/>
        <w:br/>
        <w:t>309.  Por otra parte, en el  presente  caso  se  ha  probado  que  una</w:t>
        <w:br/>
        <w:t>interna que fue trasladada al Hospital de la Sanidad de la Policía fue</w:t>
        <w:br/>
        <w:t>objeto de una “inspección”  vaginal  dactilar,  realizada  por  varias</w:t>
        <w:br/>
        <w:t>personas encapuchadas a la vez, con suma brusquedad, bajo el  pretexto</w:t>
        <w:br/>
        <w:t>de revisarla (supra párr. 197.50).</w:t>
        <w:br/>
        <w:br/>
        <w:t>310.  Siguiendo el criterio jurisprudencial  y  normativo  que  impera</w:t>
        <w:br/>
        <w:t>tanto en el ámbito del Derecho Penal Internacional como en el  Derecho</w:t>
        <w:br/>
        <w:t>Penal comparado, el Tribunal considera  que  la  violación  sexual  no</w:t>
        <w:br/>
        <w:t>implica necesariamente una relación sexual sin consentimiento, por vía</w:t>
        <w:br/>
        <w:t>vaginal, como se  consideró  tradicionalmente.  Por  violación  sexual</w:t>
        <w:br/>
        <w:t>también debe entenderse actos de penetración vaginales o  anales,  sin</w:t>
        <w:br/>
        <w:t>consentimiento de la víctima, mediante la utilización de otras  partes</w:t>
        <w:br/>
        <w:t>del cuerpo del agresor  u  objetos,  así  como  la  penetración  bucal</w:t>
        <w:br/>
        <w:t>mediante el miembro viril.</w:t>
        <w:br/>
        <w:br/>
        <w:t>311.  La Corte reconoce que la violación sexual de una detenida por un</w:t>
        <w:br/>
        <w:t>agente del Estado es un acto especialmente grave y reprobable, tomando</w:t>
        <w:br/>
        <w:t>en cuenta la vulnerabilidad de la víctima y  el  abuso  de  poder  que</w:t>
        <w:br/>
        <w:t>despliega  el  agente[162].  Asimismo,  la  violación  sexual  es  una</w:t>
        <w:br/>
        <w:t>experiencia   sumamente   traumática   que   puede    tener    severas</w:t>
        <w:br/>
        <w:t>consecuencias[163] y causa gran daño físico y psicológico que  deja  a</w:t>
        <w:br/>
        <w:t>la víctima “humillada física y emocionalmente”, situación difícilmente</w:t>
        <w:br/>
        <w:t>superable por el paso del tiempo, a diferencia de lo que  acontece  en</w:t>
        <w:br/>
        <w:t>otras experiencias traumáticas[164].</w:t>
        <w:br/>
        <w:br/>
        <w:t>312.  Con base en lo anterior, y tomando en cuenta lo dispuesto en  el</w:t>
        <w:br/>
        <w:t>artículo 2 de la Convención Interamericana para Prevenir  y  Sancionar</w:t>
        <w:br/>
        <w:t>la Tortura, este Tribunal concluye que los actos de violencia sexual a</w:t>
        <w:br/>
        <w:t>que fue  sometida  una  interna  bajo  supuesta  “inspección”  vaginal</w:t>
        <w:br/>
        <w:t>dactilar (supra párr. 309) constituyeron una violación sexual que  por</w:t>
        <w:br/>
        <w:t>sus efectos constituye tortura. Por lo tanto, el Estado es responsable</w:t>
        <w:br/>
        <w:t>por la violación del derecho a la integridad personal consagrado en el</w:t>
        <w:br/>
        <w:t>artículo 5.2 de la Convención Americana, así como por la violación  de</w:t>
        <w:br/>
        <w:t>los artículos 1, 6 y 8 de la referida Convención  Interamericana  para</w:t>
        <w:br/>
        <w:t>Prevenir y Sancionar la Tortura, en perjuicio de la  interna  indicada</w:t>
        <w:br/>
        <w:t>en el Anexo 2 de víctimas de la  presente  Sentencia  que  para  estos</w:t>
        <w:br/>
        <w:t>efectos forma parte de la misma.</w:t>
        <w:br/>
        <w:br/>
        <w:t>313.  La Relatora Especial de la ONU  para  la  Violencia  contra  las</w:t>
        <w:br/>
        <w:t>Mujeres ha establecido, refiriéndose a la violencia contra las mujeres</w:t>
        <w:br/>
        <w:t>en el contexto de un conflicto armado, que la “[l]a agresión sexual  a</w:t>
        <w:br/>
        <w:t>menudo se considera y practica como medio para humillar al adversario”</w:t>
        <w:br/>
        <w:t>y que “las violaciones sexuales son usadas por ambas  partes  como  un</w:t>
        <w:br/>
        <w:t>acto simbólico” [165]. Este Tribunal reconoce que la violencia  sexual</w:t>
        <w:br/>
        <w:t>contra  la  mujer   tiene   consecuencias   físicas,   emocionales   y</w:t>
        <w:br/>
        <w:t>psicológicas devastadoras para ellas[166], que se ven agravadas en los</w:t>
        <w:br/>
        <w:t>casos de mujeres detenidas[167].</w:t>
        <w:br/>
        <w:br/>
        <w:br/>
        <w:t>4)    Condiciones generales de detención a las  que  fueron  sometidos</w:t>
        <w:br/>
        <w:t>los internos con posterioridad al “Operativo Mudanza 1”</w:t>
        <w:br/>
        <w:br/>
        <w:t>314.  Las sanciones penales son una expresión de la potestad  punitiva</w:t>
        <w:br/>
        <w:t>del Estado e  “implican  menoscabo,  privación  o  alteración  de  los</w:t>
        <w:br/>
        <w:t>derechos  de  las  personas,  como  consecuencia   de   una   conducta</w:t>
        <w:br/>
        <w:t>ilícita”[168].  Sin embargo, las lesiones, sufrimientos,  daños  a  la</w:t>
        <w:br/>
        <w:t>salud o perjuicios sufridos por  una  persona  mientras  se  encuentra</w:t>
        <w:br/>
        <w:t>privada de libertad pueden llegar a constituir una forma de pena cruel</w:t>
        <w:br/>
        <w:t>cuando, debido a las condiciones de encierro, exista un  deterioro  de</w:t>
        <w:br/>
        <w:t>la integridad física, psíquica y moral, estrictamente prohibido por el</w:t>
        <w:br/>
        <w:t>inciso 2 del artículo 5 de  la  Convención,  que  no  es  consecuencia</w:t>
        <w:br/>
        <w:t>natural y directa de la privación de libertad en sí misma.  Cuando  se</w:t>
        <w:br/>
        <w:t>trata de personas que sufren condena, las  situaciones  descritas  son</w:t>
        <w:br/>
        <w:t>contrarias a la “finalidad esencial” de las  penas  privativas  de  la</w:t>
        <w:br/>
        <w:t>libertad, como establece el inciso 6 del citado  artículo,  es  decir,</w:t>
        <w:br/>
        <w:t>“la  reforma  y  la  readaptación  social  de  los  condenados”.   Las</w:t>
        <w:br/>
        <w:t>autoridades   judiciales   deben   tomar   en   consideración    estas</w:t>
        <w:br/>
        <w:t>circunstancias  al  momento   de   aplicar   o   evaluar   las   penas</w:t>
        <w:br/>
        <w:t>establecidas[169]. Las anteriores consideraciones son  aplicables,  en</w:t>
        <w:br/>
        <w:t>la medida pertinente, a la privación  provisional  o  cautelar  de  la</w:t>
        <w:br/>
        <w:t>libertad,  en  lo  relativo  al  tratamiento  que  deben  recibir  los</w:t>
        <w:br/>
        <w:t>reclusos, ya que la normativa internacional  que  lo  regula  contiene</w:t>
        <w:br/>
        <w:t>reglas aplicables tanto a los reclusos en prisión  preventiva  como  a</w:t>
        <w:br/>
        <w:t>los reclusos condenados[170].</w:t>
        <w:br/>
        <w:br/>
        <w:t>315.  De conformidad con el artículo 5 de la Convención, toda  persona</w:t>
        <w:br/>
        <w:t>privada de libertad tiene derecho a vivir en  situación  de  detención</w:t>
        <w:br/>
        <w:t>compatible con su dignidad  personal[171].   En  otras  oportunidades,</w:t>
        <w:br/>
        <w:t>este  Tribunal  ha  señalado  que  la  detención  en  condiciones   de</w:t>
        <w:br/>
        <w:t>hacinamiento,  el  aislamiento  en  celda  reducida,  con   falta   de</w:t>
        <w:br/>
        <w:t>ventilación y luz natural, sin lecho para  el  reposo  ni  condiciones</w:t>
        <w:br/>
        <w:t>adecuadas  de  higiene,  y  la  incomunicación  o  las   restricciones</w:t>
        <w:br/>
        <w:t>indebidas al  régimen  de  visitas  constituyen  una  violación  a  la</w:t>
        <w:br/>
        <w:t>integridad personal[172].  Como responsable de los establecimientos de</w:t>
        <w:br/>
        <w:t>detención, el Estado debe garantizar a los  reclusos  condiciones  que</w:t>
        <w:br/>
        <w:t>respeten sus derechos fundamentales y dejen a salvo su dignidad[173].</w:t>
        <w:br/>
        <w:br/>
        <w:t>316.  En el análisis de la gravedad de los actos que puedan constituir</w:t>
        <w:br/>
        <w:t>tratos crueles, inhumanos o degradantes o tortura es preciso  ponderar</w:t>
        <w:br/>
        <w:t>todas las circunstancias del caso,  tales  como  la  duración  de  los</w:t>
        <w:br/>
        <w:t>tratos, sus efectos físicos y mentales, y en algunos casos,  el  sexo,</w:t>
        <w:br/>
        <w:t>la edad y el estado de salud de la víctima, entre otros[174].</w:t>
        <w:br/>
        <w:br/>
        <w:t>317.  Las  torturas  físicas  y  psíquicas  son  actos  “preparados  y</w:t>
        <w:br/>
        <w:t>realizados  deliberadamente  contra  la  víctima  para   suprimir   su</w:t>
        <w:br/>
        <w:t>resistencia  psíquica  y  forzarla  a  autoinculparse  o  a   confesar</w:t>
        <w:br/>
        <w:t>determinadas conductas delictivas o para someterla  a  modalidades  de</w:t>
        <w:br/>
        <w:t>castigos adicionales a la privación de la libertad en sí  misma”[175].</w:t>
        <w:br/>
        <w:t>Dentro de la noción de tortura establecida en  el  artículo  2  de  la</w:t>
        <w:br/>
        <w:t>Convención Interamericana para Prevenir  y  Sancionar  la  Tortura  se</w:t>
        <w:br/>
        <w:t>encuentra el infligir a una persona sufrimientos  físicos  o  mentales</w:t>
        <w:br/>
        <w:t>con cualquier fin[176]. En situaciones de violación masiva de derechos</w:t>
        <w:br/>
        <w:t>humanos, el uso sistemático de tortura generalmente tiene  el  fin  de</w:t>
        <w:br/>
        <w:t>intimidar a la población[177].</w:t>
        <w:br/>
        <w:br/>
        <w:t>318.  A la luz de los anteriores criterios, y con base  en  el  acervo</w:t>
        <w:br/>
        <w:t>probatorio  del  caso,  este  Tribunal  examinará   el   conjunto   de</w:t>
        <w:br/>
        <w:t>condiciones de detención y de tratamiento a las que  fueron  sometidos</w:t>
        <w:br/>
        <w:t>los internos en los centros penales a los  que  fueron  trasladados  o</w:t>
        <w:br/>
        <w:t>reubicados después del “Operativo Mudanza 1” (supra párr. 197.44).</w:t>
        <w:br/>
        <w:br/>
        <w:t>319.  Dentro de las graves  condiciones  de  detención  se  encuentran</w:t>
        <w:br/>
        <w:t>(supra párr. 197.51 y 197.52): ubicación en celdas en  condiciones  de</w:t>
        <w:br/>
        <w:t>hacinamiento  que  no  permitían  adecuada  movilidad  ni   aseguraban</w:t>
        <w:br/>
        <w:t>condiciones razonables de higiene y salud, sin acceso a luz natural  o</w:t>
        <w:br/>
        <w:t>artificial; precarias condiciones de alimentación; falta  de  atención</w:t>
        <w:br/>
        <w:t>médica adecuada y de suministro de medicinas, no  obstante  que  había</w:t>
        <w:br/>
        <w:t>internos heridos y otros que adquirieron enfermedades  en  la  cárcel;</w:t>
        <w:br/>
        <w:t>falta de ropa de abrigo, inclusive para quienes estaban en  la  cárcel</w:t>
        <w:br/>
        <w:t>de Yanamayo en donde las temperaturas descienden  varios  grados  bajo</w:t>
        <w:br/>
        <w:t>cero; severo régimen de incomunicación; desatención de las necesidades</w:t>
        <w:br/>
        <w:t>fisiológicas de la mujer al negarles materiales de aseo personal, como</w:t>
        <w:br/>
        <w:t>jabón,  papel  higiénico,  toallas  sanitarias  y  ropa  íntima   para</w:t>
        <w:br/>
        <w:t>cambiarse; desatención de las necesidades de salud pre y  post  natal;</w:t>
        <w:br/>
        <w:t>prohibición de dialogar entre sí, leer, estudiar y  realizar  trabajos</w:t>
        <w:br/>
        <w:t>manuales. El daño y sufrimiento  experimentados  por  las  mujeres  en</w:t>
        <w:br/>
        <w:t>general y especialmente las mujeres embarazadas  y  por  las  internas</w:t>
        <w:br/>
        <w:t>madres resultó particularmente grave en los términos que se  describen</w:t>
        <w:br/>
        <w:t>más adelante (infra párrs. 330 a 332).</w:t>
        <w:br/>
        <w:br/>
        <w:t>320.  Entre los tratamientos que violaron la integridad física de  los</w:t>
        <w:br/>
        <w:t>internos, la mayoría  fueron  perpetrados  como  castigos  colectivos,</w:t>
        <w:br/>
        <w:t>tales como: golpes con varas de metal en  las  plantas  de  los  pies,</w:t>
        <w:br/>
        <w:t>comúnmente identificados como golpes de falanga; aplicación de choques</w:t>
        <w:br/>
        <w:t>eléctricos;  golpizas  realizadas  por  muchos  agentes  con  palos  y</w:t>
        <w:br/>
        <w:t>puntapiés que incluían golpes en la cabeza, las caderas y otras partes</w:t>
        <w:br/>
        <w:t>del cuerpo en que las víctimas tenían heridas; y el uso de  celdas  de</w:t>
        <w:br/>
        <w:t>castigo conocidas como el “hueco”. El Estado recurrió a la fuerza  sin</w:t>
        <w:br/>
        <w:t>que existieran motivos determinantes  para  ello  y  aplicó  sanciones</w:t>
        <w:br/>
        <w:t>crueles que están absolutamente prohibidas conforme al artículo  5  de</w:t>
        <w:br/>
        <w:t>la Convención Americana y a otras normas internacionales de protección</w:t>
        <w:br/>
        <w:t>de los derechos humanos aplicables a la materia.</w:t>
        <w:br/>
        <w:br/>
        <w:t>321.  En el contexto de los hechos del presente caso, esas condiciones</w:t>
        <w:br/>
        <w:t>de detención y tratamiento significaron una afectación del derecho  de</w:t>
        <w:br/>
        <w:t>los internos a vivir en un régimen  de  detención  compatible  con  su</w:t>
        <w:br/>
        <w:t>dignidad personal, e incluyeron modalidades de castigo  adicionales  a</w:t>
        <w:br/>
        <w:t>la privación de la  libertad  en  sí  misma,  que  conllevaron  graves</w:t>
        <w:br/>
        <w:t>lesiones, sufrimientos y daños a la salud de los internos.  El  Estado</w:t>
        <w:br/>
        <w:t>aprovechó el poder de control que tenía sobre quienes  se  encontraban</w:t>
        <w:br/>
        <w:t>en centros de  detención  para  causarles  un  grave  deterioro  a  su</w:t>
        <w:br/>
        <w:t>integridad física, psíquica y moral, a través de tales  condiciones  y</w:t>
        <w:br/>
        <w:t>tratamientos.</w:t>
        <w:br/>
        <w:br/>
        <w:t>322.  En seguida la Corte  hará  referencia  a  algunos  parámetros  y</w:t>
        <w:br/>
        <w:t>dictámenes en relación con tales condiciones de detención  y  trato  a</w:t>
        <w:br/>
        <w:t>los internos. Asimismo, se analizará las consecuencias especiales  que</w:t>
        <w:br/>
        <w:t>tuvieron algunas de ellas en  las  mujeres  en  general,  las  mujeres</w:t>
        <w:br/>
        <w:t>embarazadas y las internas madres.</w:t>
        <w:br/>
        <w:br/>
        <w:t>323.  En cuanto a la incomunicación, la Corte ya  se  ha  referido  en</w:t>
        <w:br/>
        <w:t>otros casos a los  efectos  que  causa  en  los  internos[178],  y  ha</w:t>
        <w:br/>
        <w:t>indicado,  inter  alia,  que   el   “aislamiento   prolongado   y   la</w:t>
        <w:br/>
        <w:t>incomunicación coactiva son, por sí  mismos,  tratamientos  crueles  e</w:t>
        <w:br/>
        <w:t>inhumanos, lesivos de la integridad psíquica y moral de la  persona  y</w:t>
        <w:br/>
        <w:t>del derecho al respeto de la dignidad inherente al  ser  humano”[179].</w:t>
        <w:br/>
        <w:t>Asimismo, ha establecido que la incomunicación sólo  puede  utilizarse</w:t>
        <w:br/>
        <w:t>de manera excepcional,  tomando  en  cuenta  los  graves  efectos  que</w:t>
        <w:br/>
        <w:t>genera, pues “el aislamiento del mundo exterior produce  en  cualquier</w:t>
        <w:br/>
        <w:t>persona sufrimientos morales y perturbaciones psíquicas, la coloca  en</w:t>
        <w:br/>
        <w:t>una situación de particular vulnerabilidad y acrecient[a] el riesgo de</w:t>
        <w:br/>
        <w:t>agresión y arbitrariedad en las cárceles”[180]. En igual  sentido,  la</w:t>
        <w:br/>
        <w:t>Corte Europea de Derechos Humanos ha determinado  que  el  aislamiento</w:t>
        <w:br/>
        <w:t>sensorial total usado en conjunto  con  el  aislamiento  social  total</w:t>
        <w:br/>
        <w:t>puede destruir la personalidad de un individuo; y por tanto constituye</w:t>
        <w:br/>
        <w:t>un  tratamiento  inhumano  que  no  puede  ser  justificado  aduciendo</w:t>
        <w:br/>
        <w:t>necesidad en seguridad[181].</w:t>
        <w:br/>
        <w:br/>
        <w:t>324.  En el presente caso esa incomunicación fue particularmente grave</w:t>
        <w:br/>
        <w:t>si se toma en cuenta que los internos habían sufrido el ataque  del  6</w:t>
        <w:br/>
        <w:t>al 9 de mayo de 1992 y  que  con  posterioridad  a  éste  no  les  fue</w:t>
        <w:br/>
        <w:t>permitido comunicarse con  sus  familiares,  quienes  naturalmente  se</w:t>
        <w:br/>
        <w:t>preocuparían  por  lo  ocurrido  a  aquellos.  Esta  imposibilidad  de</w:t>
        <w:br/>
        <w:t>informar a sus familiares que habían sobrevivido  al  ataque  y  tener</w:t>
        <w:br/>
        <w:t>contacto con ellos después de tales  hechos  generó  en  los  internos</w:t>
        <w:br/>
        <w:t>sentimientos adicionales de  angustia y preocupación.</w:t>
        <w:br/>
        <w:br/>
        <w:t>325.   El encierro en celda oscura[182], tal como la descrita por  los</w:t>
        <w:br/>
        <w:t>internos  varones  y  llamada  el   “hueco”   contraría   las   normas</w:t>
        <w:br/>
        <w:t>internacionales acerca de la detención. Al respecto, el perito Quiroga</w:t>
        <w:br/>
        <w:t>expresó  que  “[l]os  prisioneros  fueron  frecuentemente   castigados</w:t>
        <w:br/>
        <w:t>obligándolos a permanecer  por  varios  días  en  cuartos  de  castigo</w:t>
        <w:br/>
        <w:t>conocidos como  el  “Hueco”[;  dichos]  cuartos  eran  pequeños  y  se</w:t>
        <w:br/>
        <w:t>llenaba[n] totalmente de prisioneros parados, de manera que ninguno de</w:t>
        <w:br/>
        <w:t>ellos pudiera sentarse o [a]costarse” (supra  párr.  186).  El  Comité</w:t>
        <w:br/>
        <w:t>contra la Tortura de Naciones Unidas ha señalado  que  las  celdas  de</w:t>
        <w:br/>
        <w:t>aislamiento de 60  x  80  centímetros,  en  las  que  no  hay  luz  ni</w:t>
        <w:br/>
        <w:t>ventilación y sólo  se  puede  estar  en  ellas  de  pié  o  agachado,</w:t>
        <w:br/>
        <w:t>“constituyen en sí mismas una forma de instrumento de tortura”[183].</w:t>
        <w:br/>
        <w:br/>
        <w:t>326.  Durante las llamadas “requisas” a las que fueron  expuestos  los</w:t>
        <w:br/>
        <w:t>internos, las autoridades inflingieron a éstos  golpes  con  varas  de</w:t>
        <w:br/>
        <w:t>metal en las plantas de  los  pies,  trato  comúnmente  conocido  como</w:t>
        <w:br/>
        <w:t>golpes de falanga. En la audiencia pública ante  la  Corte  el  perito</w:t>
        <w:br/>
        <w:t>Wenzel expresó que el uso de estos golpes “es  una  práctica  que  […]</w:t>
        <w:br/>
        <w:t>crea un dolor muy largo permanente [y]  muy  difícil  de  tratar”,   y</w:t>
        <w:br/>
        <w:t>“afecta[n] todo el sistema nervioso [debido a que l]as plantas de  los</w:t>
        <w:br/>
        <w:t>pies tienen una alta densidad de sensores nerviosos”(supra párr. 187).</w:t>
        <w:br/>
        <w:t>En el mismo sentido el perito Quiroga señaló que esa práctica conocida</w:t>
        <w:br/>
        <w:t>como falanga por los expertos en tratamiento de víctimas  de  tortura,</w:t>
        <w:br/>
        <w:t>“produce hematomas locales e intenso dolor agudo con  dificultad  para</w:t>
        <w:br/>
        <w:t>caminar” y que “algunas víctimas pueden sufrir de  dolor  crónico  por</w:t>
        <w:br/>
        <w:t>engrosamiento de la aponeurosis plantar  e  incluso  fractura  de  los</w:t>
        <w:br/>
        <w:t>huesos del metatarso” (supra párr. 186). El perito señaló que  “est[e]</w:t>
        <w:br/>
        <w:t>método  de  castigo  era  […]  colectivo  [y]  por  su   severidad   y</w:t>
        <w:br/>
        <w:t>consecuencias físicas y psicológicas [es]  consistente  con  tortura”.</w:t>
        <w:br/>
        <w:t>En el mismo sentido, el Protocolo de Estambul establece que la falanga</w:t>
        <w:br/>
        <w:t>es una forma de tortura[184].</w:t>
        <w:br/>
        <w:br/>
        <w:t>327.  En cuanto a la aplicación  de  electricidad,  la  Corte  Europea</w:t>
        <w:br/>
        <w:t>determinó en un caso en  el  que  se  alegaba  que  la  víctima  había</w:t>
        <w:br/>
        <w:t>recibido choques eléctricos en las orejas, que dicha circunstancia, en</w:t>
        <w:br/>
        <w:t>conjunto con  los  golpes,  sufrimiento  psicológico  y  demás  tratos</w:t>
        <w:br/>
        <w:t>infligidos a la víctima, habían constituido  tortura[185].  El  perito</w:t>
        <w:br/>
        <w:t>Quiroga expresó que el castigo con corriente eléctrica aplicada a  los</w:t>
        <w:br/>
        <w:t>internos generó un “intenso dolor” (supra párr. 186).</w:t>
        <w:br/>
        <w:br/>
        <w:t>328.  En opinión de la perito Deutsch los internos fueron  “sujetos  a</w:t>
        <w:br/>
        <w:t>tortura psicológica [mediante] la prohibición de trabajar, de leer, de</w:t>
        <w:br/>
        <w:t>ir al patio, y la prohibición de recibir visitas” (supra  párr.  186).</w:t>
        <w:br/>
        <w:t>Asimismo  estableció  que  “[t]odas  estas  medidas   junto   con   el</w:t>
        <w:br/>
        <w:t>sufrimiento físico […] ponían a los prisioneros  en  estado  de  mucho</w:t>
        <w:br/>
        <w:t>estrés e interrumpían un ritmo de vida que llevaba a confundir y crear</w:t>
        <w:br/>
        <w:t>estados de ansiedad y desesperación por la impotencia de  modificar  o</w:t>
        <w:br/>
        <w:t>impedir o ser afectados por esas medidas” (supra párr. 186).</w:t>
        <w:br/>
        <w:br/>
        <w:t>329.  Al rendir dictamen en la audiencia pública  ante  la  Corte,  el</w:t>
        <w:br/>
        <w:t>perito Wenzel concluyó que el  tipo  de  trato  dado  a  los  internos</w:t>
        <w:br/>
        <w:t>“definitivamente no es normal para contener a los prisioneros”  (supra</w:t>
        <w:br/>
        <w:t>párr. 187). Asimismo, señaló, inter alia, que el retiro  de  estímulos</w:t>
        <w:br/>
        <w:t>como falta de luz, prohibición de ejercicio, música  y  lectura  tiene</w:t>
        <w:br/>
        <w:t>efectos psicológicos y biológicos. En particular indicó que  la  falta</w:t>
        <w:br/>
        <w:t>de “luz [por] un período largo de  tiempo  […]  causa  depresión[,  …]</w:t>
        <w:br/>
        <w:t>causa un daño bastante fuerte  sobre  el  sistema  psicológico  y  las</w:t>
        <w:br/>
        <w:t>glándulas [del] cerebro, [así como  afectaciones]  a  las  estructuras</w:t>
        <w:br/>
        <w:t>hormonales  en  el  cuerpo”.  El  perito  agregó  que  este  tipo   de</w:t>
        <w:br/>
        <w:t>condiciones “pueden […] activar otros efectos psicológicos [o] afectar</w:t>
        <w:br/>
        <w:t>un área[,] un punto vulnerable [de algún interno,] entonces esto puede</w:t>
        <w:br/>
        <w:t>llevar a problemas a largo plazo incluyendo la psicosis crónica  entre</w:t>
        <w:br/>
        <w:t>otros” (supra párr. 187). Asimismo,  concluyó  que  en  este  caso  se</w:t>
        <w:br/>
        <w:t>configuró una tortura  psicológica  sistemática.   El  perito  Quiroga</w:t>
        <w:br/>
        <w:t>indicó que “[l]as personas que han sobrevivido la tortura sin un  daño</w:t>
        <w:br/>
        <w:t>físico visible significativo sufren de dolor crónico en un 90% [de los</w:t>
        <w:br/>
        <w:t>casos y es consistente] con los ejemplos [que analizó]”  (supra  párr.</w:t>
        <w:br/>
        <w:t>186).</w:t>
        <w:br/>
        <w:br/>
        <w:t>330.  La  incomunicación  severa  tuvo  efectos  particulares  en  las</w:t>
        <w:br/>
        <w:t>internas madres. Diversos órganos internacionales  han  enfatizado  la</w:t>
        <w:br/>
        <w:t>obligación de los  Estados  de  tomar  en  consideración  la  atención</w:t>
        <w:br/>
        <w:t>especial que deben recibir las mujeres por razones de  maternidad,  lo</w:t>
        <w:br/>
        <w:t>cual implica, entre otras medidas,  asegurar  que  se  lleven  a  cabo</w:t>
        <w:br/>
        <w:t>visitas apropiadas entre madre e hijo. La imposibilidad de comunicarse</w:t>
        <w:br/>
        <w:t>con sus hijos ocasionó un  sufrimiento  psicológico  adicional  a  las</w:t>
        <w:br/>
        <w:t>internas madres.</w:t>
        <w:br/>
        <w:br/>
        <w:t>331.  También afectó a las mujeres la desatención de  sus  necesidades</w:t>
        <w:br/>
        <w:t>fisiológicas (supra párr. 319). El Comité  Internacional  de  la  Cruz</w:t>
        <w:br/>
        <w:t>Roja ha establecido que el Estado debe asegurar que  “las  condiciones</w:t>
        <w:br/>
        <w:t>sanitarias [en los centros de detención] sean adecuadas para  mantener</w:t>
        <w:br/>
        <w:t>la higiene y la salud  [de  las  prisioneras],  permitiéndoles  acceso</w:t>
        <w:br/>
        <w:t>regular a retretes y permitiéndoles que se bañen y que limpien su ropa</w:t>
        <w:br/>
        <w:t>regularmente”[186]. Asimismo, dicho Comité también  determinó  que  se</w:t>
        <w:br/>
        <w:t>deben realizar arreglos  especiales  para  las  detenidas  en  período</w:t>
        <w:br/>
        <w:t>menstrual, embarazadas, o acompañadas por sus hijos[187]. La  comisión</w:t>
        <w:br/>
        <w:t>de esos excesos causó sufrimiento especial y adicional a  las  mujeres</w:t>
        <w:br/>
        <w:t>detenidas.</w:t>
        <w:br/>
        <w:br/>
        <w:t>332.  Quedó probado que en el caso  de  las  internas  Eva  Challco  y</w:t>
        <w:br/>
        <w:t>Sabina Quispe Rojas el Estado desatendió sus  necesidades  básicas  de</w:t>
        <w:br/>
        <w:t>salud pre natal, y que con respecto a  la  última  tampoco  le  brindó</w:t>
        <w:br/>
        <w:t>atención médica post natal (supra párr. 197.57), lo cual  implicó  una</w:t>
        <w:br/>
        <w:t>violación adicional a la integridad personal de éstas.</w:t>
        <w:br/>
        <w:br/>
        <w:t>333.  Este Tribunal  considera  que  el  conjunto  de  condiciones  de</w:t>
        <w:br/>
        <w:t>detención y de tratamiento a las que fueron sometidos los internos  en</w:t>
        <w:br/>
        <w:t>los centros penales donde se les  trasladó o reubicó con posterioridad</w:t>
        <w:br/>
        <w:t>al  llamado  “Operativo  Mudanza  1”,  constituyó  tortura  física   y</w:t>
        <w:br/>
        <w:t>psicológica infligida a todos ellos, con violación  de  los  artículos</w:t>
        <w:br/>
        <w:t>5.2 de  la  Convención  Americana,  y  1,  6  y  8  de  la  Convención</w:t>
        <w:br/>
        <w:t>Interamericana para Prevenir y Sancionar la Tortura.</w:t>
        <w:br/>
        <w:br/>
        <w:br/>
        <w:t xml:space="preserve">      B)    Respecto de los familiares de los internos</w:t>
        <w:br/>
        <w:br/>
        <w:t>334.  A la luz de los anteriores criterios, y con base  en  el  acervo</w:t>
        <w:br/>
        <w:t>probatorio del caso, este Tribunal realizará un análisis de  distintas</w:t>
        <w:br/>
        <w:t>acciones y omisiones estatales en relación con el tratamiento  que  se</w:t>
        <w:br/>
        <w:t>acreditó fue dado a algunos familiares de  los  internos  durante  los</w:t>
        <w:br/>
        <w:t>cuatro días del “operativo” y con posterioridad a éste.</w:t>
        <w:br/>
        <w:br/>
        <w:t>335.  La Corte reitera que los familiares de las víctimas  de  ciertas</w:t>
        <w:br/>
        <w:t>violaciones de derechos humanos pueden ser,  a  su  vez,  víctimas  de</w:t>
        <w:br/>
        <w:t>hechos violatorios[188].  En  esta  línea,  la  Corte  ha  considerado</w:t>
        <w:br/>
        <w:t>violado el derecho a la integridad psíquica y moral de los  familiares</w:t>
        <w:br/>
        <w:t>de las víctimas con motivo del sufrimiento  adicional  que  éstos  han</w:t>
        <w:br/>
        <w:t>padecido   como   producto   de   las   circunstancias    particulares</w:t>
        <w:br/>
        <w:t>correspondientes  a  las  violaciones  perpetradas  contra  sus  seres</w:t>
        <w:br/>
        <w:t>queridos y a causa de las actuaciones u omisiones posteriores  de  las</w:t>
        <w:br/>
        <w:t>autoridades estatales con respecto a esos hechos[189].</w:t>
        <w:br/>
        <w:br/>
        <w:t>336.  De la prueba se ha podido establecer que 28  familiares  de  los</w:t>
        <w:br/>
        <w:t>internos que estuvieron en el exterior del penal entre el 6 y el 9  de</w:t>
        <w:br/>
        <w:t>mayo de 1992, en espera de información oficial sobre lo  que  sucedía,</w:t>
        <w:br/>
        <w:t>fueron insultados, golpeados y obligados a alejarse mediante disparos,</w:t>
        <w:br/>
        <w:t>agua y bombas lacrimógenas (supra párr.  197.19).  Además  de  recibir</w:t>
        <w:br/>
        <w:t>este trato violento  por  parte  de  las  autoridades  estatales,  los</w:t>
        <w:br/>
        <w:t>mencionados familiares tuvieron que soportar el dolor y la angustia de</w:t>
        <w:br/>
        <w:t>presenciar la magnitud del ataque dirigido a los pabellones del  penal</w:t>
        <w:br/>
        <w:t>en que estaban sus familiares, lo cual incluso los llevó a pensar  que</w:t>
        <w:br/>
        <w:t>sus familiares podrían haber muerto (supra párr. 187).  Las  referidas</w:t>
        <w:br/>
        <w:t>acciones estatales, totalmente injustificadas, generaron  daños  a  la</w:t>
        <w:br/>
        <w:t>integridad física, psíquica y moral en perjuicio de dichos  familiares</w:t>
        <w:br/>
        <w:t>de los internos. Los nombres  de  esos  28  familiares  se  encuentran</w:t>
        <w:br/>
        <w:t>incluidos en el Anexo 2 de víctimas de la presente Sentencia que  para</w:t>
        <w:br/>
        <w:t>estos efectos forma parte de la misma.</w:t>
        <w:br/>
        <w:br/>
        <w:t>337.  Asimismo, de la prueba se ha logrado determinar que, una vez que</w:t>
        <w:br/>
        <w:t>concluyó el  ataque,  36  familiares  de  los  internos  tuvieron  que</w:t>
        <w:br/>
        <w:t>afrontar nuevos malos tratos e importantes omisiones por parte de  las</w:t>
        <w:br/>
        <w:t>autoridades  estatales  cuando  buscaron  información  respecto  a  lo</w:t>
        <w:br/>
        <w:t>ocurrido en el penal, quiénes estaban vivos y quiénes muertos, a dónde</w:t>
        <w:br/>
        <w:t>los habían trasladado y el estado de salud  de  sus  parientes  (supra</w:t>
        <w:br/>
        <w:t>párr. 197.55). Los referidos familiares de los internos  tuvieron  que</w:t>
        <w:br/>
        <w:t>recorrer hospitales y morgues en busca  de  sus  seres  queridos,  sin</w:t>
        <w:br/>
        <w:t>recibir la atención debida en  esos  establecimientos  estatales.  Los</w:t>
        <w:br/>
        <w:t>nombres de esos 36 familiares se encuentran incluidos en el Anexo 2 de</w:t>
        <w:br/>
        <w:t>víctimas de la presente Sentencia que para estos efectos  forma  parte</w:t>
        <w:br/>
        <w:t>de la misma.</w:t>
        <w:br/>
        <w:br/>
        <w:t>338.  El testimonio  de  la  señora  Julia  Peña  es  ilustrativo  del</w:t>
        <w:br/>
        <w:t>sufrimiento que significó dicha búsqueda para  los  familiares  (supra</w:t>
        <w:br/>
        <w:t>párr. 187). La señora Peña encontró a su  hijo  en  la  morgue  de  un</w:t>
        <w:br/>
        <w:t>hospital, se hallaba con  vida,  aunque  gravemente  herido;  en  otra</w:t>
        <w:br/>
        <w:t>morgue localizó el cuerpo de su hija  fallecida.  La  señora  Lastenia</w:t>
        <w:br/>
        <w:t>Caballero Mejía manifestó que la búsqueda  de  sus  familiares  en  la</w:t>
        <w:br/>
        <w:t>morgue y en los hospitales fue algo que “nunca […] olvidará, [la dejó]</w:t>
        <w:br/>
        <w:t>marcad[a] como una huella muy grande” (supra párr.  187).  Algunos  de</w:t>
        <w:br/>
        <w:t>los familiares en sus testimonios señalaron que  un  elemento  más  de</w:t>
        <w:br/>
        <w:t>sufrimiento  fue  el  hecho  de  encontrarse  en  tal   situación   de</w:t>
        <w:br/>
        <w:t>incertidumbre y desesperación precisamente el “día de la  madre”  (día</w:t>
        <w:br/>
        <w:t>domingo 10 de mayo de 1992).</w:t>
        <w:br/>
        <w:br/>
        <w:t>339.  La perito Deutsch señaló que los familiares fueron “sometidos  a</w:t>
        <w:br/>
        <w:t>la horripilante experiencia de buscar  a  sus  seres  queridos  en  la</w:t>
        <w:br/>
        <w:t>morgue donde los cadáveres estaban  apilados  [y]  desmembrados”,  así</w:t>
        <w:br/>
        <w:t>como “[l]a demora injustificada en la entrega de [los mismos] ocasionó</w:t>
        <w:br/>
        <w:t>que [los cadáveres] estuvieran ya en descomposición” y  que  el  haber</w:t>
        <w:br/>
        <w:t>visto  a  “sus  seres  queridos  en  esas  condiciones   agregó   otro</w:t>
        <w:br/>
        <w:t>sufrimiento que bien podría haberse evitado” (supra párr. 186).</w:t>
        <w:br/>
        <w:br/>
        <w:t>340.  Finalmente, de la prueba se ha determinado que 25 familiares  de</w:t>
        <w:br/>
        <w:t>los  internos  sufrieron  debido  a  la  estricta   incomunicación   y</w:t>
        <w:br/>
        <w:t>restricción de visitas  que  aplicó  el  Estado  a  los  internos  con</w:t>
        <w:br/>
        <w:t>posterioridad al ataque al penal (supra párr. 197.54 y  197.56).  Este</w:t>
        <w:br/>
        <w:t>sufrimiento implicó una violación a la integridad  psíquica  de  tales</w:t>
        <w:br/>
        <w:t>familiares. Los nombres de esos 25 familiares se encuentran  incluidos</w:t>
        <w:br/>
        <w:t>en el Anexo 2 de víctimas de la  presente  Sentencia  que  para  estos</w:t>
        <w:br/>
        <w:t>efectos forma parte de la misma.</w:t>
        <w:br/>
        <w:br/>
        <w:t>341.  La Corte considera que este tipo de  medidas  de  incomunicación</w:t>
        <w:br/>
        <w:t>causó una particular afectación en los  niños  por  la  privación  del</w:t>
        <w:br/>
        <w:t>contacto y relación con sus madres internas, y por ello presume  dicho</w:t>
        <w:br/>
        <w:t>sufrimiento respecto de los hijos de las internas que tenían menos  de</w:t>
        <w:br/>
        <w:t>18 años de edad en la época de la incomunicación (supra párrs.  197.54</w:t>
        <w:br/>
        <w:t>y 197.56). Se ha probado que se encontraba en  tal  condición  Yovanka</w:t>
        <w:br/>
        <w:t>Ruth Quispe Quispe, hija de la interna Sabina Virgen Quispe  Rojas,  y</w:t>
        <w:br/>
        <w:t>Gabriel Said Challco Hurtado, hijo de la interna  Eva  Challco  (supra</w:t>
        <w:br/>
        <w:t>párr. 197.57). Debido a que la Corte no cuenta con la prueba necesaria</w:t>
        <w:br/>
        <w:t>para determinar la identidad de todos los hijos de las internas que en</w:t>
        <w:br/>
        <w:t>esa época eran menores de 18 años, es preciso que dichas  personas  se</w:t>
        <w:br/>
        <w:t>presenten ante las autoridades competentes del Estado, dentro de los 8</w:t>
        <w:br/>
        <w:t>meses siguientes a la notificación de esta Sentencia y  demuestren  su</w:t>
        <w:br/>
        <w:t>filiación y edad que determine que estuvieron en el referido  supuesto</w:t>
        <w:br/>
        <w:t>y, por tanto, son víctimas de dicha violación.</w:t>
        <w:br/>
        <w:br/>
        <w:t>342.  Por lo anteriormente expuesto, la Corte concluye que  el  Estado</w:t>
        <w:br/>
        <w:t>violó el derecho a la integridad personal consagrado  en  el  artículo</w:t>
        <w:br/>
        <w:t>5.1 de la Convención Americana, en relación con el artículo 1.1. de la</w:t>
        <w:br/>
        <w:t>misma, en perjuicio de los familiares de los internos identificados en</w:t>
        <w:br/>
        <w:t>el Anexo 2 de víctimas de la presente Sentencia que para estos efectos</w:t>
        <w:br/>
        <w:t>forma parte de la misma.</w:t>
        <w:br/>
        <w:br/>
        <w:br/>
        <w:br/>
        <w:t>Obligación de investigar efectivamente los hechos</w:t>
        <w:br/>
        <w:br/>
        <w:t>343.  El análisis de la obligación  de  investigar  efectivamente  los</w:t>
        <w:br/>
        <w:t>hechos violatorios del derecho a la  integridad  personal  se  realiza</w:t>
        <w:br/>
        <w:t>tomando en cuenta los parámetros a los que la Corte hizo referencia en</w:t>
        <w:br/>
        <w:t>los párrafos 253 a 256 de la presente Sentencia.</w:t>
        <w:br/>
        <w:br/>
        <w:t>344.  En particular,  respecto  de  la  obligación  de  garantizar  el</w:t>
        <w:br/>
        <w:t>derecho reconocido en el artículo 5 de  la  Convención  Americana,  la</w:t>
        <w:br/>
        <w:t>Corte ha señalado que ésta implica el deber del Estado  de  investigar</w:t>
        <w:br/>
        <w:t>posibles  actos  de  tortura  u  otros  tratos  crueles,  inhumanos  o</w:t>
        <w:br/>
        <w:t>degradantes[190]. Asimismo, en virtud de que el Perú ratificó el 4  de</w:t>
        <w:br/>
        <w:t>junio de 1996 la Convención Interamericana para Prevenir, Sancionar  y</w:t>
        <w:br/>
        <w:t>Erradicar la Violencia contra la Mujer, a partir de  esa  fecha  debía</w:t>
        <w:br/>
        <w:t>observar lo dispuesto en el artículo 7.b  de  dicho  tratado,  que  le</w:t>
        <w:br/>
        <w:t>obliga a actuar con la debida diligencia para investigar  y  sancionar</w:t>
        <w:br/>
        <w:t>dicha violencia. La obligación de investigar también se  ve  reforzada</w:t>
        <w:br/>
        <w:t>por lo  dispuesto  en  los  artículos  1,  6  y  8  de  la  Convención</w:t>
        <w:br/>
        <w:t>Interamericana para Prevenir y Sancionar la Tortura, de acuerdo a  los</w:t>
        <w:br/>
        <w:t>cuales el Estado se encuentra obligado a “tomar[…]  medidas  efectivas</w:t>
        <w:br/>
        <w:t>para prevenir y sancionar la tortura en el ámbito de su jurisdicción”,</w:t>
        <w:br/>
        <w:t>así como para “prevenir y sancionar […] otros tratos o penas  crueles,</w:t>
        <w:br/>
        <w:t>inhumanos o degradantes”.  Asimismo, de acuerdo a lo dispuesto  en  el</w:t>
        <w:br/>
        <w:t>artículo 8 de esta Convención</w:t>
        <w:br/>
        <w:br/>
        <w:t xml:space="preserve">      cuando exista denuncia o razón fundada para creer que se  ha  cometido</w:t>
        <w:br/>
        <w:t xml:space="preserve">      un acto de tortura en el ámbito de su jurisdicción, los Estados partes</w:t>
        <w:br/>
        <w:t xml:space="preserve">      garantizarán que sus respectivas autoridades procederán de oficio y de</w:t>
        <w:br/>
        <w:t xml:space="preserve">      inmediato a realizar una investigación sobre  el  caso  y  a  iniciar,</w:t>
        <w:br/>
        <w:t xml:space="preserve">      cuando corresponda, el respectivo proceso penal.</w:t>
        <w:br/>
        <w:br/>
        <w:t>345.  En igual sentido, el Tribunal ha señalado anteriormente que:</w:t>
        <w:br/>
        <w:br/>
        <w:br/>
        <w:t xml:space="preserve">      a la luz de la obligación general de garantizar a toda persona bajo su</w:t>
        <w:br/>
        <w:t xml:space="preserve">      jurisdicción  los  derechos  humanos  consagrados  en  la  Convención,</w:t>
        <w:br/>
        <w:t xml:space="preserve">      establecida en el artículo 1.1 de la misma, en conjunto con el derecho</w:t>
        <w:br/>
        <w:t xml:space="preserve">      a la  integridad  personal  conforme  al  artículo  5  (Derecho  a  la</w:t>
        <w:br/>
        <w:t xml:space="preserve">      Integridad Personal) de dicho tratado, existe la obligación estatal de</w:t>
        <w:br/>
        <w:t xml:space="preserve">      iniciar de oficio e  inmediatamente  una  investigación  efectiva  que</w:t>
        <w:br/>
        <w:t xml:space="preserve">      permita identificar, juzgar y sancionar  a  los  responsables,  cuando</w:t>
        <w:br/>
        <w:t xml:space="preserve">      existe denuncia o razón fundada para creer que se ha cometido un  acto</w:t>
        <w:br/>
        <w:t xml:space="preserve">      de tortura[191].</w:t>
        <w:br/>
        <w:br/>
        <w:t>346.  En el presente caso, la  Corte  considera  que  por  los  hechos</w:t>
        <w:br/>
        <w:t>declarados como violatorios  del  derecho  a  la  integridad  personal</w:t>
        <w:br/>
        <w:t>surgió para el Estado la obligación de investigar las afectaciones del</w:t>
        <w:br/>
        <w:t>mismo, la cual deriva del artículo 1.1 de la Convención  Americana  en</w:t>
        <w:br/>
        <w:t>conjunto con el referido derecho sustantivo protegido en el artículo 5</w:t>
        <w:br/>
        <w:t>de la misma, aplicando las referidas disposiciones  de  la  Convención</w:t>
        <w:br/>
        <w:t>Interamericana para  Prevenir,  Sancionar  y  Erradicar  la  Violencia</w:t>
        <w:br/>
        <w:t>contra la Mujer y de la  Convención  Interamericana  para  Prevenir  y</w:t>
        <w:br/>
        <w:t>Sancionar la Tortura.  Dichas disposiciones son aplicables al caso  ya</w:t>
        <w:br/>
        <w:t>que especifican y complementan las obligaciones que  tiene  el  Estado</w:t>
        <w:br/>
        <w:t>con respecto  al  cumplimiento  de  los  derechos  consagrados  en  la</w:t>
        <w:br/>
        <w:t>Convención Americana.</w:t>
        <w:br/>
        <w:br/>
        <w:t>347.  En definitiva, el deber de investigar constituye una  obligación</w:t>
        <w:br/>
        <w:t>estatal imperativa que deriva del derecho  internacional  y  no  puede</w:t>
        <w:br/>
        <w:t>desecharse  o  condicionarse  por  actos  o  disposiciones  normativas</w:t>
        <w:br/>
        <w:t>internas de ninguna índole[192]. Como ya ha señalado este Tribunal, en</w:t>
        <w:br/>
        <w:t>casos de vulneraciones graves a derechos  fundamentales  la  necesidad</w:t>
        <w:br/>
        <w:t>imperiosa de evitar la repetición de tales hechos  depende,  en  buena</w:t>
        <w:br/>
        <w:t>medida, de que se evite su impunidad[193] y se satisfaga el derecho de</w:t>
        <w:br/>
        <w:t>las víctimas y la sociedad en su conjunto de acceder  al  conocimiento</w:t>
        <w:br/>
        <w:t>de  la  verdad  de  lo  sucedido[194].  La  obligación  de  investigar</w:t>
        <w:br/>
        <w:t>constituye  un  medio   para   garantizar   tales   derechos;   y   su</w:t>
        <w:br/>
        <w:t>incumplimiento   acarrea   la   responsabilidad   internacional    del</w:t>
        <w:br/>
        <w:t>Estado[195].</w:t>
        <w:br/>
        <w:br/>
        <w:t>348.  Para determinar si se ha cumplido la obligación de  proteger  el</w:t>
        <w:br/>
        <w:t>derecho a la integridad personal por la vía de una investigación seria</w:t>
        <w:br/>
        <w:t>de lo ocurrido, es preciso  examinar  los  procedimientos  abiertos  a</w:t>
        <w:br/>
        <w:t>nivel  interno  destinados  a  investigar  los  hechos  del   caso   e</w:t>
        <w:br/>
        <w:t>identificar y sancionar a los responsables de los mismos.  Este examen</w:t>
        <w:br/>
        <w:t>se hará a la luz de lo que dispone el artículo  25  de  la  Convención</w:t>
        <w:br/>
        <w:t>Americana y de los requerimientos que impone el artículo 8 de la misma</w:t>
        <w:br/>
        <w:t>para todo proceso, y se efectuará en el Capítulo  XV  de  la  presente</w:t>
        <w:br/>
        <w:t>Sentencia.</w:t>
        <w:br/>
        <w:br/>
        <w:t xml:space="preserve">                                      *</w:t>
        <w:br/>
        <w:t xml:space="preserve">                                   *     *</w:t>
        <w:br/>
        <w:br/>
        <w:t>349.  Por todo lo  anterior,  la  Corte  concluye  que  el  Estado  es</w:t>
        <w:br/>
        <w:t>responsable  por  la  violación  del  derecho  a  integridad  personal</w:t>
        <w:br/>
        <w:t>consagrado en el artículo 5.1 y 5.2 de la Convención, en relación  con</w:t>
        <w:br/>
        <w:t>el artículo 1.1 de dicho tratado, en conexión con los artículos 1, 6 y</w:t>
        <w:br/>
        <w:t>8 de  la  Convención  Interamericana  para  Prevenir  y  Sancionar  la</w:t>
        <w:br/>
        <w:t>Tortura, en perjuicio de los 41 internos fallecidos identificados y de</w:t>
        <w:br/>
        <w:t>los internos que sobrevivieron, quienes se encuentran identificados en</w:t>
        <w:br/>
        <w:t>el Anexo 2 de víctimas de la presente Sentencia que para estos efectos</w:t>
        <w:br/>
        <w:t>forma parte de la misma. Los  hechos  revisten  especial  gravedad  en</w:t>
        <w:br/>
        <w:t>razón de las consideraciones  indicadas  en  este  capítulo  y  en  el</w:t>
        <w:br/>
        <w:t>Capítulo  IX  de  “Responsabilidad  internacional  del  Estado  en  el</w:t>
        <w:br/>
        <w:t>contexto del presente caso”.</w:t>
        <w:br/>
        <w:br/>
        <w:t>350.  Asimismo, la Corte concluye que el Estado es responsable por  la</w:t>
        <w:br/>
        <w:t>violación del derecho a integridad personal consagrado en el  artículo</w:t>
        <w:br/>
        <w:t>5 de la Convención, en relación con el artículo 1.1 de dicho  tratado,</w:t>
        <w:br/>
        <w:t>en perjuicio de los familiares de los  internos  determinados  en  los</w:t>
        <w:br/>
        <w:t>párrafos 336, 337, 340 y 341 de este capítulo e  identificados  en  el</w:t>
        <w:br/>
        <w:t>Anexo 2 de víctimas de la presente Sentencia que  para  estos  efectos</w:t>
        <w:br/>
        <w:t>forma parte de la misma.</w:t>
        <w:br/>
        <w:br/>
        <w:br/>
        <w:br/>
        <w:t xml:space="preserve">                                     XII</w:t>
        <w:br/>
        <w:t xml:space="preserve">   artículo 11 (Protección a la Honra y a la Dignidad) de la Convención en</w:t>
        <w:br/>
        <w:t xml:space="preserve">                  relación con el artículo 1.1 de la misma</w:t>
        <w:br/>
        <w:br/>
        <w:t>351.  La Comisión no alegó que se hubiere  violado  el  artículo  11  de  la</w:t>
        <w:br/>
        <w:t>Convención.</w:t>
        <w:br/>
        <w:br/>
        <w:br/>
        <w:t>Alegatos de la interviniente común</w:t>
        <w:br/>
        <w:br/>
        <w:t>352.  La interviniente común  de  los  representantes  señaló  que  el</w:t>
        <w:br/>
        <w:t>Estado violó el artículo 11  de  la  Convención,  apreciación  que  no</w:t>
        <w:br/>
        <w:t>figura en la demanda presentada  por  la  Comisión.  La  interviniente</w:t>
        <w:br/>
        <w:t>indicó que:</w:t>
        <w:br/>
        <w:br/>
        <w:t xml:space="preserve">      a)    “el Estado etiquetó a todas las personas detenidas a mayo de</w:t>
        <w:br/>
        <w:t xml:space="preserve">      1992 en los pabellones 1A y 4B de la  prisión  Casto  Castro  como</w:t>
        <w:br/>
        <w:t xml:space="preserve">      ‘terroristas’, a pesar de que el 90% de los mismos se  encontraban</w:t>
        <w:br/>
        <w:t xml:space="preserve">      en detención preventiva”. Hasta la  fecha  se  sigue  hablando  de</w:t>
        <w:br/>
        <w:t xml:space="preserve">      ellos como terroristas;</w:t>
        <w:br/>
        <w:br/>
        <w:br/>
        <w:t xml:space="preserve">      b)    el rótulo de “terrorista” también estigmatizó a las familias</w:t>
        <w:br/>
        <w:t xml:space="preserve">      de las víctimas. Hasta el día de  hoy  una  víctima  sigue  siendo</w:t>
        <w:br/>
        <w:t xml:space="preserve">      referida como “terrorista que murió en la cárcel Castro Castro”, a</w:t>
        <w:br/>
        <w:t xml:space="preserve">      pesar de contar con una orden  de  libertad  por  absolución;  así</w:t>
        <w:br/>
        <w:t xml:space="preserve">      también el caso de una abogada, que por el sólo hecho de  defender</w:t>
        <w:br/>
        <w:t xml:space="preserve">      el caso se ha convertido en “terrorista”;</w:t>
        <w:br/>
        <w:br/>
        <w:br/>
        <w:t xml:space="preserve">      c)    “como señalan los sociólogos que ha estudiado  el  fenómeno,</w:t>
        <w:br/>
        <w:t xml:space="preserve">      esto fue el resultado de una estrategia psicosocial del Estado que</w:t>
        <w:br/>
        <w:t xml:space="preserve">      considera que la creación  de  opinión  pública  es  un  campo  de</w:t>
        <w:br/>
        <w:t xml:space="preserve">      batalla más de la guerra contrasubversiva”; y</w:t>
        <w:br/>
        <w:br/>
        <w:t xml:space="preserve">      d)    llamar a este  grupo  de  personas  “terroristas”  viola  el</w:t>
        <w:br/>
        <w:t xml:space="preserve">      derecho al honor y a la reputación de dichas  personas  y  de  sus</w:t>
        <w:br/>
        <w:t xml:space="preserve">      familiares.</w:t>
        <w:br/>
        <w:br/>
        <w:br/>
        <w:t>353.  El Estado no presentó alegatos sobre la  supuesta  violación  del</w:t>
        <w:br/>
        <w:t>artículo 11 de la  Convención Americana.</w:t>
        <w:br/>
        <w:br/>
        <w:br/>
        <w:t>Consideraciones de la Corte</w:t>
        <w:br/>
        <w:br/>
        <w:t>354.  El artículo 11 de la Convención Americana establece que:</w:t>
        <w:br/>
        <w:br/>
        <w:t xml:space="preserve">      1.    Toda persona tiene derecho al respeto de su honra y al</w:t>
        <w:br/>
        <w:t xml:space="preserve">      reconocimiento de su dignidad.</w:t>
        <w:br/>
        <w:br/>
        <w:br/>
        <w:t xml:space="preserve">      2.    Nadie puede ser objeto de injerencias arbitrarias o abusivas en</w:t>
        <w:br/>
        <w:t xml:space="preserve">      su vida privada, en la de su familia, en su domicilio o en su</w:t>
        <w:br/>
        <w:t xml:space="preserve">      correspondencia, ni de ataques ilegales a su honra o reputación.</w:t>
        <w:br/>
        <w:br/>
        <w:t xml:space="preserve">      3.    Toda persona tiene derecho a la protección de la ley contra esas</w:t>
        <w:br/>
        <w:t xml:space="preserve">      injerencias o esos ataques.</w:t>
        <w:br/>
        <w:br/>
        <w:br/>
        <w:t>355.  En  cuanto  a  la  alegada  violación  del  artículo  11  de  la</w:t>
        <w:br/>
        <w:t>Convención, esta Corte reitera su jurisprudencia sobre la  posibilidad</w:t>
        <w:br/>
        <w:t>de que las presuntas víctimas o sus representantes  invoquen  derechos</w:t>
        <w:br/>
        <w:t>distintos de los comprendidos  en  la  demanda  de  la  Comisión,  sin</w:t>
        <w:br/>
        <w:t>agregar hechos a los incluidos en ésta[196].</w:t>
        <w:br/>
        <w:br/>
        <w:t>356.  La interviniente común ha alegado que el 90% de los internos  que</w:t>
        <w:br/>
        <w:t>se encontraban en los pabellones 1A y 4B del Penal Miguel Castro Castro</w:t>
        <w:br/>
        <w:t>en la época de los hechos se hallaban en prisión preventiva  y  que  en</w:t>
        <w:br/>
        <w:t>algunos casos  se  dispuso  posteriormente  el  sobreseimiento  de  las</w:t>
        <w:br/>
        <w:t>causas. Dicha afirmación no fue controvertida por el Estado.</w:t>
        <w:br/>
        <w:br/>
        <w:t>357.  Asimismo, se encuentra probado que  todos  los  internos  que  se</w:t>
        <w:br/>
        <w:t>encontraban en los pabellones 1A y 4B del penal Miguel Castro Castro en</w:t>
        <w:br/>
        <w:t>la época de los hechos fueron tratados por la prensa como “terroristas”</w:t>
        <w:br/>
        <w:t>(supra párr. 157.59), a pesar de que  la  mayoría  no  tenía  sentencia</w:t>
        <w:br/>
        <w:t>condenatoria firme. Asimismo, los familiares fueron estigmatizados como</w:t>
        <w:br/>
        <w:t>“familiares de terroristas”.</w:t>
        <w:br/>
        <w:br/>
        <w:t>358.  De la prueba allegada  al  Tribunal,  se  ha  constatado  que  en</w:t>
        <w:br/>
        <w:t>diversos artículos periodísticos publicados del 6  al  10  de  mayo  de</w:t>
        <w:br/>
        <w:t>1992, se transcribe o se hace referencia a  dos  comunicados  oficiales</w:t>
        <w:br/>
        <w:t>emitidos por el Ministerio del Interior del Perú los días 6 y 9 de mayo</w:t>
        <w:br/>
        <w:t>de 1992, en los cuales se hizo referencia a todos los internos  que  se</w:t>
        <w:br/>
        <w:t>encontraban  en  los  pabellones  1A  y  4B  con  el  calificativo   de</w:t>
        <w:br/>
        <w:t>“terroristas  de  Sendero  Luminoso”,  “delincuentes   terroristas”   e</w:t>
        <w:br/>
        <w:t>“internos por terrorismo”. De igual manera, el  Atestado  Policial  No.</w:t>
        <w:br/>
        <w:t>322  (supra  párr.  197.61)  se  refiere  a  los  internos   fallecidos</w:t>
        <w:br/>
        <w:t>llamándolos “delincuentes  terroristas”,  y  un  comunicado  de  prensa</w:t>
        <w:br/>
        <w:t>emitido por la Embajada del Perú en Inglaterra de 7 de mayo de 1992  se</w:t>
        <w:br/>
        <w:t>refiere a los “internos por  terrorismo”  que  se  encontraban  en  los</w:t>
        <w:br/>
        <w:t>pabellones 1A y 4B del penal.</w:t>
        <w:br/>
        <w:br/>
        <w:t>359.  Dicha calificación expuesta por órganos del Estado significó  una</w:t>
        <w:br/>
        <w:t>afrenta  a  la  honra,  dignidad   y   reputación   de   los   internos</w:t>
        <w:br/>
        <w:t>sobrevivientes que no tenían sentencia condenatoria firme al momento de</w:t>
        <w:br/>
        <w:t>los hechos, de sus familiares, y de  los  familiares  de  los  internos</w:t>
        <w:br/>
        <w:t>fallecidos que tampoco tenían  sentencia  condenatoria  firme,  ya  que</w:t>
        <w:br/>
        <w:t>fueron percibidos por la sociedad como “terroristas”  o  familiares  de</w:t>
        <w:br/>
        <w:t>“terroristas”, con todas las consecuencias negativas que ello genera.</w:t>
        <w:br/>
        <w:br/>
        <w:t>360.  No obstante, el Tribunal no  cuenta  con  prueba  suficiente  que</w:t>
        <w:br/>
        <w:t>permita determinar quiénes serían los internos que al  momento  de  los</w:t>
        <w:br/>
        <w:t>hechos tenían la calidad de acusados  sin  una  sentencia  condenatoria</w:t>
        <w:br/>
        <w:t>firme y, por tanto,  tampoco  se  puede  determinar  quiénes  eran  sus</w:t>
        <w:br/>
        <w:t>familiares.  En  consecuencia,  la   Corte   no   puede   declarar   la</w:t>
        <w:br/>
        <w:t>responsabilidad  del  Estado  por  violación  del  artículo  11  de  la</w:t>
        <w:br/>
        <w:t>Convención  Americana  sobre  Derechos  Humanos,  en  relación  con  el</w:t>
        <w:br/>
        <w:t>artículo 1.1 de la misma.</w:t>
        <w:br/>
        <w:br/>
        <w:br/>
        <w:t xml:space="preserve">                                    XIII</w:t>
        <w:br/>
        <w:t xml:space="preserve">        artículo 7 (Derecho a la libertad Personal) de la Convención</w:t>
        <w:br/>
        <w:t xml:space="preserve">                 en relación con el artículo 1.1 de la misma</w:t>
        <w:br/>
        <w:br/>
        <w:br/>
        <w:t>361.  La Comisión no alegó que se hubiera violado el artículo 7 de  la</w:t>
        <w:br/>
        <w:t>Convención.</w:t>
        <w:br/>
        <w:br/>
        <w:br/>
        <w:t>Alegatos de la interviniente común</w:t>
        <w:br/>
        <w:br/>
        <w:t>362.  La interviniente común  de  los  representantes  señaló  que  el</w:t>
        <w:br/>
        <w:t>Estado violó el artículo 7 de la Convención, apreciación que no figura</w:t>
        <w:br/>
        <w:t>en la demanda presentada por la Comisión. La interviniente indicó que:</w:t>
        <w:br/>
        <w:br/>
        <w:t xml:space="preserve">      a)           “el  Estado  del  Perú  sistemáticamente  violó  el</w:t>
        <w:br/>
        <w:t xml:space="preserve">      Artículo 7 de la Convención Americana […] en  detrimento  de  los</w:t>
        <w:br/>
        <w:t xml:space="preserve">      sobrevivientes  de  los  eventos  de  Castro  Castro   [por]   la</w:t>
        <w:br/>
        <w:t xml:space="preserve">      naturaleza  arbitraria  de  la  privación  de  libertad  de   los</w:t>
        <w:br/>
        <w:t xml:space="preserve">      sobrevivientes”, ya que “[l]uego de la masacre [l]a privación  de</w:t>
        <w:br/>
        <w:t xml:space="preserve">      libertad física de los prisioneros  […era]  fuera  de  toda  ley[</w:t>
        <w:br/>
        <w:t xml:space="preserve">      porque] se torturaba y mantenía a las personas incomunicadas  por</w:t>
        <w:br/>
        <w:t xml:space="preserve">      un tiempo prolongado sin protección judicial alguna”.   Asimismo,</w:t>
        <w:br/>
        <w:t xml:space="preserve">      el  Estado  violó  el  artículo  7  de  la  Convención  por   “el</w:t>
        <w:br/>
        <w:t xml:space="preserve">      retenimiento  de  la  libertad  de  una   prisionera[,   Patricia</w:t>
        <w:br/>
        <w:t xml:space="preserve">      Zorrilla,] más allá de su sentencia  como  resultado  del  juicio</w:t>
        <w:br/>
        <w:t xml:space="preserve">      contra ella por los eventos de Castro Castro”,  ya  que  “después</w:t>
        <w:br/>
        <w:t xml:space="preserve">      del cumplimiento de su sentencia (fines de 2004) fue  retenida  3</w:t>
        <w:br/>
        <w:t xml:space="preserve">      meses aproximadamente”; y</w:t>
        <w:br/>
        <w:br/>
        <w:t xml:space="preserve">      b)         “las amenazas contra la  libertad  individual  de  la</w:t>
        <w:br/>
        <w:t xml:space="preserve">      representante legal del presente caso, sobreviviente  también  de</w:t>
        <w:br/>
        <w:t xml:space="preserve">      los hechos, reabriéndosele un caso  que  es  ya  cosa  juzgada  y</w:t>
        <w:br/>
        <w:t xml:space="preserve">      cursándose órdenes de detención internacional contra ella, por la</w:t>
        <w:br/>
        <w:t xml:space="preserve">      simple razón de haber intentado detener el litigio  internacional</w:t>
        <w:br/>
        <w:t xml:space="preserve">      del presente caso es también, con respecto a ella, una  violación</w:t>
        <w:br/>
        <w:t xml:space="preserve">      del artículo 7 (1), toda  vez  que  esa  amenaza  continúa  y  es</w:t>
        <w:br/>
        <w:t xml:space="preserve">      flagrante”.</w:t>
        <w:br/>
        <w:br/>
        <w:br/>
        <w:t>363.  El Estado no presentó alegatos sobre la  alegada  violación  del</w:t>
        <w:br/>
        <w:t>artículo 7 de la  Convención Americana.</w:t>
        <w:br/>
        <w:br/>
        <w:br/>
        <w:t>Consideraciones de la Corte</w:t>
        <w:br/>
        <w:br/>
        <w:t>364.  Este Tribunal no se pronunciará sobre la alegada  violación  del</w:t>
        <w:br/>
        <w:t>artículo 7 de la  Convención  realizada  por  la  interviniente  común</w:t>
        <w:br/>
        <w:t>porque una parte de los argumentos de la interviniente se refieren  al</w:t>
        <w:br/>
        <w:t>supuesto hecho de que la señora Patricia Zorrilla,  presunta  víctima,</w:t>
        <w:br/>
        <w:t>habría terminado de cumplir la pena de un delito “a  fines  de  2004”,</w:t>
        <w:br/>
        <w:t>pero se le privó de libertad durante tres meses, y  ese  hecho  no  es</w:t>
        <w:br/>
        <w:t>parte del objeto de la litis en el presente caso, definido a partir de</w:t>
        <w:br/>
        <w:t>la demanda que presentó la  Comisión  el  9  de  septiembre  de  2004.</w:t>
        <w:br/>
        <w:t>Asimismo, el Tribunal no se pronunciará sobre la alegada violación del</w:t>
        <w:br/>
        <w:t>artículo 7 de la Convención porque los restantes argumentos formulados</w:t>
        <w:br/>
        <w:t>ya fueron tomados en cuenta al analizar la violación del artículo 5 de</w:t>
        <w:br/>
        <w:t>la Convención Americana, y de los artículos 1, 6 y 8 de la  Convención</w:t>
        <w:br/>
        <w:t>Interamericana para Prevenir y Sancionar la Tortura, en particular  al</w:t>
        <w:br/>
        <w:t>examinar las condiciones de  detención  a  que  fueron  sometidos  los</w:t>
        <w:br/>
        <w:t>internos con posterioridad al “Operativo Mudanza 1”.</w:t>
        <w:br/>
        <w:br/>
        <w:br/>
        <w:t xml:space="preserve">                                     XIV</w:t>
        <w:br/>
        <w:t xml:space="preserve">     artículos 12 (Libertad de Conciencia y Religión) y 13 (Libertad de</w:t>
        <w:br/>
        <w:t xml:space="preserve">       Pensamiento y de Expresión) de la Convención en relación con el</w:t>
        <w:br/>
        <w:t xml:space="preserve">                          artículo 1.1 de la misma</w:t>
        <w:br/>
        <w:br/>
        <w:br/>
        <w:t>Alegatos de la Comisión</w:t>
        <w:br/>
        <w:br/>
        <w:t>365.  La Comisión no alegó que se hubieren violado los artículos 12  y</w:t>
        <w:br/>
        <w:t>13 de la Convención.</w:t>
        <w:br/>
        <w:br/>
        <w:br/>
        <w:t>Alegatos de la interviniente común</w:t>
        <w:br/>
        <w:br/>
        <w:t>366.  La interviniente común  de  los  representantes  señaló  que  el</w:t>
        <w:br/>
        <w:t>Estado violó los artículos 12 y 13 de la Convención, apreciaciones que</w:t>
        <w:br/>
        <w:t>no figuran en la demanda presentada por la Comisión. La  interviniente</w:t>
        <w:br/>
        <w:t>indicó que:</w:t>
        <w:br/>
        <w:br/>
        <w:t xml:space="preserve">      a)    los presos eran llevados ante la bandera a cantar el  Himno</w:t>
        <w:br/>
        <w:t xml:space="preserve">      Nacional, cuya primera estrofa dice  “somos  libres”,  contra  su</w:t>
        <w:br/>
        <w:t xml:space="preserve">      propia conciencia de que no lo eran. Estas prácticas buscaban que</w:t>
        <w:br/>
        <w:t xml:space="preserve">      los internos abrazaran una ideología nacionalista en los términos</w:t>
        <w:br/>
        <w:t xml:space="preserve">      del Estado. Si se rehusaban a hacerlo eran sometidos a maltratos;</w:t>
        <w:br/>
        <w:t xml:space="preserve">      y</w:t>
        <w:br/>
        <w:br/>
        <w:br/>
        <w:t xml:space="preserve">      b)    la  reclusión  absoluta  en  incomunicación  e  inmovilidad</w:t>
        <w:br/>
        <w:t xml:space="preserve">      quería en última instancia atacar a la  mente,  por  lo  que  “es</w:t>
        <w:br/>
        <w:t xml:space="preserve">      justamente la  libertad  de  pensamiento  lo  que  estaba  siendo</w:t>
        <w:br/>
        <w:t xml:space="preserve">      atacado y la obliteración de la mente de las personas privadas de</w:t>
        <w:br/>
        <w:t xml:space="preserve">      libertad con el uso de tortura era una violación flagrante de  la</w:t>
        <w:br/>
        <w:t xml:space="preserve">      libertad de conciencia humana”.</w:t>
        <w:br/>
        <w:br/>
        <w:br/>
        <w:t>Alegatos del Estado</w:t>
        <w:br/>
        <w:br/>
        <w:t>367.  El Estado no presentó alegatos sobre la  supuesta  violación  de</w:t>
        <w:br/>
        <w:t>los artículos 12 y 13 de la Convención Americana.</w:t>
        <w:br/>
        <w:br/>
        <w:br/>
        <w:t>Consideraciones de la Corte</w:t>
        <w:br/>
        <w:br/>
        <w:t>368.  Este Tribunal no examinará la alegada violación de los artículos</w:t>
        <w:br/>
        <w:t>12 y 13 de la  Convención Americana,  porque ya ha  tomado  en  cuenta</w:t>
        <w:br/>
        <w:t>los  argumentos  formulados  por  la  interviniente  al  respecto,  al</w:t>
        <w:br/>
        <w:t>analizar la violación del artículo 5 de la Convención Americana  y  de</w:t>
        <w:br/>
        <w:t>los artículos 1, 6 y 8 de la Convención Interamericana para Prevenir y</w:t>
        <w:br/>
        <w:t>Sancionar la Tortura, en particular al  analizar  las  condiciones  de</w:t>
        <w:br/>
        <w:t>detención a que fueron sometidos los  internos  con  posterioridad  al</w:t>
        <w:br/>
        <w:t>“Operativo Mudanza 1”.</w:t>
        <w:br/>
        <w:br/>
        <w:t xml:space="preserve">                                     XV</w:t>
        <w:br/>
        <w:t xml:space="preserve">        Violación de los artículos 8 y 25 de la Convención Americana</w:t>
        <w:br/>
        <w:t xml:space="preserve">                (Garantías Judiciales y Protección Judicial)</w:t>
        <w:br/>
        <w:t xml:space="preserve">       en relación con el artículo 1.1 de la misma, y en conexión con</w:t>
        <w:br/>
        <w:t xml:space="preserve">        los artículos 7 de la Convención Interamericana para Prevenir,</w:t>
        <w:br/>
        <w:t xml:space="preserve">    sancionar y erradicar la Violencia contra la mujer, y 1, 6 y 8 de la</w:t>
        <w:br/>
        <w:t xml:space="preserve">                          Convención Interamericana</w:t>
        <w:br/>
        <w:t xml:space="preserve">                    para Prevenir y Sancionar la Tortura</w:t>
        <w:br/>
        <w:br/>
        <w:br/>
        <w:t>Alegatos de la Comisión</w:t>
        <w:br/>
        <w:br/>
        <w:t>369.  La Comisión alegó la violación de los artículos 8  y  25  de  la</w:t>
        <w:br/>
        <w:t>Convención, respecto de lo cual señaló que:</w:t>
        <w:br/>
        <w:br/>
        <w:t xml:space="preserve">      a)    las ejecuciones extrajudiciales de  las  víctimas  fatales</w:t>
        <w:br/>
        <w:t xml:space="preserve">      constituyeron hechos violentos realizados por agentes del Estado</w:t>
        <w:br/>
        <w:t xml:space="preserve">      que, por su forma y manejo, exigía  a  los  funcionarios  de  la</w:t>
        <w:br/>
        <w:t xml:space="preserve">      policía judicial, del ministerio público y  de  los  juzgados  a</w:t>
        <w:br/>
        <w:t xml:space="preserve">      cargo de la investigación,  emplear  todos  los  esfuerzos  para</w:t>
        <w:br/>
        <w:t xml:space="preserve">      realizar una búsqueda inmediata, con las  pesquisas  urgentes  y</w:t>
        <w:br/>
        <w:t xml:space="preserve">      necesarias;</w:t>
        <w:br/>
        <w:br/>
        <w:t xml:space="preserve">      b)    el Perú es  responsable  por  la  falta  de  una  adecuada</w:t>
        <w:br/>
        <w:t xml:space="preserve">      investigación sobre los hechos que originan el presente caso. No</w:t>
        <w:br/>
        <w:t xml:space="preserve">      se han integrado las  más  elementales  medidas  de  indagación.</w:t>
        <w:br/>
        <w:t xml:space="preserve">      Entre  las  serias  deficiencias  de  la  investigación  llevada</w:t>
        <w:br/>
        <w:t xml:space="preserve">      adelante por el  Estado  están  la  destrucción  del  expediente</w:t>
        <w:br/>
        <w:t xml:space="preserve">      policial y la falta de recolección oportuna  de  testimonios  de</w:t>
        <w:br/>
        <w:t xml:space="preserve">      los reclusos sobrevivientes. Esta  deficiente  actuación  de  la</w:t>
        <w:br/>
        <w:t xml:space="preserve">      policía y del Ministerio Público ha conducido a  que,  luego  de</w:t>
        <w:br/>
        <w:t xml:space="preserve">      más de 14 años desde la “masacre” en el penal  "Castro  Castro",</w:t>
        <w:br/>
        <w:t xml:space="preserve">      no se haya identificado y sancionado a los responsables  y,  por</w:t>
        <w:br/>
        <w:t xml:space="preserve">      ende, las presuntas víctimas y sus familiares  no  hayan  podido</w:t>
        <w:br/>
        <w:t xml:space="preserve">      promover un recurso con el objeto de  obtener  una  compensación</w:t>
        <w:br/>
        <w:t xml:space="preserve">      por los daños sufridos. Por lo tanto, se trata de  “un  caso  de</w:t>
        <w:br/>
        <w:t xml:space="preserve">      encubrimiento absoluto de  los  hechos  y  responsabilidades  de</w:t>
        <w:br/>
        <w:t xml:space="preserve">      todos los autores […]  por  esta  grave  violación  de  derechos</w:t>
        <w:br/>
        <w:t xml:space="preserve">      humanos”;</w:t>
        <w:br/>
        <w:br/>
        <w:br/>
        <w:t xml:space="preserve">      c)     la  falta  de  debida  diligencia  en   el   proceso   de</w:t>
        <w:br/>
        <w:t xml:space="preserve">      investigación y en la preservación de evidencia esencial, sin la</w:t>
        <w:br/>
        <w:t xml:space="preserve">      cual los  procesos  judiciales  no  podrían  llevarse  adelante,</w:t>
        <w:br/>
        <w:t xml:space="preserve">      caracteriza  una  violación  a  los  artículos  8  y  25  de  la</w:t>
        <w:br/>
        <w:t xml:space="preserve">      Convención Americana, sobre todo en casos como el  presente,  en</w:t>
        <w:br/>
        <w:t xml:space="preserve">      el que las autoridades deben actuar  de  oficio  e  impulsar  la</w:t>
        <w:br/>
        <w:t xml:space="preserve">      investigación, no haciendo recaer esta carga en la iniciativa de</w:t>
        <w:br/>
        <w:t xml:space="preserve">      los particulares. El  Estado  no  ha  ofrecido  una  explicación</w:t>
        <w:br/>
        <w:t xml:space="preserve">      satisfactoria  respecto  a  la  excesiva  prolongación  de  este</w:t>
        <w:br/>
        <w:t xml:space="preserve">      proceso de investigación;</w:t>
        <w:br/>
        <w:br/>
        <w:br/>
        <w:t xml:space="preserve">      d)    esta obligación de investigar del Estado requiere  que  se</w:t>
        <w:br/>
        <w:t xml:space="preserve">      castigue a los autores materiales e intelectuales de los  hechos</w:t>
        <w:br/>
        <w:t xml:space="preserve">      violatorios de derechos humanos;</w:t>
        <w:br/>
        <w:br/>
        <w:br/>
        <w:t xml:space="preserve">      e)    la investigación únicamente se  refiere  a  la  muerte  de</w:t>
        <w:br/>
        <w:t xml:space="preserve">      víctimas, y no incluye la  investigación  de  las  heridas,  los</w:t>
        <w:br/>
        <w:t xml:space="preserve">      maltratos y las torturas. Además, la investigación se  limita  a</w:t>
        <w:br/>
        <w:t xml:space="preserve">      lo ocurrido del 6 al 9 de mayo de 1992;</w:t>
        <w:br/>
        <w:br/>
        <w:br/>
        <w:t xml:space="preserve">      f)    en sus  alegatos  finales  escritos  indicó  que  casi  un</w:t>
        <w:br/>
        <w:t xml:space="preserve">      centenar de las víctimas del presente  caso  son  mujeres,  para</w:t>
        <w:br/>
        <w:t xml:space="preserve">      quienes las consecuencias de  las  violaciones  a  los  derechos</w:t>
        <w:br/>
        <w:t xml:space="preserve">      humanos  resultaron  particularmente  gravosas.   Si   bien   la</w:t>
        <w:br/>
        <w:t xml:space="preserve">      Convención de Belém do Pará no estaba  vigente  en  Perú  en  la</w:t>
        <w:br/>
        <w:t xml:space="preserve">      época de los hechos, en virtud de lo dispuesto por  el  artículo</w:t>
        <w:br/>
        <w:t xml:space="preserve">      29 de la Convención Americana este tratado puede ser utilizado a</w:t>
        <w:br/>
        <w:t xml:space="preserve">      efectos  de  analizar  la  responsabilidad   estatal   por   las</w:t>
        <w:br/>
        <w:t xml:space="preserve">      violaciones a los artículos 4,  5,  8  y  25  de  la  Convención</w:t>
        <w:br/>
        <w:t xml:space="preserve">      Americana. La Convención de Belém do Pará establece obligaciones</w:t>
        <w:br/>
        <w:t xml:space="preserve">      del Estado de actuar con la  debida  diligencia  para  prevenir,</w:t>
        <w:br/>
        <w:t xml:space="preserve">      investigar y sancionar la violencia contra la mujer;</w:t>
        <w:br/>
        <w:br/>
        <w:t xml:space="preserve">      g)    la absolución por parte de la  Segunda  Sala  del  Consejo</w:t>
        <w:br/>
        <w:t xml:space="preserve">      Superior Justicia de la II Zona Judicial de la Policía  Nacional</w:t>
        <w:br/>
        <w:t xml:space="preserve">      del Perú el 5 de noviembre de 1992 a favor del personal policial</w:t>
        <w:br/>
        <w:t xml:space="preserve">      que participó en el operativo  "Mudanza  1",  no  satisface  los</w:t>
        <w:br/>
        <w:t xml:space="preserve">      requerimientos de  justicia  en  el  presente  caso,  porque  la</w:t>
        <w:br/>
        <w:t xml:space="preserve">      gravedad de las  acciones  y  las  consecuencias  del  operativo</w:t>
        <w:br/>
        <w:t xml:space="preserve">      constituyen delitos comunes y algunos crímenes de lesa humanidad</w:t>
        <w:br/>
        <w:t xml:space="preserve">      que  deben  ser  juzgados  por   tribunales   independientes   e</w:t>
        <w:br/>
        <w:t xml:space="preserve">      imparciales.  El hecho de que la investigación que  involucra  a</w:t>
        <w:br/>
        <w:t xml:space="preserve">      oficiales de la Policía haya sido confiada a esa misma fuerza de</w:t>
        <w:br/>
        <w:t xml:space="preserve">      seguridad, plantea serias dudas acerca  de  su  independencia  e</w:t>
        <w:br/>
        <w:t xml:space="preserve">      imparcialidad;</w:t>
        <w:br/>
        <w:br/>
        <w:br/>
        <w:t xml:space="preserve">      h)    se ha impedido el acceso a la justicia  de  las  presuntas</w:t>
        <w:br/>
        <w:t xml:space="preserve">      víctimas  o  sus  familiares,  incluso  en  el  plano   de   una</w:t>
        <w:br/>
        <w:t xml:space="preserve">      compensación  económica,  debido  a  que  la  obtención  de   la</w:t>
        <w:br/>
        <w:t xml:space="preserve">      reparación civil por los daños ocasionados como consecuencia  de</w:t>
        <w:br/>
        <w:t xml:space="preserve">      un hecho ilícito tipificado penalmente, se encuentra  sujeto  al</w:t>
        <w:br/>
        <w:t xml:space="preserve">      establecimiento del delito en un proceso de naturaleza criminal;</w:t>
        <w:br/>
        <w:br/>
        <w:br/>
        <w:t xml:space="preserve">      i)     a pesar de que el  Estado  ha  manifestado  que  tras  la</w:t>
        <w:br/>
        <w:t xml:space="preserve">      adopción del informe de la  Comisión  ha  emprendido  una  nueva</w:t>
        <w:br/>
        <w:t xml:space="preserve">      investigación de los hechos a través  de  la  fiscalía  especial</w:t>
        <w:br/>
        <w:t xml:space="preserve">      sobre desapariciones forzadas y ejecuciones extrajudiciales, las</w:t>
        <w:br/>
        <w:t xml:space="preserve">      contravenciones de los artículos 1, 8 y 25 de la  Convención  se</w:t>
        <w:br/>
        <w:t xml:space="preserve">      consumaron  desde  que  el   Estado   omitió   llevar   a   cabo</w:t>
        <w:br/>
        <w:t xml:space="preserve">      investigaciones  y   procedimientos   internos   suficientemente</w:t>
        <w:br/>
        <w:t xml:space="preserve">      rigurosos para contrarrestar el encubrimiento realizado;</w:t>
        <w:br/>
        <w:br/>
        <w:t xml:space="preserve">      j)    en su escrito de observaciones de 22 de septiembre de 2006</w:t>
        <w:br/>
        <w:t xml:space="preserve">      (supra párr. 113) indicó que “la prueba  superviniente  ofrecida</w:t>
        <w:br/>
        <w:t xml:space="preserve">      por el Estado el 25 de agosto  de  2006[,  en  relación  con  la</w:t>
        <w:br/>
        <w:t xml:space="preserve">      denuncia  penal  formulada  contra  el  ex  Presidente   Alberto</w:t>
        <w:br/>
        <w:t xml:space="preserve">      Fujimori Fujimori …, ] evidencia la adopción de pasos  positivos</w:t>
        <w:br/>
        <w:t xml:space="preserve">      hacia  el  pleno  esclarecimiento   de   los   hechos   [y]   el</w:t>
        <w:br/>
        <w:t xml:space="preserve">      procesamiento y sanción de los responsables”. Sin  embargo,  “la</w:t>
        <w:br/>
        <w:t xml:space="preserve">      indagación debe ampliarse a los miembros de tropa de la  policía</w:t>
        <w:br/>
        <w:t xml:space="preserve">      y las fuerzas armadas peruanas que participaron en el ataque  […</w:t>
        <w:br/>
        <w:t xml:space="preserve">      y] no debe limitarse temporalmente a los días 6 a 9 de  mayo  de</w:t>
        <w:br/>
        <w:t xml:space="preserve">      1992,  sino  incluir  la  preparación  del  ataque,  los   actos</w:t>
        <w:br/>
        <w:t xml:space="preserve">      posteriores  a  la  toma  de  los  pabellones  1A  y  4B,  y  la</w:t>
        <w:br/>
        <w:t xml:space="preserve">      obstrucción a la justicia  por  parte  de  los  propios  agentes</w:t>
        <w:br/>
        <w:t xml:space="preserve">      involucrados; y no debe referirse sólo a la  muerte  de  las  al</w:t>
        <w:br/>
        <w:t xml:space="preserve">      menos 42 víctimas fatales de los  hechos,  sino  también  a  las</w:t>
        <w:br/>
        <w:t xml:space="preserve">      heridas sufridas por al menos 175 internos y los maltratos a los</w:t>
        <w:br/>
        <w:t xml:space="preserve">      que fueron sometidos  el  resto  de  sobrevivientes  durante  el</w:t>
        <w:br/>
        <w:t xml:space="preserve">      ataque y tras su conclusión”; y</w:t>
        <w:br/>
        <w:br/>
        <w:br/>
        <w:t xml:space="preserve">      k)    en su escrito de observaciones de 5  de  octubre  de  2006</w:t>
        <w:br/>
        <w:t xml:space="preserve">      (supra párr. 116)  la  Comisión  reiteró  sus  conclusiones  del</w:t>
        <w:br/>
        <w:t xml:space="preserve">      escrito de 22 de septiembre de 2006, y  agregó  que  “la  prueba</w:t>
        <w:br/>
        <w:t xml:space="preserve">      superviniente presentada por el Estado  al  Tribunal  el  20  de</w:t>
        <w:br/>
        <w:t xml:space="preserve">      septiembre de 2006 es de recibo y evidencia la adopción de pasos</w:t>
        <w:br/>
        <w:t xml:space="preserve">      positivos hacia el  pleno  esclarecimiento  de  los  hechos,  el</w:t>
        <w:br/>
        <w:t xml:space="preserve">      procesamiento y sanción de los responsables”.</w:t>
        <w:br/>
        <w:br/>
        <w:br/>
        <w:br/>
        <w:t>Alegatos de la interviniente común</w:t>
        <w:br/>
        <w:br/>
        <w:t>370.  La interviniente común alegó la violación de los artículos  8  y</w:t>
        <w:br/>
        <w:t>25 de la  Convención  Americana.  Además,  sostuvo  la  existencia  de</w:t>
        <w:br/>
        <w:t>violaciones a los artículos 1, 6 y 8 de la  Convención  Interamericana</w:t>
        <w:br/>
        <w:t>para Prevenir y Sancionar la Tortura, y de los artículos 4 y 7  de  la</w:t>
        <w:br/>
        <w:t>Convención Interamericana para  Prevenir,  Sancionar  y  Erradicar  la</w:t>
        <w:br/>
        <w:t>Violencia contra la Mujer, apreciaciones que no se  encuentran  en  la</w:t>
        <w:br/>
        <w:t>demanda presentada por la Comisión  Interamericana.  La  interviniente</w:t>
        <w:br/>
        <w:t>alegó, en resumen, lo siguiente:</w:t>
        <w:br/>
        <w:br/>
        <w:t xml:space="preserve">      a)     los  hechos  del  caso  están  impunes,  la  negación  de</w:t>
        <w:br/>
        <w:t xml:space="preserve">      protección judicial y de un recurso sencillo y  rápido  para  la</w:t>
        <w:br/>
        <w:t xml:space="preserve">      protección de la integridad y vidas de  las  presuntas  víctimas</w:t>
        <w:br/>
        <w:t xml:space="preserve">      ocurrió desde el momento en que se perpetuaron los hechos, y  se</w:t>
        <w:br/>
        <w:t xml:space="preserve">      extiende hasta la actualidad. “A más de 13 años de los hechos no</w:t>
        <w:br/>
        <w:t xml:space="preserve">      existe ninguna persona,  ningún  perpetrador  condenado  por  la</w:t>
        <w:br/>
        <w:t xml:space="preserve">      masacre de  Castro  Castro  ni  por  las  torturas  sistemáticas</w:t>
        <w:br/>
        <w:t xml:space="preserve">      ocurridas  contra  los  sobrevivientes”,  no  obstante  que  han</w:t>
        <w:br/>
        <w:t xml:space="preserve">      transcurrido más de  5  años  desde  la  caída  del  régimen  de</w:t>
        <w:br/>
        <w:t xml:space="preserve">      Fujimori. Contrasta con la  gravedad  de  los  hechos  (que  son</w:t>
        <w:br/>
        <w:t xml:space="preserve">      crímenes de lesa humanidad) que  ninguna  persona  se  encuentre</w:t>
        <w:br/>
        <w:t xml:space="preserve">      detenida;</w:t>
        <w:br/>
        <w:br/>
        <w:br/>
        <w:t xml:space="preserve">      b)    la apertura de una investigación judicial no hace cesar la</w:t>
        <w:br/>
        <w:t xml:space="preserve">      violación a estos derechos, “ni descarga la responsabilidad  del</w:t>
        <w:br/>
        <w:t xml:space="preserve">      Estado en  cuanto  a  la  protección  judicial”.  Las  presuntas</w:t>
        <w:br/>
        <w:t xml:space="preserve">      víctimas consideran que los efectos de las  violaciones  no  han</w:t>
        <w:br/>
        <w:t xml:space="preserve">      sido resarcidos y se encuentran vigentes, aquellos no participan</w:t>
        <w:br/>
        <w:t xml:space="preserve">      en el proceso interno a que hace referencia el Estado;</w:t>
        <w:br/>
        <w:br/>
        <w:br/>
        <w:t xml:space="preserve">      c)     una  investigación  seria  tiene  que  encausar   a   los</w:t>
        <w:br/>
        <w:t xml:space="preserve">      principales agentes responsables de la masacre de la prisión  de</w:t>
        <w:br/>
        <w:t xml:space="preserve">      Castro  Castro  y  del  régimen  de  torturas  aplicado  a   los</w:t>
        <w:br/>
        <w:t xml:space="preserve">      sobrevivientes;</w:t>
        <w:br/>
        <w:br/>
        <w:br/>
        <w:t xml:space="preserve">      d)    “la actual investigación [… ante] el Segundo Juzgado Penal</w:t>
        <w:br/>
        <w:t xml:space="preserve">      Supraprovincial  […] no llena los requisitos de la investigación</w:t>
        <w:br/>
        <w:t xml:space="preserve">      debida por parte del Estado […]  porque  no  incluye  todos  los</w:t>
        <w:br/>
        <w:t xml:space="preserve">      hechos criminales ocurridos […,] la tipificación del  delito  es</w:t>
        <w:br/>
        <w:t xml:space="preserve">      […] inadecuad[a …], no cubre todos los delitos cometidos […], se</w:t>
        <w:br/>
        <w:t xml:space="preserve">      concibe como ‘víctima’ sólo a los muertos […] y […] no  juzga  a</w:t>
        <w:br/>
        <w:t xml:space="preserve">      todos los individuos partícipes en el crimen en particular”;</w:t>
        <w:br/>
        <w:br/>
        <w:t xml:space="preserve">      e)    a los  prisioneros  se  les  negó  todo  remedio  por  las</w:t>
        <w:br/>
        <w:t xml:space="preserve">      violaciones que sufrieron, sin que tuvieran acceso a “recursos a</w:t>
        <w:br/>
        <w:t xml:space="preserve">      la ley”, ni a su derecho a  la  verdad,  con  violación  de  los</w:t>
        <w:br/>
        <w:t xml:space="preserve">      artículos 8 y 25 de la Convención  Americana.  Se  les  negó  su</w:t>
        <w:br/>
        <w:t xml:space="preserve">      derecho a igual protección de la ley en virtud de un Decreto Ley</w:t>
        <w:br/>
        <w:t xml:space="preserve">      que establecía que no era posible plantear el hábeas  corpus  en</w:t>
        <w:br/>
        <w:t xml:space="preserve">      los casos de procesados por terrorismo;</w:t>
        <w:br/>
        <w:br/>
        <w:br/>
        <w:t xml:space="preserve">      f)    “para efectos del presente caso […] las personas  privadas</w:t>
        <w:br/>
        <w:t xml:space="preserve">      de libertad en el penal de Castro Castro han de ser consideradas</w:t>
        <w:br/>
        <w:t xml:space="preserve">      población civil en detención”;</w:t>
        <w:br/>
        <w:br/>
        <w:br/>
        <w:t xml:space="preserve">      g)          en su escrito de observaciones de 31  de  agosto  de</w:t>
        <w:br/>
        <w:t xml:space="preserve">      2006 (supra párr. 110) manifestó que “la denuncia fiscal  contra</w:t>
        <w:br/>
        <w:t xml:space="preserve">      Alberto  Fujimori  Fujimori  es  un  paso  importante  […]  para</w:t>
        <w:br/>
        <w:t xml:space="preserve">      sancionar  los  crímenes  ocurridos  en  la  prisión  de  Castro</w:t>
        <w:br/>
        <w:t xml:space="preserve">      Castro”. Sin embargo, señaló  que  “el  Estado  […]  debe  abrir</w:t>
        <w:br/>
        <w:t xml:space="preserve">      instrucción contra todos los responsables de dichas violaciones”</w:t>
        <w:br/>
        <w:t xml:space="preserve">      y reiteró que la tipificación de homicidio no  cubre  todos  los</w:t>
        <w:br/>
        <w:t xml:space="preserve">      delitos cometidos. Además “corresponde que el  fiscal  o  en  su</w:t>
        <w:br/>
        <w:t xml:space="preserve">      defecto el juez encargado del proceso contra Fujimori corrija la</w:t>
        <w:br/>
        <w:t xml:space="preserve">      tipificación en dicho caso y use el tipo penal  de  crímenes  de</w:t>
        <w:br/>
        <w:t xml:space="preserve">      lesa humanidad”;</w:t>
        <w:br/>
        <w:br/>
        <w:t xml:space="preserve">      h)    en su escrito de 29 de septiembre  de  2006  (supra  párr.</w:t>
        <w:br/>
        <w:t xml:space="preserve">      115) alegó que “no considera[n] que la investigación al presente</w:t>
        <w:br/>
        <w:t xml:space="preserve">      haya ‘restaurado’ violaciones de los artículos 8 y 25”. Asimismo</w:t>
        <w:br/>
        <w:t xml:space="preserve">      indicó que preocupa “que la investigación llevada a cabo por  el</w:t>
        <w:br/>
        <w:t xml:space="preserve">      Estado [se realice] como si el proceso  ante  la  Corte  […]  no</w:t>
        <w:br/>
        <w:t xml:space="preserve">      existiera y [el] reconocimiento [de los hechos]  no  se  hubiera</w:t>
        <w:br/>
        <w:t xml:space="preserve">      dado”, y que  los  “que  ordenaron  dichos  crímenes”  continúen</w:t>
        <w:br/>
        <w:t xml:space="preserve">      “teniendo [la] calidad de `testigos’”;</w:t>
        <w:br/>
        <w:br/>
        <w:br/>
        <w:t xml:space="preserve">      i)    el Perú debería solicitar la inclusión de este caso dentro</w:t>
        <w:br/>
        <w:t xml:space="preserve">      del pedido a Chile de extradición de Alberto  Fujimori.  “De  no</w:t>
        <w:br/>
        <w:t xml:space="preserve">      hacerse esto, la impunidad de los hechos continuará”; y</w:t>
        <w:br/>
        <w:br/>
        <w:t xml:space="preserve">      j)    la  Convención  de  Belém  do  Pará  resulta  directamente</w:t>
        <w:br/>
        <w:t xml:space="preserve">      aplicable desde el 4 de junio de 1996,  día  en  que  el  Estado</w:t>
        <w:br/>
        <w:t xml:space="preserve">      ratificó este tratado, ya que la  “negación  de  la  justicia  y</w:t>
        <w:br/>
        <w:t xml:space="preserve">      persecución de varias sobrevivientes continua hasta  el  día  de</w:t>
        <w:br/>
        <w:t xml:space="preserve">      hoy”.</w:t>
        <w:br/>
        <w:br/>
        <w:br/>
        <w:br/>
        <w:t>Alegatos del Estado</w:t>
        <w:br/>
        <w:br/>
        <w:t>371.  En el escrito de alegatos finales, el Estado expresó que:</w:t>
        <w:br/>
        <w:br/>
        <w:t xml:space="preserve">      a)    dispuso  la  creación  de  Fiscalías  Especializadas  para</w:t>
        <w:br/>
        <w:t xml:space="preserve">      Desapariciones   Forzosas,   Ejecuciones    Extrajudiciales    y</w:t>
        <w:br/>
        <w:t xml:space="preserve">      Exhumación de Fosas  Clandestinas,  así  como  Juzgados  Penales</w:t>
        <w:br/>
        <w:t xml:space="preserve">      Supraprovinciales, mediante Resolución Administrativa;</w:t>
        <w:br/>
        <w:br/>
        <w:t xml:space="preserve">      b)    desde el 26 de noviembre de 2001 inició  la  investigación</w:t>
        <w:br/>
        <w:t xml:space="preserve">      de los hechos, la cual  se  vio  sujeta  a  varias  ampliaciones</w:t>
        <w:br/>
        <w:t xml:space="preserve">      debido a su complejidad. El 30 de mayo de 2005  se  formuló  una</w:t>
        <w:br/>
        <w:t xml:space="preserve">      denuncia formal por los hechos y el 16 de junio del mismo año se</w:t>
        <w:br/>
        <w:t xml:space="preserve">      abrió la instrucción, con la concurrencia de una  gran  cantidad</w:t>
        <w:br/>
        <w:t xml:space="preserve">      de testigos;</w:t>
        <w:br/>
        <w:br/>
        <w:t xml:space="preserve">      c)    en la actualidad se está juzgando  a  integrantes  de  las</w:t>
        <w:br/>
        <w:t xml:space="preserve">      fuerzas policiales en la  jurisdicción  ordinaria,  sin  aplicar</w:t>
        <w:br/>
        <w:t xml:space="preserve">      normas procesales para sustituirla;</w:t>
        <w:br/>
        <w:br/>
        <w:br/>
        <w:t xml:space="preserve">      d)    el “conjunto de principios y garantías  que  conforman  el</w:t>
        <w:br/>
        <w:t xml:space="preserve">      llamado  [d]ebido  [p]roceso,  están  siendo  respetados”.   Los</w:t>
        <w:br/>
        <w:t xml:space="preserve">      inculpados y las partes civiles reconocidas han contado  con  la</w:t>
        <w:br/>
        <w:t xml:space="preserve">      defensa de abogados defensores de  su  elección.  Asimismo,  han</w:t>
        <w:br/>
        <w:t xml:space="preserve">      tenido el derecho de participar en las  diligencias  judiciales,</w:t>
        <w:br/>
        <w:t xml:space="preserve">      presentar  medios   probatorios   y   realizar   los   descargos</w:t>
        <w:br/>
        <w:t xml:space="preserve">      correspondientes;</w:t>
        <w:br/>
        <w:br/>
        <w:br/>
        <w:t xml:space="preserve">      e)    en el proceso penal  se  han  recibido  las  declaraciones</w:t>
        <w:br/>
        <w:t xml:space="preserve">      instructivas  de   12   procesados,   faltando   únicamente   la</w:t>
        <w:br/>
        <w:t xml:space="preserve">      instructiva  de  un  acusado.  También  se  han   recibido   106</w:t>
        <w:br/>
        <w:t xml:space="preserve">      declaraciones  testimoniales,   incluyendo   el   95%   de   las</w:t>
        <w:br/>
        <w:t xml:space="preserve">      declaraciones solicitadas por el fiscal y por el  Ministerio  de</w:t>
        <w:br/>
        <w:t xml:space="preserve">      Justicia  de  manera  oficiosa.   Además,   se   han   realizado</w:t>
        <w:br/>
        <w:t xml:space="preserve">      diligencias de ratificación pericial  por  parte  de  8  médicos</w:t>
        <w:br/>
        <w:t xml:space="preserve">      legistas suscriptores de los  protocolos  de  necropsia  de  las</w:t>
        <w:br/>
        <w:t xml:space="preserve">      víctimas fatales, y de 8 peritos en  balística  suscriptores  de</w:t>
        <w:br/>
        <w:t xml:space="preserve">      los dictámenes periciales de balística  forense  practicados  en</w:t>
        <w:br/>
        <w:t xml:space="preserve">      las víctimas fatales; así como 15 diligencias de confrontación y</w:t>
        <w:br/>
        <w:t xml:space="preserve">      una diligencia de inspección judicial en el Centro Penal  Miguel</w:t>
        <w:br/>
        <w:t xml:space="preserve">      Castro Castro. Asimismo,  se  han  realizado  2  diligencias  de</w:t>
        <w:br/>
        <w:t xml:space="preserve">      declaración preventiva de familiares de agraviados, por ser  los</w:t>
        <w:br/>
        <w:t xml:space="preserve">      únicos  apersonados  y  constituidos  como  parte  civil  en  la</w:t>
        <w:br/>
        <w:t xml:space="preserve">      instancia, notificándoles todas las  diligencias  y  actuaciones</w:t>
        <w:br/>
        <w:t xml:space="preserve">      llevadas a  cabo,  sin  que  se  haya  podido  localizar  a  los</w:t>
        <w:br/>
        <w:t xml:space="preserve">      familiares de las restantes víctimas. Las indagaciones sobre  el</w:t>
        <w:br/>
        <w:t xml:space="preserve">      nombre y domicilio de los demás agraviados continúan;</w:t>
        <w:br/>
        <w:br/>
        <w:br/>
        <w:t xml:space="preserve">      f)     en  el  proceso  penal  también  se  está   tratando   de</w:t>
        <w:br/>
        <w:t xml:space="preserve">      “establecer la ubicación de las armas incautadas al término  del</w:t>
        <w:br/>
        <w:t xml:space="preserve">      Operativo Mudanza I presuntamente de los internos,  así  también</w:t>
        <w:br/>
        <w:t xml:space="preserve">      establecer la ubicación de los proyectiles de armas de fuego que</w:t>
        <w:br/>
        <w:t xml:space="preserve">      fueron extraídos de las occisos así como los encontrados en  las</w:t>
        <w:br/>
        <w:t xml:space="preserve">      instalaciones de los  pabellones  de  mujeres  1A,  varones  4B,</w:t>
        <w:br/>
        <w:t xml:space="preserve">      rotonda, explanada de la tierra de nadie” del penal;</w:t>
        <w:br/>
        <w:br/>
        <w:br/>
        <w:t xml:space="preserve">      g)     a  la  fecha  del  escrito   de   alegatos   finales   el</w:t>
        <w:br/>
        <w:t xml:space="preserve">      “[e]xpediente [del caso] se encuentra en el Ministerio Público a</w:t>
        <w:br/>
        <w:t xml:space="preserve">      fin de que  se  emita  el  dictamen  correspondiente  previo  al</w:t>
        <w:br/>
        <w:t xml:space="preserve">      juzgamiento”;</w:t>
        <w:br/>
        <w:br/>
        <w:br/>
        <w:t xml:space="preserve">      h)    considera probada su firme  intención  “de  sancionar  los</w:t>
        <w:br/>
        <w:t xml:space="preserve">      hechos y evitar la impunidad” y manifestó que la  “determinación</w:t>
        <w:br/>
        <w:t xml:space="preserve">      de las  responsabilidades individuales que  se  deriven  de  las</w:t>
        <w:br/>
        <w:t xml:space="preserve">      actuaciones del Poder  Judicial,  sentarán  bases  sólidas  para</w:t>
        <w:br/>
        <w:t xml:space="preserve">      garantizar la no repetición de hechos como los que se conocen en</w:t>
        <w:br/>
        <w:t xml:space="preserve">      el presente proceso”;</w:t>
        <w:br/>
        <w:br/>
        <w:br/>
        <w:t xml:space="preserve">      i)    “está buscando una justicia sana  que  busca  corregir  la</w:t>
        <w:br/>
        <w:t xml:space="preserve">      verdad histórica y […] que la solución a todas estas situaciones</w:t>
        <w:br/>
        <w:t xml:space="preserve">      afecte a la sociedad en su conjunto”.   Existen  los  mecanismos</w:t>
        <w:br/>
        <w:t xml:space="preserve">      suficientes para obtener esta justicia y la plena seguridad  “de</w:t>
        <w:br/>
        <w:t xml:space="preserve">      que las pretensiones de las víctimas [y] de los familiares van a</w:t>
        <w:br/>
        <w:t xml:space="preserve">      ser recogidas por la instancia jurisdiccional interna”;</w:t>
        <w:br/>
        <w:br/>
        <w:br/>
        <w:t xml:space="preserve">      j)     el 25 de agosto de 2006 el  Estado  presentó  un  escrito</w:t>
        <w:br/>
        <w:t xml:space="preserve">      (supra párr. 108) en el cual manifestó que “[l]a denuncia fiscal</w:t>
        <w:br/>
        <w:t xml:space="preserve">      planteada [en contra de  Alberto  Fujimori  Fujimori]  prueba[…]</w:t>
        <w:br/>
        <w:t xml:space="preserve">      fehacientemente  el  interés  del  Estado  […]  en  procurar  la</w:t>
        <w:br/>
        <w:t xml:space="preserve">      Justicia y sancionar a los responsables de los trágicos  sucesos</w:t>
        <w:br/>
        <w:t xml:space="preserve">      acaecidos en el Penal ‘Miguel Castro Castro’ en mayo de 1992  y,</w:t>
        <w:br/>
        <w:t xml:space="preserve">      de   es[a]   forma,   ser   coherente   con   sus    compromisos</w:t>
        <w:br/>
        <w:t xml:space="preserve">      internacionales en materia de derechos humanos[…]”;</w:t>
        <w:br/>
        <w:br/>
        <w:br/>
        <w:t xml:space="preserve">      k)    el 14 de septiembre de 2006 el Estado presentó un  escrito</w:t>
        <w:br/>
        <w:t xml:space="preserve">      (supra párr. 112) mediante el cual manifestó que la apertura  de</w:t>
        <w:br/>
        <w:t xml:space="preserve">      “instrucción con mandato de detención” contra el  ex  Presidente</w:t>
        <w:br/>
        <w:t xml:space="preserve">      Alberto Fujimori Fujimori por los hechos del caso  demuestra  la</w:t>
        <w:br/>
        <w:t xml:space="preserve">      firme intención del Estado de lograr su “inmediata  ubicación  y</w:t>
        <w:br/>
        <w:t xml:space="preserve">      captura a nivel nacional e internacional”. El Estado agregó  que</w:t>
        <w:br/>
        <w:t xml:space="preserve">      en  dicho  auto  de  apertura  se   invocó   “expresamente”   el</w:t>
        <w:br/>
        <w:t xml:space="preserve">      cumplimiento   de   las   recomendaciones   de    la    Comisión</w:t>
        <w:br/>
        <w:t xml:space="preserve">      Interamericana sobre el caso 11.015; y</w:t>
        <w:br/>
        <w:br/>
        <w:br/>
        <w:t xml:space="preserve">      l)    solicitó a la Corte  que  declare  que  “ha  cumplido  con</w:t>
        <w:br/>
        <w:t xml:space="preserve">      restablecer el derecho a la protección judicial que le asiste  a</w:t>
        <w:br/>
        <w:t xml:space="preserve">      los deudos de  las  víctimas[,  ya  que]  actualmente  se  están</w:t>
        <w:br/>
        <w:t xml:space="preserve">      prestando   todas   las   garantías   por   parte   del   órgano</w:t>
        <w:br/>
        <w:t xml:space="preserve">      jurisdiccional interno para el pleno ejercicio de  este  derecho</w:t>
        <w:br/>
        <w:t xml:space="preserve">      por parte de ellos y se están dando todas las  condiciones  para</w:t>
        <w:br/>
        <w:t xml:space="preserve">      logar el esclarecimiento total de los hechos, garantizando [...]</w:t>
        <w:br/>
        <w:t xml:space="preserve">      una efectiva sanción para los responsables[, l]o que garantizará</w:t>
        <w:br/>
        <w:t xml:space="preserve">      la no repetición de hechos como los que se  han  tratado  en  el</w:t>
        <w:br/>
        <w:t xml:space="preserve">      presente proceso”.</w:t>
        <w:br/>
        <w:br/>
        <w:br/>
        <w:t>Consideraciones de la Corte</w:t>
        <w:br/>
        <w:br/>
        <w:t>372.  El artículo 8.1 de la Convención Americana establece que</w:t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373.  El artículo 25.1 de la Convención dispone que:</w:t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br/>
        <w:t>374.  En el párrafo 264 de  esta  Sentencia  se  ha  indicado  lo  que</w:t>
        <w:br/>
        <w:t>disponen los artículos 1, 6 y 8 de la Convención  Interamericana  para</w:t>
        <w:br/>
        <w:t>Prevenir  y  Sancionar  la  Tortura  respecto  de  la  obligación   de</w:t>
        <w:br/>
        <w:t>investigar y sancionar.</w:t>
        <w:br/>
        <w:br/>
        <w:br/>
        <w:t>375.  El artículo 7.b de la Convención Interamericana  para  Prevenir,</w:t>
        <w:br/>
        <w:t>Sancionar y Erradicar la Violencia contra la Mujer dispone que:</w:t>
        <w:br/>
        <w:br/>
        <w:t xml:space="preserve">      Los Estados Partes condenan todas las formas de  violencia  contra  la</w:t>
        <w:br/>
        <w:t xml:space="preserve">      mujer y convienen en adoptar, por todos los medios  apropiados  y  sin</w:t>
        <w:br/>
        <w:t xml:space="preserve">      dilaciones, políticas orientadas a  prevenir,  sancionar  y  erradicar</w:t>
        <w:br/>
        <w:t xml:space="preserve">      dicha violencia y en llevar a cabo lo siguiente:</w:t>
        <w:br/>
        <w:t xml:space="preserve">            […]</w:t>
        <w:br/>
        <w:t xml:space="preserve">        b. actuar con la debida  diligencia  para  prevenir,  investigar  y</w:t>
        <w:br/>
        <w:t xml:space="preserve">           sancionar la violencia contra la mujer;</w:t>
        <w:br/>
        <w:br/>
        <w:t>376.  En cuanto a la posibilidad de que la  interviniente  alegara  la</w:t>
        <w:br/>
        <w:t>violación de la Convención Interamericana para Prevenir y Sancionar la</w:t>
        <w:br/>
        <w:t>Tortura y de la Convención Interamericana para Prevenir,  Sancionar  y</w:t>
        <w:br/>
        <w:t>Erradicar la Violencia contra la  Mujer,  la  Corte  se  remite  a  lo</w:t>
        <w:br/>
        <w:t>indicado en el párrafo 265 de esta Sentencia.</w:t>
        <w:br/>
        <w:br/>
        <w:t>377.  De acuerdo a las obligaciones internacionales contraídas por  el</w:t>
        <w:br/>
        <w:t>Perú, éste tiene el deber de garantizar el  derecho  de  acceso  a  la</w:t>
        <w:br/>
        <w:t>justicia de acuerdo a lo establecido en la Convención Americana,  pero</w:t>
        <w:br/>
        <w:t>además conforme a las obligaciones  específicas  que  le  imponen  las</w:t>
        <w:br/>
        <w:t>Convenciones especializadas que ha suscrito y ratificado en materia de</w:t>
        <w:br/>
        <w:t>prevención y sanción de la tortura y de la violencia contra  la  mujer</w:t>
        <w:br/>
        <w:t>(supra párr. 376).</w:t>
        <w:br/>
        <w:br/>
        <w:t>378.     Para cumplir con la obligación de investigar  el  Estado  debe</w:t>
        <w:br/>
        <w:t>observar lo indicado en el párrafo 256 de esta Sentencia, en el sentido</w:t>
        <w:br/>
        <w:t>de que “una vez que las autoridades estatales tengan  conocimiento  del</w:t>
        <w:br/>
        <w:t>hecho, deben iniciar ex  officio  y  sin  dilación,  una  investigación</w:t>
        <w:br/>
        <w:t>seria, imparcial y efectiva”.  Asimismo,  en  virtud  de  que  el  Perú</w:t>
        <w:br/>
        <w:t>ratificó el 4 de  junio  de  1996  la  Convención  Interamericana  para</w:t>
        <w:br/>
        <w:t>Prevenir, Sancionar y Erradicar la  Violencia  contra  la  Mujer,  debe</w:t>
        <w:br/>
        <w:t>observar lo dispuesto en el artículo  7.b  de  dicho  tratado,  que  le</w:t>
        <w:br/>
        <w:t>obliga a actuar con la debida diligencia para  investigar  y  sancionar</w:t>
        <w:br/>
        <w:t>dicha violencia. Con respecto a los actos  que  constituyeron  tortura,</w:t>
        <w:br/>
        <w:t>tratos  crueles,  inhumanos  o  degradantes,  el  Estado  también  debe</w:t>
        <w:br/>
        <w:t>observar la obligación que le impone la Convención Interamericana  para</w:t>
        <w:br/>
        <w:t>Prevenir y Sancionar la Tortura en  el  sentido  de  “tomar[…]  medidas</w:t>
        <w:br/>
        <w:t>efectivas para prevenir y sancionar”  tales  violaciones  (supra  párr.</w:t>
        <w:br/>
        <w:t>344), y la obligación dispuesta en el artículo 8 de  dicho  tratado  de</w:t>
        <w:br/>
        <w:t>que ante “denuncia o razón fundada para creer que  se  ha  cometido  un</w:t>
        <w:br/>
        <w:t>acto de tortura en el ámbito de su jurisdicción” deberá “garantizar que</w:t>
        <w:br/>
        <w:t>sus respectivas  autoridades  procedan  de  oficio  y  de  inmediato  a</w:t>
        <w:br/>
        <w:t>realizar  una  investigación  sobre  el  caso  y  a   iniciar,   cuando</w:t>
        <w:br/>
        <w:t>corresponda, el respectivo proceso penal”.</w:t>
        <w:br/>
        <w:br/>
        <w:t>379.  De acuerdo a lo dispuesto  en  el  párrafo  anterior,  la  Corte</w:t>
        <w:br/>
        <w:t>analizará si el Estado ha cumplido con  su  obligación  de  investigar</w:t>
        <w:br/>
        <w:t>dispuesta en  los  artículos  8  y  25  de  la  Convención  Americana,</w:t>
        <w:br/>
        <w:t>aplicando las referidas disposiciones de la Convención  Interamericana</w:t>
        <w:br/>
        <w:t>para Prevenir, Sancionar y Erradicar la Violencia contra la Mujer y de</w:t>
        <w:br/>
        <w:t>la Convención Interamericana para Prevenir  y  Sancionar  la  Tortura.</w:t>
        <w:br/>
        <w:t>Dichas disposiciones son aplicables  al  caso  ya  que  especifican  y</w:t>
        <w:br/>
        <w:t>complementan las obligaciones que tiene  el  Estado  con  respecto  al</w:t>
        <w:br/>
        <w:t>cumplimiento de los derechos consagrados en la Convención Americana.</w:t>
        <w:br/>
        <w:br/>
        <w:t>380.  En el presente caso la Corte ha determinado que el Estado  violó</w:t>
        <w:br/>
        <w:t>los derechos a la vida y a la integridad  personal,  en  los  términos</w:t>
        <w:br/>
        <w:t>indicados en los párrafos 231 a 258 y 262 a 350. En razón de  ello  el</w:t>
        <w:br/>
        <w:t>Estado tiene el deber de investigar las afectaciones a dichos derechos</w:t>
        <w:br/>
        <w:t>como parte de  su  deber  de  garantizarlos,  como  se  desprende  del</w:t>
        <w:br/>
        <w:t>artículo 1.1 de la Convención Americana.</w:t>
        <w:br/>
        <w:br/>
        <w:t>381.  La Corte ha sostenido que, según la  Convención  Americana,  los</w:t>
        <w:br/>
        <w:t>Estados Partes  están  obligados  a  suministrar  recursos  judiciales</w:t>
        <w:br/>
        <w:t>efectivos a las  víctimas  de  violaciones  de  los  derechos  humanos</w:t>
        <w:br/>
        <w:t>(artículo 25), que deben  ser  sustanciados  de  conformidad  con  las</w:t>
        <w:br/>
        <w:t>reglas del debido proceso legal (artículo 8.1), todo ello dentro de la</w:t>
        <w:br/>
        <w:t>obligación general, a cargo de los mismos Estados,  de  garantizar  el</w:t>
        <w:br/>
        <w:t>libre y pleno ejercicio de los derechos reconocidos por la  Convención</w:t>
        <w:br/>
        <w:t>a toda  persona  que  se  encuentre  bajo  su  jurisdicción  (artículo</w:t>
        <w:br/>
        <w:t>1.1)[197].</w:t>
        <w:br/>
        <w:br/>
        <w:t>382.  Asimismo, esta Corte ha señalado que la facultad de acceso a  la</w:t>
        <w:br/>
        <w:t>justicia debe  asegurar,  en  tiempo  razonable,  el  derecho  de  las</w:t>
        <w:br/>
        <w:t>presuntas víctimas o sus familiares a que se haga  todo  lo  necesario</w:t>
        <w:br/>
        <w:t>para conocer la verdad de lo sucedido y se sancione a  los  eventuales</w:t>
        <w:br/>
        <w:t>responsables[198].</w:t>
        <w:br/>
        <w:br/>
        <w:t>383.  Este Tribunal ha especificado que la eficiente determinación  de</w:t>
        <w:br/>
        <w:t>la verdad en el marco de la obligación de investigar una muerte,  debe</w:t>
        <w:br/>
        <w:t>mostrarse desde las primeras diligencias  con  toda  acuciosidad.   En</w:t>
        <w:br/>
        <w:t>este  sentido,  con  base  en  el  Manual  sobre   la   Prevención   e</w:t>
        <w:br/>
        <w:t>Investigación Efectiva de Ejecuciones Extrajudiciales,  Arbitrarias  y</w:t>
        <w:br/>
        <w:t>Sumarias de Naciones Unidas[199] la Corte ha señalado  los  principios</w:t>
        <w:br/>
        <w:t>que deben orientar tales diligencias.  Las autoridades  estatales  que</w:t>
        <w:br/>
        <w:t>conducen una investigación deben, inter  alia,  a)  identificar  a  la</w:t>
        <w:br/>
        <w:t>víctima; b) recuperar y preservar el material  probatorio  relacionado</w:t>
        <w:br/>
        <w:t>con  la  muerte;  c)  identificar  posibles  testigos  y  obtener  sus</w:t>
        <w:br/>
        <w:t>declaraciones  en  relación  con  la  muerte  que  se  investiga;   d)</w:t>
        <w:br/>
        <w:t>determinar la causa, forma, lugar y momento de  la  muerte,  así  como</w:t>
        <w:br/>
        <w:t>cualquier procedimiento o práctica que pueda haberla provocado,  y  e)</w:t>
        <w:br/>
        <w:t>distinguir  entre  muerte  natural,  muerte  accidental,  suicidio   y</w:t>
        <w:br/>
        <w:t>homicidio.  Además, es necesario investigar exhaustivamente la  escena</w:t>
        <w:br/>
        <w:t>del crimen, se deben realizar autopsias y análisis de restos  humanos,</w:t>
        <w:br/>
        <w:t>en forma rigurosa,  por  profesionales  competentes  y  empleando  los</w:t>
        <w:br/>
        <w:t>procedimientos más apropiados.</w:t>
        <w:br/>
        <w:br/>
        <w:t>384.  Por otro lado, la Corte Europea de Derechos Humanos ha  señalado</w:t>
        <w:br/>
        <w:t>que la evaluación sobre el uso de la  fuerza  que  haya  implicado  la</w:t>
        <w:br/>
        <w:t>utilización de armas debe hacerse sobre todas las circunstancias y  el</w:t>
        <w:br/>
        <w:t>contexto de los  hechos,  incluyendo  las  acciones  de  planeación  y</w:t>
        <w:br/>
        <w:t>control de los hechos bajo examen[200].</w:t>
        <w:br/>
        <w:br/>
        <w:t>385.        En cuanto a las acciones adoptadas  por  el  Estado  entre</w:t>
        <w:br/>
        <w:t>mayo de 1992 y la apertura del primer proceso penal ordinario en junio</w:t>
        <w:br/>
        <w:t>de 2005, la Corte hace notar que las autoridades estatales incurrieron</w:t>
        <w:br/>
        <w:t>en importantes omisiones en cuanto a la recuperación,  preservación  y</w:t>
        <w:br/>
        <w:t>análisis  de  la  prueba,  tales  como:  no  se  realizaron  actas  de</w:t>
        <w:br/>
        <w:t>levantamiento de  cadáveres;  en  el  acta  de  incautación  de  armas</w:t>
        <w:br/>
        <w:t>encontradas dentro del penal no se especificó el lugar exacto  ni  las</w:t>
        <w:br/>
        <w:t>circunstancias del hallazgo; los certificados de necropsia e  informes</w:t>
        <w:br/>
        <w:t>médicos forenses se limitaron a describir las heridas sufridas por las</w:t>
        <w:br/>
        <w:t>víctimas mortales y las lesiones encontradas en algunos  heridos,  sin</w:t>
        <w:br/>
        <w:t>indicar los proyectiles recuperados de los  cuerpos  de  las  víctimas</w:t>
        <w:br/>
        <w:t>(supra párrs. 196 y 197). Asimismo, llama la atención de esta Corte la</w:t>
        <w:br/>
        <w:t>falta de preservación de la prueba y  de  las  actuaciones  policiales</w:t>
        <w:br/>
        <w:t>referidas a los hechos del presente caso. Consta que en aplicación  de</w:t>
        <w:br/>
        <w:t>una Resolución Ministerial y un Reglamento se incineró gran parte  del</w:t>
        <w:br/>
        <w:t>expediente interno referido a este caso (supra párr. 197.62).</w:t>
        <w:br/>
        <w:br/>
        <w:t>386.        Ha quedado establecido que en el presente caso, el  16  de</w:t>
        <w:br/>
        <w:t>junio de 2005, el Estado inició  un  proceso  penal  ante  el  Segundo</w:t>
        <w:br/>
        <w:t>Juzgado Penal Supraprovincial con el objeto de investigar una parte de</w:t>
        <w:br/>
        <w:t>los hechos, con el propósito de juzgar y castigar a  los  responsables</w:t>
        <w:br/>
        <w:t>de los mismos (supra párr. 197.70). Es decir, el primer proceso  penal</w:t>
        <w:br/>
        <w:t>ante la justicia ordinaria para investigar  la  responsabilidad  penal</w:t>
        <w:br/>
        <w:t>por las violaciones cometidas se abrió aproximadamente 13 años después</w:t>
        <w:br/>
        <w:t>de ocurridos aquellos.   En  ese  proceso  penal  solamente  se  están</w:t>
        <w:br/>
        <w:t>investigando las muertes de internos como consecuencia de lo  sucedido</w:t>
        <w:br/>
        <w:t>en el Penal Castro Castro del 6 al 10 de mayo de 1992, y se encuentran</w:t>
        <w:br/>
        <w:t>13 personas en calidad de imputados (supra  párr.  197.70).  Asimismo,</w:t>
        <w:br/>
        <w:t>hace casi tres meses se  abrió  instrucción  contra  Alberto  Fujimori</w:t>
        <w:br/>
        <w:t>Fujimori, también para investigar dichas muertes (supra párr. 197.75).</w:t>
        <w:br/>
        <w:br/>
        <w:br/>
        <w:t>387.   En  primer  término,  esta  Corte  considera  que   el   tiempo</w:t>
        <w:br/>
        <w:t>transcurrido entre el momento de los hechos y el  inicio  del  proceso</w:t>
        <w:br/>
        <w:t>penal por la investigación de  éstos  sobrepasa  por  mucho  un  plazo</w:t>
        <w:br/>
        <w:t>razonable  para  que  el  Estado  realice  las  primeras   diligencias</w:t>
        <w:br/>
        <w:t>probatorias e investigativas para contar con los elementos  necesarios</w:t>
        <w:br/>
        <w:t>para formular una acusación penal, máxime que a ese tiempo  habrá  que</w:t>
        <w:br/>
        <w:t>sumar el que tome la realización del proceso penal, con sus  distintas</w:t>
        <w:br/>
        <w:t>etapas, hasta la sentencia firme. Esta falta de investigación  durante</w:t>
        <w:br/>
        <w:t>tan largo período configura una violación al derecho de  acceso  a  la</w:t>
        <w:br/>
        <w:t>justicia de las víctimas y sus familiares, por  cuanto  el  Estado  ha</w:t>
        <w:br/>
        <w:t>incumplido su obligación de adoptar todas las medidas necesarias  para</w:t>
        <w:br/>
        <w:t>investigar las violaciones, sancionar a los eventuales responsables  y</w:t>
        <w:br/>
        <w:t>reparar a las víctimas y sus familiares.</w:t>
        <w:br/>
        <w:br/>
        <w:t>388.  La  Corte  reconoce  que  el  Estado  actualmente  se  encuentre</w:t>
        <w:br/>
        <w:t>desarrollando procesos penales en la jurisdicción  ordinaria,  en  los</w:t>
        <w:br/>
        <w:t>que figuran como imputados personas que en  la  época  de  los  hechos</w:t>
        <w:br/>
        <w:t>desempeñaban altos cargos, como son el ex Presidente de la  República,</w:t>
        <w:br/>
        <w:t>el ex director del Penal Castro Castro, el ex Director de  la  Policía</w:t>
        <w:br/>
        <w:t>Nacional y el ex Ministro del Interior, así como también figuran  como</w:t>
        <w:br/>
        <w:t>imputados diez funcionarios de la Policía  Nacional  del  Perú  (supra</w:t>
        <w:br/>
        <w:t>párr. 197.70). De acuerdo con la prueba allegada a la Corte, en  estos</w:t>
        <w:br/>
        <w:t>procesos el Estado ha respetado el principio del plazo razonable y  en</w:t>
        <w:br/>
        <w:t>los tiempos establecidos en la normativa interna se han realizado gran</w:t>
        <w:br/>
        <w:t>cantidad de diligencias probatorias (supra párrs. 197.70 a 197.74).</w:t>
        <w:br/>
        <w:br/>
        <w:t>389.  Además, el Tribunal considera que las mencionadas omisiones  que</w:t>
        <w:br/>
        <w:t>se configuraron en cuanto a la recuperación, preservación  y  análisis</w:t>
        <w:br/>
        <w:t>de la prueba con anterioridad al desarrollo de los procesos penales en</w:t>
        <w:br/>
        <w:t>curso (supra párr. 385), han afectado el  desarrollo  de  los  mismos.</w:t>
        <w:br/>
        <w:t>Según la declaración formulada en la audiencia pública ante la  Corte,</w:t>
        <w:br/>
        <w:t>los días 26 y 27 de junio de 2006, por el juez penal que ha  instruido</w:t>
        <w:br/>
        <w:t>el proceso en torno a estos hechos (supra párrs. 187 y 197.74), se han</w:t>
        <w:br/>
        <w:t>tenido que hacer diligencias tendientes a esclarecer el  contenido  de</w:t>
        <w:br/>
        <w:t>protocolos  de  necropsia  de  los  internos  occisos   y   dictámenes</w:t>
        <w:br/>
        <w:t>periciales de balística forense  que  ya  existían  pero  que  estaban</w:t>
        <w:br/>
        <w:t>incompletos, con el fin   determinar:  la  ubicación  externa  de  las</w:t>
        <w:br/>
        <w:t>lesiones; la posible causa y forma de  producción;  la  trayectoria  y</w:t>
        <w:br/>
        <w:t>distancia de los proyectiles de  armas  de  fuego;  la  trayectoria  y</w:t>
        <w:br/>
        <w:t>orificios de entrada y salida en los cuerpos  de  los  occisos;  y  la</w:t>
        <w:br/>
        <w:t>causa directa de muerte. Asimismo dicho  juez  penal  informó  que  se</w:t>
        <w:br/>
        <w:t>están  “tratando  de  ubicar  las  armas  incautadas  al  termino  del</w:t>
        <w:br/>
        <w:t>operativo Mudanza 1[,  …  y  ]  se  está  tratando  de  establecer  la</w:t>
        <w:br/>
        <w:t>ubicación de los proyectiles de armas de fuego que fueron extraídos de</w:t>
        <w:br/>
        <w:t>los occisos así como los  encontrados  en  las  instalaciones  de  los</w:t>
        <w:br/>
        <w:t>pabellones de  mujeres 1A, varones 4B, rotonda, y explanada de  tierra</w:t>
        <w:br/>
        <w:t>de nadie”.  En el mismo sentido el perito Nizam Peerwani (supra  párr.</w:t>
        <w:br/>
        <w:t>187) señaló  que la evidencia no fue recolectada ni fue preservada  en</w:t>
        <w:br/>
        <w:t>debida forma, ya que hubiera sido muy útil recoger muestras de aire  y</w:t>
        <w:br/>
        <w:t>conservar alguna ropa que vestían los internos, pruebas que hoy en día</w:t>
        <w:br/>
        <w:t>es imposible recuperar, y explicó que una adecuada evaluación  forense</w:t>
        <w:br/>
        <w:t>debe incluir el análisis de la ropa del occiso.</w:t>
        <w:br/>
        <w:br/>
        <w:t>390.  Si bien la apertura de esos procesos constituye pasos  positivos</w:t>
        <w:br/>
        <w:t>hacia el esclarecimiento y juzgamiento de  los  responsables  por  las</w:t>
        <w:br/>
        <w:t>muertes ocurridas como consecuencia de los hechos del 6 al 9  de  mayo</w:t>
        <w:br/>
        <w:t>de 1992, la Corte considera violatorio del  derecho  de  acceso  a  la</w:t>
        <w:br/>
        <w:t>justicia que dichos procesos no abarquen la totalidad  de  los  hechos</w:t>
        <w:br/>
        <w:t>violatorios de derechos humanos analizados en la  presente  Sentencia,</w:t>
        <w:br/>
        <w:t>cuya gravedad es evidente. Tanto las denuncias penales formuladas  por</w:t>
        <w:br/>
        <w:t>la Fiscalía como los autos de apertura de instrucción de los  procesos</w:t>
        <w:br/>
        <w:t>penales dictados por  el  Segundo  Juzgado  Penal  Supraprovincial  se</w:t>
        <w:br/>
        <w:t>refieren solamente a delitos de homicidio.</w:t>
        <w:br/>
        <w:br/>
        <w:t>391.  En el presente caso, el Estado no ha brindado una explicación  a</w:t>
        <w:br/>
        <w:t>la Corte de las razones por las cuales no se ha  iniciado  un  proceso</w:t>
        <w:br/>
        <w:t>penal por todos  los  acontecimientos  violatorios,  a  pesar  de  que</w:t>
        <w:br/>
        <w:t>reconoció su responsabilidad internacional por  los  hechos  sucedidos</w:t>
        <w:br/>
        <w:t>del 6 al 10 de mayo de 1992 y expresó que “los hechos […] no se pueden</w:t>
        <w:br/>
        <w:t>ocultar, no se puede ocultar el dolor, […] no se  pueden  ocultar  los</w:t>
        <w:br/>
        <w:t>heridos, no se pueden ocultar  el  dolor  de  los  familiares  de  las</w:t>
        <w:br/>
        <w:t>víctimas”.</w:t>
        <w:br/>
        <w:br/>
        <w:t>392.  Para encontrar alguna explicación sobre esta falta  de  inclusión</w:t>
        <w:br/>
        <w:t>de todos los hechos violatorios en los procesos penales que se tramitan</w:t>
        <w:br/>
        <w:t>ante  el  Segundo  Juzgado  Penal  Supraprovincial,  la  Corte  formuló</w:t>
        <w:br/>
        <w:t>preguntas al juez a cargo de ese juzgado cuando rindió declaración ante</w:t>
        <w:br/>
        <w:t>este Tribunal en la audiencia pública celebrada los días  26  y  27  de</w:t>
        <w:br/>
        <w:t>junio de 2006  (supra  párr.  187),  quien  respondió  básicamente  que</w:t>
        <w:br/>
        <w:t>corresponde a la Fiscalía de la Nación  la  persecución  exclusiva  del</w:t>
        <w:br/>
        <w:t>delito, por lo que el juez no tiene la facultad de ordenar la  apertura</w:t>
        <w:br/>
        <w:t>de instrucción por otro delito. Asimismo, el testigo señaló que  en  el</w:t>
        <w:br/>
        <w:t>caso del  Penal  Castro  Castro  “se  ha  corrido  traslado  al  fiscal</w:t>
        <w:br/>
        <w:t>competente en lo pertinente” para que emita opinión sobre dos aspectos:</w:t>
        <w:br/>
        <w:t>el primero es que se dice en los autos y en la investigación  que  hubo</w:t>
        <w:br/>
        <w:t>muchos heridos, como también otros actos que han  vulnerado  diferentes</w:t>
        <w:br/>
        <w:t>bienes jurídicos que no solo condujeron a muertes; y el segundo es  que</w:t>
        <w:br/>
        <w:t>la parte civil solicitó la comparencia al  proceso  del  ex  presidente</w:t>
        <w:br/>
        <w:t>Fujimori.</w:t>
        <w:br/>
        <w:br/>
        <w:t>393.  De acuerdo a la prueba aportada por el Perú con  posterioridad  a</w:t>
        <w:br/>
        <w:t>dicha audiencia pública, la  Fiscalía  efectivamente  formuló  denuncia</w:t>
        <w:br/>
        <w:t>contra  Alberto  Fujimori  Fujimori,  pero  por  el  mismo  delito   de</w:t>
        <w:br/>
        <w:t>homicidio, y el juez ordenó  la  apertura  de  instrucción  en  la  vía</w:t>
        <w:br/>
        <w:t>ordinaria por  dicho  ilícito.   Es  decir,  se  continúa  investigando</w:t>
        <w:br/>
        <w:t>solamente  las  muertes.  La  Corte  considera  que   esta   falta   de</w:t>
        <w:br/>
        <w:t>investigación de todas las violaciones a los derechos  humanos  de  las</w:t>
        <w:br/>
        <w:t>cuales es responsable el Estado constituye una violación al derecho  de</w:t>
        <w:br/>
        <w:t>acceso a la justicia de las víctimas y  sus  familiares,  en  tanto  el</w:t>
        <w:br/>
        <w:t>Estado ha  incumplido  su  obligación  de  adoptar  todas  las  medidas</w:t>
        <w:br/>
        <w:t>necesarias para investigar las violaciones, sancionar a los  eventuales</w:t>
        <w:br/>
        <w:t>responsables y reparar a las víctimas y sus familiares.</w:t>
        <w:br/>
        <w:br/>
        <w:t>394.  Esta Corte ha establecido que “[s]egún el  derecho  internacional</w:t>
        <w:br/>
        <w:t>las obligaciones que éste impone deben ser cumplidas de buena fe  y  no</w:t>
        <w:br/>
        <w:t>puede invocarse para su incumplimiento el  derecho  interno”[201].  Por</w:t>
        <w:br/>
        <w:t>ello, el Estado debe adoptar todas las medidas que sean necesarias para</w:t>
        <w:br/>
        <w:t>cumplir la obligación de investigar todos los hechos  constitutivos  de</w:t>
        <w:br/>
        <w:t>las violaciones a los derechos humanos declaradas en esta  Sentencia  y</w:t>
        <w:br/>
        <w:t>para ello debe tomar en  cuenta  lo  resuelto  por  esta  Corte  en  la</w:t>
        <w:br/>
        <w:t>presente Sentencia, incluyendo las consideraciones realizadas sobre las</w:t>
        <w:br/>
        <w:t>víctimas de los hechos, los derechos que se declararon  violados  y  la</w:t>
        <w:br/>
        <w:t>determinación de la gravedad y magnitud de  los  mismos.  Ello  implica</w:t>
        <w:br/>
        <w:t>también que el Estado tome en consideración la gravedad de  los  hechos</w:t>
        <w:br/>
        <w:t>constitutivos de violencia contra la mujer, teniendo  en  consideración</w:t>
        <w:br/>
        <w:t>las obligaciones que le imponen los tratados que ha ratificado  en  esa</w:t>
        <w:br/>
        <w:t>materia.</w:t>
        <w:br/>
        <w:br/>
        <w:t>395.  Además, la gran demora en  la  apertura  del  proceso  penal  ha</w:t>
        <w:br/>
        <w:t>tenido repercusiones particulares para todas las víctimas del caso, ya</w:t>
        <w:br/>
        <w:t>que en el Perú, como ha sido notado en otros casos[202], la reparación</w:t>
        <w:br/>
        <w:t>civil por los daños ocasionados como consecuencia de un hecho  ilícito</w:t>
        <w:br/>
        <w:t>tipificado penalmente  se  encuentra  sujeta  al  establecimiento  del</w:t>
        <w:br/>
        <w:t>delito en un proceso de naturaleza criminal. Es  decir,  la  falta  de</w:t>
        <w:br/>
        <w:t>justicia en el orden penal ha impedido que las víctimas  obtengan  una</w:t>
        <w:br/>
        <w:t>compensación por los hechos perpetrados, afectando así  su  derecho  a</w:t>
        <w:br/>
        <w:t>recibir una reparación adecuada.</w:t>
        <w:br/>
        <w:br/>
        <w:t>396.  La Corte ha constatado que en agosto  de  1992  se  instruyó  el</w:t>
        <w:br/>
        <w:t>Atestado Policial NO. 322 IC-H-DDCV respecto a la investigación de los</w:t>
        <w:br/>
        <w:t>sucesos ocurridos en el Penal Miguel Castro Castro, mediante  el  cual</w:t>
        <w:br/>
        <w:t>se determinó, sin  mayor  análisis,  “que  el  personal  policial  que</w:t>
        <w:br/>
        <w:t>intervino en el debelamiento  del  motín  en  el  interior  del  penal</w:t>
        <w:br/>
        <w:t>[…había] actuado dentro del marco legal con apoyo de la FF. AA” (supra</w:t>
        <w:br/>
        <w:t>párr. 197.61). De la misma manera en noviembre  de  1992,  el  Consejo</w:t>
        <w:br/>
        <w:t>Superior de Justicia de la II Zona Judicial de la Policía Nacional del</w:t>
        <w:br/>
        <w:t>Perú declaró que no había  mérito  para  la  apertura  de  instrucción</w:t>
        <w:br/>
        <w:t>contra los miembros de la  Policía  Nacional  que  intervinieron,  por</w:t>
        <w:br/>
        <w:t>encontrarse  en  Acto  de  Servicio  y  en  cumplimiento  de  la  Ley,</w:t>
        <w:br/>
        <w:t>disponiéndose el archivo definitivo de la denuncia que le  dio  origen</w:t>
        <w:br/>
        <w:t>(supra párr. 197.68).</w:t>
        <w:br/>
        <w:br/>
        <w:t>397.  Estas disposiciones tampoco  tuvieron  el  carácter  de  medidas</w:t>
        <w:br/>
        <w:t>efectivas para cumplir la obligación de investigar,  no  solo  por  la</w:t>
        <w:br/>
        <w:t>forma como fue resuelta la investigación, sino  principalmente  porque</w:t>
        <w:br/>
        <w:t>no se trató de  procesos  ante  un  órgano  judicial  independiente  e</w:t>
        <w:br/>
        <w:t>imparcial.</w:t>
        <w:br/>
        <w:br/>
        <w:t>398.  El 20 de abril de 1996 fueron condenados  a  cadena  perpetua  4</w:t>
        <w:br/>
        <w:t>internos que también  son  víctimas  en  este  caso,  por  los  hechos</w:t>
        <w:br/>
        <w:t>acontecidos en el Penal Miguel Castro Castro del 6 al  9  de  mayo  de</w:t>
        <w:br/>
        <w:t>1992. No  fue  sino  hasta  el  2004  que  estos  internos  resultaron</w:t>
        <w:br/>
        <w:t>absueltos de dicha condena por la Sala Nacional para Terrorismo de  la</w:t>
        <w:br/>
        <w:t>Corte Suprema de Justicia del Perú (supra párr. 197.67).</w:t>
        <w:br/>
        <w:br/>
        <w:t>399.  Tanto la Comisión como la interviniente común alegan la falta de</w:t>
        <w:br/>
        <w:t>persecución de todos los autores de los hechos del presente  caso.  Al</w:t>
        <w:br/>
        <w:t>respecto, cabe resaltar que en los procesos penales que está  llevando</w:t>
        <w:br/>
        <w:t>a cabo solamente  figuran  como  presuntos  responsables  14  personas</w:t>
        <w:br/>
        <w:t>(supra párr. 197.70 y 197.75). Esta  determinación  contrasta  con  el</w:t>
        <w:br/>
        <w:t>hecho ya establecido de que en el “Operativo Mudanza  1”  participaron</w:t>
        <w:br/>
        <w:t>muchos efectivos del personal  policial  y  del  ejército  peruano,  e</w:t>
        <w:br/>
        <w:t>incluso efectivos de unidades  especializadas  de  la  policía  (supra</w:t>
        <w:br/>
        <w:t>párr. 197.21). Asimismo, ha notado la Corte que recién ahora se  están</w:t>
        <w:br/>
        <w:t>realizando diligencias para determinar quiénes fueron los agentes  que</w:t>
        <w:br/>
        <w:t>participaron en tales hechos (supra párr. 197.74). Como ya  se  señaló</w:t>
        <w:br/>
        <w:t>líneas arriba el Estado debe tomar en cuenta lo establecido  por  este</w:t>
        <w:br/>
        <w:t>Tribunal en torno a los hechos y a  las  violaciones  declaradas  para</w:t>
        <w:br/>
        <w:t>cumplir con su obligación de garantizar el acceso de las víctimas a la</w:t>
        <w:br/>
        <w:t>justicia  (supra  párr.  394).  El  Perú   también   debe   tomar   en</w:t>
        <w:br/>
        <w:t>consideración para el cumplimiento de  su  obligación  de  investigar,</w:t>
        <w:br/>
        <w:t>perseguir, juzgar y, en  su  caso,  castigar  a  los  responsables  de</w:t>
        <w:br/>
        <w:t>violaciones a los derechos humanos la gravedad de los hechos y de  las</w:t>
        <w:br/>
        <w:t>violaciones de derechos humanos de este caso, así como la magnitud del</w:t>
        <w:br/>
        <w:t>“operativo” mismo.</w:t>
        <w:br/>
        <w:br/>
        <w:t>400.  En cuanto a los distintos alegatos presentados  por  las  partes</w:t>
        <w:br/>
        <w:t>respecto de la participación de las víctimas en los  procesos  penales</w:t>
        <w:br/>
        <w:t>internos, este Tribunal ha  establecido  que  la  responsabilidad  del</w:t>
        <w:br/>
        <w:t>Estado por no haber reparado las consecuencias de  las  violaciones  a</w:t>
        <w:br/>
        <w:t>los derechos humanos, no se ve anulada o disminuida por  el  hecho  de</w:t>
        <w:br/>
        <w:t>que los familiares de las víctimas no  hayan  intentado  utilizar  las</w:t>
        <w:br/>
        <w:t>vías civiles o administrativas que en dado caso señale el  Estado.  La</w:t>
        <w:br/>
        <w:t>obligación de reparar los daños es un deber jurídico propio del Estado</w:t>
        <w:br/>
        <w:t>que no debe depender exclusivamente de la actividad  procesal  de  las</w:t>
        <w:br/>
        <w:t>víctimas[203].</w:t>
        <w:br/>
        <w:br/>
        <w:t>401.        El Estado también alegó que ha “restablec[ido] el  derecho</w:t>
        <w:br/>
        <w:t>a la protección judicial que le asiste a los deudos de las  víctimas[,</w:t>
        <w:br/>
        <w:t>ya que] actualmente se están prestando todas las garantías […] para el</w:t>
        <w:br/>
        <w:t>pleno ejercicio de este derecho[…]”. Al respecto este Tribunal reitera</w:t>
        <w:br/>
        <w:t>su jurisprudencia en el sentido de que la responsabilidad  del  Estado</w:t>
        <w:br/>
        <w:t>se genera con la violación internacional que se le atribuye[204].</w:t>
        <w:br/>
        <w:br/>
        <w:t>402.  Además, esta Corte encuentra que  en  mayo  de  1992,  época  a</w:t>
        <w:br/>
        <w:t>partir de la  cual  ocurrieron  los  hechos  del  presente  caso,  la</w:t>
        <w:br/>
        <w:t>comisión de crímenes de lesa humanidad, incluidos el asesinato[205] y</w:t>
        <w:br/>
        <w:t>la tortura[206] ejecutados en un contexto de  ataque  generalizado  o</w:t>
        <w:br/>
        <w:t>sistemático contra sectores de la población civil, era violatoria  de</w:t>
        <w:br/>
        <w:t>una norma imperativa del derecho internacional. Tal como  esta  Corte</w:t>
        <w:br/>
        <w:t>lo estableció en el caso Almonacid  Arellano,  dicha  prohibición  de</w:t>
        <w:br/>
        <w:t>cometer crímenes de lesa humanidad es una norma de ius cogens,  y  la</w:t>
        <w:br/>
        <w:t>penalización de estos crímenes es  obligatoria  conforme  al  derecho</w:t>
        <w:br/>
        <w:t>internacional general[207].</w:t>
        <w:br/>
        <w:br/>
        <w:t>403.  En  cuanto  a  la  ocurrencia  de  los  hechos  bajo  un  ataque</w:t>
        <w:br/>
        <w:t>sistemático o generalizado contra una  población  civil,  ya  ha  sido</w:t>
        <w:br/>
        <w:t>establecido que los hechos del presente caso ocurrieron dentro  de  un</w:t>
        <w:br/>
        <w:t>contexto de conflicto interno y de graves violaciones a  los  derechos</w:t>
        <w:br/>
        <w:t>humanos en el Perú (supra párrs. 201 a  209),  que  el  ataque  a  los</w:t>
        <w:br/>
        <w:t>internos que se encontraban en los pabellones 1A y 4B del Penal Miguel</w:t>
        <w:br/>
        <w:t>Castro Castro constituyó una masacre, y que  dicho  “operativo”  y  el</w:t>
        <w:br/>
        <w:t>trato posterior otorgado a los  internos  tenían  el  fin  de  atentar</w:t>
        <w:br/>
        <w:t>contra la vida e integridad de dichos internos, quienes eran  personas</w:t>
        <w:br/>
        <w:t>acusadas o sentenciadas por los delitos de terrorismo y traición a  la</w:t>
        <w:br/>
        <w:t>patria (supra párrs. 215, 216 y 234). Asimismo, el Tribunal hace notar</w:t>
        <w:br/>
        <w:t>que dichas personas se encontraban recluidas en un centro  penal  bajo</w:t>
        <w:br/>
        <w:t>el control del Estado, siendo este de forma directa el garante de  sus</w:t>
        <w:br/>
        <w:t>derechos.</w:t>
        <w:br/>
        <w:br/>
        <w:t>404.  Por lo tanto, la Corte encuentra que hay evidencia para sostener</w:t>
        <w:br/>
        <w:t>que las muertes y torturas cometidas contra las víctimas de este  caso</w:t>
        <w:br/>
        <w:t>por  agentes  estatales,  por  las  razones  referidas   en   párrafos</w:t>
        <w:br/>
        <w:t>precedentes constituyen crímenes de lesa humanidad. La prohibición  de</w:t>
        <w:br/>
        <w:t>cometer estos crímenes es una norma de ius cogens, y,  por  tanto,  el</w:t>
        <w:br/>
        <w:t>Estado tiene el deber de no dejar impunes estos delitos  y  para  ello</w:t>
        <w:br/>
        <w:t>debe utilizar los  medios,  instrumentos  y  mecanismos  nacionales  e</w:t>
        <w:br/>
        <w:t>internacionales para la persecución efectiva de tales conductas  y  la</w:t>
        <w:br/>
        <w:t>sanción de sus autores, con el fin de prevenirlas y evitar que  queden</w:t>
        <w:br/>
        <w:t>en la impunidad[208].</w:t>
        <w:br/>
        <w:br/>
        <w:t>405.  Este Tribunal ha señalado invariablemente que el Estado tiene el</w:t>
        <w:br/>
        <w:t>deber de evitar y combatir la impunidad, caracterizada como “la  falta</w:t>
        <w:br/>
        <w:t>en su conjunto de investigación, persecución, captura,  enjuiciamiento</w:t>
        <w:br/>
        <w:t>y condena de los responsables  de  las  violaciones  de  los  derechos</w:t>
        <w:br/>
        <w:t>protegidos por la Convención Americana”[209].   Se  debe  combatir  la</w:t>
        <w:br/>
        <w:t>impunidad por todos los medios legales disponibles, tomando en  cuenta</w:t>
        <w:br/>
        <w:t>la necesidad de hacer justicia en  el  caso  concreto  y  que  aquélla</w:t>
        <w:br/>
        <w:t>propicia la repetición crónica de las violaciones de derechos  humanos</w:t>
        <w:br/>
        <w:t>y  la  total  indefensión  de  las  víctimas[210].  Este  Tribunal  ha</w:t>
        <w:br/>
        <w:t>destacado también que la  naturaleza  y  gravedad  de  los  hechos  en</w:t>
        <w:br/>
        <w:t>contextos de violaciones sistemáticas de derechos humanos  genera  una</w:t>
        <w:br/>
        <w:t>mayor necesidad de erradicar la impunidad de los hechos[211].</w:t>
        <w:br/>
        <w:br/>
        <w:t>406.  El Tribunal también tiene en cuenta la importancia que  conlleva</w:t>
        <w:br/>
        <w:t>la apertura de un proceso penal en contra del  ex  Presidente  peruano</w:t>
        <w:br/>
        <w:t>Alberto Fujimori Fujimori, a quien se  atribuye  haber  planificado  y</w:t>
        <w:br/>
        <w:t>ejecutado el “Operativo Mudanza 1” (supra párrs.  197.75  y  209).  Al</w:t>
        <w:br/>
        <w:t>respecto la interviniente común durante la  audiencia  pública  señaló</w:t>
        <w:br/>
        <w:t>que “el día que [ellos] vea[n] que el Estado  […]  tiene  la  voluntad</w:t>
        <w:br/>
        <w:t>política de abrir un juicio [contra]  Alberto  Fujimori  Fujimori  por</w:t>
        <w:br/>
        <w:t>este caso […] eso [los] emp[ezará] a sanar[…]”. Asimismo, la  Comisión</w:t>
        <w:br/>
        <w:t>al  presentar  sus  observaciones  en  torno  a  la  apertura  de   la</w:t>
        <w:br/>
        <w:t>instrucción por parte del juez penal consideró que era  “de  recibo  y</w:t>
        <w:br/>
        <w:t>evidencia  la   adopción   de   pasos   positivos   hacia   el   pleno</w:t>
        <w:br/>
        <w:t>esclarecimiento de los hechos,  el  procesamiento  y  sanción  de  los</w:t>
        <w:br/>
        <w:t>responsables”.</w:t>
        <w:br/>
        <w:br/>
        <w:t>407.  Tomando en consideración la gravedad de los hechos del  presente</w:t>
        <w:br/>
        <w:t>caso, según la  obligación  general  de  garantía  establecida  en  el</w:t>
        <w:br/>
        <w:t>artículo 1.1 de la Convención Americana, el Estado debe adoptar  todas</w:t>
        <w:br/>
        <w:t>las medidas necesarias,  de  carácter  judicial  y  diplomático,  para</w:t>
        <w:br/>
        <w:t>juzgar y  sancionar  a  todos  los  responsables  de  las  violaciones</w:t>
        <w:br/>
        <w:t>cometidas.</w:t>
        <w:br/>
        <w:br/>
        <w:t>408.   Por  todo  lo  anterior,   este   Tribunal   estima   que   los</w:t>
        <w:br/>
        <w:t>procedimientos  internos  abiertos  en  el  presente   caso   no   han</w:t>
        <w:br/>
        <w:t>constituido recursos efectivos para garantizar un verdadero  acceso  a</w:t>
        <w:br/>
        <w:t>la justicia por parte de las víctimas, dentro de un  plazo  razonable,</w:t>
        <w:br/>
        <w:t>que abarque el esclarecimiento de los hechos, la investigación  y,  en</w:t>
        <w:br/>
        <w:t>su caso, la sanción  de  los  responsables  y  la  reparación  de  las</w:t>
        <w:br/>
        <w:t>violaciones  a  la  vida  e  integridad.   Por  ello,  el  Estado   es</w:t>
        <w:br/>
        <w:t>responsable por  la  violación  de  los  artículos  8.1  y  25  de  la</w:t>
        <w:br/>
        <w:t>Convención Americana, en relación con la obligación  contenida  en  el</w:t>
        <w:br/>
        <w:t>artículo 1.1 de la  misma,  en  conexión  con  los  artículos  7.b  de</w:t>
        <w:br/>
        <w:t>Convención Interamericana para  Prevenir,  Sancionar  y  Erradicar  la</w:t>
        <w:br/>
        <w:t>Violencia contra la Mujer, y 1, 6 y 8 de la Convención  Interamericana</w:t>
        <w:br/>
        <w:t>para Prevenir y Sancionar la Tortura, en perjuicio de  los  familiares</w:t>
        <w:br/>
        <w:t>inmediatos  de  los  41   internos   fallecidos,   de   los   internos</w:t>
        <w:br/>
        <w:t>sobrevivientes y de los familiares de los internos determinados en los</w:t>
        <w:br/>
        <w:t>párrafos 336, 337, 340  y  341  del  Capítulo  sobre  violación  a  la</w:t>
        <w:br/>
        <w:t>integridad personal e identificados en el Anexo 2 de  víctimas  de  la</w:t>
        <w:br/>
        <w:t>presente Sentencia que para estos efectos forma parte de la misma.</w:t>
        <w:br/>
        <w:br/>
        <w:t xml:space="preserve">                                      *</w:t>
        <w:br/>
        <w:t xml:space="preserve">                                   *     *</w:t>
        <w:br/>
        <w:br/>
        <w:t>409.  Este Tribunal no se pronunciará sobre la alegada violación a  la</w:t>
        <w:br/>
        <w:t>“igual protección de la ley” en  relación  con  la  interposición  del</w:t>
        <w:br/>
        <w:t>hábeas corpus (supra párr.  370.e),  realizada  por  la  interviniente</w:t>
        <w:br/>
        <w:t>común, porque se refiere a un hecho que no es parte del objeto  de  la</w:t>
        <w:br/>
        <w:t>litis en el presente caso que ha sido definido a partir de la  demanda</w:t>
        <w:br/>
        <w:t>que presentó la Comisión.</w:t>
        <w:br/>
        <w:br/>
        <w:br/>
        <w:t xml:space="preserve">                                     XVI</w:t>
        <w:br/>
        <w:t xml:space="preserve">                                Reparaciones</w:t>
        <w:br/>
        <w:t xml:space="preserve">                        Aplicación del artículo 63.1</w:t>
        <w:br/>
        <w:t xml:space="preserve">                            Obligación de Reparar</w:t>
        <w:br/>
        <w:br/>
        <w:br/>
        <w:br/>
        <w:t>Alegatos de la Comisión</w:t>
        <w:br/>
        <w:br/>
        <w:t>410.  Solicitó a la Corte que:</w:t>
        <w:br/>
        <w:br/>
        <w:t xml:space="preserve">      a)    en  atención  a  la  naturaleza  del  presente  caso,  los</w:t>
        <w:br/>
        <w:t xml:space="preserve">      beneficiarios de las  reparaciones  que  ordene  la  Corte  como</w:t>
        <w:br/>
        <w:t xml:space="preserve">      consecuencia  de  la  violaciones   a   los   derechos   humanos</w:t>
        <w:br/>
        <w:t xml:space="preserve">      perpetradas   por   el   Estado   peruano   son   las   personas</w:t>
        <w:br/>
        <w:t xml:space="preserve">      individualizadas en el Apéndice A de la presente demanda  y  sus</w:t>
        <w:br/>
        <w:t xml:space="preserve">      allegados  que  acrediten  durante  el  procedimiento  ante   el</w:t>
        <w:br/>
        <w:t xml:space="preserve">      Tribunal un vínculo emocional cercano con las víctimas  y  haber</w:t>
        <w:br/>
        <w:t xml:space="preserve">      sido profundamente afectados por los hechos;</w:t>
        <w:br/>
        <w:br/>
        <w:br/>
        <w:t xml:space="preserve">      b)    en cuanto al daño material, fije en equidad el monto de la</w:t>
        <w:br/>
        <w:t xml:space="preserve">      indemnización correspondiente al daño emergente y lucro cesante,</w:t>
        <w:br/>
        <w:t xml:space="preserve">      tomando en  cuenta  la  naturaleza  del  caso  y  el  número  de</w:t>
        <w:br/>
        <w:t xml:space="preserve">      víctimas, “sin perjuicio de las pretensiones que en  el  momento</w:t>
        <w:br/>
        <w:t xml:space="preserve">      procesal oportuno presenten las representantes de las víctimas y</w:t>
        <w:br/>
        <w:t xml:space="preserve">      sus familiares”;</w:t>
        <w:br/>
        <w:br/>
        <w:br/>
        <w:t xml:space="preserve">      c)    en cuanto al daño inmaterial, que fije en equidad el monto</w:t>
        <w:br/>
        <w:t xml:space="preserve">      de la compensación por los sufrimientos físicos  y  psicológicos</w:t>
        <w:br/>
        <w:t xml:space="preserve">      padecidos por las víctimas, atendiendo a la naturaleza del  caso</w:t>
        <w:br/>
        <w:t xml:space="preserve">      y al número de víctimas. Es necesario tomar en consideración  la</w:t>
        <w:br/>
        <w:t xml:space="preserve">      falta de una investigación diligente  de  los  hechos  y  de  la</w:t>
        <w:br/>
        <w:t xml:space="preserve">      consecuente  sanción  de   los   responsables,   la   falta   de</w:t>
        <w:br/>
        <w:t xml:space="preserve">      identificación y entrega de los restos mortales de al menos  una</w:t>
        <w:br/>
        <w:t xml:space="preserve">      de las víctimas, entre otros agravios. Los actos  a  que  fueron</w:t>
        <w:br/>
        <w:t xml:space="preserve">      sometidas  las  víctimas  habrán  producido  en  ellas  diversas</w:t>
        <w:br/>
        <w:t xml:space="preserve">      formas, y  en  distinto  grado,  miedo,  sufrimiento,  ansiedad,</w:t>
        <w:br/>
        <w:t xml:space="preserve">      humillación,  degradación  y   sentimientos   de   inferioridad,</w:t>
        <w:br/>
        <w:t xml:space="preserve">      inseguridad,   frustración   e   impotencia.   Al   menos    321</w:t>
        <w:br/>
        <w:t xml:space="preserve">      sobrevivientes que resultaron  físicamente  ilesos  compartieron</w:t>
        <w:br/>
        <w:t xml:space="preserve">      con sus compañeros fallecidos y heridos el horror del  ataque  y</w:t>
        <w:br/>
        <w:t xml:space="preserve">      el maltrato posterior a su conclusión, sufriendo la  mayoría  de</w:t>
        <w:br/>
        <w:t xml:space="preserve">      ellos, las secuelas psicológicas hasta el presente;</w:t>
        <w:br/>
        <w:br/>
        <w:br/>
        <w:t xml:space="preserve">      d)    fije en equidad el monto de la compensación  por  concepto</w:t>
        <w:br/>
        <w:t xml:space="preserve">      de daños inmateriales, inflingido a los  seres  cercanos  a  las</w:t>
        <w:br/>
        <w:t xml:space="preserve">      víctimas directas. De la prueba se desprende que los  familiares</w:t>
        <w:br/>
        <w:t xml:space="preserve">      de  las  víctimas  experimentaron  sufrimientos   morales   como</w:t>
        <w:br/>
        <w:t xml:space="preserve">      consecuencia de las graves violaciones a los derechos humanos  a</w:t>
        <w:br/>
        <w:t xml:space="preserve">      que fueron  sometidas,  quienes  en  algunos  casos  hasta  este</w:t>
        <w:br/>
        <w:t xml:space="preserve">      momento desconocen cuál fue el destino de las víctimas directas.</w:t>
        <w:br/>
        <w:t xml:space="preserve">      Aunando a lo anterior, se encuentra el sentimiento de impotencia</w:t>
        <w:br/>
        <w:t xml:space="preserve">      y frustración por la  falta  de  resultados  en  el  proceso  de</w:t>
        <w:br/>
        <w:t xml:space="preserve">      investigaciones;</w:t>
        <w:br/>
        <w:br/>
        <w:br/>
        <w:t xml:space="preserve">      e)    en cuanto a las indemnizaciones compensatorias, estima que</w:t>
        <w:br/>
        <w:t xml:space="preserve">      respecto a los montos de  la  indemnización  a  los  que  tienen</w:t>
        <w:br/>
        <w:t xml:space="preserve">      derecho  las  víctimas  y  sus  familiares  que  se   encuentran</w:t>
        <w:br/>
        <w:t xml:space="preserve">      debidamente  representados  ante  la  Corte,  es  aplicable   la</w:t>
        <w:br/>
        <w:t xml:space="preserve">      obligación  de  compensación  por   daño,   detallada   por   su</w:t>
        <w:br/>
        <w:t xml:space="preserve">      representación. Por otro lado, es  necesario  que  se  tomen  en</w:t>
        <w:br/>
        <w:t xml:space="preserve">      cuenta  las  pretensiones  compensatorias  del  otro  grupo   de</w:t>
        <w:br/>
        <w:t xml:space="preserve">      víctimas, representado por la denunciante  original,  la  señora</w:t>
        <w:br/>
        <w:t xml:space="preserve">      Astete,  debido  a  que  la  interviniente  común   expuso   sus</w:t>
        <w:br/>
        <w:t xml:space="preserve">      pretensiones sobre esta cuestión, únicamente  a  nombre  de  las</w:t>
        <w:br/>
        <w:t xml:space="preserve">      personas que le otorgaron poder para representarlas. En  lo  que</w:t>
        <w:br/>
        <w:t xml:space="preserve">      corresponde a las víctimas que no han designado  representación,</w:t>
        <w:br/>
        <w:t xml:space="preserve">      la Comisión defiende sus intereses y solicita  que  se  fije  en</w:t>
        <w:br/>
        <w:t xml:space="preserve">      equidad una indemnización compensatoria para dichas  víctimas  y</w:t>
        <w:br/>
        <w:t xml:space="preserve">      sus familiares, disponiendo como modalidad de  cumplimiento  los</w:t>
        <w:br/>
        <w:t xml:space="preserve">      procesos de búsqueda, identificación, acreditación y reclamo que</w:t>
        <w:br/>
        <w:t xml:space="preserve">      permitan concretar los pagos respectivos.  En  el  caso  de  las</w:t>
        <w:br/>
        <w:t xml:space="preserve">      víctimas que  no  se  encuentran  localizadas,  es  necesario  y</w:t>
        <w:br/>
        <w:t xml:space="preserve">      pertinente que se adopten las medidas  adecuadas  para  asegurar</w:t>
        <w:br/>
        <w:t xml:space="preserve">      que dichas víctimas y sus familiares no se vean privados  de  la</w:t>
        <w:br/>
        <w:t xml:space="preserve">      justa reparación que les es  debida  como  consecuencia  de  los</w:t>
        <w:br/>
        <w:t xml:space="preserve">      hechos que han sido reconocidos por el Estado;</w:t>
        <w:br/>
        <w:br/>
        <w:br/>
        <w:t xml:space="preserve">      f)    en cuanto a las medidas de cesación de las violaciones, el</w:t>
        <w:br/>
        <w:t xml:space="preserve">      Estado debe cumplir con su obligación de  investigar,  acusar  y</w:t>
        <w:br/>
        <w:t xml:space="preserve">      castigar debidamente las violaciones de derechos humanos  en  el</w:t>
        <w:br/>
        <w:t xml:space="preserve">      presente  caso,  pues  de  lo  contrario  incurre  en  violación</w:t>
        <w:br/>
        <w:t xml:space="preserve">      continua del derecho establecido en  el  artículo  25  y  de  la</w:t>
        <w:br/>
        <w:t xml:space="preserve">      obligación  consagrada  en  el  artículo  1  de  la   Convención</w:t>
        <w:br/>
        <w:t xml:space="preserve">      Americana”. En el mismo sentido, es necesario que se recuperen y</w:t>
        <w:br/>
        <w:t xml:space="preserve">      entreguen los  restos  de  la  o  las  víctimas  que  no  fueron</w:t>
        <w:br/>
        <w:t xml:space="preserve">      plenamente identificadas por sus familiares, a fin de que  estos</w:t>
        <w:br/>
        <w:t xml:space="preserve">      completen el duelo por el desconocimiento de la  suerte  de  sus</w:t>
        <w:br/>
        <w:t xml:space="preserve">      seres  queridos  y  se  repare  parcialmente  el  daño  causado.</w:t>
        <w:br/>
        <w:t xml:space="preserve">      Además, el Estado debe adoptar todas las medidas necesarias para</w:t>
        <w:br/>
        <w:t xml:space="preserve">      evitar que la justicia militar se ocupe de investigar  y  juzgar</w:t>
        <w:br/>
        <w:t xml:space="preserve">      violaciones a los derechos humanos cometidas por miembros de  la</w:t>
        <w:br/>
        <w:t xml:space="preserve">      fuerza pública;</w:t>
        <w:br/>
        <w:br/>
        <w:br/>
        <w:br/>
        <w:t xml:space="preserve">      g)    en cuanto a las medidas de rehabilitación,  se  ordene  al</w:t>
        <w:br/>
        <w:t xml:space="preserve">      Estado  que  se  haga  cargo  de  la  rehabilitación  médica   y</w:t>
        <w:br/>
        <w:t xml:space="preserve">      psicológica de las víctimas y de  los  miembros  de  sus  grupos</w:t>
        <w:br/>
        <w:t xml:space="preserve">      familiares que han sufrido daños como resultado  de  los  hechos</w:t>
        <w:br/>
        <w:t xml:space="preserve">      del presente caso, tomando en cuenta que a raíz de  esto  varias</w:t>
        <w:br/>
        <w:t xml:space="preserve">      de las víctimas en este caso han  decidido  radicarse  en  otros</w:t>
        <w:br/>
        <w:t xml:space="preserve">      países. Tanto las  víctimas  como  sus  familiares  han  sufrido</w:t>
        <w:br/>
        <w:t xml:space="preserve">      estigmatización  a  raíz  de  su  búsqueda  de  justicia.  Tiene</w:t>
        <w:br/>
        <w:t xml:space="preserve">      especial  importancia  en  la  rehabilitación  que  se   difunda</w:t>
        <w:br/>
        <w:t xml:space="preserve">      públicamente el reconocimiento de responsabilidad y el pedido de</w:t>
        <w:br/>
        <w:t xml:space="preserve">      perdón realizados por el Estado durante la audiencia pública;</w:t>
        <w:br/>
        <w:br/>
        <w:br/>
        <w:br/>
        <w:t xml:space="preserve">      h)    en cuanto a las medidas de satisfacción y garantías de  no</w:t>
        <w:br/>
        <w:t xml:space="preserve">      repetición, ordene al Estado que:</w:t>
        <w:br/>
        <w:br/>
        <w:t xml:space="preserve">           i.    adopte todas las medidas judiciales y administrativas</w:t>
        <w:br/>
        <w:t xml:space="preserve">           necesarias con el fin de “reabrir” la investigación por los</w:t>
        <w:br/>
        <w:t xml:space="preserve">           hechos del presente caso y localizar, juzgar y sancionar al</w:t>
        <w:br/>
        <w:t xml:space="preserve">           o los autores intelectuales y  demás  responsables  de:  la</w:t>
        <w:br/>
        <w:t xml:space="preserve">           falta de prevención para impedir el  ingreso  de  armas  al</w:t>
        <w:br/>
        <w:t xml:space="preserve">           Centro Penal "Miguel Castro Castro" el uso excesivo  de  la</w:t>
        <w:br/>
        <w:t xml:space="preserve">           fuerza para recuperar el control del centro  carcelario  en</w:t>
        <w:br/>
        <w:t xml:space="preserve">           cuestión;  la  ejecución  extrajudicial  de  al  menos   16</w:t>
        <w:br/>
        <w:t xml:space="preserve">           reclusos; la tortura de al  menos  una  reclusa;  el  trato</w:t>
        <w:br/>
        <w:t xml:space="preserve">           cruel, inhumano y degradante  en  perjuicio  de  todas  las</w:t>
        <w:br/>
        <w:t xml:space="preserve">           víctimas; la falta de una investigación diligente, oportuna</w:t>
        <w:br/>
        <w:t xml:space="preserve">           y completa; la destrucción de evidencia  esencial  para  el</w:t>
        <w:br/>
        <w:t xml:space="preserve">           esclarecimiento de los hechos; y la denegación de  justicia</w:t>
        <w:br/>
        <w:t xml:space="preserve">           en  perjuicio  de  los  afectados.   Las  víctimas  y   sus</w:t>
        <w:br/>
        <w:t xml:space="preserve">           familiares deberán tener pleno acceso y capacidad de actuar</w:t>
        <w:br/>
        <w:t xml:space="preserve">           en todas las etapas e instancias de dichas investigaciones,</w:t>
        <w:br/>
        <w:t xml:space="preserve">           de acuerdo con la ley interna y las normas de la Convención</w:t>
        <w:br/>
        <w:t xml:space="preserve">           Americana. El Estado debe asegurar el cumplimiento efectivo</w:t>
        <w:br/>
        <w:t xml:space="preserve">           de la decisión que adopten  los  tribunales  internos.   El</w:t>
        <w:br/>
        <w:t xml:space="preserve">           resultado del proceso deberá  ser  públicamente  divulgado,</w:t>
        <w:br/>
        <w:t xml:space="preserve">           para que la sociedad peruana conozca la verdad;</w:t>
        <w:br/>
        <w:br/>
        <w:br/>
        <w:t xml:space="preserve">           ii.   publique en  un  medio  de  circulación  nacional  la</w:t>
        <w:br/>
        <w:t xml:space="preserve">           Sentencia que dicte el Tribunal;</w:t>
        <w:br/>
        <w:br/>
        <w:br/>
        <w:t xml:space="preserve">           iii.      lleve a cabo en el Perú un reconocimiento público</w:t>
        <w:br/>
        <w:t xml:space="preserve">           de la responsabilidad por las violaciones cometidas  y  los</w:t>
        <w:br/>
        <w:t xml:space="preserve">           obstáculos mantenidos durante años para la  realización  de</w:t>
        <w:br/>
        <w:t xml:space="preserve">           la   justicia,   que   incluya   una   disculpa   digna   y</w:t>
        <w:br/>
        <w:t xml:space="preserve">           significativa, en consulta con las víctimas  sobrevivientes</w:t>
        <w:br/>
        <w:t xml:space="preserve">           y los familiares de las víctimas fatales;</w:t>
        <w:br/>
        <w:br/>
        <w:br/>
        <w:t xml:space="preserve">           iv.   erija en monumento o destine un lugar, en la zona  de</w:t>
        <w:br/>
        <w:t xml:space="preserve">           Canto Grande, donde se encuentra el  Centro  Penal  “Miguel</w:t>
        <w:br/>
        <w:t xml:space="preserve">           Castro Castro”, en memoria de todas las  víctimas  de  esta</w:t>
        <w:br/>
        <w:t xml:space="preserve">           masacre, en consulta con las víctimas sobrevivientes y  los</w:t>
        <w:br/>
        <w:t xml:space="preserve">           familiares de las víctimas fatales;</w:t>
        <w:br/>
        <w:br/>
        <w:br/>
        <w:t xml:space="preserve">           v.     modifique  la  disposición  normativa  y  de   todas</w:t>
        <w:br/>
        <w:t xml:space="preserve">           aquellas que de modo similar, establezcan un  obstáculo  de</w:t>
        <w:br/>
        <w:t xml:space="preserve">           hecho para los procesos de investigación  judicial.  De  la</w:t>
        <w:br/>
        <w:t xml:space="preserve">           información proporcionada por el propio Estado se desprende</w:t>
        <w:br/>
        <w:t xml:space="preserve">           que al amparo de una norma reglamentaria, que  no  fija  un</w:t>
        <w:br/>
        <w:t xml:space="preserve">           plazo  específico  de  conservación   de   los   documentos</w:t>
        <w:br/>
        <w:t xml:space="preserve">           relacionados con investigaciones policiales, se procedió  a</w:t>
        <w:br/>
        <w:t xml:space="preserve">           la  destrucción  de  evidencia  esencial  para   el   pleno</w:t>
        <w:br/>
        <w:t xml:space="preserve">           esclarecimiento de los hechos;</w:t>
        <w:br/>
        <w:br/>
        <w:br/>
        <w:t xml:space="preserve">           vi.   capacite profesionalmente, en materia de  control  de</w:t>
        <w:br/>
        <w:t xml:space="preserve">           motines, derechos humanos y tratamiento de prisioneros,  al</w:t>
        <w:br/>
        <w:t xml:space="preserve">           personal de la polícia y de las fuerzas  armadas  peruanas,</w:t>
        <w:br/>
        <w:t xml:space="preserve">           mediante la incorporación formal, dentro de  los  programas</w:t>
        <w:br/>
        <w:t xml:space="preserve">           de estudio de las academias  militares,  policiales  y  del</w:t>
        <w:br/>
        <w:t xml:space="preserve">           personal penitenciario de  asignaturas  obligatorias  sobre</w:t>
        <w:br/>
        <w:t xml:space="preserve">           los temas anteriormente descritos;</w:t>
        <w:br/>
        <w:br/>
        <w:br/>
        <w:t xml:space="preserve">           vii.   desarrolle políticas y planes educativos  destinados</w:t>
        <w:br/>
        <w:t xml:space="preserve">           al  entrenamiento  del   personal   policial,   militar   y</w:t>
        <w:br/>
        <w:t xml:space="preserve">           penitenciario en  estrategias  de  negociación  y  solución</w:t>
        <w:br/>
        <w:t xml:space="preserve">           pacífica de conflictos;</w:t>
        <w:br/>
        <w:br/>
        <w:br/>
        <w:t xml:space="preserve">           viii.  adopte un Manual General de Prisiones acorde con los</w:t>
        <w:br/>
        <w:t xml:space="preserve">           estándares  internacionales  sobre  trato  humano   a   las</w:t>
        <w:br/>
        <w:t xml:space="preserve">           personas privadas de la libertad contenidos en el  Conjunto</w:t>
        <w:br/>
        <w:t xml:space="preserve">           de Principios para la  Protección  de  Todas  las  Personas</w:t>
        <w:br/>
        <w:t xml:space="preserve">           Sometidas a Cualquier Forma de Detención  o  Prisión  y  la</w:t>
        <w:br/>
        <w:t xml:space="preserve">           jurisprudencia  interamericana,  así  como   un   protocolo</w:t>
        <w:br/>
        <w:t xml:space="preserve">           general para el uso de la fuerza  en  prisiones,  bajo  los</w:t>
        <w:br/>
        <w:t xml:space="preserve">           parámetros de las reglas Penitenciarias Europeas; y</w:t>
        <w:br/>
        <w:br/>
        <w:br/>
        <w:t xml:space="preserve">           ix.    elabore   planes   de   emergencia   que   contengan</w:t>
        <w:br/>
        <w:t xml:space="preserve">           previsiones sobre  líneas  de  mando  y  responsabilidades;</w:t>
        <w:br/>
        <w:t xml:space="preserve">           asignación de  funcionarios  que  proporcionen  información</w:t>
        <w:br/>
        <w:t xml:space="preserve">           pública  durante  y  después  de  los  hechos;  modelos  de</w:t>
        <w:br/>
        <w:t xml:space="preserve">           evacuación,  entre  otras  previsiones,   asegurándose   de</w:t>
        <w:br/>
        <w:t xml:space="preserve">           distribuirlo dentro de los establecimientos  penitenciarios</w:t>
        <w:br/>
        <w:t xml:space="preserve">           y entre los demás miembros estatales, involucrados  en  las</w:t>
        <w:br/>
        <w:t xml:space="preserve">           fases de acción; e</w:t>
        <w:br/>
        <w:br/>
        <w:br/>
        <w:br/>
        <w:t xml:space="preserve">      i)    en cuanto a las costas y gastos, una  vez  escuchadas  las</w:t>
        <w:br/>
        <w:t xml:space="preserve">     representantes de las víctimas, ordene al Estado el pago de  las</w:t>
        <w:br/>
        <w:t xml:space="preserve">     costas y gastos debidamente probados  por  aquélla,  tomando  en</w:t>
        <w:br/>
        <w:t xml:space="preserve">     consideración las especiales características del presente  caso.</w:t>
        <w:br/>
        <w:br/>
        <w:br/>
        <w:br/>
        <w:br/>
        <w:br/>
        <w:t>Alegatos de la interviniente común</w:t>
        <w:br/>
        <w:br/>
        <w:t>411.  La interviniente común solicitó lo siguiente:</w:t>
        <w:br/>
        <w:br/>
        <w:br/>
        <w:br/>
        <w:t xml:space="preserve">      a)    junto con la presentación de su escrito de  solicitudes  y</w:t>
        <w:br/>
        <w:t xml:space="preserve">      argumentos, presentó una lista de  beneficiarios  identificados,</w:t>
        <w:br/>
        <w:t xml:space="preserve">      representados por ella;</w:t>
        <w:br/>
        <w:br/>
        <w:br/>
        <w:t xml:space="preserve">      b)    el reconocimiento público por  parte  del  Estado  de  los</w:t>
        <w:br/>
        <w:t xml:space="preserve">      hechos “tal  y  como  han  sido  demostrados  en  la  litigación</w:t>
        <w:br/>
        <w:t xml:space="preserve">      presente”. El Estado debe  realizar  una  disculpa  pública  por</w:t>
        <w:br/>
        <w:t xml:space="preserve">      televisión a  los  familiares  y  víctimas  por  el  daño  moral</w:t>
        <w:br/>
        <w:t xml:space="preserve">      ocasionado;</w:t>
        <w:br/>
        <w:br/>
        <w:br/>
        <w:t xml:space="preserve">      c)    que  cese  la  persecución  contra  la  sobreviviente  que</w:t>
        <w:br/>
        <w:t xml:space="preserve">      denunció y representó este caso en cuanto a su honra  y  nombre,</w:t>
        <w:br/>
        <w:t xml:space="preserve">      ya que  es  identificada  con  el  término  de  “terrorista”  en</w:t>
        <w:br/>
        <w:t xml:space="preserve">      distintas comunicaciones y declaraciones de agentes del  Estado.</w:t>
        <w:br/>
        <w:t xml:space="preserve">      Que cese también su persecución  en  cuanto  a  las  ordenes  de</w:t>
        <w:br/>
        <w:t xml:space="preserve">      detención y reapertura de una “cosa  juzgada  por  parte  de  la</w:t>
        <w:br/>
        <w:t xml:space="preserve">      Procuraduría del Estado […] sin base real  alguna”,  y  que  sea</w:t>
        <w:br/>
        <w:t xml:space="preserve">      desagraviada públicamente;</w:t>
        <w:br/>
        <w:br/>
        <w:br/>
        <w:t xml:space="preserve">      d)    que se publiquen las partes “pertinentes de  la  sentencia</w:t>
        <w:br/>
        <w:t xml:space="preserve">      de la Corte” en el diario estatal y en otros dos  periódicos  no</w:t>
        <w:br/>
        <w:t xml:space="preserve">      estatales, de alcance nacional;</w:t>
        <w:br/>
        <w:br/>
        <w:br/>
        <w:t xml:space="preserve">      e)    que el Estado solicite un pronunciamiento del  colegio  de</w:t>
        <w:br/>
        <w:t xml:space="preserve">      periodística o alguna institución de ética periodística a nombre</w:t>
        <w:br/>
        <w:t xml:space="preserve">      de  todos  los  medios   de   comunicación   que   distribuyeron</w:t>
        <w:br/>
        <w:t xml:space="preserve">      “información falsa”,  en  la  que  rectifiquen  las  “falsedades</w:t>
        <w:br/>
        <w:t xml:space="preserve">      publicadas  sobre  los  hechos  que   realmente   acontecieron”.</w:t>
        <w:br/>
        <w:t xml:space="preserve">      Solicite a estos medios de comunicación que se comprometan a  no</w:t>
        <w:br/>
        <w:t xml:space="preserve">      utilizar apelativos  criminales  sin  que  se  haya  probado  la</w:t>
        <w:br/>
        <w:t xml:space="preserve">      responsabilidad de la persona en una corte independiente;</w:t>
        <w:br/>
        <w:br/>
        <w:br/>
        <w:t xml:space="preserve">      f)     “que por cada día de prisión cumplida […] desde el  6  de</w:t>
        <w:br/>
        <w:t xml:space="preserve">      mayo de 1992 por el término del período cubierto por el presente</w:t>
        <w:br/>
        <w:t xml:space="preserve">      caso […] se considere el equivalente a dos días de prisión”.  Lo</w:t>
        <w:br/>
        <w:t xml:space="preserve">      anterior con la finalidad de que  los  prisioneros  Eva  Chalco,</w:t>
        <w:br/>
        <w:t xml:space="preserve">      Juan Castro Vizcarra,  Ramiro  Porras  y  Daniel  Grande  Ascue,</w:t>
        <w:br/>
        <w:t xml:space="preserve">      quienes  se  encuentran  en  libertad  condicional,  “dejen   de</w:t>
        <w:br/>
        <w:t xml:space="preserve">      firmar”, así como para que los 11 prisioneros,  que  representa,</w:t>
        <w:br/>
        <w:t xml:space="preserve">      que no han sido  encausados  y  que  continúan  en  prisión,  se</w:t>
        <w:br/>
        <w:t xml:space="preserve">      beneficien de esta equivalencia en el cumplimiento de sus penas;</w:t>
        <w:br/>
        <w:br/>
        <w:br/>
        <w:br/>
        <w:br/>
        <w:t xml:space="preserve">      g)     la creación de un parque en  la  zona  de  Canto  Grande,</w:t>
        <w:br/>
        <w:t xml:space="preserve">      donde las víctimas  y  familiares  de  personas  fallecidas  que</w:t>
        <w:br/>
        <w:t xml:space="preserve">      representa puedan plantar un árbol “como gesto simbólico de vida</w:t>
        <w:br/>
        <w:t xml:space="preserve">      a nombre de su ser querido fallecido”, así como que se erija  un</w:t>
        <w:br/>
        <w:t xml:space="preserve">      monumento en el parque para honrar a las Madres de las  víctimas</w:t>
        <w:br/>
        <w:t xml:space="preserve">      que representa. Lo anterior deberá ser construido conforme a los</w:t>
        <w:br/>
        <w:t xml:space="preserve">      deseos de las víctimas. No desean “museos ni monumentos de  otra</w:t>
        <w:br/>
        <w:t xml:space="preserve">      naturaleza adscritos a dicho parque”;</w:t>
        <w:br/>
        <w:br/>
        <w:br/>
        <w:t xml:space="preserve">      h)    que se reparen las  consecuencias  individuales  del  daño</w:t>
        <w:br/>
        <w:t xml:space="preserve">      ocasionado  de  conformidad  a  la  tabla  de  daños  presentada</w:t>
        <w:br/>
        <w:t xml:space="preserve">      conjuntamente con su escrito de alegatos finales;</w:t>
        <w:br/>
        <w:br/>
        <w:br/>
        <w:t xml:space="preserve">      i)    que el Estado reintegre lo antes posible y a más tardar en</w:t>
        <w:br/>
        <w:t xml:space="preserve">      un término de 6 meses desde la sentencia respectiva, los  gastos</w:t>
        <w:br/>
        <w:t xml:space="preserve">      incurridos en la “litigación internacional del presente caso”;</w:t>
        <w:br/>
        <w:br/>
        <w:br/>
        <w:t xml:space="preserve">      j)    que el Estado, como garantía de no  repetición,  “firme  y</w:t>
        <w:br/>
        <w:t xml:space="preserve">      ratifique el Protocolo Facultativo de la  Convención  contra  la</w:t>
        <w:br/>
        <w:t xml:space="preserve">      tortura  y  otros  tratos   o   Penas   Crueles,   inhumanos   o</w:t>
        <w:br/>
        <w:t xml:space="preserve">      Degradantes”;</w:t>
        <w:br/>
        <w:br/>
        <w:br/>
        <w:t xml:space="preserve">      k)    que la Corte  establezca  “que  las  violaciones  de  esta</w:t>
        <w:br/>
        <w:t xml:space="preserve">      demanda constituyeron crímenes de lesa humanidad”.  Solicita  el</w:t>
        <w:br/>
        <w:t xml:space="preserve">      encausamiento de los agentes del Estado,  que  de  alguna  forma</w:t>
        <w:br/>
        <w:t xml:space="preserve">      participaron  en  la  realización  de  los  hechos  materia  del</w:t>
        <w:br/>
        <w:t xml:space="preserve">      presente asunto e indicó sus nombres;</w:t>
        <w:br/>
        <w:br/>
        <w:t xml:space="preserve">      l)    que para establecer quantum en materia de  reparación,  al</w:t>
        <w:br/>
        <w:t xml:space="preserve">      momento de fijar los montos de reparaciones, tenga en cuenta:</w:t>
        <w:br/>
        <w:br/>
        <w:br/>
        <w:t xml:space="preserve">              i) el tiempo que ha  pasado  entre  la  violación  y  la</w:t>
        <w:br/>
        <w:t xml:space="preserve">                 decisión, esto por “justicia demorada”;</w:t>
        <w:br/>
        <w:br/>
        <w:t xml:space="preserve">             ii) la destrucción del proyecto de vida de las víctimas y</w:t>
        <w:br/>
        <w:t xml:space="preserve">                 sus familiares  que  no  pudieron  hacer  posible  su</w:t>
        <w:br/>
        <w:t xml:space="preserve">                 desarrollo personal;</w:t>
        <w:br/>
        <w:br/>
        <w:t xml:space="preserve">            iii) los niños que se perjudicaron por  la  incomunicación</w:t>
        <w:br/>
        <w:t xml:space="preserve">                 prolongada de sus padres y madres;</w:t>
        <w:br/>
        <w:br/>
        <w:t xml:space="preserve">             iv) tanto las lesiones causadas a los  internos  víctimas</w:t>
        <w:br/>
        <w:t xml:space="preserve">                 de la “masacre”, en el penal Castro Castro, como  las</w:t>
        <w:br/>
        <w:t xml:space="preserve">                 causadas en la tortura subsiguiente, y  se  considere</w:t>
        <w:br/>
        <w:t xml:space="preserve">                 tanto el daño físico como el psicológico;</w:t>
        <w:br/>
        <w:br/>
        <w:t xml:space="preserve">              v) a los internos que salieron  ilesos  de  los  hechos,</w:t>
        <w:br/>
        <w:t xml:space="preserve">                 entre el 6 y el 9 de mayo del 2002 en el penal Castro</w:t>
        <w:br/>
        <w:t xml:space="preserve">                 Castro, pero fueron victimas de torturas  después  de</w:t>
        <w:br/>
        <w:t xml:space="preserve">                 ser trasladados a diferentes centros  carcelarios,  y</w:t>
        <w:br/>
        <w:t xml:space="preserve">                 que a consecuencia de eso han  quedado  con  lesiones</w:t>
        <w:br/>
        <w:t xml:space="preserve">                 permanentes o enfermedades graves, (como la TBC);</w:t>
        <w:br/>
        <w:br/>
        <w:t xml:space="preserve">             vi) a  las  mujeres  que  se  encontraban  en  estado  de</w:t>
        <w:br/>
        <w:t xml:space="preserve">                 embarazo, y que fueron víctimas del ataque  al  penal</w:t>
        <w:br/>
        <w:t xml:space="preserve">                 Castro Castro;</w:t>
        <w:br/>
        <w:br/>
        <w:t xml:space="preserve">            vii) las secuelas de los  daños  causados,  su  impacto  a</w:t>
        <w:br/>
        <w:t xml:space="preserve">                 largo plazo y si es el  caso  la  disminución  de  la</w:t>
        <w:br/>
        <w:t xml:space="preserve">                 capacidad de “funcionamiento de la víctima”;</w:t>
        <w:br/>
        <w:br/>
        <w:t xml:space="preserve">           viii) los sufrimientos  y  aflicciones  de  carácter  moral</w:t>
        <w:br/>
        <w:t xml:space="preserve">                 tales como la  pérdida  de  vínculos  familiares  con</w:t>
        <w:br/>
        <w:t xml:space="preserve">                 hijos,  padres  y   esposos,   como   resultado   del</w:t>
        <w:br/>
        <w:t xml:space="preserve">                 aislamiento;</w:t>
        <w:br/>
        <w:br/>
        <w:t xml:space="preserve">             ix) las consecuencias de carácter pecuniario  que  tengan</w:t>
        <w:br/>
        <w:t xml:space="preserve">                 un nexo causal con los hechos, y los gastos en que se</w:t>
        <w:br/>
        <w:t xml:space="preserve">                 pueda incurrir en el futuro,  como  rehabilitaciones,</w:t>
        <w:br/>
        <w:t xml:space="preserve">                 medicinas, prótesis, etc.;</w:t>
        <w:br/>
        <w:br/>
        <w:t xml:space="preserve">              x)  las  pérdidas   patrimoniales   de   los   artículos</w:t>
        <w:br/>
        <w:t xml:space="preserve">                 personales destruidos  por  los  agentes  del  estado</w:t>
        <w:br/>
        <w:t xml:space="preserve">                 durante la operación “Mudanza I”;</w:t>
        <w:br/>
        <w:br/>
        <w:t xml:space="preserve">             xi) el daño moral a causa  de  la  “tortura  psicológica”</w:t>
        <w:br/>
        <w:t xml:space="preserve">                 padecida por los familiares de las  víctimas,  y  por</w:t>
        <w:br/>
        <w:t xml:space="preserve">                 daños a la salud de  que  fueron  objeto,  como  daño</w:t>
        <w:br/>
        <w:t xml:space="preserve">                 moral.  También  como  daños  materiales,  todos  los</w:t>
        <w:br/>
        <w:t xml:space="preserve">                 gastos que los familiares hicieron durante los 4 días</w:t>
        <w:br/>
        <w:t xml:space="preserve">                 de ataque al  centro  carcelario  y  los  posteriores</w:t>
        <w:br/>
        <w:t xml:space="preserve">                 durante la búsqueda de sus familiares;</w:t>
        <w:br/>
        <w:br/>
        <w:t xml:space="preserve">            xii)  las  responsabilidades  que  tenían   las   víctimas</w:t>
        <w:br/>
        <w:t xml:space="preserve">                 fatales, en relación con sus  familias,  sus  edades,</w:t>
        <w:br/>
        <w:t xml:space="preserve">                 ocupaciones al tiempo de su muerte, y en los casos de</w:t>
        <w:br/>
        <w:t xml:space="preserve">                 personas que se encontraban estudiando, se calcule lo</w:t>
        <w:br/>
        <w:t xml:space="preserve">                 que dejaron de percibir en caso  de  haber  terminado</w:t>
        <w:br/>
        <w:t xml:space="preserve">                 con sus estudios;</w:t>
        <w:br/>
        <w:br/>
        <w:t xml:space="preserve">           xiii) que las personas que murieron y  que  se  encontraban</w:t>
        <w:br/>
        <w:t xml:space="preserve">                 recluidas en el  penal  Castro  Castro  bajo  prisión</w:t>
        <w:br/>
        <w:t xml:space="preserve">                 preventiva,  deben  ser  tratadas  como  si  hubieran</w:t>
        <w:br/>
        <w:t xml:space="preserve">                 alcanzado su libertad por el principio  de  inocencia</w:t>
        <w:br/>
        <w:t xml:space="preserve">                 para propósito de calcular el daño material;</w:t>
        <w:br/>
        <w:br/>
        <w:t xml:space="preserve">            xiv) para efectos del daño moral, la manera  honrosa  como</w:t>
        <w:br/>
        <w:t xml:space="preserve">                 murió  cada  una  de  las  victimas   así   como   su</w:t>
        <w:br/>
        <w:t xml:space="preserve">                 sufrimiento previo; y</w:t>
        <w:br/>
        <w:br/>
        <w:t xml:space="preserve">             xv) el principio de “valor intrínseco de la vida” que fue</w:t>
        <w:br/>
        <w:t xml:space="preserve">                 utilizado por  la  Corte  en  el  caso  de  Villagrán</w:t>
        <w:br/>
        <w:t xml:space="preserve">                 Morales y en el caso Bámaca, en tanto a que  la  vida</w:t>
        <w:br/>
        <w:t xml:space="preserve">                 no puede ser tratada solamente con la noción de “homo</w:t>
        <w:br/>
        <w:t xml:space="preserve">                 económicus” sino la vida per se que es un  valor  que</w:t>
        <w:br/>
        <w:t xml:space="preserve">                 merece protección, ya sea  la  vida  de  una  persona</w:t>
        <w:br/>
        <w:t xml:space="preserve">                 discapacitada  o  de  una  persona  que  no   produce</w:t>
        <w:br/>
        <w:t xml:space="preserve">                 económicamente.</w:t>
        <w:br/>
        <w:br/>
        <w:br/>
        <w:br/>
        <w:t xml:space="preserve">      m)    que ordene entregar los restos mortales a los familiares de</w:t>
        <w:br/>
        <w:t xml:space="preserve">      los fallecidos, Mario Aguilar Vega y Santos Genaro Zavaleta, como</w:t>
        <w:br/>
        <w:t xml:space="preserve">      medida de reparación;</w:t>
        <w:br/>
        <w:br/>
        <w:br/>
        <w:t xml:space="preserve">      n)    que ordene cubrir los gastos de traslado de los  restos  de</w:t>
        <w:br/>
        <w:t xml:space="preserve">      Luis Llamas Mendoza, al cementerio que se encuentra más cerca  de</w:t>
        <w:br/>
        <w:t xml:space="preserve">      la casa de sus familiares;</w:t>
        <w:br/>
        <w:br/>
        <w:t xml:space="preserve">      o)    que ordene reincorporar al señor Luis Torres Maldonado a su</w:t>
        <w:br/>
        <w:t xml:space="preserve">      trabajo ya que fue separado de este, debido a la pena  de prisión</w:t>
        <w:br/>
        <w:t xml:space="preserve">      “ilegalmente” impuesta en su contra;</w:t>
        <w:br/>
        <w:br/>
        <w:t xml:space="preserve">      p)    que ordene indemnizar al señor Víctor Trejo  Pérez  víctima</w:t>
        <w:br/>
        <w:t xml:space="preserve">      del ataque al  penal  Castro  Castro,  quien  resultara  absuelto</w:t>
        <w:br/>
        <w:t xml:space="preserve">      mediante sentencia de 6 de noviembre de 1994 y a quien se  retuvo</w:t>
        <w:br/>
        <w:t xml:space="preserve">      “ilegalmente” en prisión hasta octubre de 2002, por sus  años  de</w:t>
        <w:br/>
        <w:t xml:space="preserve">      servicio en su antiguo trabajo;</w:t>
        <w:br/>
        <w:br/>
        <w:t xml:space="preserve">      q)    considerar en equidad una compensación  por  daño  moral  a</w:t>
        <w:br/>
        <w:t xml:space="preserve">      Patricia Zorrilla,  por  haber  sido  acusada  de  “amotinarse  y</w:t>
        <w:br/>
        <w:t xml:space="preserve">      asesinar a los compañeros que se estaban rindiendo” por  lo  cual</w:t>
        <w:br/>
        <w:t xml:space="preserve">      estuvo retenida “ilegalmente” aproximadamente 3 meses;</w:t>
        <w:br/>
        <w:br/>
        <w:t xml:space="preserve">      r)    considerar en  el  lucro  cesante  de  la  representante  y</w:t>
        <w:br/>
        <w:t xml:space="preserve">      víctima, Mónica Feria Tinta  todo  el  tiempo  que  dedicó  a  la</w:t>
        <w:br/>
        <w:t xml:space="preserve">      representación del presente  caso.  Desde  el  año  1997,  cuando</w:t>
        <w:br/>
        <w:t xml:space="preserve">      interpuso la denuncia, al 2000,  cuando  logró  la  admisión  del</w:t>
        <w:br/>
        <w:t xml:space="preserve">      caso, trabajó a tiempo  partido,  pero  posteriormente  tuvo  que</w:t>
        <w:br/>
        <w:t xml:space="preserve">      dedicarse a la representación del caso tiempo completo.  Solicita</w:t>
        <w:br/>
        <w:t xml:space="preserve">      que se tome  en  cuenta  sus  estudios  profesionales,  así  como</w:t>
        <w:br/>
        <w:t xml:space="preserve">      también el sufrimiento físico y moral por apuros económicos  y se</w:t>
        <w:br/>
        <w:t xml:space="preserve">      tome en cuenta algunos parámetros  de  salarios  internacionales.</w:t>
        <w:br/>
        <w:t xml:space="preserve">      Solicitó que se le reintegre por este concepto,  la  cantidad  de</w:t>
        <w:br/>
        <w:t xml:space="preserve">      U$S 655.000,00 dólares americanos; y</w:t>
        <w:br/>
        <w:br/>
        <w:t xml:space="preserve">      s)    en cuanto a las costas y gastos expresó que:</w:t>
        <w:br/>
        <w:br/>
        <w:br/>
        <w:t xml:space="preserve">              i)  solicitó  el  reintegro  de  los  gastos  afrontados</w:t>
        <w:br/>
        <w:t xml:space="preserve">                 durante los 10 años de  la  litigación  del  presente</w:t>
        <w:br/>
        <w:t xml:space="preserve">                 caso ante el Sistema Interamericano; y</w:t>
        <w:br/>
        <w:br/>
        <w:br/>
        <w:t xml:space="preserve">             ii)  solicitó  “el  reintegro  de  $448,761,412   dólares</w:t>
        <w:br/>
        <w:t xml:space="preserve">                 americanos erogados” hasta el presente; que  a  dicho</w:t>
        <w:br/>
        <w:t xml:space="preserve">                 valor  le  sean  sumados  $2,000  dólares   por   los</w:t>
        <w:br/>
        <w:t xml:space="preserve">                 intereses  mensuales  debido  a  los  préstamos   que</w:t>
        <w:br/>
        <w:t xml:space="preserve">                 solicitó;  y  que  se  le  asignen  $50.000   dólares</w:t>
        <w:br/>
        <w:t xml:space="preserve">                 americanos como parte de los gastos en que  incurrirá</w:t>
        <w:br/>
        <w:t xml:space="preserve">                 en el futuro por el seguimiento de la Sentencia.</w:t>
        <w:br/>
        <w:br/>
        <w:br/>
        <w:br/>
        <w:t xml:space="preserve"> Alegatos del Estado</w:t>
        <w:br/>
        <w:br/>
        <w:br/>
        <w:t>412.             El Estado indicó que:</w:t>
        <w:br/>
        <w:br/>
        <w:t xml:space="preserve">      a)    ha pagado hasta el momento  US$  6.941.673.35,  dispuestos</w:t>
        <w:br/>
        <w:t xml:space="preserve">     por la Corte Interamericana, y US$ 336,923.87  por  acuerdos  de</w:t>
        <w:br/>
        <w:t xml:space="preserve">     solución amistosa ante la  Comisión  Interamericana,  ambos  por</w:t>
        <w:br/>
        <w:t xml:space="preserve">     concepto de reparaciones a víctimas de violaciones  de  derechos</w:t>
        <w:br/>
        <w:t xml:space="preserve">     humanos producidas durante  el  conflicto  armado  interno.   El</w:t>
        <w:br/>
        <w:t xml:space="preserve">     presente caso sería una obligación estatal de difícil manejo, en</w:t>
        <w:br/>
        <w:t xml:space="preserve">     la que se demanda al Estado  por  42  internos  fallecidos,  175</w:t>
        <w:br/>
        <w:t xml:space="preserve">     heridos y 322  personas  que  habrían  sufrido  tratos  crueles,</w:t>
        <w:br/>
        <w:t xml:space="preserve">     inhumanos o degradantes. Si se aplicaran los  estándares  de  la</w:t>
        <w:br/>
        <w:t xml:space="preserve">     Corte, se determinaría una indemnización de aproximadamente  US$</w:t>
        <w:br/>
        <w:t xml:space="preserve">     17.052.000 entre  fallecidos  y  heridos,  sin  contar  los  que</w:t>
        <w:br/>
        <w:t xml:space="preserve">     habrían sufrido tratos crueles que serían 322 personas;</w:t>
        <w:br/>
        <w:br/>
        <w:br/>
        <w:t xml:space="preserve">      b)    resulta evidente  la  urgencia  de  aprobar  una  ley  que</w:t>
        <w:br/>
        <w:t xml:space="preserve">     determine reparaciones individuales en estándares que el  Estado</w:t>
        <w:br/>
        <w:t xml:space="preserve">     pueda atender con criterios de  igualdad  y  universalidad,  sin</w:t>
        <w:br/>
        <w:t xml:space="preserve">     discriminación;</w:t>
        <w:br/>
        <w:br/>
        <w:br/>
        <w:br/>
        <w:t xml:space="preserve">      c)    el derecho a la verdad “se plasma con la  dilucidación  de</w:t>
        <w:br/>
        <w:t xml:space="preserve">     los hechos que se obtienen luego del proceso  judicial,  al  que</w:t>
        <w:br/>
        <w:t xml:space="preserve">     solicita que la Corte se remita, dado lo avanzado del proceso”;</w:t>
        <w:br/>
        <w:br/>
        <w:t xml:space="preserve">      d)    acepta la reparación que se refiere a la publicación de la</w:t>
        <w:br/>
        <w:t xml:space="preserve">     Sentencia, por ser una práctica usual en el Perú;</w:t>
        <w:br/>
        <w:br/>
        <w:t xml:space="preserve">      e)    no está de acuerdo con la medida que se  refiere  a  poner</w:t>
        <w:br/>
        <w:t xml:space="preserve">     una placa conmemorativa en el lugar de los hechos, debido a  que</w:t>
        <w:br/>
        <w:t xml:space="preserve">     ya se ha erigido en un lugar público de la capital un  monumento</w:t>
        <w:br/>
        <w:t xml:space="preserve">     en favor de todas las víctimas del conflicto.  Además  el  penal</w:t>
        <w:br/>
        <w:t xml:space="preserve">     Miguel Castro Castro, en actual funcionamiento, “cuenta  todavía</w:t>
        <w:br/>
        <w:t xml:space="preserve">     con internos por  delitos  de  terrorismo  vinculados  al  grupo</w:t>
        <w:br/>
        <w:t xml:space="preserve">     político que inició el conflicto y  un  gesto  como  el  que  se</w:t>
        <w:br/>
        <w:t xml:space="preserve">     pretende sustentaría su posición política y pondría en riesgo el</w:t>
        <w:br/>
        <w:t xml:space="preserve">     orden del penal”;</w:t>
        <w:br/>
        <w:br/>
        <w:br/>
        <w:t xml:space="preserve">      f)    el Estado creó el Plan Integral de Reparaciones,  mediante</w:t>
        <w:br/>
        <w:t xml:space="preserve">     Ley Nº 28592, reglamentado por Decreto Supremo Nº  015-2006-JUS.</w:t>
        <w:br/>
        <w:t xml:space="preserve">     En consecuencia “queda probada la […] intención  del  Estado  de</w:t>
        <w:br/>
        <w:t xml:space="preserve">     implementar políticas reparatorias que contribuyan a  beneficiar</w:t>
        <w:br/>
        <w:t xml:space="preserve">     a todas las víctimas del conflicto que sacudió al país entre los</w:t>
        <w:br/>
        <w:t xml:space="preserve">     años 1980 y 2000”, por  lo  que  las  víctimas  cuentan  con  su</w:t>
        <w:br/>
        <w:t xml:space="preserve">     derecho  a  impulsar  las  reparaciones  que  les  corresponden.</w:t>
        <w:br/>
        <w:t xml:space="preserve">     Asímismo el Estado solicita que la Corte reconozca su  intención</w:t>
        <w:br/>
        <w:t xml:space="preserve">     de implementar estas políticas y  ordena  que  las  reparaciones</w:t>
        <w:br/>
        <w:t xml:space="preserve">     sean fijadas a través de las mismas; y</w:t>
        <w:br/>
        <w:br/>
        <w:t xml:space="preserve">      g)    en  cuanto  a  las  reparaciones  simbólicas,  “el  Estado</w:t>
        <w:br/>
        <w:t xml:space="preserve">     peruano  no  puede  sino  reafirmar  su   firme   intención   de</w:t>
        <w:br/>
        <w:t xml:space="preserve">     implementarlas”, sin que se politicen las mismas.</w:t>
        <w:br/>
        <w:br/>
        <w:br/>
        <w:t>Consideraciones de la Corte</w:t>
        <w:br/>
        <w:br/>
        <w:t>413.  De conformidad  con  el  análisis  realizado  en  los  capítulos</w:t>
        <w:br/>
        <w:t>precedentes, la Corte ha declarado,  con  base  en  el  reconocimiento</w:t>
        <w:br/>
        <w:t>parcial de responsabilidad del Estado, y en los hechos del caso  y  la</w:t>
        <w:br/>
        <w:t>prueba presentada ante este Tribunal, que el Estado es responsable por</w:t>
        <w:br/>
        <w:t>la violación de los derechos  consagrados  en  el  artículo  4  de  la</w:t>
        <w:br/>
        <w:t>Convención Americana, en relación con el artículo 1.1.  de  la  misma;</w:t>
        <w:br/>
        <w:t>del artículo 5 de la Convención Americana, en relación con el artículo</w:t>
        <w:br/>
        <w:t>1.1 de la misma, en conexión  con  los  artículos  1,  6  y  8  de  la</w:t>
        <w:br/>
        <w:t>Convención Interamericana para Prevenir y Sancionar la Tortura;  y  de</w:t>
        <w:br/>
        <w:t>los artículos 8.1 y 25 de la Convención Americana, en relación con  el</w:t>
        <w:br/>
        <w:t>artículo 1.1 de la misma, en conexión con  los  artículos  7.b  de  la</w:t>
        <w:br/>
        <w:t>Convención Interamericana para  Prevenir,  Sancionar  y  Erradicar  la</w:t>
        <w:br/>
        <w:t>Violencia contra la Mujer, y 1, 6 y 8 de la Convención  Interamericana</w:t>
        <w:br/>
        <w:t>para Prevenir y Sancionar la Tortura.  La  Corte  ha  establecido,  en</w:t>
        <w:br/>
        <w:t>varias ocasiones, que toda violación de una  obligación  internacional</w:t>
        <w:br/>
        <w:t>que  haya  producido  un  daño  comporta   el   deber   de   repararlo</w:t>
        <w:br/>
        <w:t>adecuadamente[212]. A tales efectos, el artículo 63.1 de la Convención</w:t>
        <w:br/>
        <w:t>Americana establece que:</w:t>
        <w:br/>
        <w:br/>
        <w:t xml:space="preserve">      [c]uando decida que hubo violación de un derecho o libertad protegidos</w:t>
        <w:br/>
        <w:t xml:space="preserve">      en [la]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lesionada.</w:t>
        <w:br/>
        <w:br/>
        <w:t>414.  Tal como lo ha  señalado  la  Corte,  el  artículo  63.1  de  la</w:t>
        <w:br/>
        <w:t>Convención Americana refleja una norma consuetudinaria que  constituye</w:t>
        <w:br/>
        <w:t>uno  de  los  principios  fundamentales  del   Derecho   Internacional</w:t>
        <w:br/>
        <w:t>contemporáneo sobre  la  responsabilidad  de  los  Estados.   De  esta</w:t>
        <w:br/>
        <w:t>manera, al producirse un hecho ilícito imputable a un Estado, surge de</w:t>
        <w:br/>
        <w:t>inmediato la responsabilidad internacional de éste por la violación de</w:t>
        <w:br/>
        <w:t>la norma internacional de que se trata, con el  consecuente  deber  de</w:t>
        <w:br/>
        <w:t>reparación y de hacer cesar las consecuencias  de  la  violación[213].</w:t>
        <w:br/>
        <w:t>Dicha responsabilidad internacional es distinta a  la  responsabilidad</w:t>
        <w:br/>
        <w:t>en el derecho interno[214].</w:t>
        <w:br/>
        <w:br/>
        <w:t>415.  La reparación del daño  ocasionado  por  la  infracción  de  una</w:t>
        <w:br/>
        <w:t>obligación internacional requiere, siempre que sea posible,  la  plena</w:t>
        <w:br/>
        <w:t>restitución  (restitutio  in  integrum),  la  cual  consiste   en   el</w:t>
        <w:br/>
        <w:t>restablecimiento de la situación anterior a la violación.  De  no  ser</w:t>
        <w:br/>
        <w:t>esto posible, cabe al tribunal internacional determinar una  serie  de</w:t>
        <w:br/>
        <w:t>medidas para que, además de garantizar  el  respeto  de  los  derechos</w:t>
        <w:br/>
        <w:t>conculcados,  se  reparen  las  consecuencias   que   produjeron   las</w:t>
        <w:br/>
        <w:t>infracciones y  se  establezca  el  pago  de  una  indemnización  como</w:t>
        <w:br/>
        <w:t>compensación  por  los  daños  ocasionados[215]  u  otros   modos   de</w:t>
        <w:br/>
        <w:t>satisfacción.  La obligación de reparar, que se regula  en  todos  los</w:t>
        <w:br/>
        <w:t>aspectos (alcance, naturaleza,  modalidades  y  determinación  de  los</w:t>
        <w:br/>
        <w:t>beneficiarios) por el Derecho Internacional, no puede ser modificada o</w:t>
        <w:br/>
        <w:t>incumplida por el  Estado  obligado,  invocando  disposiciones  de  su</w:t>
        <w:br/>
        <w:t>derecho interno[216].</w:t>
        <w:br/>
        <w:br/>
        <w:t>416.  Las reparaciones, como el término lo indica,  consisten  en  las</w:t>
        <w:br/>
        <w:t>medidas que tienden a hacer desaparecer los efectos de las violaciones</w:t>
        <w:br/>
        <w:t>cometidas.  Su naturaleza y su monto dependen del daño  ocasionado  en</w:t>
        <w:br/>
        <w:t>los planos tanto material como inmaterial.  Las reparaciones no pueden</w:t>
        <w:br/>
        <w:t>implicar ni enriquecimiento ni empobrecimiento para la víctima  o  sus</w:t>
        <w:br/>
        <w:t>sucesores[217].</w:t>
        <w:br/>
        <w:br/>
        <w:t>417.  De conformidad con los elementos probatorios  recogidos  durante</w:t>
        <w:br/>
        <w:t>el proceso y a la luz de los anteriores criterios, la Corte procede  a</w:t>
        <w:br/>
        <w:t>analizar las  pretensiones  presentadas  por  la  Comisión  y  por  la</w:t>
        <w:br/>
        <w:t>interviniente común de los representantes de las presuntas víctimas  y</w:t>
        <w:br/>
        <w:t>sus familiares, y las  consideraciones  del  Estado  respecto  de  las</w:t>
        <w:br/>
        <w:t>reparaciones, con el objeto de determinar, en  primer  lugar,  quiénes</w:t>
        <w:br/>
        <w:t>son los beneficiarios de las reparaciones,  para  luego  disponer  las</w:t>
        <w:br/>
        <w:t>medidas de reparación de los daños materiales e inmateriales,  medidas</w:t>
        <w:br/>
        <w:t>de satisfacción y de no repetición y, por último, lo relativo a costas</w:t>
        <w:br/>
        <w:t>y gastos.</w:t>
        <w:br/>
        <w:br/>
        <w:t xml:space="preserve">                             A)    Beneficiarios</w:t>
        <w:br/>
        <w:br/>
        <w:t>418.  La Corte  ha  determinado  que  los  hechos  del  presente  caso</w:t>
        <w:br/>
        <w:t>constituyeron una violación del artículo 4 de la Convención Americana,</w:t>
        <w:br/>
        <w:t>en relación con el artículo 1.1. de la misma, en perjuicio de  los  41</w:t>
        <w:br/>
        <w:t>internos fallecidos identificados en el Anexo 1 de  víctimas  de  esta</w:t>
        <w:br/>
        <w:t>Sentencia; del artículo 5 de la Convención Americana, en relación  con</w:t>
        <w:br/>
        <w:t>el artículo 1.1 de la misma, y en conexión con los artículos 1, 6 y  8</w:t>
        <w:br/>
        <w:t>de la Convención Interamericana para Prevenir y Sancionar la  Tortura,</w:t>
        <w:br/>
        <w:t>en perjuicio de los 41 internos  fallecidos  identificados  y  de  los</w:t>
        <w:br/>
        <w:t>internos que sobrevivieron; del artículo 5 de la Convención Americana,</w:t>
        <w:br/>
        <w:t>en relación con el artículo 1.1 de  la  misma,  en  perjuicio  de  los</w:t>
        <w:br/>
        <w:t>familiares de los internos determinados en los párrafos 336, 337,  340</w:t>
        <w:br/>
        <w:t>y 341  del  capítulo  sobre  violación  a  la  integridad  personal  e</w:t>
        <w:br/>
        <w:t>identificados en el Anexo 2 de víctimas de esta Sentencia;  y  de  los</w:t>
        <w:br/>
        <w:t>artículos 8.1 y 25 de la Convención  Americana,  en  relación  con  el</w:t>
        <w:br/>
        <w:t>artículo 1.1 de la misma,  en  conexión  con  los  artículos  7.b)  de</w:t>
        <w:br/>
        <w:t>Convención Interamericana para  Prevenir,  Sancionar  y  Erradicar  la</w:t>
        <w:br/>
        <w:t>Violencia contra la Mujer, y 1, 6 y 8 de la Convención  Interamericana</w:t>
        <w:br/>
        <w:t>para Prevenir y Sancionar la Tortura, en perjuicio de  los  familiares</w:t>
        <w:br/>
        <w:t>inmediatos  de  los  41   internos   fallecidos,   de   los   internos</w:t>
        <w:br/>
        <w:t>sobrevivientes y de los familiares de los internos determinados en los</w:t>
        <w:br/>
        <w:t>párrafos 336, 337, 340  y  341  del  capítulo  sobre  violación  a  la</w:t>
        <w:br/>
        <w:t>integridad personal e identificados en el Anexo 2 de víctimas de  esta</w:t>
        <w:br/>
        <w:t>Sentencia. Dichas personas son acreedoras a las reparaciones que  fije</w:t>
        <w:br/>
        <w:t>el Tribunal, en calidad de víctimas de las mencionadas violaciones.</w:t>
        <w:br/>
        <w:br/>
        <w:t>419.   Asimismo,  los  familiares  inmediatos  de  las   41   víctimas</w:t>
        <w:br/>
        <w:t>fallecidas identificadas también serán acreedores de las  reparaciones</w:t>
        <w:br/>
        <w:t>que fije la Corte,  en  su  carácter  de  derechohabientes  de  dichas</w:t>
        <w:br/>
        <w:t>víctimas.</w:t>
        <w:br/>
        <w:br/>
        <w:t>420.  De acuerdo a la prueba allegada,  la  Corte  ha  identificado  a</w:t>
        <w:br/>
        <w:t>algunos de los referidos familiares, cuyos nombres se encuentran en el</w:t>
        <w:br/>
        <w:t>Anexo 3 de víctimas de la presente Sentencia que  para  estos  efectos</w:t>
        <w:br/>
        <w:t>forma parte de la misma.  En ese anexo se  han  incluido  solamente  a</w:t>
        <w:br/>
        <w:t>aquellas personas respecto de quienes se cuenta con prueba que permita</w:t>
        <w:br/>
        <w:t>determinar que estaban vivos a la época de los hechos. En relación con</w:t>
        <w:br/>
        <w:t>los demás familiares de las 41 víctimas fallecidas  identificadas  que</w:t>
        <w:br/>
        <w:t>no han sido individualizados en este proceso, la Corte dispone que  la</w:t>
        <w:br/>
        <w:t>compensación que les corresponde, se les entregue directamente, de  la</w:t>
        <w:br/>
        <w:t>misma manera que se prevé respecto de quienes están  individualizados,</w:t>
        <w:br/>
        <w:t>luego de que se presenten ante las autoridades competentes del Estado,</w:t>
        <w:br/>
        <w:t>dentro de los 8 meses siguientes a la notificación de esta  Sentencia,</w:t>
        <w:br/>
        <w:t>y demuestren, a través de un medio suficiente de  identificación[218],</w:t>
        <w:br/>
        <w:t>su relación o parentesco con la víctima y que estaban vivos a la época</w:t>
        <w:br/>
        <w:t>de los hechos.</w:t>
        <w:br/>
        <w:br/>
        <w:t>421.  La distribución de las indemnizaciones entre los  familiares  de</w:t>
        <w:br/>
        <w:t>las víctimas fallecidas, por concepto del daño material  e  inmaterial</w:t>
        <w:br/>
        <w:t>correspondiente a éstas, se hará de la siguiente manera[219]:</w:t>
        <w:br/>
        <w:br/>
        <w:t xml:space="preserve">      a)    el cincuenta  por  ciento  (50%)  de  la  indemnización  se</w:t>
        <w:br/>
        <w:t xml:space="preserve">      repartirá por partes iguales entre  los  hijos  e  hijas  de  las</w:t>
        <w:br/>
        <w:t xml:space="preserve">      víctimas;</w:t>
        <w:br/>
        <w:br/>
        <w:br/>
        <w:t xml:space="preserve">      b)    el cincuenta por ciento (50%) de  la  indemnización  deberá</w:t>
        <w:br/>
        <w:t xml:space="preserve">      ser entregado a quien fuera  cónyuge,  o  compañera  o  compañero</w:t>
        <w:br/>
        <w:t xml:space="preserve">      permanente de la víctima, al momento de la muerte de ésta;</w:t>
        <w:br/>
        <w:br/>
        <w:br/>
        <w:t xml:space="preserve">      c)    en el caso de que la víctima no tuviere hijos o  hijas,  ni</w:t>
        <w:br/>
        <w:t xml:space="preserve">      cónyuge o compañera o  compañero  permanente,  el  cincuenta  por</w:t>
        <w:br/>
        <w:t xml:space="preserve">      ciento (50%) de la indemnización se entregará  a  sus  padres  en</w:t>
        <w:br/>
        <w:t xml:space="preserve">      partes iguales. Si uno de ellos hubiere muerto, la parte  que  le</w:t>
        <w:br/>
        <w:t xml:space="preserve">      corresponde acrecerá a la del otro.  El  restante  cincuenta  por</w:t>
        <w:br/>
        <w:t xml:space="preserve">      ciento (50%) se repartirá en partes iguales entre los hermanos de</w:t>
        <w:br/>
        <w:t xml:space="preserve">      dicha víctima; y</w:t>
        <w:br/>
        <w:br/>
        <w:br/>
        <w:t xml:space="preserve">      d)    en el evento que  no  existieren  familiares  en  alguna  o</w:t>
        <w:br/>
        <w:t xml:space="preserve">      algunas de las categorías definidas en los literales  anteriores,</w:t>
        <w:br/>
        <w:t xml:space="preserve">      lo que le hubiere correspondido a los familiares ubicados en  esa</w:t>
        <w:br/>
        <w:t xml:space="preserve">      o esas categorías, acrecerá proporcionalmente a la parte que  les</w:t>
        <w:br/>
        <w:t xml:space="preserve">      corresponda a las restantes.</w:t>
        <w:br/>
        <w:br/>
        <w:br/>
        <w:br/>
        <w:br/>
        <w:t>422.  En el caso de los familiares de las víctimas, acreedores de  las</w:t>
        <w:br/>
        <w:t>indemnizaciones que  se  establecen  en  la  presente  Sentencia,  que</w:t>
        <w:br/>
        <w:t>hubieren fallecido o que fallezcan antes de que les sea  entregada  la</w:t>
        <w:br/>
        <w:t>indemnización  respectiva,  se  aplicarán  los  mismos  criterios   de</w:t>
        <w:br/>
        <w:t>distribución de la indemnización indicados en el párrafo anterior.</w:t>
        <w:br/>
        <w:br/>
        <w:br/>
        <w:br/>
        <w:t xml:space="preserve">                             B)    Daño Material</w:t>
        <w:br/>
        <w:br/>
        <w:t>423.  El daño material supone la pérdida o detrimento de los  ingresos</w:t>
        <w:br/>
        <w:t>de las víctimas, los gastos efectuados con motivo de los hechos y  las</w:t>
        <w:br/>
        <w:t>consecuencias de carácter pecuniario causadas por los hechos del  caso</w:t>
        <w:br/>
        <w:t>sub judice. El Tribunal fijará las indemnizaciones correspondientes  a</w:t>
        <w:br/>
        <w:t>este  concepto,  por  las  violaciones  declaradas  en   la   presente</w:t>
        <w:br/>
        <w:t>Sentencia[220],  tomando  en  cuenta  el  reconocimiento  parcial   de</w:t>
        <w:br/>
        <w:t>responsabilidad del Estado, las circunstancias  del  caso,  la  prueba</w:t>
        <w:br/>
        <w:t>ofrecida, los alegatos de las partes y los criterios  establecidos  en</w:t>
        <w:br/>
        <w:t>la jurisprudencia del propio Tribunal[221].</w:t>
        <w:br/>
        <w:br/>
        <w:t>Internos fallecidos</w:t>
        <w:br/>
        <w:br/>
        <w:t>424.  La Corte considera pertinente fijar, en equidad, la cantidad  de</w:t>
        <w:br/>
        <w:t>US$ 10.000,00 (diez mil dólares de los Estados Unidos  de  América)  a</w:t>
        <w:br/>
        <w:t>favor de cada uno de los  41  internos  fallecidos  identificados  por</w:t>
        <w:br/>
        <w:t>concepto de indemnización del  daño  material  por  los  ingresos  que</w:t>
        <w:br/>
        <w:t>pudieren haber percibido por el trabajo que podrían haber realizado en</w:t>
        <w:br/>
        <w:t>el futuro.  Dichas  cantidades  deberán  ser  distribuidas  entre  sus</w:t>
        <w:br/>
        <w:t>familiares, de conformidad con el párrafo 421 del presente  fallo.  El</w:t>
        <w:br/>
        <w:t>Estado deberá realizar tales pagos  dentro  del  plazo  de  18  meses,</w:t>
        <w:br/>
        <w:t>contado a partir de la notificación de la presente Sentencia.</w:t>
        <w:br/>
        <w:br/>
        <w:t>Internos sobrevivientes</w:t>
        <w:br/>
        <w:br/>
        <w:t>425.  Se ha  constatado  que  como  consecuencia  de  los  hechos  del</w:t>
        <w:br/>
        <w:t>presente caso hay víctimas que sufren  daños  físicos  y  psicológicos</w:t>
        <w:br/>
        <w:t>permanentes que en muchos casos implican disminución permanente de  la</w:t>
        <w:br/>
        <w:t>capacidad para trabajar o incapacidad total permanente. Por  ello,  la</w:t>
        <w:br/>
        <w:t>Corte fija en equidad la cantidad de US$  25.000,00  (veinticinco  mil</w:t>
        <w:br/>
        <w:t>dólares de los Estados  Unidos de América o su equivalente  en  moneda</w:t>
        <w:br/>
        <w:t>peruana), en beneficio de las víctimas que a raíz de  los  hechos  del</w:t>
        <w:br/>
        <w:t>presente caso quedaron  con  una  incapacidad  total  permanente  para</w:t>
        <w:br/>
        <w:t>trabajar; y la cantidad de US$ 10.000,00  (diez  mil  dólares  de  los</w:t>
        <w:br/>
        <w:t>Estados Unidos de América o su equivalente en moneda peruana) para las</w:t>
        <w:br/>
        <w:t>que resultaron con una incapacidad parcial permanente  para  trabajar.</w:t>
        <w:br/>
        <w:t>Debido a que el Tribunal  no  cuenta  con  la  prueba  necesaria  para</w:t>
        <w:br/>
        <w:t>determinar individualmente la incapacidad de cada una de las  víctimas</w:t>
        <w:br/>
        <w:t>sobrevivientes, dicha  determinación  deberá  ser  realizada  por  los</w:t>
        <w:br/>
        <w:t>órganos internos  especializados  para  decidir  sobre  incapacidad  a</w:t>
        <w:br/>
        <w:t>requerimiento  de  los  interesados,  quienes  deberán  presentar   su</w:t>
        <w:br/>
        <w:t>solicitud dentro del  plazo  de  8  meses,  contado  a  partir  de  la</w:t>
        <w:br/>
        <w:t>notificación de la presente Sentencia.    El  Estado  deberá  realizar</w:t>
        <w:br/>
        <w:t>tales pagos dentro del plazo de 18  meses,  contado  a  partir  de  la</w:t>
        <w:br/>
        <w:t>notificación de la presente Sentencia.</w:t>
        <w:br/>
        <w:br/>
        <w:t>426.  Las discrepancias sobre la determinación indicada en el  párrafo</w:t>
        <w:br/>
        <w:t>anterior deberán ser resueltas en el  ámbito  interno,  siguiendo  los</w:t>
        <w:br/>
        <w:t>trámites nacionales  pertinentes  ante  las  autoridades  competentes,</w:t>
        <w:br/>
        <w:t>entre ellas los tribunales nacionales. Lo anterior sin perjuicio de la</w:t>
        <w:br/>
        <w:t>competencia para supervisar el cumplimiento de la Sentencia que  tiene</w:t>
        <w:br/>
        <w:t>este Tribunal.</w:t>
        <w:br/>
        <w:br/>
        <w:t xml:space="preserve">                                      *</w:t>
        <w:br/>
        <w:t xml:space="preserve">                                   *     *</w:t>
        <w:br/>
        <w:br/>
        <w:br/>
        <w:t>Familiares de las víctimas</w:t>
        <w:br/>
        <w:br/>
        <w:t>427.  Tal como fue indicado (supra párr. 337), se ha  establecido  que</w:t>
        <w:br/>
        <w:t>36 familiares de los internos buscaron  a  las  víctimas,  recorriendo</w:t>
        <w:br/>
        <w:t>durante varios días hospitales y morgues, por lo cual la Corte presume</w:t>
        <w:br/>
        <w:t>que realizaron gastos.  Por  ello  el  Tribunal  fija  en  equidad  la</w:t>
        <w:br/>
        <w:t>cantidad de US $200 (doscientos  dólares  de  los  Estados  Unidos  de</w:t>
        <w:br/>
        <w:t>América o su equivalente en moneda peruana)  para  cada  uno  de  esos</w:t>
        <w:br/>
        <w:t>familiares, cuyos nombres se encuentran incluidos en  el  Anexo  2  de</w:t>
        <w:br/>
        <w:t>víctimas de la presente Sentencia que para estos efectos  forma  parte</w:t>
        <w:br/>
        <w:t>de la misma.</w:t>
        <w:br/>
        <w:br/>
        <w:t>428.  Además, la Corte presume que los familiares de las  40  víctimas</w:t>
        <w:br/>
        <w:t>fallecidas  identificadas,  cuyos  restos   les   fueron   entregados,</w:t>
        <w:br/>
        <w:t>asumieron los gastos de entierro, por lo cual la Corte fija en equidad</w:t>
        <w:br/>
        <w:t>una indemnización de US $300,00 (trescientos dólares  de  los  Estados</w:t>
        <w:br/>
        <w:t>Unidos de América o su equivalente en moneda peruana) a  cada  familia</w:t>
        <w:br/>
        <w:t>de  dichas  víctimas.  Dicha  cantidad  deberá  ser  entregada  a  los</w:t>
        <w:br/>
        <w:t>familiares de  los  40  internos  fallecidos  en  el  siguiente  orden</w:t>
        <w:br/>
        <w:t>excluyente: a los padres, si no los hay será entregada  al  cónyuge  o</w:t>
        <w:br/>
        <w:t>compañero o compañera, y en su ausencia a los hijos, y si no  los  hay</w:t>
        <w:br/>
        <w:t>se entregará a los hermanos de la  víctima.  Para  tales  efectos  los</w:t>
        <w:br/>
        <w:t>referidos familiares deberán presentar su solicitud dentro  del  plazo</w:t>
        <w:br/>
        <w:t>de 8 meses, contado  a  partir  de  la  notificación  de  la  presente</w:t>
        <w:br/>
        <w:t>Sentencia, y el Estado deberá realizar tales pagos dentro del plazo de</w:t>
        <w:br/>
        <w:t>18  meses,  contado  a  partir  de  la  notificación  de  la  presente</w:t>
        <w:br/>
        <w:t>Sentencia.</w:t>
        <w:br/>
        <w:br/>
        <w:t>429.  Con respecto a los gastos que se  generen  en  relación  con  la</w:t>
        <w:br/>
        <w:t>entrega de los restos de la víctima Mario Francisco Aguilar Vega a sus</w:t>
        <w:br/>
        <w:t>familiares, el Estado deberá observar lo indicado en el párrafo 443.</w:t>
        <w:br/>
        <w:br/>
        <w:br/>
        <w:t xml:space="preserve">                            C)    Daño Inmaterial</w:t>
        <w:br/>
        <w:br/>
        <w:br/>
        <w:t>430.  El daño inmaterial puede comprender tanto los sufrimientos y las</w:t>
        <w:br/>
        <w:t>aflicciones causados por la violación como el menoscabo de valores muy</w:t>
        <w:br/>
        <w:t>significativos para las personas y cualquier alteración,  de  carácter</w:t>
        <w:br/>
        <w:t>no pecuniario, en las condiciones de existencia de las víctimas.  Como</w:t>
        <w:br/>
        <w:t>no es posible asignar al  daño  inmaterial  un  equivalente  monetario</w:t>
        <w:br/>
        <w:t>preciso, resulta pertinente proveer por otras  vías  a  la  reparación</w:t>
        <w:br/>
        <w:t>integral del daño causado.  En primer término, mediante el pago de una</w:t>
        <w:br/>
        <w:t>cantidad de dinero que el Tribunal determina  en  ejercicio  razonable</w:t>
        <w:br/>
        <w:t>del arbitrio judicial, conforme  a  consideraciones  de  equidad.   En</w:t>
        <w:br/>
        <w:t>segundo lugar, a través de actos u  obras  de  alcance  o  repercusión</w:t>
        <w:br/>
        <w:t>públicas, como la transmisión de un mensaje de reprobación  oficial  a</w:t>
        <w:br/>
        <w:t>las violaciones  de  los  derechos  humanos  de  que  se  trata  y  de</w:t>
        <w:br/>
        <w:t>compromiso con los esfuerzos tendientes a que no  vuelvan  a  ocurrir.</w:t>
        <w:br/>
        <w:t>Estos actos pretenden la recuperación de la memoria de  las  víctimas,</w:t>
        <w:br/>
        <w:t>el reconocimiento de su dignidad y el consuelo de sus deudos[222].  El</w:t>
        <w:br/>
        <w:t>primer aspecto de la reparación de los daños inmateriales se analizará</w:t>
        <w:br/>
        <w:t>en esta sección y el segundo en la  sección  correspondiente  a  otras</w:t>
        <w:br/>
        <w:t>formas de reparación.</w:t>
        <w:br/>
        <w:br/>
        <w:t>431.  La jurisprudencia internacional  ha  establecido  reiteradamente</w:t>
        <w:br/>
        <w:t>que una sentencia constituye per se una forma de  reparación[223].  No</w:t>
        <w:br/>
        <w:t>obstante, considerando las circunstancias del  caso  sub  judice,  los</w:t>
        <w:br/>
        <w:t>sufrimientos que las violaciones cometidas causaron a las víctimas y a</w:t>
        <w:br/>
        <w:t>sus familiares, el cambio en las  condiciones  de  existencia  de  los</w:t>
        <w:br/>
        <w:t>internos sobrevivientes y las  restantes  consecuencias  de  orden  no</w:t>
        <w:br/>
        <w:t>pecuniario que sufrieron, la Corte  estima  pertinente  determinar  el</w:t>
        <w:br/>
        <w:t>pago de una compensación,  fijada  equitativamente,  por  concepto  de</w:t>
        <w:br/>
        <w:t>daños inmateriales[224].</w:t>
        <w:br/>
        <w:br/>
        <w:t>432.  Teniendo en cuenta las distintas violaciones declaradas  por  el</w:t>
        <w:br/>
        <w:t>Tribunal en la presente  Sentencia,  la  Corte  fija  en  equidad  las</w:t>
        <w:br/>
        <w:t>compensaciones  por  concepto   de   daño   inmaterial,   tomando   en</w:t>
        <w:br/>
        <w:t>consideración:</w:t>
        <w:br/>
        <w:br/>
        <w:br/>
        <w:t xml:space="preserve">      a)     respecto  de   los   internos   fallecidos,   los   daños</w:t>
        <w:br/>
        <w:t xml:space="preserve">      inmateriales sufridos  por  la  forma  como  fallecieron  en  el</w:t>
        <w:br/>
        <w:t xml:space="preserve">      contexto de los hechos de violencia del “Operativo  Mudanza  1”,</w:t>
        <w:br/>
        <w:t xml:space="preserve">      que implicó el uso ilegítimo de la fuerza,  un  ataque  de  gran</w:t>
        <w:br/>
        <w:t xml:space="preserve">      magnitud empleando armas generalmente utilizadas en la guerra  y</w:t>
        <w:br/>
        <w:t xml:space="preserve">      la falta de atención médica oportuna;</w:t>
        <w:br/>
        <w:br/>
        <w:br/>
        <w:t xml:space="preserve">      b)    que la víctima fallecida Julia  Marlene  Olivos  Peña  fue</w:t>
        <w:br/>
        <w:t xml:space="preserve">      torturada (supra párr. 293);</w:t>
        <w:br/>
        <w:br/>
        <w:t xml:space="preserve">      c)     respecto  de  los  internos  sobrevivientes,  los   daños</w:t>
        <w:br/>
        <w:t xml:space="preserve">      inmateriales  sufridos  por  las  violaciones  a  su  integridad</w:t>
        <w:br/>
        <w:t xml:space="preserve">      personal  en  el  contexto  de  los  hechos  de  violencia   del</w:t>
        <w:br/>
        <w:t xml:space="preserve">      “Operativo Mudanza 1”,  que  implicó  el  uso  ilegítimo  de  la</w:t>
        <w:br/>
        <w:t xml:space="preserve">      fuerza, un ataque de gran magnitud empleando armas  generalmente</w:t>
        <w:br/>
        <w:t xml:space="preserve">      utilizadas en la guerra, la falta de atención  médica  para  los</w:t>
        <w:br/>
        <w:t xml:space="preserve">      heridos, los tratos recibidos con posterioridad al 9 de mayo  de</w:t>
        <w:br/>
        <w:t xml:space="preserve">      1992 y durante los traslados a otros penales y a los hospitales,</w:t>
        <w:br/>
        <w:t xml:space="preserve">      los tratos recibidos en  los  centros  de  salud  a  que  fueron</w:t>
        <w:br/>
        <w:t xml:space="preserve">      trasladados durante  el  ataque  o  una  vez  terminado;  y  las</w:t>
        <w:br/>
        <w:t xml:space="preserve">      condiciones generales de detención a que  fueron  sometidos  con</w:t>
        <w:br/>
        <w:t xml:space="preserve">      posterioridad al “Operativo Mudanza 1”;</w:t>
        <w:br/>
        <w:br/>
        <w:t xml:space="preserve">      d)    que la  Corte  determinó  que  el  conjunto  de  actos  de</w:t>
        <w:br/>
        <w:t xml:space="preserve">      agresión y las condiciones en que el Estado puso deliberadamente</w:t>
        <w:br/>
        <w:t xml:space="preserve">      a  todos  los  internos  (los  que   fallecieron   y   los   que</w:t>
        <w:br/>
        <w:t xml:space="preserve">      sobrevivieron) durante los días del ataque, les  causaron  grave</w:t>
        <w:br/>
        <w:t xml:space="preserve">      sufrimiento psicológico y emocional  y  constituyó  una  tortura</w:t>
        <w:br/>
        <w:t xml:space="preserve">      psicológica para todos ellos (supra párr. 293);</w:t>
        <w:br/>
        <w:br/>
        <w:t xml:space="preserve">      e)    que la Corte determinó que el conjunto de  condiciones  de</w:t>
        <w:br/>
        <w:t xml:space="preserve">      detención y de  tratamiento  a  las  que  fueron  sometidos  los</w:t>
        <w:br/>
        <w:t xml:space="preserve">      internos en los centros penales a los  que  se  les  trasladó  o</w:t>
        <w:br/>
        <w:t xml:space="preserve">      reubicó con posterioridad  al  llamado  “Operativo  Mudanza  1”,</w:t>
        <w:br/>
        <w:t xml:space="preserve">      constituyó tortura física y psicológica inferida a  todos  ellos</w:t>
        <w:br/>
        <w:t xml:space="preserve">      (supra párr. 333);</w:t>
        <w:br/>
        <w:br/>
        <w:br/>
        <w:t xml:space="preserve">      f)    que las internas Eva Sofía Challco, Sabina Quispe Rojas  y</w:t>
        <w:br/>
        <w:t xml:space="preserve">      Vicenta Genua López al momento de los hechos se encontraban  con</w:t>
        <w:br/>
        <w:t xml:space="preserve">      7, 8 y 5 meses de embarazo (supra párrs. 197.57 y 298), y que el</w:t>
        <w:br/>
        <w:t xml:space="preserve">      Estado desatendió las necesidades básicas de salud  de  las  dos</w:t>
        <w:br/>
        <w:t xml:space="preserve">      primeras antes del parto, y de la señora Quispe también  después</w:t>
        <w:br/>
        <w:t xml:space="preserve">      del parto (supra párr. 332);</w:t>
        <w:br/>
        <w:br/>
        <w:t xml:space="preserve">      g)    que una interna fue sometida a una  supuesta  “inspección”</w:t>
        <w:br/>
        <w:t xml:space="preserve">      vaginal dactilar que constituyó violación  sexual  (supra  párr.</w:t>
        <w:br/>
        <w:t xml:space="preserve">      312);</w:t>
        <w:br/>
        <w:br/>
        <w:t xml:space="preserve">      h)    que seis internas fueron forzadas a estar desnudas  en  el</w:t>
        <w:br/>
        <w:t xml:space="preserve">      hospital, vigiladas por  hombres  armados,  lo  cual  constituyó</w:t>
        <w:br/>
        <w:t xml:space="preserve">      violencia sexual (supra párr. 308);</w:t>
        <w:br/>
        <w:br/>
        <w:br/>
        <w:t xml:space="preserve">      i)    que los familiares inmediatos de los  internos  fallecidos</w:t>
        <w:br/>
        <w:t xml:space="preserve">      fueron víctimas de la violación a los artículos 8.1 y 25  de  la</w:t>
        <w:br/>
        <w:t xml:space="preserve">      Convención, en relación con el artículo 1.1 de dicho tratado, en</w:t>
        <w:br/>
        <w:t xml:space="preserve">      conexión con los artículos 7.b) de la Convención  Interamericana</w:t>
        <w:br/>
        <w:t xml:space="preserve">      para Prevenir, Sancionar y  Erradicar  la  Violencia  contra  la</w:t>
        <w:br/>
        <w:t xml:space="preserve">      Mujer, y 1, 6 y 8 de la Convención Interamericana para  Prevenir</w:t>
        <w:br/>
        <w:t xml:space="preserve">      y Sancionar la Tortura;</w:t>
        <w:br/>
        <w:br/>
        <w:br/>
        <w:t xml:space="preserve">      j)    que  la  Corte  declaró  que  se  violó  el  derecho  a  la</w:t>
        <w:br/>
        <w:t xml:space="preserve">      integridad personal de los familiares de los  internos  indicados</w:t>
        <w:br/>
        <w:t xml:space="preserve">      en los párrafos 336, 337, 340 y 341  debido  al  tratamiento  que</w:t>
        <w:br/>
        <w:t xml:space="preserve">      sufrieron: por parte de agentes estatales cuando estuvieron en el</w:t>
        <w:br/>
        <w:t xml:space="preserve">      exterior del penal entre el 6 y el 9 de mayo de 1992 (supra párr.</w:t>
        <w:br/>
        <w:t xml:space="preserve">      336); con  posterioridad  a  esa  fecha  cuando  buscaron  a  sus</w:t>
        <w:br/>
        <w:t xml:space="preserve">      familiares en hospitales y morgues (supra párr. 337); y debido  a</w:t>
        <w:br/>
        <w:t xml:space="preserve">      la estricta incomunicación y restricción de visitas que aplicó el</w:t>
        <w:br/>
        <w:t xml:space="preserve">      Estado a los internos con posterioridad al ataque al penal (supra</w:t>
        <w:br/>
        <w:t xml:space="preserve">      párr. 340).   Asimismo, al declarar  tal  violación  el  Tribunal</w:t>
        <w:br/>
        <w:t xml:space="preserve">      consideró  que  dicha   incomunicación   causó   una   particular</w:t>
        <w:br/>
        <w:t xml:space="preserve">      afectación en los hijos de las internas que tenían  menos  de  18</w:t>
        <w:br/>
        <w:t xml:space="preserve">      años de edad en la época de la incomunicación (supra párr. 341);</w:t>
        <w:br/>
        <w:br/>
        <w:br/>
        <w:t xml:space="preserve">      k)    que los restos del señor Francisco  Aguilar  Vega  no  han</w:t>
        <w:br/>
        <w:t xml:space="preserve">      sido entregados a sus familiares; y</w:t>
        <w:br/>
        <w:br/>
        <w:br/>
        <w:t xml:space="preserve">      l)    otros factores que determinan la gravedad  de  los  hechos</w:t>
        <w:br/>
        <w:t xml:space="preserve">      indicados por la Corte en el  Capítulo  IX  de  “Responsabilidad</w:t>
        <w:br/>
        <w:t xml:space="preserve">      internacional del Estado en el contexto del presente caso”.</w:t>
        <w:br/>
        <w:br/>
        <w:br/>
        <w:t>433.  De acuerdo a lo establecido en los párrafos anteriores la  Corte</w:t>
        <w:br/>
        <w:t>fija en equidad las siguientes indemnizaciones por  concepto  de  daño</w:t>
        <w:br/>
        <w:t>inmaterial:</w:t>
        <w:br/>
        <w:br/>
        <w:t xml:space="preserve">      a)    por cada una de las 41 víctimas fallecidas  identificadas,</w:t>
        <w:br/>
        <w:t xml:space="preserve">      la Corte fija  la  cantidad  de  US$  50.000,00  (cincuenta  mil</w:t>
        <w:br/>
        <w:t xml:space="preserve">      dólares de los Estados Unidos de América  o  su  equivalente  en</w:t>
        <w:br/>
        <w:t xml:space="preserve">      moneda peruana). Respecto de la víctima fallecida Julia  Marlene</w:t>
        <w:br/>
        <w:t xml:space="preserve">      Olivos Peña la Corte fija  la  indemnización  en  US$  60.000,00</w:t>
        <w:br/>
        <w:t xml:space="preserve">      (sesenta mil dólares de los  Estados  Unidos  de  América  o  su</w:t>
        <w:br/>
        <w:t xml:space="preserve">      equivalente en moneda peruana).  El Estado deberá realizar estos</w:t>
        <w:br/>
        <w:t xml:space="preserve">      pagos dentro del plazo de 18  meses,  contado  a  partir  de  la</w:t>
        <w:br/>
        <w:t xml:space="preserve">      notificación de la presente  Sentencia,  tomando  en  cuenta  lo</w:t>
        <w:br/>
        <w:t xml:space="preserve">      dispuesto en los párrafos 420 y 421;</w:t>
        <w:br/>
        <w:br/>
        <w:t xml:space="preserve">      b)     para  los  familiares  inmediatos  de  las  41   víctimas</w:t>
        <w:br/>
        <w:t xml:space="preserve">      fallecidas  identificadas,  la  Corte  considera  que  el   daño</w:t>
        <w:br/>
        <w:t xml:space="preserve">      correspondiente debe ser indemnizado mediante  el  pago  de  las</w:t>
        <w:br/>
        <w:t xml:space="preserve">      sumas que se indican a continuación:</w:t>
        <w:br/>
        <w:br/>
        <w:br/>
        <w:t xml:space="preserve">           i)    US $10.000,00 (diez mil dólares de los Estados Unidos</w:t>
        <w:br/>
        <w:t xml:space="preserve">           de América o su equivalente en moneda peruana) en  el  caso</w:t>
        <w:br/>
        <w:t xml:space="preserve">           del padre, madre, cónyuge o compañera permanente, y de cada</w:t>
        <w:br/>
        <w:t xml:space="preserve">           hijo e hija de las víctimas. En el caso de estos familiares</w:t>
        <w:br/>
        <w:t xml:space="preserve">           de la víctima Mario Francisco Aguilar Vega, la  Corte  fija</w:t>
        <w:br/>
        <w:t xml:space="preserve">           la indemnización en US $15.000,00 (quince  mil  dólares  de</w:t>
        <w:br/>
        <w:t xml:space="preserve">           los Estados Unidos de América o su  equivalente  en  moneda</w:t>
        <w:br/>
        <w:t xml:space="preserve">           peruana);</w:t>
        <w:br/>
        <w:br/>
        <w:t xml:space="preserve">           ii)   US $1.000,00 (mil dólares de los  Estados  Unidos  de</w:t>
        <w:br/>
        <w:t xml:space="preserve">           América o su equivalente en moneda peruana) en el  caso  de</w:t>
        <w:br/>
        <w:t xml:space="preserve">           cada hermana o hermano de las víctimas. En el caso de estos</w:t>
        <w:br/>
        <w:t xml:space="preserve">           familiares de la víctima Mario Francisco  Aguilar  Vega  la</w:t>
        <w:br/>
        <w:t xml:space="preserve">           Corte  fija  la  indemnización  en  US  $   1.200,00   (mil</w:t>
        <w:br/>
        <w:t xml:space="preserve">           doscientos dólares de los Estados Unidos de  América  o  su</w:t>
        <w:br/>
        <w:t xml:space="preserve">           equivalente en moneda peruana);</w:t>
        <w:br/>
        <w:br/>
        <w:br/>
        <w:t xml:space="preserve">      c)    respecto de las víctimas sobrevivientes:</w:t>
        <w:br/>
        <w:br/>
        <w:br/>
        <w:t xml:space="preserve">           i.     por  cada  una  de  las  víctimas  con  lesiones   o</w:t>
        <w:br/>
        <w:t xml:space="preserve">           enfermedades  físicas  o  psíquicas    que   implican   una</w:t>
        <w:br/>
        <w:t xml:space="preserve">           incapacidad total permanente para trabajar la  cantidad  de</w:t>
        <w:br/>
        <w:t xml:space="preserve">           US$ 20.000,00 (veinte mil dólares de los Estados Unidos  de</w:t>
        <w:br/>
        <w:t xml:space="preserve">           América o su equivalente en moneda peruana);</w:t>
        <w:br/>
        <w:br/>
        <w:br/>
        <w:t xml:space="preserve">           ii.    por  cada  una  de  las  víctimas  con  lesiones   o</w:t>
        <w:br/>
        <w:t xml:space="preserve">           enfermedades  físicas  o  psíquicas    que   implican   una</w:t>
        <w:br/>
        <w:t xml:space="preserve">           incapacidad parcial  permanente para trabajar  la  cantidad</w:t>
        <w:br/>
        <w:t xml:space="preserve">           de US$ 12.000,00 (doce mil dólares de los Estados Unidos de</w:t>
        <w:br/>
        <w:t xml:space="preserve">           América o su equivalente en moneda peruana);</w:t>
        <w:br/>
        <w:br/>
        <w:br/>
        <w:t xml:space="preserve">           iii.  por  cada  una  de  las  víctimas  con  consecuencias</w:t>
        <w:br/>
        <w:t xml:space="preserve">           permanentes  por  heridas   sufridas   que   no   generaron</w:t>
        <w:br/>
        <w:t xml:space="preserve">           incapacidad total ni parcial la cantidad  de  US$  8.000,00</w:t>
        <w:br/>
        <w:t xml:space="preserve">           (ocho mil dólares de los Estados Unidos  de  América  o  su</w:t>
        <w:br/>
        <w:t xml:space="preserve">           equivalente en moneda peruana);</w:t>
        <w:br/>
        <w:br/>
        <w:br/>
        <w:t xml:space="preserve">           iv.   por cada una de las otras víctimas sobrevivientes que</w:t>
        <w:br/>
        <w:t xml:space="preserve">           no queden incluídas  en  alguna  de  las  categorías  antes</w:t>
        <w:br/>
        <w:t xml:space="preserve">           mencionadas,  la  cantidad  de  US$  4.000,00  (cuatro  mil</w:t>
        <w:br/>
        <w:t xml:space="preserve">           dólares de los Estados Unidos de América o  su  equivalente</w:t>
        <w:br/>
        <w:t xml:space="preserve">           en moneda peruana);</w:t>
        <w:br/>
        <w:br/>
        <w:br/>
        <w:t xml:space="preserve">           v.    debido a que el Tribunal  no  cuenta  con  la  prueba</w:t>
        <w:br/>
        <w:t xml:space="preserve">           necesaria para determinar individualmente en  cuál  de  las</w:t>
        <w:br/>
        <w:t xml:space="preserve">           anteriores categorías se debe incluir a  cada  una  de  las</w:t>
        <w:br/>
        <w:t xml:space="preserve">           víctimas sobrevivientes,  dicha  determinación  deberá  ser</w:t>
        <w:br/>
        <w:t xml:space="preserve">           realizada  por  los  órganos  internos  especializados   en</w:t>
        <w:br/>
        <w:t xml:space="preserve">           clasificación de lesiones e incapacidades  a  requerimiento</w:t>
        <w:br/>
        <w:t xml:space="preserve">           de los interesados, quienes deberán presentar su  solicitud</w:t>
        <w:br/>
        <w:t xml:space="preserve">           dentro de 8 meses, contados a partir de la notificación  de</w:t>
        <w:br/>
        <w:t xml:space="preserve">           la presente Sentencia. Cada   víctima  podrá  ser  incluida</w:t>
        <w:br/>
        <w:t xml:space="preserve">           solamente en una de las cuatro anteriores categorías que le</w:t>
        <w:br/>
        <w:t xml:space="preserve">           represente   el   mayor   monto   de   indemnización.   Las</w:t>
        <w:br/>
        <w:t xml:space="preserve">           discrepancias  sobre  dicha   determinación   deberán   ser</w:t>
        <w:br/>
        <w:t xml:space="preserve">           resueltas definitivamente en el ámbito  interno,  siguiendo</w:t>
        <w:br/>
        <w:t xml:space="preserve">           los trámites nacionales pertinentes  ante  las  autoridades</w:t>
        <w:br/>
        <w:t xml:space="preserve">           competentes, entre  ellas  los  tribunales  nacionales.  Lo</w:t>
        <w:br/>
        <w:t xml:space="preserve">           anterior, sin perjuicio de la competencia  para  supervisar</w:t>
        <w:br/>
        <w:t xml:space="preserve">           el cumplimiento de la Sentencia que tiene este Tribunal. El</w:t>
        <w:br/>
        <w:t xml:space="preserve">           Estado deberá realizar tales pagos dentro del plazo  de  18</w:t>
        <w:br/>
        <w:t xml:space="preserve">           meses, contado a partir de la notificación de  la  presente</w:t>
        <w:br/>
        <w:t xml:space="preserve">           Sentencia;</w:t>
        <w:br/>
        <w:br/>
        <w:br/>
        <w:t xml:space="preserve">           vi.   con respecto a las  víctimas  sobrevivientes  que  la</w:t>
        <w:br/>
        <w:t xml:space="preserve">           Comisión y la interviniente clasificaron en sus listas como</w:t>
        <w:br/>
        <w:t xml:space="preserve">           “ilesos”, la Corte considera necesario señalar  que  podría</w:t>
        <w:br/>
        <w:t xml:space="preserve">           ser que dichas personas no hubieren  declarado  que  tenían</w:t>
        <w:br/>
        <w:t xml:space="preserve">           alguna lesión debido a que al declarar  solamente  hicieron</w:t>
        <w:br/>
        <w:t xml:space="preserve">           notar los hechos violentos que tuvieron que enfrentar y  no</w:t>
        <w:br/>
        <w:t xml:space="preserve">           hicieron mención de su estado de salud. Tomando  en  cuenta</w:t>
        <w:br/>
        <w:t xml:space="preserve">           las particularidades de este caso,  la  Corte  dispone  que</w:t>
        <w:br/>
        <w:t xml:space="preserve">           esas personas pueden presentarse a probar su  inclusión  en</w:t>
        <w:br/>
        <w:t xml:space="preserve">           alguna de las categorías mencionadas por los daños sufridos</w:t>
        <w:br/>
        <w:t xml:space="preserve">           como consecuencias de los hechos violatorios  del  presente</w:t>
        <w:br/>
        <w:t xml:space="preserve">           caso (supra incisos i a v de este párrafo  433.c).   Dichas</w:t>
        <w:br/>
        <w:t xml:space="preserve">           personas deberán presentar su solicitud dentro del plazo de</w:t>
        <w:br/>
        <w:t xml:space="preserve">           8 meses, contado a partir de la notificación de la presente</w:t>
        <w:br/>
        <w:t xml:space="preserve">           Sentencia. Cada  víctima podrá ser  incluida  solamente  en</w:t>
        <w:br/>
        <w:t xml:space="preserve">           una de las referidas categorías.  Las  discrepancias  sobre</w:t>
        <w:br/>
        <w:t xml:space="preserve">           dicha determinación deberán ser  resueltas  definitivamente</w:t>
        <w:br/>
        <w:t xml:space="preserve">           en el ámbito interno,  siguiendo  los  trámites  nacionales</w:t>
        <w:br/>
        <w:t xml:space="preserve">           pertinentes ante las autoridades competentes,  entre  ellas</w:t>
        <w:br/>
        <w:t xml:space="preserve">           los tribunales nacionales. Lo anterior, sin perjuicio de la</w:t>
        <w:br/>
        <w:t xml:space="preserve">           competencia para supervisar el cumplimiento de la Sentencia</w:t>
        <w:br/>
        <w:t xml:space="preserve">           que tiene este Tribunal. El Estado  deberá  realizar  tales</w:t>
        <w:br/>
        <w:t xml:space="preserve">           pagos dentro del plazo de 18 meses, contado a partir de  la</w:t>
        <w:br/>
        <w:t xml:space="preserve">           notificación de la presente Sentencia;</w:t>
        <w:br/>
        <w:br/>
        <w:br/>
        <w:t xml:space="preserve">           vii.  con relación a las víctimas que  acrediten  tener  su</w:t>
        <w:br/>
        <w:t xml:space="preserve">           domicilio en el  exterior,  el  Estado  deberá  permitirles</w:t>
        <w:br/>
        <w:t xml:space="preserve">           probar desde los países en que residan su estado  de  salud</w:t>
        <w:br/>
        <w:t xml:space="preserve">           físico y psíquico por medios  objetivos  y  veraces,  tales</w:t>
        <w:br/>
        <w:t xml:space="preserve">           como  certificados  médicos  autenticados  ante   fedatario</w:t>
        <w:br/>
        <w:t xml:space="preserve">           público o dictámenes emitidos por los Colegios Médicos  del</w:t>
        <w:br/>
        <w:t xml:space="preserve">           país donde residan.  Para ello se aplica lo dispuesto en el</w:t>
        <w:br/>
        <w:t xml:space="preserve">           punto v de este párrafo 433.c);</w:t>
        <w:br/>
        <w:br/>
        <w:br/>
        <w:t xml:space="preserve">           viii. la Corte fija una indemnización adicional a favor  de</w:t>
        <w:br/>
        <w:t xml:space="preserve">           las víctimas Eva Challco, Sabina  Quispe  Rojas  y  Vicenta</w:t>
        <w:br/>
        <w:t xml:space="preserve">           Genua López en US  $5.000,00  (cinco  mil  dólares  de  los</w:t>
        <w:br/>
        <w:t xml:space="preserve">           Estados Unidos  de  América  o  su  equivalente  en  moneda</w:t>
        <w:br/>
        <w:t xml:space="preserve">           peruana). El Estado deberá realizar tales pagos dentro  del</w:t>
        <w:br/>
        <w:t xml:space="preserve">           plazo de 18 meses, contado a partir de la  notificación  de</w:t>
        <w:br/>
        <w:t xml:space="preserve">           la presente Sentencia;</w:t>
        <w:br/>
        <w:br/>
        <w:br/>
        <w:t xml:space="preserve">           ix.   la Corte fija una indemnización adicional a favor  de</w:t>
        <w:br/>
        <w:t xml:space="preserve">           la víctima de violación sexual en  US  $30.000,00  (treinta</w:t>
        <w:br/>
        <w:t xml:space="preserve">           mil  dólares  de  los  Estados  Unidos  de  América  o   su</w:t>
        <w:br/>
        <w:t xml:space="preserve">           equivalente en moneda peruana), cuyo nombre se encuentra en</w:t>
        <w:br/>
        <w:t xml:space="preserve">           el Anexo 2 de víctimas de esta  Sentencia  que  para  estos</w:t>
        <w:br/>
        <w:t xml:space="preserve">           efectos forma parte de la misma. El Estado deberá  realizar</w:t>
        <w:br/>
        <w:t xml:space="preserve">           tal pago dentro del plazo de 18 meses, contado a partir  de</w:t>
        <w:br/>
        <w:t xml:space="preserve">           la notificación de la presente Sentencia;</w:t>
        <w:br/>
        <w:br/>
        <w:t xml:space="preserve">           x.    la Corte fija una indemnización adicional a favor  de</w:t>
        <w:br/>
        <w:t xml:space="preserve">           las seis víctimas de  violencia  sexual  en  US  $10.000,00</w:t>
        <w:br/>
        <w:t xml:space="preserve">           (diez mil dólares de los Estados Unidos  de  América  o  su</w:t>
        <w:br/>
        <w:t xml:space="preserve">           equivalente  en  moneda  peruana).  Los  nombres  de   esas</w:t>
        <w:br/>
        <w:t xml:space="preserve">           víctimas se encuentran en el Anexo 2 de  víctimas  de  esta</w:t>
        <w:br/>
        <w:t xml:space="preserve">           Sentencia que para estos efectos forma parte de  la  misma.</w:t>
        <w:br/>
        <w:t xml:space="preserve">           El Estado deberá realizar tales pagos dentro del  plazo  de</w:t>
        <w:br/>
        <w:t xml:space="preserve">           18 meses,  contado  a  partir  de  la  notificación  de  la</w:t>
        <w:br/>
        <w:t xml:space="preserve">           presente Sentencia;</w:t>
        <w:br/>
        <w:br/>
        <w:t xml:space="preserve">      d)    para los familiares víctimas de la violación al derecho  a</w:t>
        <w:br/>
        <w:t xml:space="preserve">      la integridad personal indicados en los párrafos 336, 337, 340 y</w:t>
        <w:br/>
        <w:t xml:space="preserve">      341, la Corte  fija  una  indemnización  de  US  $1.500,00  (mil</w:t>
        <w:br/>
        <w:t xml:space="preserve">      quinientos dólares  de  los  Estados  Unidos  de  América  o  su</w:t>
        <w:br/>
        <w:t xml:space="preserve">      equivalente en moneda peruana). Los nombres de esas víctimas  se</w:t>
        <w:br/>
        <w:t xml:space="preserve">      encuentran en el Anexo 2 de víctimas de esta Sentencia que  para</w:t>
        <w:br/>
        <w:t xml:space="preserve">      estos efectos forma parte de la  misma.  Esta  indemnización  se</w:t>
        <w:br/>
        <w:t xml:space="preserve">      verá acrecentada  en  US$  500,00  (quinientos  dólares  de  los</w:t>
        <w:br/>
        <w:t xml:space="preserve">      Estados Unidos de América o su equivalente  en  moneda  peruana)</w:t>
        <w:br/>
        <w:t xml:space="preserve">      para los hijos de las internas que tenían menos de  18  años  de</w:t>
        <w:br/>
        <w:t xml:space="preserve">      edad en la época de la  incomunicación  (supra  párr.  341);  es</w:t>
        <w:br/>
        <w:t xml:space="preserve">      decir, que tales hijos  recibirán  una  indemnización  total  de</w:t>
        <w:br/>
        <w:t xml:space="preserve">      $2.000,00 (dos mil dólares de los Estados Unidos de América o su</w:t>
        <w:br/>
        <w:t xml:space="preserve">      equivalente en moneda peruana). Se ha probado que se  encontraba</w:t>
        <w:br/>
        <w:t xml:space="preserve">      en tal condición Yovanka Ruth  Quispe  Quispe,  la  hija  de  la</w:t>
        <w:br/>
        <w:t xml:space="preserve">      interna Sabina Virgen  Quispe  Rojas,  y  Gabriel  Said  Challco</w:t>
        <w:br/>
        <w:t xml:space="preserve">      Hurtado, hijo de la interna Eva Challco. Debido a que  la  Corte</w:t>
        <w:br/>
        <w:t xml:space="preserve">      no cuenta con la prueba necesaria para determinar  la  identidad</w:t>
        <w:br/>
        <w:t xml:space="preserve">      de todos los hijos de  las  internas  que  a  dicha  época  eran</w:t>
        <w:br/>
        <w:t xml:space="preserve">      menores de 18 años, es preciso que dichas personas se  presenten</w:t>
        <w:br/>
        <w:t xml:space="preserve">      ante las autoridades competentes del Estado,  dentro  de  los  8</w:t>
        <w:br/>
        <w:t xml:space="preserve">      meses  siguientes  a  la  notificación  de  esta   Sentencia   y</w:t>
        <w:br/>
        <w:t xml:space="preserve">      demuestren su filiación y edad que determine que  estuvieron  en</w:t>
        <w:br/>
        <w:t xml:space="preserve">      el referido  supuesto  y,  por  tanto,  son  víctimas  de  dicha</w:t>
        <w:br/>
        <w:t xml:space="preserve">      violación. El Estado deberá  realizar  tales  pagos  dentro  del</w:t>
        <w:br/>
        <w:t xml:space="preserve">      plazo de 18 meses, contado a partir de  la  notificación  de  la</w:t>
        <w:br/>
        <w:t xml:space="preserve">      presente Sentencia.</w:t>
        <w:br/>
        <w:br/>
        <w:br/>
        <w:br/>
        <w:br/>
        <w:t>434.  El Estado deberá realizar los pagos dispuestos en el párrafo 433</w:t>
        <w:br/>
        <w:t>dentro del plazo de 18 meses, contado a partir de la  notificación  de</w:t>
        <w:br/>
        <w:t>la presente Sentencia.</w:t>
        <w:br/>
        <w:br/>
        <w:br/>
        <w:br/>
        <w:br/>
        <w:br/>
        <w:t xml:space="preserve">                      D)    Otras Formas de Reparación</w:t>
        <w:br/>
        <w:t xml:space="preserve">           (Medidas de satisfacción y garantías de no repetición)</w:t>
        <w:br/>
        <w:br/>
        <w:t>435.  En este apartado el  Tribunal  determinará  aquellas  medidas  de</w:t>
        <w:br/>
        <w:t>satisfacción que buscan reparar  el  daño  inmaterial,  que  no  tienen</w:t>
        <w:br/>
        <w:t>alcance pecuniario, así como también dispondrá  medidas  de  alcance  o</w:t>
        <w:br/>
        <w:t>repercusión pública[225].  En  casos  como  el  presente  que  revisten</w:t>
        <w:br/>
        <w:t>extremada gravedad estas medidas tienen especial relevancia.</w:t>
        <w:br/>
        <w:br/>
        <w:br/>
        <w:t>a)    Obligación de investigar los hechos que generaron las violaciones</w:t>
        <w:br/>
        <w:t xml:space="preserve">      del presente caso e identificar, juzgar y, en su caso, sancionar a</w:t>
        <w:br/>
        <w:t xml:space="preserve">      los responsables</w:t>
        <w:br/>
        <w:br/>
        <w:t>436.  La Corte ha establecido en esta Sentencia que los procedimientos</w:t>
        <w:br/>
        <w:t>internos abiertos en el presente  caso  no  han  constituido  recursos</w:t>
        <w:br/>
        <w:t>efectivos para garantizar un verdadero acceso a la justicia por  parte</w:t>
        <w:br/>
        <w:t>de las  víctimas,  dentro  de  un  plazo  razonable,  que  abarque  el</w:t>
        <w:br/>
        <w:t>esclarecimiento de los hechos,  la  investigación  y  sanción  de  los</w:t>
        <w:br/>
        <w:t>responsables y la reparación de las violaciones a la vida e integridad</w:t>
        <w:br/>
        <w:t>personal. Por ello, el Tribunal declaró al Estado  responsable  de  la</w:t>
        <w:br/>
        <w:t>violación de los artículos 8.1 y 25 de la Convención, en relación  con</w:t>
        <w:br/>
        <w:t>el artículo 1.1 de la misma, en conexión  con  los  artículos  7.b  de</w:t>
        <w:br/>
        <w:t>Convención Interamericana para  Prevenir,  Sancionar  y  Erradicar  la</w:t>
        <w:br/>
        <w:t>Violencia contra la Mujer, y 1, 6 y 8 de la Convención  Interamericana</w:t>
        <w:br/>
        <w:t>para Prevenir y Sancionar la Tortura.</w:t>
        <w:br/>
        <w:br/>
        <w:t>437.  La Corte ha valorado como positivo que el Estado  actualmente  se</w:t>
        <w:br/>
        <w:t>encuentre desarrollando procesos penales en la jurisdicción  ordinaria.</w:t>
        <w:br/>
        <w:t>Sin embargo, el Tribunal declaró como violatorio del derecho de  acceso</w:t>
        <w:br/>
        <w:t>a la justicia que dichos procesos  no  abarquen  la  totalidad  de  los</w:t>
        <w:br/>
        <w:t>hechos violatorios  de  derechos  humanos  analizados  en  la  presente</w:t>
        <w:br/>
        <w:t>Sentencia. Tanto las denuncias penales formuladas por la Fiscalía  como</w:t>
        <w:br/>
        <w:t>los autos de apertura de instrucción de los procesos  penales  dictados</w:t>
        <w:br/>
        <w:t>por el Segundo Juzgado Penal Supraprovincial se refieren exclusivamente</w:t>
        <w:br/>
        <w:t>a delitos de homicidio.</w:t>
        <w:br/>
        <w:br/>
        <w:t>438.  Como ya se indicó, aún cuando el Estado  ha  realizado  esfuerzos</w:t>
        <w:br/>
        <w:t>recientes en cuanto a la  investigación  penal  de  una  parte  de  los</w:t>
        <w:br/>
        <w:t>hechos, las violaciones cometidas en este caso permanecen impunes.</w:t>
        <w:br/>
        <w:br/>
        <w:t>439.  Además, tal como indicó la Corte el  Estado  debe  adoptar  todas</w:t>
        <w:br/>
        <w:t>aquellas  medidas  necesarias  para  cumplir  con  la   obligación   de</w:t>
        <w:br/>
        <w:t>investigar y, en su  caso,  sancionar  a  los  responsables  de  graves</w:t>
        <w:br/>
        <w:t>violaciones de derechos humanos.</w:t>
        <w:br/>
        <w:br/>
        <w:t>440.  La Corte reitera que el Estado  está  obligado  a  combatir  esta</w:t>
        <w:br/>
        <w:t>situación de impunidad por todos los medios disponibles,  ya  que  ésta</w:t>
        <w:br/>
        <w:t>propicia la repetición crónica de las violaciones de derechos humanos y</w:t>
        <w:br/>
        <w:t>la total indefensión de las  víctimas  y  de  sus  familiares,  quienes</w:t>
        <w:br/>
        <w:t>tienen  derecho  a  conocer  la   verdad   de   los   hechos[226].   El</w:t>
        <w:br/>
        <w:t>reconocimiento y el ejercicio del derecho a la verdad en una  situación</w:t>
        <w:br/>
        <w:t>concreta constituye un medio de reparación.  Por tanto, en el  presente</w:t>
        <w:br/>
        <w:t>caso, el derecho a  la  verdad  da  lugar  a  una  expectativa  de  las</w:t>
        <w:br/>
        <w:t>víctimas, que el Estado debe satisfacer[227].</w:t>
        <w:br/>
        <w:br/>
        <w:t>441.  A la luz de lo anterior, en un plazo razonable,  el  Estado  debe</w:t>
        <w:br/>
        <w:t>conducir eficazmente los procesos penales que se encuentran  trámite  y</w:t>
        <w:br/>
        <w:t>los que  se  llegaren  a  abrir,  y  debe  adoptar  todas  las  medidas</w:t>
        <w:br/>
        <w:t>necesarias que permitan el esclarecimiento  de  todos  los  hechos  del</w:t>
        <w:br/>
        <w:t>presente caso y no sólo aquellos que derivaron  en  la  muerte  de  las</w:t>
        <w:br/>
        <w:t>víctimas, en  aras  de  determinar  la  responsabilidad  intelectual  y</w:t>
        <w:br/>
        <w:t>material de quienes participaron en dichas violaciones.  Los resultados</w:t>
        <w:br/>
        <w:t>de estos procesos deberán ser públicamente divulgados por el Estado, de</w:t>
        <w:br/>
        <w:t>manera que la sociedad peruana pueda conocer la verdad  acerca  de  los</w:t>
        <w:br/>
        <w:t>hechos del presente caso.</w:t>
        <w:br/>
        <w:br/>
        <w:t>442.  Asimismo, como garantía de no repetición, la Corte dispone que el</w:t>
        <w:br/>
        <w:t>Estado debe, en un plazo razonable, establecer  los  medios  necesarios</w:t>
        <w:br/>
        <w:t>para asegurar  que  la  información  y  documentación  relacionada  con</w:t>
        <w:br/>
        <w:t>investigaciones policiales relativa a hechos tan graves  como  los  del</w:t>
        <w:br/>
        <w:t>presente caso se conserve de forma  tal  que  no  se  obstaculicen  las</w:t>
        <w:br/>
        <w:t>correspondientes investigaciones.</w:t>
        <w:br/>
        <w:br/>
        <w:br/>
        <w:t>b)    Entrega del cuerpo de Mario Francisco Aguilar Vega a sus</w:t>
        <w:br/>
        <w:t xml:space="preserve">      familiares</w:t>
        <w:br/>
        <w:br/>
        <w:br/>
        <w:t>443.  Debido a que los familiares de Mario Francisco  Aguilar  Vega  no</w:t>
        <w:br/>
        <w:t>han recibido sus restos (supra párr. 251), este Tribunal dispone que el</w:t>
        <w:br/>
        <w:t>Estado debe realizar todas las actuaciones necesarias y adecuadas  para</w:t>
        <w:br/>
        <w:t>garantizar de manera efectiva la entrega,  dentro  de  un  plazo  de  6</w:t>
        <w:br/>
        <w:t>meses, permitiéndoles así darle la sepultura de la  forma  que  estimen</w:t>
        <w:br/>
        <w:t>pertinente. El Estado deberá cubrir todos los  gastos  de  entrega  del</w:t>
        <w:br/>
        <w:t>cuerpo de la víctima a sus familiares así como los gastos  de  entierro</w:t>
        <w:br/>
        <w:t>en los que ellos puedan incurrir.</w:t>
        <w:br/>
        <w:br/>
        <w:t>444.  Asimismo, debido a que existen  dudas  respecto  de  si  el  Perú</w:t>
        <w:br/>
        <w:t>cumplió  con  su  deber  de  identificar  a  todos  los  internos   que</w:t>
        <w:br/>
        <w:t>fallecieron y entregar los restos a sus familiares, de conformidad  con</w:t>
        <w:br/>
        <w:t>lo expuesto en los párrafos 250 y 251  de  la  presente  Sentencia,  el</w:t>
        <w:br/>
        <w:t>Estado debe adoptar todas las  medidas  necesarias  para  asegurar  que</w:t>
        <w:br/>
        <w:t>todos los internos que fallecieron como consecuencia  del  ataque  sean</w:t>
        <w:br/>
        <w:t>identificados y sus restos entregados a sus familiares, de acuerdo  con</w:t>
        <w:br/>
        <w:t>su legislación interna. En caso de que se llegue  a  identificar  otros</w:t>
        <w:br/>
        <w:t>internos fallecidos, sus  familiares  podrán  hacer  las  reclamaciones</w:t>
        <w:br/>
        <w:t>correspondientes en el derecho interno.</w:t>
        <w:br/>
        <w:br/>
        <w:t>c)    Acto público de reconocimiento de responsabilidad  en  desagravio</w:t>
        <w:br/>
        <w:t>de las víctimas y para satisfacción de sus familiares</w:t>
        <w:br/>
        <w:br/>
        <w:t>445.  Como lo ha dispuesto en  otros  casos[228],  la  Corte  considera</w:t>
        <w:br/>
        <w:t>necesario, con el fin de reparar el daño causado a las víctimas  y  sus</w:t>
        <w:br/>
        <w:t>familiares y de evitar que hechos como los de este caso se repitan, que</w:t>
        <w:br/>
        <w:t>el  Estado  realice  un  acto   público   de   reconocimiento   de   su</w:t>
        <w:br/>
        <w:t>responsabilidad  internacional  en   relación   con   las   violaciones</w:t>
        <w:br/>
        <w:t>declaradas en esta Sentencia  en  desagravio  a  las  víctimas  y  para</w:t>
        <w:br/>
        <w:t>satisfacción de sus familiares.  Este acto  deberá  realizarse  en  una</w:t>
        <w:br/>
        <w:t>ceremonia pública, con la presencia de altas autoridades del  Estado  y</w:t>
        <w:br/>
        <w:t>de las víctimas y sus familiares. El Estado debe difundir dicho acto  a</w:t>
        <w:br/>
        <w:t>través de los medios de comunicación[229], incluyendo la difusión en la</w:t>
        <w:br/>
        <w:t>radio y televisión.  Para ello, el Estado cuenta con  un  plazo  de  un</w:t>
        <w:br/>
        <w:t>año, contado a partir de la notificación de la presente Sentencia.</w:t>
        <w:br/>
        <w:br/>
        <w:br/>
        <w:t>d)    Publicación de la sentencia</w:t>
        <w:br/>
        <w:br/>
        <w:t>446.   Como  lo  ha  dispuesto  en  otros   casos,   como   medida   de</w:t>
        <w:br/>
        <w:t>satisfacción[230], y tomando en cuenta que el Perú expresó que  “acepta</w:t>
        <w:br/>
        <w:t>la reparación que se refiere a la  publicación  de  la  Sentencia”,  la</w:t>
        <w:br/>
        <w:t>Corte ordena que el Estado debe publicar en el Diario Oficial y en otro</w:t>
        <w:br/>
        <w:t>diario de amplia circulación nacional, por una sola  vez,  el  capítulo</w:t>
        <w:br/>
        <w:t>relativo a los Hechos Probados de esta Sentencia, sin las notas al  pie</w:t>
        <w:br/>
        <w:t>de página, y la parte resolutiva de la misma. Para estas  publicaciones</w:t>
        <w:br/>
        <w:t>se fija el plazo de seis meses, a  partir  de  la  notificación  de  la</w:t>
        <w:br/>
        <w:t>presente Sentencia.</w:t>
        <w:br/>
        <w:br/>
        <w:t>447.  Asimismo, el Tribunal dispone que el  Estado  debe  difundir  las</w:t>
        <w:br/>
        <w:t>referidas partes de la presente  Sentencia  a  través  de  una  emisora</w:t>
        <w:br/>
        <w:t>radial y un canal de televisión, ambos  de amplia  cobertura  nacional,</w:t>
        <w:br/>
        <w:t>al menos en dos ocasiones con un intervalo de dos  semanas  entre  cada</w:t>
        <w:br/>
        <w:t>una.  Para ello, el Estado cuenta con el plazo de seis meses, contado a</w:t>
        <w:br/>
        <w:t>partir de la notificación de la presente Sentencia.</w:t>
        <w:br/>
        <w:br/>
        <w:br/>
        <w:br/>
        <w:t>e)    Asistencia médica y psicológica</w:t>
        <w:br/>
        <w:br/>
        <w:br/>
        <w:t>448.  Algunas de las víctimas sobrevivientes, así como algunos  de  los</w:t>
        <w:br/>
        <w:t>familiares de los internos fallecidos y sobrevivientes que han  rendido</w:t>
        <w:br/>
        <w:t>testimonio ante el Tribunal o han brindado su declaración  jurada,  han</w:t>
        <w:br/>
        <w:t>expresado padecer secuelas  físicas  y/o  problemas  psicológicos  como</w:t>
        <w:br/>
        <w:t>consecuencia de los hechos de  este  caso.   Asimismo,  la  perito  Ana</w:t>
        <w:br/>
        <w:t>Deutsch manifestó en su dictamen pericial  que  es  necesario  que  las</w:t>
        <w:br/>
        <w:t>víctimas y los familiares  reciban  tratamiento  médico  y  psicológico</w:t>
        <w:br/>
        <w:t>adecuado.</w:t>
        <w:br/>
        <w:br/>
        <w:t>449.  Con el fin de contribuir a la reparación de los daños  físicos  y</w:t>
        <w:br/>
        <w:t>psicológicos, el Tribunal dispone la obligación a cargo del  Estado  de</w:t>
        <w:br/>
        <w:t>brindar  gratuitamente,  a  través  de  sus  instituciones   de   salud</w:t>
        <w:br/>
        <w:t>especializadas, el tratamiento médico y psicológico requerido  por  las</w:t>
        <w:br/>
        <w:t>víctimas  y los  familiares,  incluyendo  los  medicamentos  que  éstos</w:t>
        <w:br/>
        <w:t>requieran, tomando en consideración los padecimientos de  cada  uno  de</w:t>
        <w:br/>
        <w:t>ellos después de una evaluación individual.</w:t>
        <w:br/>
        <w:br/>
        <w:t>450.  Respecto de las víctimas que acrediten tener su domicilio  en  el</w:t>
        <w:br/>
        <w:t>exterior y prueben ante los órganos internos competentes, en la forma y</w:t>
        <w:br/>
        <w:t>plazos establecidos en el párrafo 433.c) v y vii de esta Sentencia, que</w:t>
        <w:br/>
        <w:t>con motivo de  los  hechos  del  presente  caso  necesitan  recibir  un</w:t>
        <w:br/>
        <w:t>tratamiento  médico  o   psicológico   adecuado,   el   Estado   deberá</w:t>
        <w:br/>
        <w:t>depositarles en una  cuenta  bancaria  que  cada  víctima  indique,  la</w:t>
        <w:br/>
        <w:t>cantidad de US$ 5.000,00 (cinco mil dólares de los  Estados  Unidos  de</w:t>
        <w:br/>
        <w:t>América), con el propósito de que ese dinero pueda constituir una ayuda</w:t>
        <w:br/>
        <w:t>para dicho tratamiento.</w:t>
        <w:br/>
        <w:br/>
        <w:br/>
        <w:t>f)    Medidas educativas</w:t>
        <w:br/>
        <w:br/>
        <w:br/>
        <w:br/>
        <w:t>451.  Las violaciones imputables al Estado en el  presente  caso  fueron</w:t>
        <w:br/>
        <w:t>perpetradas por personal de  la  policía,  del  ejército  y  de  fuerzas</w:t>
        <w:br/>
        <w:t>especiales de seguridad, en violación de normas imperativas  de  Derecho</w:t>
        <w:br/>
        <w:t>Internacional. Asimismo, la Corte ha indicado[231] que  para  garantizar</w:t>
        <w:br/>
        <w:t>adecuadamente el derecho a la vida y a la integridad,  los  miembros  de</w:t>
        <w:br/>
        <w:t>los cuerpos de seguridad  deben  recibir  entrenamiento  y  capacitación</w:t>
        <w:br/>
        <w:t>adecuados.</w:t>
        <w:br/>
        <w:br/>
        <w:t>452.  En consecuencia, el Estado deberá diseñar  e  implementar,  en  un</w:t>
        <w:br/>
        <w:t>plazo razonable, programas de educación en derechos humanos, dirigidos a</w:t>
        <w:br/>
        <w:t>agentes de las fuerzas  de  seguridad  peruanas,  sobre  los  estándares</w:t>
        <w:br/>
        <w:t>internacionales aplicables en materia de tratamiento de los reclusos  en</w:t>
        <w:br/>
        <w:t>situaciones de alteración del orden público en centros penitenciarios.</w:t>
        <w:br/>
        <w:br/>
        <w:t xml:space="preserve">                                      *</w:t>
        <w:br/>
        <w:t xml:space="preserve">                                   *     *</w:t>
        <w:br/>
        <w:br/>
        <w:t>453.  En cuanto  a  las  medidas  solicitadas  por  la  Comisión  y  la</w:t>
        <w:br/>
        <w:t>interviniente, sobre construcción de monumentos y  la  creación  de  un</w:t>
        <w:br/>
        <w:t>parque en “la zona de Canto Grande”, el Estado  alegó  que  “ya  se  ha</w:t>
        <w:br/>
        <w:t>erigido en un lugar público de la capital un monumento  (denominado  el</w:t>
        <w:br/>
        <w:t>Ojo que Llora) en favor de todas las  víctimas  del  conflicto,  en  un</w:t>
        <w:br/>
        <w:t>lugar público de la capital  de  la  República  y  que  es  materia  de</w:t>
        <w:br/>
        <w:t>continuos actos de recuerdo y conmemoración”.</w:t>
        <w:br/>
        <w:br/>
        <w:t>454.  Al respecto, la Corte valora la existencia del monumento y  sitio</w:t>
        <w:br/>
        <w:t>público denominado “El Ojo  que  Llora”,  creado  a  instancias  de  la</w:t>
        <w:br/>
        <w:t>sociedad civil y con la colaboración de autoridades estatales, lo  cual</w:t>
        <w:br/>
        <w:t>constituye un importante reconocimiento público a las  víctimas  de  la</w:t>
        <w:br/>
        <w:t>violencia en el Perú. Sin embargo, el Tribunal  considera  que,  dentro</w:t>
        <w:br/>
        <w:t>del plazo de un año, el Estado debe asegurarse que todas  las  personas</w:t>
        <w:br/>
        <w:t>declaradas  como  víctimas  fallecidas  en  la  presente  Sentencia  se</w:t>
        <w:br/>
        <w:t>encuentren   representadas  en  dicho  monumento.  Para  ello,   deberá</w:t>
        <w:br/>
        <w:t>coordinar con los familiares de las víctimas fallecidas la  realización</w:t>
        <w:br/>
        <w:t>de un acto, en el cual puedan incorporar una inscripción con el  nombre</w:t>
        <w:br/>
        <w:t>de la  víctima  según  la  forma  que  corresponda  de  acuerdo  a  las</w:t>
        <w:br/>
        <w:t>características del monumento.</w:t>
        <w:br/>
        <w:br/>
        <w:br/>
        <w:t xml:space="preserve">                            e)    Costas y Gastos</w:t>
        <w:br/>
        <w:br/>
        <w:t>455.  Como se ha señalado en oportunidades anteriores[232], las costas</w:t>
        <w:br/>
        <w:t>y  gastos  están  comprendidos  dentro  del  concepto  de   reparación</w:t>
        <w:br/>
        <w:t>establecido en el artículo 63.1 de la Convención Americana, puesto que</w:t>
        <w:br/>
        <w:t>la actividad desplegada  por  las  víctimas  con  el  fin  de  obtener</w:t>
        <w:br/>
        <w:t>justicia,  tanto  a  nivel  nacional   como   internacional,   implica</w:t>
        <w:br/>
        <w:t>erogaciones que deben ser compensadas cuando se declara la  existencia</w:t>
        <w:br/>
        <w:t>de responsabilidad internacional del Estado. Por  lo  que  toca  a  la</w:t>
        <w:br/>
        <w:t>cuantificación  de   ese   concepto,   el   Tribunal   debe   apreciar</w:t>
        <w:br/>
        <w:t>prudentemente su alcance, tomando en cuenta los gastos  generados  por</w:t>
        <w:br/>
        <w:t>la tramitación realizada  ante  las  autoridades  de  la  jurisdicción</w:t>
        <w:br/>
        <w:t>interna, así como los generados  en  el  curso  del  proceso  ante  el</w:t>
        <w:br/>
        <w:t>sistema interamericano, debidamente acreditados por los  destinatarios</w:t>
        <w:br/>
        <w:t>de la reparación, así como las circunstancias del caso concreto  y  la</w:t>
        <w:br/>
        <w:t>naturaleza de la  jurisdicción  internacional  de  protección  de  los</w:t>
        <w:br/>
        <w:t>derechos humanos. Esta apreciación puede sustentarse en la equidad.</w:t>
        <w:br/>
        <w:br/>
        <w:t>456.  La Corte toma en cuenta que las víctimas  y  sus  representantes</w:t>
        <w:br/>
        <w:t>incurrieron en gastos ante la Comisión y ante este Tribunal. La  Corte</w:t>
        <w:br/>
        <w:t>ha constatado que la mayor parte de los gastos fueron asumidos por  la</w:t>
        <w:br/>
        <w:t>interviniente común,  señora  Mónica  Feria  Tinta.  Asimismo,  se  ha</w:t>
        <w:br/>
        <w:t>constatado  que  los  representantes  de  otro  grupo  de  víctimas  y</w:t>
        <w:br/>
        <w:t>familiares,  conformado  por  Sabina  Astete,  Douglas  Cassel,  Peter</w:t>
        <w:br/>
        <w:t>Erlinder y Berta Flores, también incurrieron en gastos. Este  Tribunal</w:t>
        <w:br/>
        <w:t>establece, en equidad, que el Estado deberá reintegrar por concepto de</w:t>
        <w:br/>
        <w:t>costas y gastos la cantidad de US$  75.000,00  (setenta  y  cinco  mil</w:t>
        <w:br/>
        <w:t>dólares de los Estados Unidos de América o su  equivalente  en  moneda</w:t>
        <w:br/>
        <w:t>peruana) a la señora Mónica Feria Tinta (interviniente  común),  y  la</w:t>
        <w:br/>
        <w:t>cantidad de US$ 15.000,00 (quince mil dólares de los Estados Unidos de</w:t>
        <w:br/>
        <w:t>América o su equivalente en  moneda  peruana)  al  referido  grupo  de</w:t>
        <w:br/>
        <w:t>representantes que no son  el  interviniente  común.  Dicho  grupo  de</w:t>
        <w:br/>
        <w:t>representantes deberá designar una persona en su  representación  para</w:t>
        <w:br/>
        <w:t>que reciba  la  referida  cantidad.  El  Estado  deberá  pagar  dichas</w:t>
        <w:br/>
        <w:t>cantidades en el plazo de un año.</w:t>
        <w:br/>
        <w:br/>
        <w:br/>
        <w:t xml:space="preserve">                       F)    Modalidad de Cumplimiento</w:t>
        <w:br/>
        <w:br/>
        <w:t>457.  Para dar cumplimiento  a  la  presente  Sentencia,  Perú  deberá</w:t>
        <w:br/>
        <w:t>efectuar el pago de las indemnizaciones por concepto de daño  material</w:t>
        <w:br/>
        <w:t>a favor de la víctimas y sus familiares (supra párrs. 424 a 428) en el</w:t>
        <w:br/>
        <w:t>plazo de 18 meses, contado a partir de la notificación de la  presente</w:t>
        <w:br/>
        <w:t>Sentencia.  Los  familiares  inmediatos  de  las  víctimas  fallecidas</w:t>
        <w:br/>
        <w:t>identificadas que  no  han  sido  individualizados  en  este  proceso,</w:t>
        <w:br/>
        <w:t>cuentan con un plazo de 8 meses siguientes a la notificación  de  esta</w:t>
        <w:br/>
        <w:t>Sentencia para presentarse ante las autoridades competentes del Estado</w:t>
        <w:br/>
        <w:t>a acreditar su parentesco (supra párr. 420).</w:t>
        <w:br/>
        <w:br/>
        <w:t>458.  El Estado debe cumplir, en el plazo 18 meses contados  a  partir</w:t>
        <w:br/>
        <w:t>de la notificación de la  presente  Sentencia,  con  el  pago  de  las</w:t>
        <w:br/>
        <w:t>indemnizaciones por concepto de daño inmaterial (supra  párr.  433)  a</w:t>
        <w:br/>
        <w:t>favor de la víctimas y sus  familiares,  tomando  en  cuenta  que  los</w:t>
        <w:br/>
        <w:t>órganos   internos    especializados    deberán    realizar    algunas</w:t>
        <w:br/>
        <w:t>determinaciones a requerimiento de los  interesados,  quienes  cuentan</w:t>
        <w:br/>
        <w:t>con un plazo de 8 meses siguientes a la notificación de esta Sentencia</w:t>
        <w:br/>
        <w:t>para presentar la solicitud (supra párr. 433.c) v, vi, vii y d).</w:t>
        <w:br/>
        <w:br/>
        <w:t>459.   El  Estado  deberá  efectuar  la  publicación  de  las   partes</w:t>
        <w:br/>
        <w:t>pertinentes de esta Sentencia y su difusión radial y televisiva (supra</w:t>
        <w:br/>
        <w:t>párrs. 446 y 447) dentro del plazo de seis meses, contado a partir  de</w:t>
        <w:br/>
        <w:t>la notificación de la misma.</w:t>
        <w:br/>
        <w:br/>
        <w:t>460.  El Estado debe cumplir con las medidas indicadas en los párrafos</w:t>
        <w:br/>
        <w:t>436 a 442 y 452 dentro de un plazo razonable y con la medida  indicada</w:t>
        <w:br/>
        <w:t>en el párrafo 443 dentro del plazo de 6 meses.</w:t>
        <w:br/>
        <w:br/>
        <w:t>461.  En cuanto al tratamiento médico y psicológico requerido por  las</w:t>
        <w:br/>
        <w:t>víctimas y los familiares  (supra  párrs.  448  a  450),  éste  deberá</w:t>
        <w:br/>
        <w:t>brindarse en forma inmediata a quienes ya  están  identificados,  y  a</w:t>
        <w:br/>
        <w:t>partir del momento en que el Estado realice su  identificación  en  el</w:t>
        <w:br/>
        <w:t>caso de quienes no lo están actualmente,  y  por  el  tiempo  que  sea</w:t>
        <w:br/>
        <w:t>necesario.  Respecto de las  víctimas que, en el plazo de  8  meses  a</w:t>
        <w:br/>
        <w:t>partir de la  notificación  de  esta  Sentencia,  acrediten  tener  su</w:t>
        <w:br/>
        <w:t>domicilio  en  el  exterior  y  prueben  que  necesitan   recibir   un</w:t>
        <w:br/>
        <w:t>tratamiento médico o  psicológico,  el  Perú  deberá  depositarles  la</w:t>
        <w:br/>
        <w:t>cantidad de  US$ 5.000,00 (cinco mil dólares de los Estados Unidos  de</w:t>
        <w:br/>
        <w:t>América), en el plazo de 18 meses contado a partir de la  notificación</w:t>
        <w:br/>
        <w:t>de la presente Sentencia.</w:t>
        <w:br/>
        <w:br/>
        <w:t>462.  El Estado deberá adoptar la medida de reparación referida  a  la</w:t>
        <w:br/>
        <w:t>realización de un acto público de reconocimiento de su responsabilidad</w:t>
        <w:br/>
        <w:t>en relación con las violaciones declaradas  en  esta  Sentencia  y  de</w:t>
        <w:br/>
        <w:t>desagravio a las víctimas y para satisfacción de sus familiares (supra</w:t>
        <w:br/>
        <w:t>párr. 445), dentro del plazo  de  un  año,  contado  a  partir  de  la</w:t>
        <w:br/>
        <w:t>notificación de la misma.</w:t>
        <w:br/>
        <w:br/>
        <w:t>463.  El Estado deberá asegurar, dentro del plazo de un año, que todas</w:t>
        <w:br/>
        <w:t>las personas  declaradas  como  víctimas  fallecidas  en  la  presente</w:t>
        <w:br/>
        <w:t>Sentencia se encuentren representadas en el monumento llamado “El  Ojo</w:t>
        <w:br/>
        <w:t>que Llora”, de forma tal que los familiares de las víctimas fallecidas</w:t>
        <w:br/>
        <w:t>puedan incorporar una inscripción con el nombre  de  la  víctima  como</w:t>
        <w:br/>
        <w:t>corresponda conforme a las características del monumento.</w:t>
        <w:br/>
        <w:br/>
        <w:t>464.  El Estado debe reintegrar las costas y gastos dentro  del  plazo</w:t>
        <w:br/>
        <w:t>de un año, contado a partir de  la  notificación  de  esta  Sentencia,</w:t>
        <w:br/>
        <w:t>según lo dispuesto en el párrafo 456 de la misma.</w:t>
        <w:br/>
        <w:br/>
        <w:t>465.  El Estado debe cumplir sus obligaciones de  carácter  pecuniario</w:t>
        <w:br/>
        <w:t>mediante el pago en dólares de los Estados  Unidos  de  América  o  su</w:t>
        <w:br/>
        <w:t>equivalente en moneda peruana, utilizando para el  cálculo  respectivo</w:t>
        <w:br/>
        <w:t>el tipo de cambio vigente en la plaza de Nueva York, Estados Unidos de</w:t>
        <w:br/>
        <w:t>América, el día anterior al pago, con excepción del pago dispuesto  en</w:t>
        <w:br/>
        <w:t>el párrafo 450 que deberá realizarse en dólares de los Estados  Unidos</w:t>
        <w:br/>
        <w:t>de América.</w:t>
        <w:br/>
        <w:br/>
        <w:t>466.   Si  por  causas  atribuibles  a  los   beneficiarios   de   las</w:t>
        <w:br/>
        <w:t>indemnizaciones y del reintegro de costas y gastos  no  fuese  posible</w:t>
        <w:br/>
        <w:t>que éstos las reciban  dentro  de  los  plazos  indicados,  el  Estado</w:t>
        <w:br/>
        <w:t>consignará  dichos montos a favor de los beneficiarios en una cuenta o</w:t>
        <w:br/>
        <w:t>certificado de depósito en una institución bancaria peruana  solvente,</w:t>
        <w:br/>
        <w:t>en dólares  estadounidenses  y  en  las  condiciones  financieras  más</w:t>
        <w:br/>
        <w:t>favorables que permitan la legislación y  la  práctica  bancarias  del</w:t>
        <w:br/>
        <w:t>Perú.  Si  al  cabo  de  10  años  las  indemnizaciones  no  han  sido</w:t>
        <w:br/>
        <w:t>reclamadas,  las  cantidades  serán  devueltas  al  Estado,  con   los</w:t>
        <w:br/>
        <w:t>intereses devengados.</w:t>
        <w:br/>
        <w:br/>
        <w:t>467.  Las cantidades asignadas  en  la  presente  Sentencia  bajo  los</w:t>
        <w:br/>
        <w:t>conceptos de indemnizaciones y por reintegro de costas  y  gastos,  no</w:t>
        <w:br/>
        <w:t>podrán ser afectadas o condicionadas por motivos fiscales  actuales  o</w:t>
        <w:br/>
        <w:t>futuros. En consecuencia, deberán ser  entregadas  en  forma  íntegra,</w:t>
        <w:br/>
        <w:t>conforme a lo establecido en esta Sentencia.</w:t>
        <w:br/>
        <w:br/>
        <w:t>468.  En caso de que el  Estado  incurra  en  mora,  deberá  pagar  un</w:t>
        <w:br/>
        <w:t>interés  sobre  la  cantidad  adeudada,  correspondiente  al   interés</w:t>
        <w:br/>
        <w:t>bancario por mora en el Perú.</w:t>
        <w:br/>
        <w:br/>
        <w:t>469.  Conforme a  su  práctica  constante,  la  Corte  se  reserva  la</w:t>
        <w:br/>
        <w:t>facultad, inherente a  sus  atribuciones  y  derivada,  asimismo,  del</w:t>
        <w:br/>
        <w:t>artículo 65 de la Convención Americana,  de  supervisar  la  ejecución</w:t>
        <w:br/>
        <w:t>íntegra de la presente Sentencia. El caso se dará  por  concluido  una</w:t>
        <w:br/>
        <w:t>vez que el Estado haya dado cabal cumplimiento a lo  dispuesto  en  el</w:t>
        <w:br/>
        <w:t>presente fallo. Dentro del plazo de 18 meses, contado a partir  de  la</w:t>
        <w:br/>
        <w:t>notificación de esta Sentencia, el Perú deberá rendir a  la  Corte  un</w:t>
        <w:br/>
        <w:t>informe sobre las medidas adoptadas para darle cumplimiento.</w:t>
        <w:br/>
        <w:br/>
        <w:t xml:space="preserve">                                    XVII</w:t>
        <w:br/>
        <w:t xml:space="preserve">                             Puntos Resolutivos</w:t>
        <w:br/>
        <w:br/>
        <w:br/>
        <w:t>470.  Por tanto,</w:t>
        <w:br/>
        <w:br/>
        <w:t xml:space="preserve">      LA CORTE</w:t>
        <w:br/>
        <w:br/>
        <w:br/>
        <w:t>DECLARA,</w:t>
        <w:br/>
        <w:br/>
        <w:br/>
        <w:t>Por unanimidad, que:</w:t>
        <w:br/>
        <w:br/>
        <w:t>1.      Admite   el   reconocimiento   parcial   de    responsabilidad</w:t>
        <w:br/>
        <w:t>internacional efectuado por el Estado por los hechos del  6  al  9  de</w:t>
        <w:br/>
        <w:t>mayo de 1992.</w:t>
        <w:br/>
        <w:br/>
        <w:t>2.    La presente Sentencia comprende y se pronuncia tanto  sobre  los</w:t>
        <w:br/>
        <w:t>hechos del 6 al 9 de mayo de 1992, como acerca de  los  ocurridos  con</w:t>
        <w:br/>
        <w:t>posterioridad a esta última fecha.</w:t>
        <w:br/>
        <w:br/>
        <w:t>3.    El Estado violó el derecho a la vida consagrado en el artículo 4</w:t>
        <w:br/>
        <w:t>de la Convención Americana sobre Derechos Humanos, en relación con  el</w:t>
        <w:br/>
        <w:t>artículo 1.1 de la misma, en perjuicio de los 41  internos  fallecidos</w:t>
        <w:br/>
        <w:t>identificados, cuyos nombres se encuentran incluidos en el Anexo 1  de</w:t>
        <w:br/>
        <w:t>víctimas de la presente Sentencia que para estos efectos  forma  parte</w:t>
        <w:br/>
        <w:t>de ésta, en los términos de los párrafos 231 a 258 de la misma.</w:t>
        <w:br/>
        <w:br/>
        <w:t>4.    El Estado violó el derecho a la integridad  personal  consagrado</w:t>
        <w:br/>
        <w:t>en el artículo 5.1 y 5.2 de la  Convención  Americana  sobre  Derechos</w:t>
        <w:br/>
        <w:t>Humanos, en relación con el  artículo  1.1  de  dicho  tratado,  y  en</w:t>
        <w:br/>
        <w:t>conexión con los artículos 1, 6 y 8 de  la  Convención  Interamericana</w:t>
        <w:br/>
        <w:t>para Prevenir y Sancionar la Tortura, en perjuicio de los 41  internos</w:t>
        <w:br/>
        <w:t>fallecidos identificados y de los internos  que  sobrevivieron,  cuyos</w:t>
        <w:br/>
        <w:t>nombres se encuentran incluidos en  el  Anexo  2  de  víctimas  de  la</w:t>
        <w:br/>
        <w:t>presente Sentencia que para estos efectos forma parte de ésta, en  los</w:t>
        <w:br/>
        <w:t>términos de los párrafos 262 a 350 de la misma.</w:t>
        <w:br/>
        <w:br/>
        <w:t>5.    El Estado violó el derecho a la integridad  personal  consagrado</w:t>
        <w:br/>
        <w:t>en el artículo 5.1 de la Convención Americana sobre Derechos  Humanos,</w:t>
        <w:br/>
        <w:t>en relación con el artículo 1.1 de  la  misma,  en  perjuicio  de  los</w:t>
        <w:br/>
        <w:t>familiares de los internos determinados en los párrafos 336, 337,  340</w:t>
        <w:br/>
        <w:t>y 341 e identificados en  el  Anexo  2  de  víctimas  de  la  presente</w:t>
        <w:br/>
        <w:t>Sentencia que para estos efectos forma parte de ésta, en los  términos</w:t>
        <w:br/>
        <w:t>de los párrafos 334 a 350 de la misma.</w:t>
        <w:br/>
        <w:br/>
        <w:t>6.    El Estado violó los derechos a las garantías judiciales y  a  la</w:t>
        <w:br/>
        <w:t>protección judicial consagrados en  los  artículos  8.1  y  25  de  la</w:t>
        <w:br/>
        <w:t>Convención Americana  sobre  Derechos  Humanos,  en  relación  con  el</w:t>
        <w:br/>
        <w:t>artículo 1.1 de la misma, en conexión con los  artículos  7.b)  de  la</w:t>
        <w:br/>
        <w:t>Convención Interamericana para  Prevenir,  Sancionar  y  Erradicar  la</w:t>
        <w:br/>
        <w:t>Violencia contra la Mujer, y 1, 6 y 8 de la Convención  Interamericana</w:t>
        <w:br/>
        <w:t>para Prevenir y Sancionar la Tortura, en perjuicio de  los  familiares</w:t>
        <w:br/>
        <w:t>inmediatos  de  los  41  internos  fallecidos  identificados,  de  los</w:t>
        <w:br/>
        <w:t>internos  sobrevivientes  y  de  los  familiares   de   los   internos</w:t>
        <w:br/>
        <w:t>determinados en los párrafos 336, 337, 340 y 341 e identificados en el</w:t>
        <w:br/>
        <w:t>Anexo 3 de víctimas de la presente Sentencia que  para  estos  efectos</w:t>
        <w:br/>
        <w:t>forma parte de ésta, en los términos de los párrafos 372 a 408  de  la</w:t>
        <w:br/>
        <w:t>misma.</w:t>
        <w:br/>
        <w:br/>
        <w:t>7.    Esta Sentencia constituye per se una forma de reparación.</w:t>
        <w:br/>
        <w:br/>
        <w:br/>
        <w:t>Y DECIDE,</w:t>
        <w:br/>
        <w:br/>
        <w:t>Por unanimidad, que:</w:t>
        <w:br/>
        <w:br/>
        <w:t>8.    El Estado debe, en un plazo razonable,  investigar  efectivamente</w:t>
        <w:br/>
        <w:t>los hechos denunciados en el presente caso, identificar y, en su  caso,</w:t>
        <w:br/>
        <w:t>sancionar a los responsables, para lo  cual  debe  abrir  los  procesos</w:t>
        <w:br/>
        <w:t>pertinentes  y  conducir  eficazmente  los  procesos  penales  que   se</w:t>
        <w:br/>
        <w:t>encuentran en trámite así como los que se  llegaren  a  abrir,  adoptar</w:t>
        <w:br/>
        <w:t>todas las medidas necesarias que permitan el esclarecimiento  de  todos</w:t>
        <w:br/>
        <w:t>los hechos del  presente  caso,  con  el  propósito  de  determinar  la</w:t>
        <w:br/>
        <w:t>responsabilidad intelectual  y  material  de  quienes  participaron  en</w:t>
        <w:br/>
        <w:t>dichas violaciones, y divulgar públicamente  los  resultados  de  estos</w:t>
        <w:br/>
        <w:t>procesos penales, en los términos de los párrafos 436 a 442 y 460 de la</w:t>
        <w:br/>
        <w:t>presente Sentencia.</w:t>
        <w:br/>
        <w:br/>
        <w:t>9.    El Estado debe establecer, en  un  plazo  razonable,  los  medios</w:t>
        <w:br/>
        <w:t>necesarios para asegurar que la información y documentación relacionada</w:t>
        <w:br/>
        <w:t>con investigaciones policiales relativa a hechos muy graves se conserve</w:t>
        <w:br/>
        <w:t>de forma tal  que  sea  posible  llevar  a  cabo  las  correspondientes</w:t>
        <w:br/>
        <w:t>investigaciones, en los términos de  los  párrafos  442  y  460  de  la</w:t>
        <w:br/>
        <w:t>presente Sentencia.</w:t>
        <w:br/>
        <w:br/>
        <w:t>10.   El Estado  debe  realizar  todas  las  actuaciones  necesarias  y</w:t>
        <w:br/>
        <w:t>adecuadas para garantizar de manera efectiva la entrega de  los  restos</w:t>
        <w:br/>
        <w:t>de la víctima Mario Francisco Aguilar Vega a sus familiares, dentro  de</w:t>
        <w:br/>
        <w:t>un plazo de seis meses, y debe cubrir todos los gastos de  entrega  así</w:t>
        <w:br/>
        <w:t>como los gastos de entierro en los que los familiares puedan  incurrir,</w:t>
        <w:br/>
        <w:t>en los términos de los párrafos 443 y 460 de la presente Sentencia.</w:t>
        <w:br/>
        <w:br/>
        <w:t>11.   El Estado debe adoptar, en un plazo razonable, todas las  medidas</w:t>
        <w:br/>
        <w:t>necesarias para asegurar que todos los internos  que  fallecieron  como</w:t>
        <w:br/>
        <w:t>consecuencia del ataque sean identificados y sus  restos  entregados  a</w:t>
        <w:br/>
        <w:t>sus familiares, de acuerdo con su legislación interna. En caso  de  que</w:t>
        <w:br/>
        <w:t>se llegue a  identificar  otros  internos  fallecidos,  sus  familiares</w:t>
        <w:br/>
        <w:t>podrán hacer las reclamaciones correspondientes en el derecho interno.</w:t>
        <w:br/>
        <w:br/>
        <w:t>12.   El Estado debe, dentro del plazo de  un  año,  realizar  un  acto</w:t>
        <w:br/>
        <w:t>público  de  reconocimiento  de  su  responsabilidad  internacional  en</w:t>
        <w:br/>
        <w:t>relación con las violaciones declaradas en esta Sentencia en desagravio</w:t>
        <w:br/>
        <w:t>a las víctimas y para satisfacción de sus familiares, en una  ceremonia</w:t>
        <w:br/>
        <w:t>pública, con la presencia de altas autoridades  del  Estado  y  de  las</w:t>
        <w:br/>
        <w:t>víctimas y sus familiares, y debe difundir dicho acto a través  de  los</w:t>
        <w:br/>
        <w:t>medios  de  comunicación,  incluyendo  la  difusión  en  la   radio   y</w:t>
        <w:br/>
        <w:t>televisión, en los términos de los párrafos 445 y 462  de  la  presente</w:t>
        <w:br/>
        <w:t>Sentencia.</w:t>
        <w:br/>
        <w:br/>
        <w:t>13.    El  Estado  debe  brindar  gratuitamente,  a   través   de   sus</w:t>
        <w:br/>
        <w:t>instituciones  de  salud  especializadas,  el  tratamiento   médico   y</w:t>
        <w:br/>
        <w:t>psicológico requerido por las víctimas  y  los  familiares,  incluyendo</w:t>
        <w:br/>
        <w:t>los medicamentos que éstos  requieran,  tomando  en  consideración  los</w:t>
        <w:br/>
        <w:t>padecimientos  de  cada  uno  de  ellos  después  de   una   evaluación</w:t>
        <w:br/>
        <w:t>individual, en los términos de los párrafos 449 y 461  de  la  presente</w:t>
        <w:br/>
        <w:t>Sentencia.</w:t>
        <w:br/>
        <w:br/>
        <w:t>14.   El Estado debe pagar, dentro del plazo de 18 meses,  la  cantidad</w:t>
        <w:br/>
        <w:t>fijada en el párrafo 450 de la presente Sentencia a  las  víctimas  que</w:t>
        <w:br/>
        <w:t>acrediten tener su domicilio en el exterior y prueben ante los  órganos</w:t>
        <w:br/>
        <w:t>internos competentes, que con motivo de los hechos  del  presente  caso</w:t>
        <w:br/>
        <w:t>necesitan recibir un tratamiento médico o psicológico adecuado, en  los</w:t>
        <w:br/>
        <w:t>términos de los párrafos 450 y 461 de la presente Sentencia.</w:t>
        <w:br/>
        <w:br/>
        <w:t>15.   El Estado debe diseñar e  implementar,  en  un  plazo  razonable,</w:t>
        <w:br/>
        <w:t>programas de educación en derechos humanos dirigidos a agentes  de  las</w:t>
        <w:br/>
        <w:t>fuerzas de seguridad peruanas,  sobre  los  estándares  internacionales</w:t>
        <w:br/>
        <w:t>aplicables en materia de tratamiento de los reclusos, en  los  términos</w:t>
        <w:br/>
        <w:t>de los párrafos 452 y 460 de la presente Sentencia.</w:t>
        <w:br/>
        <w:br/>
        <w:t>16.   El Estado debe asegurar, dentro del plazo de un  año,  que  todas</w:t>
        <w:br/>
        <w:t>las  personas  declaradas  como  víctimas  fallecidas  en  la  presente</w:t>
        <w:br/>
        <w:t>Sentencia se encuentren representadas en el  monumento  denominado  “El</w:t>
        <w:br/>
        <w:t>Ojo que Llora”, para lo cual debe coordinar con los familiares  de  las</w:t>
        <w:br/>
        <w:t>referidas víctimas la  realización  de  un  acto,  en  el  cual  puedan</w:t>
        <w:br/>
        <w:t>incorporar una inscripción con el nombre de la víctima como corresponda</w:t>
        <w:br/>
        <w:t>conforme a las características de dicho monumento, en los  términos  de</w:t>
        <w:br/>
        <w:t>los párrafos 454 y 463 de la presente Sentencia.</w:t>
        <w:br/>
        <w:br/>
        <w:t>17.   El Estado debe, dentro del plazo de seis meses,  publicar  en  el</w:t>
        <w:br/>
        <w:t>Diario Oficial y en otro diario de amplia circulación nacional, por una</w:t>
        <w:br/>
        <w:t>sola vez, el capítulo relativo a los Hechos probados de esta Sentencia,</w:t>
        <w:br/>
        <w:t>sin las notas  al  pie  de  página,  y  la  parte  resolutiva  de  esta</w:t>
        <w:br/>
        <w:t>Sentencia, así como  difundir  las  referidas  partes  de  la  presente</w:t>
        <w:br/>
        <w:t>Sentencia a través de una emisora radial  y  un  canal  de  televisión,</w:t>
        <w:br/>
        <w:t>ambos de amplia cobertura nacional, al menos en dos  ocasiones  con  un</w:t>
        <w:br/>
        <w:t>intervalo de dos semanas  entre  cada  una,  en  los  términos  de  los</w:t>
        <w:br/>
        <w:t>párrafos 446, 447 y 459 de la presente Sentencia.</w:t>
        <w:br/>
        <w:br/>
        <w:t>18.   El Estado debe pagar, dentro del plazo de 18 meses, la  cantidad</w:t>
        <w:br/>
        <w:t>fijada en el párrafo 424 de la presente Sentencia,  por  concepto  del</w:t>
        <w:br/>
        <w:t>daño material causado a los 41 internos fallecidos  identificados,  en</w:t>
        <w:br/>
        <w:t>los términos de los párrafos 424, 457, 465, 466, 467 y 468.</w:t>
        <w:br/>
        <w:br/>
        <w:t>19.   El Estado  debe  pagar,  dentro  del  plazo  de  18  meses,  las</w:t>
        <w:br/>
        <w:t>cantidades fijadas en el párrafo 425 de  la  presente  Sentencia,  por</w:t>
        <w:br/>
        <w:t>concepto de daño material  de  los  internos  sobrevivientes,  en  los</w:t>
        <w:br/>
        <w:t>términos de los párrafos 425, 426, 457, 465, 466,  467  y  468  de  la</w:t>
        <w:br/>
        <w:t>misma.</w:t>
        <w:br/>
        <w:br/>
        <w:t>20.   El Estado  debe  pagar,  dentro  del  plazo  de  18  meses,  las</w:t>
        <w:br/>
        <w:t>cantidades fijadas en los párrafos 427 y 428 de la presente Sentencia,</w:t>
        <w:br/>
        <w:t>por concepto de daño material causado a los familiares de los internos</w:t>
        <w:br/>
        <w:t>por gastos de búsqueda y gastos de entierro, en los  términos  de  los</w:t>
        <w:br/>
        <w:t>párrafos 427, 428, 457, 465, 466, 467 y 468.</w:t>
        <w:br/>
        <w:br/>
        <w:t>21.   El Estado  debe  pagar,  dentro  del  plazo  de  18  meses,  las</w:t>
        <w:br/>
        <w:t>cantidades fijadas en el párrafo 433 de  la  presente  Sentencia,  por</w:t>
        <w:br/>
        <w:t>concepto del daño inmaterial de cada una de las 41 víctimas fallecidas</w:t>
        <w:br/>
        <w:t>identificadas y de las víctimas sobrevivientes, en los términos de los</w:t>
        <w:br/>
        <w:t>párrafos 433, 434, 458, 465, 466, 467 y 468 de la misma.</w:t>
        <w:br/>
        <w:br/>
        <w:t>22.   El Estado  debe  pagar,  dentro  del  plazo  de  18  meses,  las</w:t>
        <w:br/>
        <w:t>cantidades fijadas en el párrafo 433 de  la  presente  Sentencia,  por</w:t>
        <w:br/>
        <w:t>concepto  del  daño  inmaterial  correspondiente  a   los   familiares</w:t>
        <w:br/>
        <w:t>inmediatos  de  las  41  víctimas  fallecidas  identificadas,  en  los</w:t>
        <w:br/>
        <w:t>términos de los párrafos 433, 434, 458, 465, 466,  467  y  468  de  la</w:t>
        <w:br/>
        <w:t>misma.</w:t>
        <w:br/>
        <w:br/>
        <w:t>23.   El Estado  debe  pagar,  dentro  del  plazo  de  18  meses,  las</w:t>
        <w:br/>
        <w:t>cantidades fijadas en el párrafo 433 de  la  presente  Sentencia,  por</w:t>
        <w:br/>
        <w:t>concepto  del  daño  inmaterial  correspondiente  a   los   familiares</w:t>
        <w:br/>
        <w:t>declarados víctimas de la violación al artículo  5  de  la  Convención</w:t>
        <w:br/>
        <w:t>Americana  determinados  en  los  párrafos  336,  337,  340  y  341  e</w:t>
        <w:br/>
        <w:t>identificados en el Anexo 2 de víctimas de la presente  Sentencia  que</w:t>
        <w:br/>
        <w:t>para estos efectos forma  parte  de  ésta,  en  los  términos  de  los</w:t>
        <w:br/>
        <w:t>párrafos 433, 434, 458, 465, 466, 467 y 468 de la misma.</w:t>
        <w:br/>
        <w:br/>
        <w:t>24.   Supervisará la ejecución íntegra de esta Sentencia, y  dará  por</w:t>
        <w:br/>
        <w:t>concluido el presente caso una vez  que  el  Estado  haya  dado  cabal</w:t>
        <w:br/>
        <w:t>cumplimiento a lo dispuesto en la misma. Dentro del plazo de 18 meses,</w:t>
        <w:br/>
        <w:t>contado a partir de la  notificación  de  esta  Sentencia,  el  Estado</w:t>
        <w:br/>
        <w:t>deberá rendir a la Corte un informe sobre las medidas  adoptadas  para</w:t>
        <w:br/>
        <w:t>darle cumplimiento, en los términos del párrafo  469  de  la  presente</w:t>
        <w:br/>
        <w:t>Sentencia.</w:t>
        <w:br/>
        <w:br/>
        <w:t>Los Jueces García Ramírez y Cançado Trindade  hicieron  conocer  a  la</w:t>
        <w:br/>
        <w:t>Corte sus Votos Razonados sobre  el  punto  resolutivo  sexto.  Dichos</w:t>
        <w:br/>
        <w:t>votos acompañan esta Sentencia.</w:t>
        <w:br/>
        <w:br/>
        <w:br/>
        <w:br/>
        <w:br/>
        <w:br/>
        <w:t>Redactada en español e inglés, haciendo fe  el  texto  en  español,  en  San</w:t>
        <w:br/>
        <w:t>José, Costa Rica, el 25 de noviembre de 2006.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|Alirio Abreu Burelli              |Antônio A. Cançado Trindade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|Cecilia Medina Quiroga            |Manuel E. Ventura Robles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t xml:space="preserve">                VOTO RAZONADO DEL JUEZ SERGIO GARCÍA RAMÍREZ</w:t>
        <w:br/>
        <w:t xml:space="preserve">                      CON RESPECTO A LA SENTENCIA DE LA</w:t>
        <w:br/>
        <w:t xml:space="preserve">                  CORTE INTERAMERICANA DE DERECHOS HUMANOS</w:t>
        <w:br/>
        <w:t xml:space="preserve">                         EN EL CASO CASTRO Y CASTRO,</w:t>
        <w:br/>
        <w:t xml:space="preserve">                         DEL 25 DE NOVIEMBRE DE 2006</w:t>
        <w:br/>
        <w:br/>
        <w:br/>
        <w:br/>
        <w:br/>
        <w:t>1.    En este Voto me  referiré  a  dos  cuestiones  que  analiza  la  Corte</w:t>
        <w:br/>
        <w:t>Interamericana en la Sentencia dictada en el Caso Castro Castro (Perú),  del</w:t>
        <w:br/>
        <w:t>25 de noviembre de 2006, que es, por  cierto,  una  fecha  simbólica  en  el</w:t>
        <w:br/>
        <w:t>compromiso general de combatir toda forma de violencia contra la mujer.  Una</w:t>
        <w:br/>
        <w:t>de esas cuestiones, de la que me ocuparé  en  primer  término  y  con  mayor</w:t>
        <w:br/>
        <w:t>amplitud, corresponde a  la  aplicación,  por  parte  del  Tribunal,  de  la</w:t>
        <w:br/>
        <w:t>Convención Interamericana para Prevenir, Sancionar y Erradicar la  Violencia</w:t>
        <w:br/>
        <w:t>contra la Mujer, del 9 de junio de 1994, bien conocida bajo el nombre de  la</w:t>
        <w:br/>
        <w:t>población en la que se suscribió: Convención  de  Belém  do  Pará.  La  otra</w:t>
        <w:br/>
        <w:t>concierne al frecuente, intenso y doloroso tema de la vida en reclusorios  y</w:t>
        <w:br/>
        <w:t>la relación que existe, a propósito de la persecución  penal  --en  términos</w:t>
        <w:br/>
        <w:t>amplios--,  entre  el  poder  público   y   los   particulares,   penalmente</w:t>
        <w:br/>
        <w:t>responsables o no, sobre los que aquélla se ejerce.</w:t>
        <w:br/>
        <w:br/>
        <w:br/>
        <w:t xml:space="preserve">      APLICACIÓN DE LA CONVENCIÓN DE BELÉM DO PARÁ</w:t>
        <w:br/>
        <w:br/>
        <w:br/>
        <w:t>2.    La tutela de los derechos humanos  requiere  instrumentos  de  alcance</w:t>
        <w:br/>
        <w:t>general y específico que integran, conjuntamente, el “escudo de  protección”</w:t>
        <w:br/>
        <w:t>requerido por  grandes  sectores  de  la  población.  Evidentemente,  no  ha</w:t>
        <w:br/>
        <w:t>bastado con las declaraciones  y  los  pactos  en  los  que  se  enuncian  y</w:t>
        <w:br/>
        <w:t>garantizan los derechos y las libertades de los seres humanos en general,  a</w:t>
        <w:br/>
        <w:t>veces acogidos como “derechos del hombre” --la más antigua denominación--  y</w:t>
        <w:br/>
        <w:t>actualmente,  con  la   mayor   frecuencia,   como   “derechos   humanos   o</w:t>
        <w:br/>
        <w:t>fundamentales”. Si bastara con aquellos, en  tanto  aluden  a  derechos  que</w:t>
        <w:br/>
        <w:t>todos compartimos bajo la condición de seres humanos, y si fuese  suficiente</w:t>
        <w:br/>
        <w:t>la proclamación de la igualdad y la no discriminación, que  poseen  carácter</w:t>
        <w:br/>
        <w:t>universal, no sería necesario contar con  ciertos  instrumentos  de  alcance</w:t>
        <w:br/>
        <w:t>más específico, referentes a derechos y libertades de esos grandes  sectores</w:t>
        <w:br/>
        <w:t>de la población.</w:t>
        <w:br/>
        <w:br/>
        <w:t>3.    Ha sido necesario --más aún, indispensable-- disponer de</w:t>
        <w:br/>
        <w:t>declaraciones y tratados específicos, que abarcan hipótesis de enorme</w:t>
        <w:br/>
        <w:t>importancia cualitativa y cuantitativa. Destaca la protección de los</w:t>
        <w:br/>
        <w:t>derechos de la mujer, vulnerable por diversos motivos, acosada por riesgos,</w:t>
        <w:br/>
        <w:t>restricciones y vulneraciones que poseen identidad característica y enlazan</w:t>
        <w:br/>
        <w:t>no sólo con las condiciones derivadas de la biología, sino también, y acaso</w:t>
        <w:br/>
        <w:t>sobre todo, en circunstancias culturales que no ha sido posible</w:t>
        <w:br/>
        <w:t>contrarrestar, suprimir, disipar --y en ocasiones ni siquiera moderar--, no</w:t>
        <w:br/>
        <w:t>obstante el esfuerzo realizado en este sentido por sucesivas generaciones.</w:t>
        <w:br/>
        <w:t>El requerimiento de medidas específicas de protección se observa y atiende</w:t>
        <w:br/>
        <w:t>tanto en el plano internacional como en los órdenes nacionales.</w:t>
        <w:br/>
        <w:br/>
        <w:t>4.    Esta corriente ha predominado en América. Cuando se planteó, en la</w:t>
        <w:br/>
        <w:t>Conferencia sobre los Problemas de la Guerra y de la Paz (Conferencia de</w:t>
        <w:br/>
        <w:t>Chapultepec, México, 1945) el establecimiento de un régimen de tutela de</w:t>
        <w:br/>
        <w:t>los derechos humanos, que incluyese una jurisdicción especializada, surgió</w:t>
        <w:br/>
        <w:t>la propuesta  --que no era insólita-- de que el correspondiente instrumento</w:t>
        <w:br/>
        <w:t>declarativo --y preceptivo-- abarcase, explícitamente, a hombres y mujeres.</w:t>
        <w:br/>
        <w:t>Así, el presidente de la delegación de Uruguay en dicho encuentro solicitó,</w:t>
        <w:br/>
        <w:t>en un discurso del 22 de febrero de 1945, la expedición de una “nueva</w:t>
        <w:br/>
        <w:t>Declaración de los Derechos del Hombre y de la Mujer”. En suma, se reiteró</w:t>
        <w:br/>
        <w:t>--como antes, durante y después-- la pertinencia, la urgencia inclusive, de</w:t>
        <w:br/>
        <w:t>amparar con referencias y figuras especiales a esa mitad de la humanidad</w:t>
        <w:br/>
        <w:t>que solía quedar --y suele quedar-- en la penumbra cuando se trata de</w:t>
        <w:br/>
        <w:t>trasladar a la realidad los enunciados generales de protección de los seres</w:t>
        <w:br/>
        <w:t>humanos.</w:t>
        <w:br/>
        <w:br/>
        <w:t>5.    No es mi propósito emprender en este Voto la relación de los trabajos</w:t>
        <w:br/>
        <w:t>conducentes a consolidar aquel propósito, en los diversos espacios en que</w:t>
        <w:br/>
        <w:t>se han manifestado: mundial y regionales. Me concentro en la Convención</w:t>
        <w:br/>
        <w:t>Americana sobre Derechos Humanos. A partir de 1969 se ha construido,</w:t>
        <w:br/>
        <w:t>gradualmente, un corpus juris hemisférico sobre derechos humanos, que hoy</w:t>
        <w:br/>
        <w:t>abarca sendos protocolos y tratados, entre los que figura la aludida</w:t>
        <w:br/>
        <w:t>Convención de Belém do Pará, una suerte de “carta magna específica” de los</w:t>
        <w:br/>
        <w:t>derechos de la mujer --o mejor: de las mujeres-- que constituye capítulo</w:t>
        <w:br/>
        <w:t>separado y sustancial en el corpus juris pleno que constituye el estatuto</w:t>
        <w:br/>
        <w:t>del ser humano contemporáneo, apoyado en el doble cimiento que le</w:t>
        <w:br/>
        <w:t>proporcionan el orden de los derechos humanos a escala mundial y el orden</w:t>
        <w:br/>
        <w:t>de la misma especialidad en la dimensión continental.</w:t>
        <w:br/>
        <w:br/>
        <w:t>6.    Hasta hoy, la Corte Interamericana no había recibido consultas o</w:t>
        <w:br/>
        <w:t>litigios que tuviesen como personaje principal --o, al menos, como uno de</w:t>
        <w:br/>
        <w:t>los personajes principales, de manera específica--, a la mujer. Obviamente,</w:t>
        <w:br/>
        <w:t>la Corte ha abordado temas en los que se proyecta la cuestión de la</w:t>
        <w:br/>
        <w:t>igualdad a propósito del género  (como la Opinión Consultiva OC-4/84,</w:t>
        <w:br/>
        <w:t>“Propuesta de modificación a la Constitución Política de Costa Rica</w:t>
        <w:br/>
        <w:t>relacionada con la naturalización”, resuelta el 19 de enero de 1984), e</w:t>
        <w:br/>
        <w:t>igualmente ha debido conocer de casos que atañen a mujeres a título de</w:t>
        <w:br/>
        <w:t>víctimas de violaciones de derechos humanos o personas en riesgo, cuya</w:t>
        <w:br/>
        <w:t>situación amerita medidas provisionales de carácter cautelar y tutelar. Sin</w:t>
        <w:br/>
        <w:t>embargo, en estos casos la violación o el riesgo no ponía a la vista,</w:t>
        <w:br/>
        <w:t>necesariamente, consideraciones vinculadas directa e inmediatamente con la</w:t>
        <w:br/>
        <w:t>condición femenina de la víctima.</w:t>
        <w:br/>
        <w:br/>
        <w:t>7.    No corresponde a la Corte --que carece de la potestad de atracción y</w:t>
        <w:br/>
        <w:t>rechazo de cuestiones contenciosas, y tampoco puede sugerir formalmente</w:t>
        <w:br/>
        <w:t>temas para consulta-- suscitar el envío de demandas o solicitudes de</w:t>
        <w:br/>
        <w:t>opinión sobre asuntos específicos, independientemente de la mayor o menor</w:t>
        <w:br/>
        <w:t>relevancia que éstos pudieran tener para la formulación de la</w:t>
        <w:br/>
        <w:t>jurisprudencia interamericana. La selección de casos incumbe solamente a</w:t>
        <w:br/>
        <w:t>quienes han sido investidos de legitimación procesal para proponerlos a la</w:t>
        <w:br/>
        <w:t>consideración  de  la Corte, sujetos a sus propios ordenamientos y dotados</w:t>
        <w:br/>
        <w:t>de autonomía --que la Corte no puede cuestionar-- para formular el</w:t>
        <w:br/>
        <w:t>planteamiento, suscitando así el desempeño jurisdiccional. De ahí que la</w:t>
        <w:br/>
        <w:t>Corte no se hubiese ocupado de ciertos extremos concernientes a derechos de</w:t>
        <w:br/>
        <w:t>las mujeres, aunque lo hubiera hecho a propósito de otros grupos de</w:t>
        <w:br/>
        <w:t>población, también relevantes y vulnerables, de muy diversas</w:t>
        <w:br/>
        <w:t>características: menores de edad, miembros de comunidades indígenas,</w:t>
        <w:br/>
        <w:t>trabajadores migrantes, detenidos, desplazados, etcétera.</w:t>
        <w:br/>
        <w:br/>
        <w:t>8.    En el caso al que corresponde la Sentencia que acompaño con este Voto</w:t>
        <w:br/>
        <w:t>se ha planteado, por primera vez, la aplicabilidad de la Convención de</w:t>
        <w:br/>
        <w:t>Belém do Pará, acerca de la cual no existe pronunciamiento anterior de la</w:t>
        <w:br/>
        <w:t>Corte. Los había, en cambio, en otros casos referentes a la aplicabilidad y</w:t>
        <w:br/>
        <w:t>aplicación de instrumentos del corpus juris americano de los derechos</w:t>
        <w:br/>
        <w:t>humanos diferentes de la CADH: Protocolo de San Salvador, Convención</w:t>
        <w:br/>
        <w:t>Interamericana para Prevenir y Sancionar la Tortura y Convención</w:t>
        <w:br/>
        <w:t>Interamericana sobre Desaparición Forzada de Personas. Este camino se</w:t>
        <w:br/>
        <w:t>hallaba, pues, suficientemente transitado; en cambio, aquél estaba</w:t>
        <w:br/>
        <w:t>pendiente de planteamiento, análisis y solución. Había sido, hasta hoy, un</w:t>
        <w:br/>
        <w:t>“tema inexplorado”, sin definición. Ya no lo es, gracias a la sentencia</w:t>
        <w:br/>
        <w:t>dictada por la Corte Interamericana de Derechos Humanos en el Caso Castro</w:t>
        <w:br/>
        <w:t>Castro.</w:t>
        <w:br/>
        <w:br/>
        <w:t>9.    La materia sugiere por lo menos dos consideraciones. Ante todo,</w:t>
        <w:br/>
        <w:t>resulta claro --a la luz de los desarrollos del Derecho nacional e</w:t>
        <w:br/>
        <w:t>internacional de los derechos humanos, pero sobre todo a la sombra de una</w:t>
        <w:br/>
        <w:t>realidad tenaz y lacerante-- la necesidad de afirmar la protección</w:t>
        <w:br/>
        <w:t>específica que requieren los derechos y libertades de las mujeres,</w:t>
        <w:br/>
        <w:t>afirmación que constituye una pieza indispensable para la construcción</w:t>
        <w:br/>
        <w:t>integral del sistema de protección de los derechos humanos y su vigencia</w:t>
        <w:br/>
        <w:t>eficaz. Militar en esta dirección significa avanzar en un rumbo establecido</w:t>
        <w:br/>
        <w:t>--aunque siempre sembrado de obstáculos, limitaciones y contradicciones--,</w:t>
        <w:br/>
        <w:t>de manera consecuente con las mejores tendencias en esta etapa de la</w:t>
        <w:br/>
        <w:t>extensa y difícil historia de la igualación de las mujeres y los varones</w:t>
        <w:br/>
        <w:t>ante la ley (y, más todavía, ante la aplicación de la ley a la realidad</w:t>
        <w:br/>
        <w:t>estricta).</w:t>
        <w:br/>
        <w:br/>
        <w:t>10.   Por supuesto, cuando me refiero a derechos y libertades de las</w:t>
        <w:br/>
        <w:t>mujeres estoy aludiendo a dos sectores en ese universo de protección</w:t>
        <w:br/>
        <w:t>jurídica: a) por una parte, aquellos que comparten, sin salvedad ni</w:t>
        <w:br/>
        <w:t>distinción, con los varones: derechos generales; y b) por otra parte,</w:t>
        <w:br/>
        <w:t>aquellos que se relacionan en forma directa y exclusiva --o casi exclusiva--</w:t>
        <w:br/>
        <w:t xml:space="preserve"> con la condición de mujeres que tienen sus titulares. En este último</w:t>
        <w:br/>
        <w:t>sector se impone la adopción de medidas  especiales  que reconozcan</w:t>
        <w:br/>
        <w:t>características propias de las mujeres --ejemplo evidente es la protección</w:t>
        <w:br/>
        <w:t>previa y posterior al parto-- y que restablezcan, introduzcan o favorezcan</w:t>
        <w:br/>
        <w:t>la igualación entre varones y mujeres en ámbitos en los que éstas se han</w:t>
        <w:br/>
        <w:t>encontrado en situación desfavorable frente a aquéllos por consideraciones</w:t>
        <w:br/>
        <w:t>culturales, económicas, políticas, religiosas, etcétera.</w:t>
        <w:br/>
        <w:br/>
        <w:t>11.   En pronunciamientos acerca de la igualdad ante la ley y otros puntos</w:t>
        <w:br/>
        <w:t>aledaños, la Corte ha dejado claramente establecido que el principio de</w:t>
        <w:br/>
        <w:t>igualdad y no discriminación no sufre lesión o merma cuando se brinda trato</w:t>
        <w:br/>
        <w:t>diferente a personas cuya situación lo justifica, precisamente para</w:t>
        <w:br/>
        <w:t>colocarlas en posición de ejercer verdaderamente los derechos y aprovechar</w:t>
        <w:br/>
        <w:t>auténticamente las garantías que la ley reconoce a todas las personas. La</w:t>
        <w:br/>
        <w:t>desigualdad real, la marginación, la vulnerabilidad, la debilidad deben ser</w:t>
        <w:br/>
        <w:t>compensadas con medidas razonables y suficientes que generen o auspicien,</w:t>
        <w:br/>
        <w:t>en la mayor medida posible, condiciones de igualdad y ahuyenten la</w:t>
        <w:br/>
        <w:t>discriminación. El principio de juridicidad --que tiene raíz en el trato</w:t>
        <w:br/>
        <w:t>igual para todos-- no sólo no excluye, sino reclama, la admisión --más</w:t>
        <w:br/>
        <w:t>todavía: la exigencia-- de una especificidad que alimente ese trato</w:t>
        <w:br/>
        <w:t>igualitario y evite el naufragio al que frecuentemente se halla expuesto.</w:t>
        <w:br/>
        <w:br/>
        <w:t>12.   Por todo ello, es perfectamente justificable, además de deseable, que</w:t>
        <w:br/>
        <w:t>la defensa de los derechos de la mujer que se halla depositada en</w:t>
        <w:br/>
        <w:t>declaraciones y convenciones específicas sobre esta materia acuda al primer</w:t>
        <w:br/>
        <w:t>plano en la consideración de los órganos internacionales de protección. Esa</w:t>
        <w:br/>
        <w:t>admisión relevante contribuye a esclarecer, fortalecer y engrandecer el</w:t>
        <w:br/>
        <w:t>sistema protector en su conjunto. Resulta consecuente con los fines que</w:t>
        <w:br/>
        <w:t>este se propone y es pertinente y oportuno si se toma en cuenta cuál es la</w:t>
        <w:br/>
        <w:t>situación que a menudo prevalece en esta materia. Así, existe una razón de</w:t>
        <w:br/>
        <w:t>derecho sustantivo que sustenta el interés cifrado en la Convención de</w:t>
        <w:br/>
        <w:t>Belém do Pará.</w:t>
        <w:br/>
        <w:br/>
        <w:t>13.   Resuelta esa primera cuestión, surge la relativa a la aplicabilidad</w:t>
        <w:br/>
        <w:t>y, en consecuencia, a la aplicación de aquel instrumento por parte de la</w:t>
        <w:br/>
        <w:t>Corte Interamericana en un caso concreto, en el desempeño de su</w:t>
        <w:br/>
        <w:t>jurisdicción contenciosa, de manera tal que la sentencia analice y resuelva</w:t>
        <w:br/>
        <w:t>sobre la afectación que pudo sufrir la presunta víctima conforme a la</w:t>
        <w:br/>
        <w:t>Convención de Belém do Pará. ¿Tiene la Corte Interamericana atribuciones</w:t>
        <w:br/>
        <w:t>para formular la declaración relativa a esa afectación, que formaría parte</w:t>
        <w:br/>
        <w:t>de la porción declarativa de una sentencia, y para disponer, a partir de</w:t>
        <w:br/>
        <w:t>ahí, ciertas consecuencias derivadas del hecho ilícito declarado, que sería</w:t>
        <w:br/>
        <w:t>parte de la porción condenatoria de la sentencia?</w:t>
        <w:br/>
        <w:br/>
        <w:t>14.   Esta interrogante, con los efectos correspondientes, se hallaba</w:t>
        <w:br/>
        <w:t>resuelta frente a la CADH --soporte de la jurisdicción misma de la Corte,</w:t>
        <w:br/>
        <w:t>en sus diversas vertientes--, así como ante el Protocolo de San Salvador,</w:t>
        <w:br/>
        <w:t>la Convención relativa a la Tortura y la Convención referente a</w:t>
        <w:br/>
        <w:t>Desaparición Forzada. Ahora lo está en lo que respecta a la Convención de</w:t>
        <w:br/>
        <w:t>Belém do Pará, en torno a la cual han existido diversos puntos de vista.</w:t>
        <w:br/>
        <w:t>Desde luego, son respetables los diversos pareceres. No me permitiría</w:t>
        <w:br/>
        <w:t>desecharlos y mucho menos censurarlos en la medida en que no coincidan con</w:t>
        <w:br/>
        <w:t>el mío, pero debo expresar --con respeto para ellos-- la opinión que</w:t>
        <w:br/>
        <w:t>finalmente he sustentado a la hora de votar la Sentencia.</w:t>
        <w:br/>
        <w:br/>
        <w:t>15.   Las potestades de un órgano jurisdiccional derivan, necesariamente,</w:t>
        <w:br/>
        <w:t>de la norma que lo instituye, organiza y gobierna. Esta vinculación entre</w:t>
        <w:br/>
        <w:t>norma jurídica, por una parte, y jurisdicción, por la otra --expresión, en</w:t>
        <w:br/>
        <w:t>el orden jurisdiccional, del principio de legalidad--, constituye una</w:t>
        <w:br/>
        <w:t>preciosa garantía para los justiciables y un dato natural y necesario del</w:t>
        <w:br/>
        <w:t>Estado de Derecho. Sería inadmisible y extraordinariamente peligroso para</w:t>
        <w:br/>
        <w:t>las personas que un órgano jurisdiccional pretendiese “construir”, a partir</w:t>
        <w:br/>
        <w:t>de su voluntad, la competencia que le parezca pertinente. Este</w:t>
        <w:br/>
        <w:t>“voluntarismo creador de jurisdicción” pondría en riesgo el conjunto de los</w:t>
        <w:br/>
        <w:t>derechos y las libertades de las personas y constituiría una forma de</w:t>
        <w:br/>
        <w:t>tiranía no menos lesiva que la ejercida por otros órganos del poder</w:t>
        <w:br/>
        <w:t>público. Es posible que resulte aconsejable, conforme a la evolución de los</w:t>
        <w:br/>
        <w:t>hechos o del derecho, extender el ámbito jurisdiccional de un órgano de</w:t>
        <w:br/>
        <w:t>esta naturaleza, a fin de que concurra mejor a la satisfacción de</w:t>
        <w:br/>
        <w:t>necesidades sociales. Pero esa extensión debe operar a partir de la reforma</w:t>
        <w:br/>
        <w:t>normativa y no apenas de la decisión voluntariosa --y en esencia arbitraria-</w:t>
        <w:br/>
        <w:t>- del órgano jurisdiccional.</w:t>
        <w:br/>
        <w:br/>
        <w:t>16.   Consecuentemente, un tribunal --y en el caso concreto, la Corte</w:t>
        <w:br/>
        <w:t>Interamericana-- ha de explorar en el universo normativo al que debe</w:t>
        <w:br/>
        <w:t>disciplinar su desempeño las disposiciones que le confieren o le niegan</w:t>
        <w:br/>
        <w:t>atribuciones para conocer de ciertas contiendas. Esta es la primera</w:t>
        <w:br/>
        <w:t>cuestión que analiza y resuelve el órgano jurisdiccional que recibe una</w:t>
        <w:br/>
        <w:t>demanda de justicia. El punto no reviste mayor complicación cuando existe</w:t>
        <w:br/>
        <w:t>una norma clara, enfática, que de manera directa y explícita confiere esas</w:t>
        <w:br/>
        <w:t>atribuciones. Obviamente, tampoco la hay cuando la norma niega semejante</w:t>
        <w:br/>
        <w:t>posibilidad o la concede a un órgano diferente de aquel que está analizando</w:t>
        <w:br/>
        <w:t>y resolviendo sobre su propia competencia.</w:t>
        <w:br/>
        <w:br/>
        <w:t>17.   Existe una tercera situación, que se plantea cuando las disposiciones</w:t>
        <w:br/>
        <w:t>del ordenamiento sobre derechos humanos contienen algún régimen sobre el</w:t>
        <w:br/>
        <w:t>control de la materia por parte de los órganos internacionales de</w:t>
        <w:br/>
        <w:t>protección, pero la fórmula que utilizan no es por sí misma, prima facie,</w:t>
        <w:br/>
        <w:t>suficientemente explícita o unívoca, o difiere de la utilizada en otros</w:t>
        <w:br/>
        <w:t>casos. En esta hipótesis, el tribunal debe interpretar la disposición y</w:t>
        <w:br/>
        <w:t>hallar su significado. No digo, por supuesto, que debe “integrar” el</w:t>
        <w:br/>
        <w:t>ordenamiento y crear, a partir de su voluntad o de su imaginación, una</w:t>
        <w:br/>
        <w:t>competencia que no se encuentra recogida, en lo absoluto, en la norma sobre</w:t>
        <w:br/>
        <w:t>control de convencionalidad de los actos del Estado. Su poder no llega tan</w:t>
        <w:br/>
        <w:t>lejos: sólo debe desentrañar el sentido de la disposición oscura o elusiva</w:t>
        <w:br/>
        <w:t>y establecer, a través de ese proceso lógico-jurídico, su sentido y</w:t>
        <w:br/>
        <w:t>alcance. Es esto lo que ha hecho la Corte Interamericana a propósito de la</w:t>
        <w:br/>
        <w:t>Convención de Belém do Pará y su aplicabilidad al presente caso.</w:t>
        <w:br/>
        <w:br/>
        <w:t>18.   Es deseable que los instrumentos del corpus juris americano contengan</w:t>
        <w:br/>
        <w:t>mandamientos inequívocos, meridianamente claros, cuya interpretación no</w:t>
        <w:br/>
        <w:t>requiera mayor esfuerzo para el aplicador de la norma, e inclusive para</w:t>
        <w:br/>
        <w:t>cualquier lector. Se trata, en fin de cuentas, de la transparencia del</w:t>
        <w:br/>
        <w:t>significado de la norma, en bien de cuantos se hallan obligados o</w:t>
        <w:br/>
        <w:t>favorecidos por ella, transparencia conveniente en todos los planos de la</w:t>
        <w:br/>
        <w:t>regulación jurídica. Sin embargo, en nuestro corpus juris específico hay</w:t>
        <w:br/>
        <w:t>diversidad de fórmulas para aludir a la responsabilidad internacional de</w:t>
        <w:br/>
        <w:t>los Estados y al correspondiente control cuando existe incumplimiento de</w:t>
        <w:br/>
        <w:t>los deberes asumidos. Cada tratado emplea su propio giro; cada uno</w:t>
        <w:br/>
        <w:t>requiere, por lo tanto, un esfuerzo autónomo de interpretación, que no</w:t>
        <w:br/>
        <w:t>puede aplicar sencillamente los razonamientos y las conclusiones que</w:t>
        <w:br/>
        <w:t>sustentaron, en este punto, el entendimiento de otros textos depositados en</w:t>
        <w:br/>
        <w:t>previos instrumentos.</w:t>
        <w:br/>
        <w:br/>
        <w:t>19.    Conviene revisar la forma en que se refieren a nuestro asunto los</w:t>
        <w:br/>
        <w:t>tratados que contienen disposiciones acerca del control internacional, en</w:t>
        <w:br/>
        <w:t>la inteligencia de que hay otros que no aluden a éste. De la revisión se</w:t>
        <w:br/>
        <w:t>desprende una gran diversidad de expresiones para aludir a un mismo punto y</w:t>
        <w:br/>
        <w:t>regularlo de manera esencialmente coincidente. En este punto es preciso</w:t>
        <w:br/>
        <w:t>mencionar también la existencia de una distinción adicional, que se</w:t>
        <w:br/>
        <w:t>detallará adelante: mientras ciertos ordenamientos  --así, la CADH, por</w:t>
        <w:br/>
        <w:t>ejemplo-- no incluyen restricciones al conocimiento de la Corte, ratione</w:t>
        <w:br/>
        <w:t>materiae, otros lo acotan a determinadas disposiciones --así, el Protocolo</w:t>
        <w:br/>
        <w:t>de San Salvador, también por ejemplo.</w:t>
        <w:br/>
        <w:br/>
        <w:t>20.   No ignoro la diversidad de circunstancias que pudieran rodear la</w:t>
        <w:br/>
        <w:t>preparación de cada instrumento internacional, ni pierdo de vista las</w:t>
        <w:br/>
        <w:t>vicisitudes que regularmente se hallan en la base de cada selección de</w:t>
        <w:br/>
        <w:t>textos, que entraña una compleja decisión jurídico y política, tras un</w:t>
        <w:br/>
        <w:t>proceso de reflexión y negociación. Más allá de la evidente variedad de</w:t>
        <w:br/>
        <w:t>expresiones, lo que importa es el progreso que cada instrumento ha</w:t>
        <w:br/>
        <w:t>significado en la protección de los derechos humanos --que está lejos de su</w:t>
        <w:br/>
        <w:t>puerto de arribo-- y la necesidad de considerar tanto el conjunto como cada</w:t>
        <w:br/>
        <w:t>uno de sus componentes en forma tal que concurra a esa protección y</w:t>
        <w:br/>
        <w:t>exprese, desde cierta perspectiva consecuente con su especialidad, nuevos</w:t>
        <w:br/>
        <w:t>pasos adelante en el avance hacia un destino compartido.</w:t>
        <w:br/>
        <w:br/>
        <w:t>21.   Como es natural, el mandamiento primordial acerca del tema que ahora</w:t>
        <w:br/>
        <w:t>me interesa se halla en la CADH y en el Estatuto de la Corte</w:t>
        <w:br/>
        <w:t>Interamericana, que reconocen a la Corte competencia --en el orden</w:t>
        <w:br/>
        <w:t>contenciosa, además de hacerlo en la vertiente consultiva-- para resolver</w:t>
        <w:br/>
        <w:t>cualquier cuestión relativa a la interpretación y aplicación de ese tratado</w:t>
        <w:br/>
        <w:t>central del corpus juris americano (artículos 62 de la CADH y 1 del</w:t>
        <w:br/>
        <w:t>Estatuto). No hay duda al respecto, aunque se han planteado cuestiones,</w:t>
        <w:br/>
        <w:t>oportunamente resueltas por la Corte, en torno a la competencia de ésta a</w:t>
        <w:br/>
        <w:t>propósito de los litigios concernientes a un Estado que resuelve sustraerse</w:t>
        <w:br/>
        <w:t>a la competencia contenciosa a través de un acto unilateral --que no</w:t>
        <w:br/>
        <w:t>constituye denuncia de la Convención-- y acerca de la potestad de la Corte</w:t>
        <w:br/>
        <w:t>para supervisar el cumplimiento de sus determinaciones vinculantes.</w:t>
        <w:br/>
        <w:br/>
        <w:t>22.   El Protocolo de San Salvador se refiere a este asunto en términos</w:t>
        <w:br/>
        <w:t>diferentes. Pudo hacerlo en la misma forma que la CADH. Con todo, esos</w:t>
        <w:br/>
        <w:t>términos no requieren mayor esfuerzo por parte del intérprete. En efecto,</w:t>
        <w:br/>
        <w:t>el artículo 19.6 manifiesta que la violación de los artículos 8,a) (derecho</w:t>
        <w:br/>
        <w:t>de asociación sindical), y 13 (derecho a la educación) podría dar lugar,</w:t>
        <w:br/>
        <w:t>mediante la participación de la Comisión Interamericana de Derechos</w:t>
        <w:br/>
        <w:t>Humanos, y cuando proceda de la Corte Interamericana de Derechos Humanos, a</w:t>
        <w:br/>
        <w:t>la aplicación del sistema de peticiones individuales regulado por los</w:t>
        <w:br/>
        <w:t>artículos 44 a 51 y 61 a 69 de la Convención Americana de Derechos</w:t>
        <w:br/>
        <w:t>Humanos”.</w:t>
        <w:br/>
        <w:br/>
        <w:t>23.   No es afortunado el empleo de la expresión “podría dar lugar”, como</w:t>
        <w:br/>
        <w:t>tampoco lo es la restricción del control a los supuestos considerados en</w:t>
        <w:br/>
        <w:t>aquellos dos preceptos del Protocolo. Conviene ampliar el alcance de la</w:t>
        <w:br/>
        <w:t>competencia material de conocimiento por parte de la Corte, aun cuando es</w:t>
        <w:br/>
        <w:t>preciso observar que no son pocos los casos de violación de normas del</w:t>
        <w:br/>
        <w:t>Protocolo que pueden ser analizados a través de la aplicación lisa y llana</w:t>
        <w:br/>
        <w:t>de la CADH, tema en el que no debo ingresar ahora. Como sea, prevalece la</w:t>
        <w:br/>
        <w:t>convicción de que, no obstante el giro “podría dar lugar”, la Corte es</w:t>
        <w:br/>
        <w:t>competente para conocer de esas violaciones cuando lo demanda la Comisión</w:t>
        <w:br/>
        <w:t>conforme al régimen de legitimación ordinaria que contiene la Convención</w:t>
        <w:br/>
        <w:t>Americana.</w:t>
        <w:br/>
        <w:br/>
        <w:t>24.   La Convención Interamericana para Prevenir y Sancionar la Tortura no</w:t>
        <w:br/>
        <w:t>emplea, al referirse a esta materia, las expresiones acuñadas por la CADH</w:t>
        <w:br/>
        <w:t>ni las utilizadas por el Protocolo de San Salvador. Opta por otra fórmula --</w:t>
        <w:br/>
        <w:t>una tercera fórmula, pues--, menos explícita que aquéllas, que reclama</w:t>
        <w:br/>
        <w:t>cierto esfuerzo de interpretación. Dice, a propósito de los actos de</w:t>
        <w:br/>
        <w:t>tortura, que “una vez agotado el ordenamiento jurídico interno del</w:t>
        <w:br/>
        <w:t>respectivo Estado y los recursos que éste prevé, el caso podrá ser sometido</w:t>
        <w:br/>
        <w:t>a instancias internacionales cuya competencia haya sido aceptada por ese</w:t>
        <w:br/>
        <w:t>Estado” (artículo 8). Aun cuando no se menciona específicamente ni a la</w:t>
        <w:br/>
        <w:t>Comisión ni a la Corte, ni se invoca norma alguna --material o procesal--</w:t>
        <w:br/>
        <w:t>de la CADH, la interpretación general acepta que aquéllas pueden intervenir</w:t>
        <w:br/>
        <w:t>en tales supuestos y que la Corte cuenta con las atribuciones pertinentes</w:t>
        <w:br/>
        <w:t>para aplicar la Convención sobre tortura, apreciar las violaciones</w:t>
        <w:br/>
        <w:t>cometidas y emitir las  declaraciones y condenas que correspondan. Así lo</w:t>
        <w:br/>
        <w:t>ha hecho el Tribunal en varios casos, sin reparo.</w:t>
        <w:br/>
        <w:br/>
        <w:t>25.   De fecha posterior al instrumento citado en el párrafo anterior, la</w:t>
        <w:br/>
        <w:t>Convención sobre Desaparición Forzada de Personas adelanta su propia</w:t>
        <w:br/>
        <w:t>fórmula en este campo; cuarta fórmula en el conjunto. Señala que el trámite</w:t>
        <w:br/>
        <w:t>de las peticiones o comunicaciones sobre desaparición forzada “estará</w:t>
        <w:br/>
        <w:t>sujeto a los procedimientos establecidos en la Convención Americana sobre</w:t>
        <w:br/>
        <w:t>Derechos Humanos, y en los Estatutos y Reglamentos de la Comisión y de la</w:t>
        <w:br/>
        <w:t>Corte Interamericana de Derechos Humanos, incluso las normas relativas a</w:t>
        <w:br/>
        <w:t>medidas cautelares” (artículo XIII). Se ha entendido que el Tribunal</w:t>
        <w:br/>
        <w:t>interamericano cuenta con atribuciones para resolver acerca de las</w:t>
        <w:br/>
        <w:t>violaciones en este ámbito, sin perjuicio de que ya lo hacía en el</w:t>
        <w:br/>
        <w:t>ejercicio de la competencia general que le confiere la CADH y en los</w:t>
        <w:br/>
        <w:t>términos de las disposiciones sustantivas de ésta, como lo acreditan las</w:t>
        <w:br/>
        <w:t>resoluciones germinales de la Corte en materia contenciosa, señaladamente</w:t>
        <w:br/>
        <w:t>la famosa sentencia dictada en el Caso Velásquez Rodríguez, de 26 de junio</w:t>
        <w:br/>
        <w:t>de 1987.</w:t>
        <w:br/>
        <w:br/>
        <w:t>26.   Coincidente en fecha y lugar de suscripción con aquel ordenamiento</w:t>
        <w:br/>
        <w:t>sobre desaparición forzada, la Convención Interamericana para Prevenir,</w:t>
        <w:br/>
        <w:t>Sancionar y Erradicar la Violencia contra la Mujer eligió una expresión</w:t>
        <w:br/>
        <w:t>distinta de todas las mencionadas hasta aquí --a su vez, diferentes entre</w:t>
        <w:br/>
        <w:t>sí-- para abordar el tema del control internacional sobre la conducta que</w:t>
        <w:br/>
        <w:t>transgrede los deberes asumidos por el Estado y genera a cargo de éste, por</w:t>
        <w:br/>
        <w:t>ende, responsabilidad internacional exigible ante instancias de la misma</w:t>
        <w:br/>
        <w:t>naturaleza. Nos hallamos, entonces, ante una quinta fórmula.</w:t>
        <w:br/>
        <w:br/>
        <w:t>27.   Bajo el rubro “Mecanismos internacionales de protección”, la</w:t>
        <w:br/>
        <w:t>Convención de Belém do Pará se refiere a la facultad de los Estados partes</w:t>
        <w:br/>
        <w:t>en ésta y de la Comisión Interamericana para solicitar a la Corte opinión</w:t>
        <w:br/>
        <w:t>consultiva sobre la interpretación de la propia Convención (artículo 11).</w:t>
        <w:br/>
        <w:t>Esta norma no resulta indispensable, porque basta con las disposiciones de</w:t>
        <w:br/>
        <w:t>la CADH en materia consultiva (artículo 64) para sustentar la competencia</w:t>
        <w:br/>
        <w:t>de la Corte en este extremo. Y por lo que toca a cuestiones que pueden</w:t>
        <w:br/>
        <w:t>revestir carácter contencioso, a partir de la violación de la Convención de</w:t>
        <w:br/>
        <w:t>Belém do Pará --específicamente, la transgresión del artículo 7--, ésta</w:t>
        <w:br/>
        <w:t>abre la vía para la presentación de quejas o denuncias ante la Comisión</w:t>
        <w:br/>
        <w:t>Interamericana, que “las considerará de acuerdo con las normas y los</w:t>
        <w:br/>
        <w:t>requisitos de procedimiento para la presentación y consideración de</w:t>
        <w:br/>
        <w:t>peticiones estipulados en la Convención Americana sobre Derechos Humanos y</w:t>
        <w:br/>
        <w:t>en el Estatuto y Reglamento de la Comisión Interamericana de Derechos</w:t>
        <w:br/>
        <w:t>Humanos” (artículo 12).</w:t>
        <w:br/>
        <w:br/>
        <w:t>28.   Como se ve, la Convención de Belém pone el acento en el control</w:t>
        <w:br/>
        <w:t>internacional al que dedica un capítulo específico, que abarca tanto la</w:t>
        <w:br/>
        <w:t>colaboración informativa y el análisis de ésta (artículo 10), como la</w:t>
        <w:br/>
        <w:t>atención consultiva (artículo 11) y la consideración litigiosa (artículo</w:t>
        <w:br/>
        <w:t>12). En otros términos, no se ha querido detener la normativa internacional</w:t>
        <w:br/>
        <w:t>de la materia en el reconocimiento de los derechos y la determinación de</w:t>
        <w:br/>
        <w:t>los deberes públicos, sino se ha procurado, además, asegurar que esos</w:t>
        <w:br/>
        <w:t>reconocimiento y determinación se trasladen a la realidad, y para ello se</w:t>
        <w:br/>
        <w:t>ha empleado el medio del que se vale, a tal fin, la regulación</w:t>
        <w:br/>
        <w:t>internacional: supervisión y control a cargo de órganos dotados de</w:t>
        <w:br/>
        <w:t>atribuciones para ello. En otros términos: la Convención procura asegurar</w:t>
        <w:br/>
        <w:t>la eficacia de sus normas y el alcance de sus fines.</w:t>
        <w:br/>
        <w:br/>
        <w:t>29.   El artículo 7 de la Convención de Belém do Pará, mencionado en el</w:t>
        <w:br/>
        <w:t>artículo 12 de ésta e invocado en la Sentencia del Caso Castro Castro,</w:t>
        <w:br/>
        <w:t>contiene una enfática condena de todas las formas de violencia contra la</w:t>
        <w:br/>
        <w:t>mujer y pone a cargo de los Estados partes en esa Convención la asunción de</w:t>
        <w:br/>
        <w:t>“políticas” orientados a prevenir, sancionar y erradicar dicha violencia.</w:t>
        <w:br/>
        <w:t>En este marco, se obligan a determinadas acciones y abstenciones que</w:t>
        <w:br/>
        <w:t>atienden a aquellos objetivos. Esas acciones y abstenciones guardan</w:t>
        <w:br/>
        <w:t>evidente correspondencia con deberes inherentes al reconocimiento, el</w:t>
        <w:br/>
        <w:t>respeto y la garantía de derechos y libertades acogidos en la CADH --por</w:t>
        <w:br/>
        <w:t>ejemplo, los previstos en los artículos 5 y 8 de ésta, y otros--, a la</w:t>
        <w:br/>
        <w:t>adopción de normas que sirvan a esos fines y a la supresión de medidas y</w:t>
        <w:br/>
        <w:t>prácticas, de diversa naturaleza, que signifiquen violencia contra la mujer</w:t>
        <w:br/>
        <w:t>--disposición que se vincula con el artículo 2 CADH, entre otros preceptos.</w:t>
        <w:br/>
        <w:br/>
        <w:br/>
        <w:t>30.   Por lo tanto, resulta natural e incluso obligada la  lectura  conjunta</w:t>
        <w:br/>
        <w:t>de la CADH, con su catálogo de derechos  y  garantías  generales,  y  de  la</w:t>
        <w:br/>
        <w:t>Convención  de  Belén  do  Pará,  con  su  enunciado  de  deberes  estatales</w:t>
        <w:br/>
        <w:t>específicos, a los  que  corresponden  derechos  de  las  mujeres,  para  la</w:t>
        <w:br/>
        <w:t>aplicación de ambas. La segunda fija, ilustra o complementa el contenido  de</w:t>
        <w:br/>
        <w:t>la primera en lo que atañe a los derechos de la  mujer  que  derivan  de  la</w:t>
        <w:br/>
        <w:t>CADH. Esa lectura conjunta permite integrar el panorama de los  derechos  y,</w:t>
        <w:br/>
        <w:t>por ende, el perfil de las violaciones a las que se  ha  referido  la  Corte</w:t>
        <w:br/>
        <w:t>Interamericana en la  Sentencia  del  Caso  Castro  Castro,  y  apreciar  la</w:t>
        <w:br/>
        <w:t>entidad de aquéllas a la luz de  los  dos  instrumentos,  el  general  y  el</w:t>
        <w:br/>
        <w:t>especial, como lo ha hecho la  Corte  en  esta  resolución,  primera  en  su</w:t>
        <w:br/>
        <w:t>género emitida por el Tribunal interamericano en el desempeño de su  función</w:t>
        <w:br/>
        <w:t>contenciosa. Tal lectura es consecuente con el  criterio  pro  personae  que</w:t>
        <w:br/>
        <w:t>rige la interpretación en materia de derechos humanos --como  ha  reconocido</w:t>
        <w:br/>
        <w:t>la Corte en todo momento-- y se aviene a la  estipulación  del  artículo  29</w:t>
        <w:br/>
        <w:t>CADH, especialmente el inciso b), que excluye cualquier  interpretación  que</w:t>
        <w:br/>
        <w:t>limite derechos y libertades reconocidos en convenciones  diferentes  de  la</w:t>
        <w:br/>
        <w:t>CADH y por ende alienta la asunción de aquéllos en el  marco  de  la  tutela</w:t>
        <w:br/>
        <w:t>que deben proveer los órganos de la Convención Americana.</w:t>
        <w:br/>
        <w:br/>
        <w:br/>
        <w:t>31.   El artículo 12 de la  Convención  de  Belém  do  Pará  atribuye  a  la</w:t>
        <w:br/>
        <w:t>Comisión el conocimiento de denuncias o quejas por violación del artículo  7</w:t>
        <w:br/>
        <w:t>del propio instrumento. Con ello se abre la puerta para la  presentación  de</w:t>
        <w:br/>
        <w:t>peticiones individuales por este concepto, conforme a las  disposiciones  de</w:t>
        <w:br/>
        <w:t>la CADH y del Estatuto y el Reglamento de  la  Comisión.  Es  razonable  --y</w:t>
        <w:br/>
        <w:t>consecuente con el sistema general  de  tutela  de  los  derechos  humanos--</w:t>
        <w:br/>
        <w:t>entender que la aplicación de estos ordenamientos rige  todos  los  extremos</w:t>
        <w:br/>
        <w:t>del procedimiento que se sigue ante la Comisión, que puede  agotarse  dentro</w:t>
        <w:br/>
        <w:t>de esta misma instancia o avanzar hacia  una  segunda  etapa  de  la  tutela</w:t>
        <w:br/>
        <w:t>internacional, que se desarrolla ante la Corte,  cuando la Comisión  así  lo</w:t>
        <w:br/>
        <w:t>determina, atenta a las disposiciones de la CADH (artículos 51 y  61.1),  de</w:t>
        <w:br/>
        <w:t>su  Estatuto  (artículo  23)  y  Reglamento  (artículos  26  y   siguientes,</w:t>
        <w:br/>
        <w:t>destacadamente el 44).</w:t>
        <w:br/>
        <w:br/>
        <w:br/>
        <w:t>32.   En suma: la aplicabilidad y aplicación de la Convención  de  Belém  do</w:t>
        <w:br/>
        <w:t>Pará, con respecto al artículo 7 de ésta y en la forma en que  lo  ha  hecho</w:t>
        <w:br/>
        <w:t>la Corte Interamericana en la Sentencia del Caso Castro Castro, se funda  en</w:t>
        <w:br/>
        <w:t>diversas consideraciones:</w:t>
        <w:br/>
        <w:br/>
        <w:t>a)    el Sistema Interamericano de Protección de Derechos Humanos opera a</w:t>
        <w:br/>
        <w:t>partir de un corpus juris en expansión, que se propone abarcar la más</w:t>
        <w:br/>
        <w:t>amplia protección de las personas, tanto a través de normas de alcance</w:t>
        <w:br/>
        <w:t>ordinario y general, como mediante disposiciones cuyo ámbito de validez</w:t>
        <w:br/>
        <w:t>subjetiva comprende grupos humanos específicos a los que se destinan</w:t>
        <w:br/>
        <w:t>declaraciones o medidas de tutela indispensables para el goce y ejercicio</w:t>
        <w:br/>
        <w:t>efectivos de sus derechos y libertades;</w:t>
        <w:br/>
        <w:br/>
        <w:t>b)    la atribución de facultades a los órganos de protección</w:t>
        <w:br/>
        <w:t>internacionales --como a cualesquiera instancias decisorias, de las que</w:t>
        <w:br/>
        <w:t>depende la definición de derechos y obligaciones-- no se sustenta en la</w:t>
        <w:br/>
        <w:t>simple voluntad de los órganos llamados a ejercerlas, sino en un marco</w:t>
        <w:br/>
        <w:t>normativo suficiente que constituye sustento de la función pública,</w:t>
        <w:br/>
        <w:t>garantía de seguridad para los participantes y límite al arbitrio de las</w:t>
        <w:br/>
        <w:t>autoridades;</w:t>
        <w:br/>
        <w:br/>
        <w:t>c)    para atribuir facultades de conocimiento a los órganos</w:t>
        <w:br/>
        <w:t>internacionales de control y supervisión, ese corpus juris no se ha valido</w:t>
        <w:br/>
        <w:t>de una sola fórmula, que ciña todos los supuestos practicables, sino ha</w:t>
        <w:br/>
        <w:t>utilizado textos diferentes --hasta cinco, por ahora, como supra se observó-</w:t>
        <w:br/>
        <w:t>-, que deben ser analizados a la luz del conjunto en el que se inscriben y</w:t>
        <w:br/>
        <w:t>del ordenamiento en el que figuran, tomando en cuenta el objeto y fin de</w:t>
        <w:br/>
        <w:t>aquél y de éste;</w:t>
        <w:br/>
        <w:br/>
        <w:t>d)    esa interpretación se realiza dentro de las fronteras que fijan la</w:t>
        <w:br/>
        <w:t>CADH, como ordenamiento rector del conjunto, y los instrumentos específicos</w:t>
        <w:br/>
        <w:t>que se pretende aplicar; uno y otros pueden limitar el conocimiento de un</w:t>
        <w:br/>
        <w:t>órgano a determinados extremos o permitir el amplio análisis de posibles</w:t>
        <w:br/>
        <w:t>violaciones. Para establecer el panorama completo de esta materia, en</w:t>
        <w:br/>
        <w:t>supuestos específicos, habría que considerar, en sus casos, las reservas o</w:t>
        <w:br/>
        <w:t>limitaciones a la competencia que hubiesen formulado los Estados;</w:t>
        <w:br/>
        <w:br/>
        <w:t>e)    la interpretación debe atender a las previsiones del artículo 29</w:t>
        <w:br/>
        <w:t>CADH, acoger el criterio pro personae propio del Derecho internacional de</w:t>
        <w:br/>
        <w:t>los derechos humanos, favorecer la plena eficacia del tratado en atención a</w:t>
        <w:br/>
        <w:t>su objeto y fin y contribuir a la afirmación y fortalecimiento del Sistema</w:t>
        <w:br/>
        <w:t>Interamericano en esta materia.</w:t>
        <w:br/>
        <w:br/>
        <w:br/>
        <w:t xml:space="preserve">      EMPLEO DE LA FUERZA SOBRE PERSONAS PRIVADAS DE LIBERTAD</w:t>
        <w:br/>
        <w:br/>
        <w:br/>
        <w:t>33.   La Corte vuelve a ocuparse ahora en un tema recurrente, en el que ha</w:t>
        <w:br/>
        <w:t>puesto énfasis a lo largo de numerosas resoluciones, e incluso de algunas</w:t>
        <w:br/>
        <w:t>observaciones ante los órganos políticos de la Organización de los Estados</w:t>
        <w:br/>
        <w:t>Americanos. Se trata de hechos violatorios ocurridos en una institución</w:t>
        <w:br/>
        <w:t>penal, cuyos ocupantes se hallan sujetos en forma prácticamente total al</w:t>
        <w:br/>
        <w:t>control del Estado  --de jure y de facto--,  garante de la observancia de</w:t>
        <w:br/>
        <w:t>los derechos de quienes guardan esa situación de especial dependencia. A</w:t>
        <w:br/>
        <w:t>esto se asocia, para integrar el panorama de los hechos contemplados en la</w:t>
        <w:br/>
        <w:t>Sentencia, el empleo de la fuerza por parte de agentes del Estado, como</w:t>
        <w:br/>
        <w:t>instrumento para llevar adelante ciertas determinaciones y ejercer el</w:t>
        <w:br/>
        <w:t>control de un conjunto de personas en las excepcionales condiciones que</w:t>
        <w:br/>
        <w:t>constan en la propia Sentencia. Por lo tanto, la circunstancia de este caso</w:t>
        <w:br/>
        <w:t>tiene dos componentes: reclusión, por una parte, y empleo de la fuerza, por</w:t>
        <w:br/>
        <w:t>la otra. Los hechos violatorios se proyectan en esas dos dimensiones.</w:t>
        <w:br/>
        <w:br/>
        <w:br/>
        <w:t>34.   Como se ha dicho --y conviene insistir en ello--, lo  que  caracteriza</w:t>
        <w:br/>
        <w:t>al Estado de Derecho en el marco de una sociedad democrática y  en  atención</w:t>
        <w:br/>
        <w:t>a los valores y principios que caracterizan a ésta, es el  reconocimiento  o</w:t>
        <w:br/>
        <w:t>la asignación de funciones y papeles  propios,  debidamente  caracterizados,</w:t>
        <w:br/>
        <w:t>al Estado, la sociedad y los  individuos,  y  la  específica  relación,  con</w:t>
        <w:br/>
        <w:t>todas sus expresiones y consecuencias, que existe entre esos  tres  sujetos.</w:t>
        <w:br/>
        <w:t>El carácter de aquellas funciones y la naturaleza de  esa  relación  --y  su</w:t>
        <w:br/>
        <w:t>prueba de “fuego”, si se permite la expresión-- quedan de  manifiesto  sobre</w:t>
        <w:br/>
        <w:t>todo en circunstancias críticas, tales como las que se  plantean  cuando  la</w:t>
        <w:br/>
        <w:t>autoridad del Estado interviene, con toda su potencia,  en  la  custodia  de</w:t>
        <w:br/>
        <w:t>inculpados,  la  ejecución  de  condenas  y  el   control   de   movimientos</w:t>
        <w:br/>
        <w:t>colectivos, espontáneos o provocados.</w:t>
        <w:br/>
        <w:br/>
        <w:br/>
        <w:t>35.   La Corte ha examinado estos puntos  en  diversas  resoluciones,  tanto</w:t>
        <w:br/>
        <w:t>declarativas como condenatorias, que fijan el alcance de  los  derechos  del</w:t>
        <w:br/>
        <w:t>individuo y de los deberes y actividades del Estado, y las  correspondientes</w:t>
        <w:br/>
        <w:t>reparaciones a raíz de hechos violatorios. Nunca se ha negado el  deber  del</w:t>
        <w:br/>
        <w:t>Estado --con las facultades consecuentes-- para proveer al  cumplimiento  de</w:t>
        <w:br/>
        <w:t>las disposiciones legítimamente emitidas y asegurar el orden  público.  Pero</w:t>
        <w:br/>
        <w:t>jamás se  ha  admitido  que  ese  deber  se  ejerza  en  forma  ilimitada  o</w:t>
        <w:br/>
        <w:t>desbordante, que puede llegar al extremo que ahora tenemos a la vista y  que</w:t>
        <w:br/>
        <w:t>el propio Estado ha  reconocido  sustancialmente.  En  la  especie  resultan</w:t>
        <w:br/>
        <w:t>aplicables  diversos  principios  que  arraigan  en  un   concepto   rector:</w:t>
        <w:br/>
        <w:t>legitimidad y racionalidad de las medidas  públicas,  como  fuente  para  la</w:t>
        <w:br/>
        <w:t>admisión   de   éstas,   que   de   lo   contrario    resultan    excesivas,</w:t>
        <w:br/>
        <w:t>desproporcionadas,  impertinentes,  y  en  definitiva  violatorias  de   los</w:t>
        <w:br/>
        <w:t>derechos humanos.</w:t>
        <w:br/>
        <w:br/>
        <w:br/>
        <w:t>36.   Para llamar la atención  sobre  estos  temas,  que  ameritan  profunda</w:t>
        <w:br/>
        <w:t>reflexión y medidas correctivas inmediatas --y no me refiero solamente,  por</w:t>
        <w:br/>
        <w:t>supuesto, al Estado  dentro  de  cuya  jurisdicción  ocurrieron  los  hechos</w:t>
        <w:br/>
        <w:t>objeto de la condena a la que corresponde el presente Voto--, vale  la  pena</w:t>
        <w:br/>
        <w:t>recordar los casos en los que la Corte ha examinado situaciones de  maltrato</w:t>
        <w:br/>
        <w:t>--desde grave hasta gravísimo: inclusive  delitos  de  lesa  humanidad--  en</w:t>
        <w:br/>
        <w:t>agravio de detenidos, sea  individual,  sea  colectivamente.  A  este  grupo</w:t>
        <w:br/>
        <w:t>corresponden, por ejemplo, total o parcialmente,  los  casos  Loayza  Tamayo</w:t>
        <w:br/>
        <w:t>(1997), Suárez Rosero (1997), Castillo Petruzzi (1999),  Cantoral  Benavides</w:t>
        <w:br/>
        <w:t>(2000), Hilaire, Constantine y  Benjamín  (2002),  Maritza  Urrutia  (2003),</w:t>
        <w:br/>
        <w:t>Bulacio (2003), Tibi (2004), Lori Berenson  (2004),  Caesar  (2005),  Fermín</w:t>
        <w:br/>
        <w:t>Ramírez (2005), Raxcacó Reyes (2005), García Asto y Ramírez Rojas  (2005)  y</w:t>
        <w:br/>
        <w:t>López  Alvarez  (2006).  El   uso   desproporcionado   de   la   fuerza   en</w:t>
        <w:br/>
        <w:t>circunstancias de  agresión  sobre  conjuntos  de  detenidos  o  control  de</w:t>
        <w:br/>
        <w:t>movimientos colectivos se ha examinado en los casos  Neira  Alegría  (1995),</w:t>
        <w:br/>
        <w:t>Durand Ugarte (2000), Instituto de Reeducación  del  Menor(2004)  y  Montero</w:t>
        <w:br/>
        <w:t>Aranguren (2006). También se  debe  tomar  nota  de  gravísimos  excesos  en</w:t>
        <w:br/>
        <w:t>acciones de control en libertad, como  se  pudo  advertir  en  el  Caso  del</w:t>
        <w:br/>
        <w:t>Caracazo (1999).</w:t>
        <w:br/>
        <w:br/>
        <w:br/>
        <w:t>37.   Ha habido, en  número  creciente  y  frente  a  situaciones  sumamente</w:t>
        <w:br/>
        <w:t>preocupantes, medidas provisionales adoptadas por la  Corte  en  situaciones</w:t>
        <w:br/>
        <w:t>de este mismo carácter: casos de Penales Peruanos (1992,  1993),  Cárcel  de</w:t>
        <w:br/>
        <w:t>Urso Branco  (2004),  Niños  y  adolescentes  privados  de  libertad  en  el</w:t>
        <w:br/>
        <w:t>“Complexo do Tatuapé” da FEBEM (2005, 2006), Personas privadas  de  libertad</w:t>
        <w:br/>
        <w:t>de la Penitenciaría “Dr. Sebastiâo  Martins  Silveira”  en  Araraquare,  Sâo</w:t>
        <w:br/>
        <w:t>Paulo (2006), Internado Judicial de Monagas (“La Pica”),  Penitenciarías  de</w:t>
        <w:br/>
        <w:t>Mendoza (2006) y Centro Penitenciario  Región  Capital  Yare  I  y  Yare  II</w:t>
        <w:br/>
        <w:t>(2006).</w:t>
        <w:br/>
        <w:br/>
        <w:br/>
        <w:t>38.   La Sentencia en el Caso Castro y Castro --como otras adoptadas  en  el</w:t>
        <w:br/>
        <w:t>curso de dos años, o menos-- debe atraer la atención de nuestros  países,  e</w:t>
        <w:br/>
        <w:t>incluso de la organización que reúne a  los  Estados  Americanos,  hacia  la</w:t>
        <w:br/>
        <w:t>situación que guardan los reclusorios,  el  estado  en  que  se  hallan  las</w:t>
        <w:br/>
        <w:t>personas privadas de libertad, las deficiencias en  los  medios  de  que  se</w:t>
        <w:br/>
        <w:t>dispone  para  la  custodia  y  el  “tratamiento”  de  los  detenidos  y  la</w:t>
        <w:br/>
        <w:t>generalmente insuficiente preparación de los agentes que tienen a  su  cargo</w:t>
        <w:br/>
        <w:t>estas tareas u otras vinculadas con el control  de  movimientos  colectivos,</w:t>
        <w:br/>
        <w:t>sea en reclusión, sea en libertad. La Sentencia de este caso se refiere  una</w:t>
        <w:br/>
        <w:t>vez más a la necesidad de proveer al  personal  a  cargo  de  aquéllas  –que</w:t>
        <w:br/>
        <w:t>debiera ser cuidadosamente seleccionado-- la preparación que  requiere  para</w:t>
        <w:br/>
        <w:t>el cumplimiento de su cometido, que ha  desembocado  --como  se  observa  en</w:t>
        <w:br/>
        <w:t>esta  Sentencia--  en  fuente  de   violaciones   masivas,   cometidas   con</w:t>
        <w:br/>
        <w:t>extraordinaria violencia.  Esta  provisión  queda  integrada  en  el  amplio</w:t>
        <w:br/>
        <w:t>concepto  de  las  reparaciones  o,  mejor  aún,  de  las  garantías  de  no</w:t>
        <w:br/>
        <w:t>repetición, concepto que ha desarrollado la jurisprudencia de la Corte.</w:t>
        <w:br/>
        <w:br/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t xml:space="preserve">                VOTO RAZONADO DEL JUEZ A.A. CANÇADO TRINDADE</w:t>
        <w:br/>
        <w:br/>
        <w:br/>
        <w:t>1.    He votado en favor de la adopción,  por  la  Corte  Interamericana  de</w:t>
        <w:br/>
        <w:t>Derechos Humanos, de la presente Sentencia en  el  caso  de  la  Prisión  de</w:t>
        <w:br/>
        <w:t>Castro Castro.  Dada  la  importancia  que  atribuyo  a  algunas  cuestiones</w:t>
        <w:br/>
        <w:t>planteadas en el curso del procedimiento contencioso ante  la  Corte  en  el</w:t>
        <w:br/>
        <w:t>presente caso, me veo en la obligación de agregar a  la  presente  Sentencia</w:t>
        <w:br/>
        <w:t>este Voto Razonado, con mis reflexiones personales  como  fundamento  de  mi</w:t>
        <w:br/>
        <w:t>posición al  respecto  de  lo  deliberado  por  el  Tribunal.  Centraré  mis</w:t>
        <w:br/>
        <w:t>reflexiones en ocho puntos básicos, a saber: a)  el  tiempo  y  el  Derecho,</w:t>
        <w:br/>
        <w:t>ahora y siempre; b) nuevas reflexiones sobre el tiempo y el Derecho;  c)  el</w:t>
        <w:br/>
        <w:t>tiempo y la vindicación de los derechos; d) los  hechos  y  los  sujetos  de</w:t>
        <w:br/>
        <w:t>derecho; e) el surgimiento de la responsabilidad internacional del Estado  y</w:t>
        <w:br/>
        <w:t>el principio de  la  proporcionalidad;  f)  la  recurrencia  del  crimen  de</w:t>
        <w:br/>
        <w:t>Estado: el pensamiento jurídico olvidado; g) la necesidad e importancia  del</w:t>
        <w:br/>
        <w:t>análisis de género; y h) oprimidos y opresores: la  dominación  insostenible</w:t>
        <w:br/>
        <w:t>y el primado del Derecho.</w:t>
        <w:br/>
        <w:br/>
        <w:br/>
        <w:t xml:space="preserve">      I.    El Tiempo y el Derecho, Ahora y Siempre.</w:t>
        <w:br/>
        <w:br/>
        <w:br/>
        <w:t>2.    La relación entre el tiempo y el Derecho ha  sido  siempre  objeto  de</w:t>
        <w:br/>
        <w:t>mis reflexiones, incluso mucho antes de ingresar como Juez  de  esta  Corte.</w:t>
        <w:br/>
        <w:t>En el seno de esta última, el tema ha marcado presencia en mi Voto  Razonado</w:t>
        <w:br/>
        <w:t>(párrs. 4-6) en  el  caso  Blake  versus  Guatemala  (fondo,  Sentencia  del</w:t>
        <w:br/>
        <w:t>24.01.1998), mi Voto Razonado (párrs. 15 y 23) en el caso  Bámaca  Velásquez</w:t>
        <w:br/>
        <w:t>versus  Guatemala  (fondo,  Sentencia  del  25.11.2000),  mi  Voto  Razonado</w:t>
        <w:br/>
        <w:t>(párrs.  24-33)  en  el  caso  de  la  Comunidad  Moiwana  versus   Suriname</w:t>
        <w:br/>
        <w:t>(Sentencia del 15.06.2005), en mi  Voto  Concurrente  (párrs.  2-15)  en  la</w:t>
        <w:br/>
        <w:t>pionera e histórica Opinión Consultiva  n.  16  (del  01.10.1999)  sobre  El</w:t>
        <w:br/>
        <w:t>Derecho a la Información sobre la Asistencia Consular en  el  Marco  de  las</w:t>
        <w:br/>
        <w:t>Garantías del Debido Proceso Legal, entre otros. Más  recientemente,  en  mi</w:t>
        <w:br/>
        <w:t>Curso General de Derecho Internacional Público, que ministré en 2005  en  la</w:t>
        <w:br/>
        <w:t>Academia de Derecho Internacional de La Haya[233],  me  permití  dedicar  un</w:t>
        <w:br/>
        <w:t>capítulo  entero[234]  a  esta  temática  que   considero   de   fundamental</w:t>
        <w:br/>
        <w:t>relevancia.</w:t>
        <w:br/>
        <w:br/>
        <w:t>3.    Me dediqué a escribir este capítulo, y a insertarlo en  el  inicio  de</w:t>
        <w:br/>
        <w:t>mi referido  Curso  General,  no  sólo  para  subrayar  la  importancia  que</w:t>
        <w:br/>
        <w:t>atribuyo  al  tema,  sino  además  para  dejar  constancia  de  mi  posición</w:t>
        <w:br/>
        <w:t>francamente contraria tanto a la  pretensión  positivista  de  visualizar  e</w:t>
        <w:br/>
        <w:t>interpretar el ordenamiento jurídico independientemente del tiempo,  como  a</w:t>
        <w:br/>
        <w:t>la pretensión  "realista"  de  tomar  en  cuenta  los  hechos  del  presente</w:t>
        <w:br/>
        <w:t>independientemente de su dimensión  temporal,  atribuyéndoles  una  supuesta</w:t>
        <w:br/>
        <w:t>inevitabilidad y una indemostrable perennidad. En consecuencia,  positivismo</w:t>
        <w:br/>
        <w:t>y realismo, al hacer abstracción de la relación ineluctable entre el  tiempo</w:t>
        <w:br/>
        <w:t>y el Derecho, se  muestran  ineluctable  y  patéticamente  subservientes  al</w:t>
        <w:br/>
        <w:t>poder, - lo que considero inaceptable, al sostener el  primado  del  Derecho</w:t>
        <w:br/>
        <w:t>en toda y cualquier situación.</w:t>
        <w:br/>
        <w:br/>
        <w:t>4.    No es mi propósito reiterar en este Voto Razonado en el presente  caso</w:t>
        <w:br/>
        <w:t>de la Prisión de Castro Castro,  mis  consideraciones  formuladas  en  otras</w:t>
        <w:br/>
        <w:t>ocasiones, inclusive en numerosos Votos míos en esta Corte, sobre el  tiempo</w:t>
        <w:br/>
        <w:t>y el Derecho, a las cuales me limito aquí a referirme (supra).  Procedo,  en</w:t>
        <w:br/>
        <w:t>el presente Voto Razonado, a agregar algunas nuevas  reflexiones  personales</w:t>
        <w:br/>
        <w:t>sobre el  tiempo  y  el  Derecho,  por  cuanto  el  tema  fue  efectivamente</w:t>
        <w:br/>
        <w:t>planteado en el curso del procedimiento contencioso ante esta  Corte  en  el</w:t>
        <w:br/>
        <w:t>presente caso de la Prisión de Castro Castro.</w:t>
        <w:br/>
        <w:br/>
        <w:br/>
        <w:t xml:space="preserve">      II.   Nuevas Reflexiones sobre el Tiempo y el Derecho.</w:t>
        <w:br/>
        <w:br/>
        <w:br/>
        <w:t>5.     Todos vivimos en el tiempo, misterio mayor de la  existencia  humana;</w:t>
        <w:br/>
        <w:t>pero el implacable tiempo del cosmos, que reduce a la nada  el  poder  y  la</w:t>
        <w:br/>
        <w:t>gloria, no es el tiempo de los humanos, que luego los nutre de  esperanza  y</w:t>
        <w:br/>
        <w:t>más tarde  de  memoria.  El  tiempo  concede  a  cada  uno,  de  inicio,  la</w:t>
        <w:br/>
        <w:t>inocencia, para más tarde imponer la experiencia. Y ésta abarca a  todo,  al</w:t>
        <w:br/>
        <w:t>bien y al mal, propios de la condición humana, correspondiendo  a  cada  uno</w:t>
        <w:br/>
        <w:t>extraer sus lecciones en la búsqueda sin fin de su propio nirvana.</w:t>
        <w:br/>
        <w:br/>
        <w:t>6.    El tiempo envuelve a todo, el chiaroscuro del  día  y  noche,  de  las</w:t>
        <w:br/>
        <w:t>estaciones del año, y abarca a todos, - los que imparten justicia y los  que</w:t>
        <w:br/>
        <w:t>desagregan con su violencia y el engaño. El tiempo  impregna  la  existencia</w:t>
        <w:br/>
        <w:t>de cada uno de  memoria,  que  permite  la  búsqueda  del  sentido  de  cada</w:t>
        <w:br/>
        <w:t>instante de su historia. El tiempo de los humanos desmitifica  los  injustos</w:t>
        <w:br/>
        <w:t>y astutos,  y  gradualmente  sedimenta  los  valores  absolutos.  El  tiempo</w:t>
        <w:br/>
        <w:t>cronológico es distinto del biológico[235], y este último se  distingue  del</w:t>
        <w:br/>
        <w:t>psicológico. El tiempo de los humanos requiere la verdad, la  memoria  y  la</w:t>
        <w:br/>
        <w:t>justicia, pues el olvido y la impunidad privarían la vida de  sentido  y  la</w:t>
        <w:br/>
        <w:t>llenarían de malicia.</w:t>
        <w:br/>
        <w:br/>
        <w:t>7.    El tiempo es inherente al Derecho, a su interpretación  y  aplicación,</w:t>
        <w:br/>
        <w:t>el Derecho que busca regir las relaciones humanas y todo tipo de  situación.</w:t>
        <w:br/>
        <w:t>El Derecho, al regir los conflictos que se presenten, es, en el  tiempo,  el</w:t>
        <w:br/>
        <w:t>transmisor de la solidaridad entre la generaciones que se suceden. Si es  el</w:t>
        <w:br/>
        <w:t>tiempo que permite, en última instancia, superar obstáculos  y  alcanzar  la</w:t>
        <w:br/>
        <w:t>realización de la justicia, es la conciencia humana que mueve el Derecho  en</w:t>
        <w:br/>
        <w:t>este propósito, sobreponiéndose a toda malicia.</w:t>
        <w:br/>
        <w:br/>
        <w:t>8.    Tiempo y Derecho desunidos conllevan a la  desesperación,  paralizando</w:t>
        <w:br/>
        <w:t>el curso de la vida circundada de sentido y realización.  Tiempo  y  Derecho</w:t>
        <w:br/>
        <w:t>unidos ponen fin a la impunidad, tornando la vida un privilegio nutrido  por</w:t>
        <w:br/>
        <w:t>la paz de espíritu y la tranquilidad. El tiempo con justicia  es  el  tiempo</w:t>
        <w:br/>
        <w:t>que vale recordar, es el tiempo  de  la  levedad  del  ser.  El  tiempo  con</w:t>
        <w:br/>
        <w:t>impunidad es el tiempo que cabe soportar, es el tiempo de la  pesadilla  del</w:t>
        <w:br/>
        <w:t>ser. El primero, abre camino a las realizaciones del  ser  en  la  vida;  el</w:t>
        <w:br/>
        <w:t>segundo, es un tormento en la existencia sufrida. El tiempo con justicia  es</w:t>
        <w:br/>
        <w:t>el tiempo de la  posibilidad;  el  de  la  impunidad  es  el  tiempo  de  la</w:t>
        <w:br/>
        <w:t>iniquidad. El primero es el tiempo de la conjunción de la fe y la razón;  el</w:t>
        <w:br/>
        <w:t>segundo es el tiempo de la desesperación. No se puede negar  la  justicia  a</w:t>
        <w:br/>
        <w:t>cada semejante, lo que tornaría la vida,  para  cada  uno,  el  infierno  de</w:t>
        <w:br/>
        <w:t>Dante.</w:t>
        <w:br/>
        <w:br/>
        <w:t>9.    Se torna aquí patente la diferencia entre la  gravedad  y  la  gracia,</w:t>
        <w:br/>
        <w:t>inmortalizada por una mujer superior (Simone Weil) a quien tanto admiro  por</w:t>
        <w:br/>
        <w:t>su pureza de espíritu y su  mística  audacia.  Enfrentó  el  mal,  buscó  la</w:t>
        <w:br/>
        <w:t>restauración, y (con 34 años de edad) no más se alimentó y se entregó  a  la</w:t>
        <w:br/>
        <w:t>muerte[236]; se  entregó  a  la  otra  vida,  dejando  a  los  sucesores  el</w:t>
        <w:br/>
        <w:t>testimonio indeleble de un espíritu iluminado y fuerte. Al igual que  Stefan</w:t>
        <w:br/>
        <w:t>Zweig, otro escritor iluminado del siglo XX, que prefirió la otra  vida[237]</w:t>
        <w:br/>
        <w:t>al no encontrar en ésta la justicia restaurativa; eran tan diferentes  ambos</w:t>
        <w:br/>
        <w:t>de, v.g., dictadores y criminosos como  Stalin  y  el  Generalísimo  Franco,</w:t>
        <w:br/>
        <w:t>quienes, en sus lechos de muerte,  cercados  de  todo  tipo  de  atenciones,</w:t>
        <w:br/>
        <w:t>tuvieron  la  muerte  natural  que  negaron  a  sus  víctimas  en   secretas</w:t>
        <w:br/>
        <w:t>operaciones.</w:t>
        <w:br/>
        <w:br/>
        <w:t>10.   Son insondables los designios de la Providencia,  al  no  impedir  que</w:t>
        <w:br/>
        <w:t>sean  brutalizadas  las  víctimas  del  mal  radical,   mientras   que   los</w:t>
        <w:br/>
        <w:t>victimarios - cuando no hay justicia - siguen llevando  una  vida  segura  y</w:t>
        <w:br/>
        <w:t>normal. Son insondables los designios de  la  Providencia,  al  conceder  la</w:t>
        <w:br/>
        <w:t>muerte natural a impíos e impuros, y al no evitar la  muerte  auto-infligida</w:t>
        <w:br/>
        <w:t>de los que  tanto  cultivaron  la  vida  del  espíritu  con  su  pensamiento</w:t>
        <w:br/>
        <w:t>luminoso, y con éste continúan a inspirar y orientar los que se  empeñan  en</w:t>
        <w:br/>
        <w:t>tornar este mundo bruto y efímero al menos armonioso.  Son  insondables  los</w:t>
        <w:br/>
        <w:t>designios de  la  Providencia,  al  permitir  la  muerte  de  tantos  en  la</w:t>
        <w:br/>
        <w:t>humillación del abandono, inclusive  de  quienes  fueron  tan  sensibles  al</w:t>
        <w:br/>
        <w:t>sufrimiento humano en un mundo tan tirano.</w:t>
        <w:br/>
        <w:br/>
        <w:br/>
        <w:t xml:space="preserve">      III.  El Tiempo y la Vindicación de los Derechos.</w:t>
        <w:br/>
        <w:br/>
        <w:br/>
        <w:t>11.   En la segunda mitad del siglo XX, se ha intentado explicar  el  tiempo</w:t>
        <w:br/>
        <w:t>(el cual, como la amenaza y el uso de la fuerza, y los  conflictos  armados,</w:t>
        <w:br/>
        <w:t>tanto presiona la humanidad) no como un dato  objetivo  (como  pretendía  I.</w:t>
        <w:br/>
        <w:t>Newton en fines del siglo XVII e  inicio  del  siglo  XVIII),  ni  como  una</w:t>
        <w:br/>
        <w:t>estructura a priori del espíritu (como sostenía I. Kant en el siglo  XVIII),</w:t>
        <w:br/>
        <w:t>sino más bien como un  símbolo  social  conformado  al  final  de  un  largo</w:t>
        <w:br/>
        <w:t>proceso de aprendizaje humano[238]. De mi parte, no me siento persuadido  ni</w:t>
        <w:br/>
        <w:t>seguro al respecto. Los intentos de explicar el tiempo tienen, cada uno,  su</w:t>
        <w:br/>
        <w:t>mérito propio, y algunos son particularmente penetrantes.</w:t>
        <w:br/>
        <w:br/>
        <w:t>12.   Es el caso, v.g., de los que han  buscado  vincular  el  tiempo  a  la</w:t>
        <w:br/>
        <w:t>precariedad  de  la  condición  humana,  y  -  más  subjetivamente  -  a  la</w:t>
        <w:br/>
        <w:t>conciencia de cada uno (v.g., R. Descartes, en el siglo XVII, y E.  Husserl,</w:t>
        <w:br/>
        <w:t>en el inicio del siglo XX). Temo que, a pesar de todos  estos  esfuerzos  en</w:t>
        <w:br/>
        <w:t>búsqueda de explicación, el tiempo  continuará  a  circundar  la  existencia</w:t>
        <w:br/>
        <w:t>humana de misterio, como siempre lo  ha  hecho,  ahora  y  siempre.  El  ser</w:t>
        <w:br/>
        <w:t>humano no es creador del  tiempo,  pero  es  condicionado  por  él,  por  su</w:t>
        <w:br/>
        <w:t>tiempo, - como bien lo saben los que han vivido en tiempos de  dictaduras  y</w:t>
        <w:br/>
        <w:t>tiranías. El tiempo desempeña un rol esencial en  la  situación  existencial</w:t>
        <w:br/>
        <w:t>del  ser  humano  (enteramente  distinto  de  la  visión  que  se   pretende</w:t>
        <w:br/>
        <w:t>intemporal de la física clásica[239]. El tiempo precede a la  existencia  de</w:t>
        <w:br/>
        <w:t>cada ser humano[240], y sobrevive a ella.</w:t>
        <w:br/>
        <w:br/>
        <w:t>13.   En la audiencia pública ante esta Corte en  el  presente  caso  de  la</w:t>
        <w:br/>
        <w:t>Prisión de Castro Castro, realizada en la sesión externa  en  San  Salvador,</w:t>
        <w:br/>
        <w:t>El Salvador, los días 26 y 27 de junio de 2006, la  interveniente  común  de</w:t>
        <w:br/>
        <w:t>los representantes de las víctimas y sus familiares, y  también  víctima  en</w:t>
        <w:br/>
        <w:t>el presente caso (Sra. Mónica Feria Tinta), señaló que "14  años  cambian  y</w:t>
        <w:br/>
        <w:t>no cambian las cosas". En cierto sentido, "el tiempo se ha paralizado",  por</w:t>
        <w:br/>
        <w:t>cuanto su vida ha sido consumida por nueve años en la investigación de  este</w:t>
        <w:br/>
        <w:t>caso; entre las madres victimadas, una (Sra.  Auqui)  ha  fallecido  el  año</w:t>
        <w:br/>
        <w:t>pasado), y otra le comentó sobre la muerte de su hijo.  Los  muertos  no  se</w:t>
        <w:br/>
        <w:t>han ido, pero están presentes  en  las  reflexiones  y  los  sueños  de  las</w:t>
        <w:br/>
        <w:t>sobrevivientes de la masacre de la Prisión  de  Castro  Castro.  Agregó  que</w:t>
        <w:br/>
        <w:t>todo está frenado  hasta  que  "pueda  desencadenarse  la  justicia",  pero,</w:t>
        <w:br/>
        <w:t>mientras tanto, pasa el tiempo, "nos hacemos viejos y no viene  la  justicia</w:t>
        <w:br/>
        <w:t>y corre el reloj. Muchas de nosotras no hemos podido  ser  madres  todavía";</w:t>
        <w:br/>
        <w:t>hay un derecho a la memoria que "es parte del derecho a la verdad", y en  el</w:t>
        <w:br/>
        <w:t>presente caso "hicimos un esfuerzo  sobre-humano  para  presentar  evidencia</w:t>
        <w:br/>
        <w:t>que nos permita una sentencia" que ampare "este grupo de víctimas"[241].</w:t>
        <w:br/>
        <w:br/>
        <w:t>14.   En realidad, de este  dramático  alegato  se  pueden  extraer  algunas</w:t>
        <w:br/>
        <w:t>reflexiones y lecciones. Se formó aquí  un  décalage  cruel  entre,  por  un</w:t>
        <w:br/>
        <w:t>lado,  el  tiempo  cronológico  y  biológico,  y,  por   otro,   el   tiempo</w:t>
        <w:br/>
        <w:t>psicológico.  El  tiempo  cronológico  y  biológico   continúan   a   fluir,</w:t>
        <w:br/>
        <w:t>aumentando la desesperación de las víctimas, que envejecen en las  tinieblas</w:t>
        <w:br/>
        <w:t>de la impunidad. El tiempo psicológico inmoviliza  lo  que  sería  en  curso</w:t>
        <w:br/>
        <w:t>natural de la vida, pues hay que buscar la realización de  la  justicia,  lo</w:t>
        <w:br/>
        <w:t>que consume tiempo.</w:t>
        <w:br/>
        <w:br/>
        <w:t>15.   Además, dada la extrema crueldad de los sufrimientos infligidos a  las</w:t>
        <w:br/>
        <w:t>víctimas de la Prisión de Castro Castro  (infra),  muchas  de  las  víctimas</w:t>
        <w:br/>
        <w:t>fueran privadas de su tiempo existencial (41 muertos identificados hasta  la</w:t>
        <w:br/>
        <w:t>fecha). Otras tuvieron su tiempo biológico ciertamente reducido,  en  razón,</w:t>
        <w:br/>
        <w:t>v.g., de la invalidez, de daños en los pulmones y en la piel, de ceguera  de</w:t>
        <w:br/>
        <w:t>un ojo, de la destrucción en los tejidos,  de  la  mayor  vulnerabilidad  al</w:t>
        <w:br/>
        <w:t>cáncer[242]. Las víctimas fueron  privadas  arbitrariamente  del  tiempo  de</w:t>
        <w:br/>
        <w:t>vida, y, en muchos casos (41 ya identificados), de la propia vida.</w:t>
        <w:br/>
        <w:br/>
        <w:t>16.   En mi imaginario personal, no consigo escapar de la impresión  de  que</w:t>
        <w:br/>
        <w:t>muchas de las víctimas bombardeadas en el brutal ataque armado a la  Prisión</w:t>
        <w:br/>
        <w:t>de Castro Castro (pabellón 1A) parecen Juanas de Arco de fines del siglo  XX</w:t>
        <w:br/>
        <w:t>(sin pretensión alguna de canonización). Pero, como el  personaje  histórico</w:t>
        <w:br/>
        <w:t>(nacida en Domrémy, Vosgos, el 06.01.1412, y muerta el  30.05.1431),  tenían</w:t>
        <w:br/>
        <w:t>sus ideas para liberar el entorno social, por lo  que  fueran  aprisionadas,</w:t>
        <w:br/>
        <w:t>algunas sometidas a un juicio sin medios de defensa, o ni siquiera esto;  en</w:t>
        <w:br/>
        <w:t>el referido ataque armado, muchas murieron poco después del bombardeo; a  su</w:t>
        <w:br/>
        <w:t>vez, Juana de Arco, como se sabe, fue  condenada  a  ser  quemada  viva.  La</w:t>
        <w:br/>
        <w:t>victimización y el salvajismo prosiguen desafortunadamente  a  lo  largo  de</w:t>
        <w:br/>
        <w:t>los siglos, en distintos continentes.</w:t>
        <w:br/>
        <w:br/>
        <w:br/>
        <w:t xml:space="preserve">      IV.   Los Hechos y los Sujetos de Derecho.</w:t>
        <w:br/>
        <w:br/>
        <w:br/>
        <w:t>17.   En lo que respecta  a  la  milenaria  brutalidad  humana,  los  hechos</w:t>
        <w:br/>
        <w:t>superan en  mucho  a  la  imaginación  humana.  Cuando  uno  piensa  que  ha</w:t>
        <w:br/>
        <w:t>imaginado lo peor, surge entonces un hecho que demuestra que el  ser  humano</w:t>
        <w:br/>
        <w:t>es capaz de ir aún más allá en el trato brutal dispensado a sus semejantes:</w:t>
        <w:br/>
        <w:br/>
        <w:t xml:space="preserve">             "Dentro  del  edificio,  el  estruendo  de  los  disparos,  con</w:t>
        <w:br/>
        <w:t xml:space="preserve">      resonancia ensordecedora en el  espacio  limitado  del  zaguán,  había</w:t>
        <w:br/>
        <w:t xml:space="preserve">      causado pavor. En los primeros momentos se creyó que los soldados iban</w:t>
        <w:br/>
        <w:t xml:space="preserve">      a irrumpir en las salas barriendo a balazos todo lo que encontraran en</w:t>
        <w:br/>
        <w:t xml:space="preserve">      su camino, que el Gobierno había cambiado  de  idea,  optando  por  la</w:t>
        <w:br/>
        <w:t xml:space="preserve">      liquidación física en masa (...). Vieron a los cuerpos amontonados, la</w:t>
        <w:br/>
        <w:t xml:space="preserve">      sangre  sinuosa  arrastrándose  lentamente  por  las  losas  como   si</w:t>
        <w:br/>
        <w:t xml:space="preserve">      estuviese viva, y las cajas de comida. (...) El peligro acecha  a  los</w:t>
        <w:br/>
        <w:t xml:space="preserve">      imprudentes, en aquellos cuerpos sin vida, sobre todo  en  la  sangre,</w:t>
        <w:br/>
        <w:t xml:space="preserve">      quién podría saber qué vapores, qué emanaciones, qué venenosos miasmas</w:t>
        <w:br/>
        <w:t xml:space="preserve">      estarían desprendiéndose ya de la  carne  destrozada  de  los  ciegos.</w:t>
        <w:br/>
        <w:t xml:space="preserve">      Están muertos, no pueden hacernos nada, dijo alguien[; ...] fijaos, ni</w:t>
        <w:br/>
        <w:t xml:space="preserve">      se mueven ni respiran, pero quién nos dice que esta ceguera blanca  no</w:t>
        <w:br/>
        <w:t xml:space="preserve">      será precisamente un mal de espíritu, y si lo  es,  partamos  de  esta</w:t>
        <w:br/>
        <w:t xml:space="preserve">      hipótesis, los espíritus de aquellos ciegos nunca habrían  estado  tan</w:t>
        <w:br/>
        <w:t xml:space="preserve">      sueltos como ahora, fuera de los cuerpos, y por tanto libres de  hacer</w:t>
        <w:br/>
        <w:t xml:space="preserve">      lo que quieran, sobre todo  el  mal,  que,  como  es  de  conocimiento</w:t>
        <w:br/>
        <w:t xml:space="preserve">      general, siempre ha sido lo más fácil de hacer"[243].</w:t>
        <w:br/>
        <w:br/>
        <w:t>18.   Es ésta una descripción de las consecuencias del ataque  armado  a  la</w:t>
        <w:br/>
        <w:t>Prisión de Castro Castro? Aunque pudiera prima facie parecerlo,  no  lo  es;</w:t>
        <w:br/>
        <w:t>trátase, más bien, de  la  alegoría  del  "brote  epidémico  de  la  ceguera</w:t>
        <w:br/>
        <w:t>blanca" de José Saramago[244], quien agrega:</w:t>
        <w:br/>
        <w:br/>
        <w:t xml:space="preserve">            "La conciencia moral, a la que tantos insensatos han ofendido  y</w:t>
        <w:br/>
        <w:t xml:space="preserve">      de la que muchos más han  renegado,  es  cosa  que  existe  y  existió</w:t>
        <w:br/>
        <w:t xml:space="preserve">      siempre, no ha sido un  invento  de  los  filósofos  del  Cuaternario,</w:t>
        <w:br/>
        <w:t xml:space="preserve">      cuando el alma apenas era un proyecto confuso. Con la  marcha  de  los</w:t>
        <w:br/>
        <w:t xml:space="preserve">      tiempos, (...) acabamos metiendo la  conciencia  en  el  color  de  la</w:t>
        <w:br/>
        <w:t xml:space="preserve">      sangre y en la sal de las lágrimas, y, como si tanto fuera  aún  poco,</w:t>
        <w:br/>
        <w:t xml:space="preserve">      hicimos de los ojos una especie de espejos vueltos hacia  dentro,  con</w:t>
        <w:br/>
        <w:t xml:space="preserve">      el resultado, muchas veces, de que acaban mostrando sin reserva lo que</w:t>
        <w:br/>
        <w:t xml:space="preserve">      estábamos tratando de negar con la boca"[245].</w:t>
        <w:br/>
        <w:br/>
        <w:t>19.   A los penetrantes mensajes de las  alegorías  de  A.  Camus  sobre  la</w:t>
        <w:br/>
        <w:t>peste, y de J. Saramago sobre la  ceguera,  yo  me  permitiría  agregar  una</w:t>
        <w:br/>
        <w:t>brevísima ponderación, suscitada por los hechos del presente  caso.  De  los</w:t>
        <w:br/>
        <w:t>escombros del bombardeo de la Prisión de Castro Castro,  de  la  devastación</w:t>
        <w:br/>
        <w:t>del ataque armado perpetrado contra sus internos indefensos los días  06  al</w:t>
        <w:br/>
        <w:t>09 de mayo de 1992, de  la  sangre  de  sus  víctimas  amontonadas,  de  las</w:t>
        <w:br/>
        <w:t>brutalidades prolongadas en el tiempo, de los daños causados a los  ojos  de</w:t>
        <w:br/>
        <w:t>los internos por las esquirlas (armas de fragmentación) y los  gases,  -  de</w:t>
        <w:br/>
        <w:t>toda esa masacre sin piedad,  emerge  la  conciencia  humana  manifestada  y</w:t>
        <w:br/>
        <w:t>simbolizada  hoy  día  por  el  monumento  "El  Ojo  que   Llora"[246],   en</w:t>
        <w:br/>
        <w:t>reconocimiento  del  sufrimiento  de  las  víctimas  y  como  expresión   de</w:t>
        <w:br/>
        <w:t>solidaridad con ellas.</w:t>
        <w:br/>
        <w:br/>
        <w:t>20.   La solidaridad y, mediante la presente Sentencia  de  esta  Corte,  la</w:t>
        <w:br/>
        <w:t>justicia, por fin se sobrepusieron a la  victimización  criminal.  Hoy,  "El</w:t>
        <w:br/>
        <w:t>Ojo que Llora" desafía el pasar del tiempo, o pretende hacerlo, en señal  de</w:t>
        <w:br/>
        <w:t>arrepentimiento por los ojos que ardieron o fueron perforados en la  Prisión</w:t>
        <w:br/>
        <w:t>de Castro Castro, y de enseñanza de que a cada uno  cabe  perseverar  en  la</w:t>
        <w:br/>
        <w:t>búsqueda de su propia redención. Dada la  finitud  del  tiempo  existencial,</w:t>
        <w:br/>
        <w:t>hay los que buscan su superación mediante las expresiones del  espíritu.  En</w:t>
        <w:br/>
        <w:t>el presente caso, "El Ojo que Llora" lo demuestra. Como decía, en un  ensayo</w:t>
        <w:br/>
        <w:t>de 1938, Stefan Zweig, con su característica sensibilidad, el  "misterio  de</w:t>
        <w:br/>
        <w:t>la creación artística" proporciona el "momento  indescriptible"  en  el  que</w:t>
        <w:br/>
        <w:t>"acaba la limitación terrenal de lo perecedero en nosotros, los  humanos,  y</w:t>
        <w:br/>
        <w:t>comienza lo perenne"[247].</w:t>
        <w:br/>
        <w:br/>
        <w:t>21.   En este caso de la Prisión  de  Castro  Castro,  la  crueldad  de  los</w:t>
        <w:br/>
        <w:t>hechos causados por agentes del Estado efectivamente ultrapasa en mucho  las</w:t>
        <w:br/>
        <w:t>alas de la imaginación. Como lo resumió  uno  de  los  testimonios  rendidos</w:t>
        <w:br/>
        <w:t>ante esta Corte, estar bajo aquel bombardeo era "como un infierno"[248].  No</w:t>
        <w:br/>
        <w:t>hay que pasar desapercibido que, quien presentó los hechos del cas  d'espèce</w:t>
        <w:br/>
        <w:t>a esta  Corte  con  mayor  precisión  y  detalles  fueron  precisamente  los</w:t>
        <w:br/>
        <w:t>representantes de las propias víctimas y sus  familiares  (a  través  de  su</w:t>
        <w:br/>
        <w:t>interveniente común), como sujetos del Derecho Internacional que son,  y  no</w:t>
        <w:br/>
        <w:t>la  Comisión  Interamericana  de  Derechos  Humanos.  La  demanda  por  ésta</w:t>
        <w:br/>
        <w:t>presentada padece de imprecisiones apuntadas  a  lo  largo  de  la  presente</w:t>
        <w:br/>
        <w:t>Sentencia de la Corte, y varios de los hechos sólo figuraron en  los  Anexos</w:t>
        <w:br/>
        <w:t>de la demanda presentada por  la  Comisión.  Pero  los  Anexos  integran  el</w:t>
        <w:br/>
        <w:t>documento principal, la referida demanda.</w:t>
        <w:br/>
        <w:br/>
        <w:t>22.   El presente caso, a mi juicio, sepulta,  de  una  vez  por  todas,  la</w:t>
        <w:br/>
        <w:t>visión anacrónica y paternalista del pasado de la presunta necesidad de  una</w:t>
        <w:br/>
        <w:t>"intermediación" por la Comisión entre  las  víctimas  y  la  Corte.  En  el</w:t>
        <w:br/>
        <w:t>presente caso, las víctimas - la verdadera parte sustantiva demandante  ante</w:t>
        <w:br/>
        <w:t>la Corte, como siempre he sostenido  -  supieron  presentar  los  hechos  de</w:t>
        <w:br/>
        <w:t>forma mucho más completa y  ordenada  que  la  Comisión.  El  presente  caso</w:t>
        <w:br/>
        <w:t>evidencia la emancipación de la persona humana vis-à-vis su  propio  Estado,</w:t>
        <w:br/>
        <w:t>así como vis-à-vis la Comisión, en el marco del  sistema  interamericano  de</w:t>
        <w:br/>
        <w:t>protección.</w:t>
        <w:br/>
        <w:br/>
        <w:t>23.   El cas d'espèce, una  vez  más,  destaca  la  posición  verdaderamente</w:t>
        <w:br/>
        <w:t>central que ocupan las víctimas en  el  procedimiento  contencioso  ante  la</w:t>
        <w:br/>
        <w:t>Corte. En la audiencia pública  de  26-27.06.2006  ante  esta  Corte  en  el</w:t>
        <w:br/>
        <w:t>presente caso de la Prisión de Castro Castro, en respuesta a  preguntas  que</w:t>
        <w:br/>
        <w:t>me permití dirigirle (recordándole que  las  víctimas  ellas  mismas  habían</w:t>
        <w:br/>
        <w:t>reivindicado "medidas de reparación  de  impacto  colectivo"),  la  Comisión</w:t>
        <w:br/>
        <w:t>admitió con acierto que las víctimas son la verdadera parte demandante  ante</w:t>
        <w:br/>
        <w:t>la Corte (tesis que sostengo hace años en el seno de este  Tribunal)  y  que</w:t>
        <w:br/>
        <w:t>las  medidas  de  reparación  de  "impacto  colectivo"  eran  pertinentes  e</w:t>
        <w:br/>
        <w:t>importantes en las circunstancias del presente caso, en que  los  familiares</w:t>
        <w:br/>
        <w:t>de las prisioneras y los  prisioneros  eran  también  víctimas  directas  de</w:t>
        <w:br/>
        <w:t>"afectación psicológica" de las torturas infligidas  a  sus  seres  queridos</w:t>
        <w:br/>
        <w:t>privados de libertad[249].</w:t>
        <w:br/>
        <w:br/>
        <w:t>24.   En su Escrito de Solicitudes, Argumentos  y  Pruebas  del  10.12.2005,</w:t>
        <w:br/>
        <w:t>sometido a la Corte Interamericana en el  cas  d'espèce,  la  representación</w:t>
        <w:br/>
        <w:t>legal de las víctimas y sus familiares relató  que  el  pabellón  1A  de  la</w:t>
        <w:br/>
        <w:t>Prisión de  Castro  Castro  "albergaba  a  aproximadamente  131  prisioneras</w:t>
        <w:br/>
        <w:t>mujeres entre las cuales  se  encontraban  mujeres  en  avanzado  estado  de</w:t>
        <w:br/>
        <w:t>gestación y ancianas" Fueron atacadas en la madrugada  del  06  de  mayo  de</w:t>
        <w:br/>
        <w:t>1992 por 500 miembros de la  policía  y  cerca  de  1000  efectivos  de  las</w:t>
        <w:br/>
        <w:t>fuerzas armadas, con la utilización de armas  pesadas;  al  mediodía  usaron</w:t>
        <w:br/>
        <w:t>"gas de fósforo blanco contra  las  prisioneras  mujeres  encerradas  en  el</w:t>
        <w:br/>
        <w:t>pabellón  1A",  el  cual  causó  "asfixia  violenta"   y   "un   sufrimiento</w:t>
        <w:br/>
        <w:t>excruciante: la sensación que la tráquea se partía en dos y que  el  sistema</w:t>
        <w:br/>
        <w:t>respiratorio se quemaba químicamente; piel y órganos internos quemaban  como</w:t>
        <w:br/>
        <w:t>si hubiera sido un prendido en fuego. (...) Los  explosivos  causaban  ondas</w:t>
        <w:br/>
        <w:t>expansivas que herían los tímpanos en fuego" (párr. 20).</w:t>
        <w:br/>
        <w:br/>
        <w:t>25.   Según el referido relato, "el carácter masivo de dicha  inflicción  de</w:t>
        <w:br/>
        <w:t>sufrimiento soportado por  las  víctimas  durante  el  ataque,  tornó  dicho</w:t>
        <w:br/>
        <w:t>sufrimiento en más extremo y horrífico en naturaleza" (párr. 23).  Asimismo,</w:t>
        <w:br/>
        <w:br/>
        <w:br/>
        <w:t xml:space="preserve">            "varias mujeres quienes estaban seriamente heridas pero  quienes</w:t>
        <w:br/>
        <w:t xml:space="preserve">      pudieron resistir y llegar  vivas  al  hospital  y  a  donde  llegaron</w:t>
        <w:br/>
        <w:t xml:space="preserve">      transportadas en camiones, una encima de la otra, fueron  violadas  en</w:t>
        <w:br/>
        <w:t xml:space="preserve">      el  hospital  por  personas  encapuchadas  quienes  supuestamente  las</w:t>
        <w:br/>
        <w:t xml:space="preserve">      revisaban al llegar. No se les dio ninguna atención médica  y  algunas</w:t>
        <w:br/>
        <w:t xml:space="preserve">      murieron como consecuencia.</w:t>
        <w:br/>
        <w:t xml:space="preserve">            Los sobrevivientes varones fueron  obligados  a  permanecer  por</w:t>
        <w:br/>
        <w:t xml:space="preserve">      casi 15 días sin atención médica sometidos a posiciones  forzadas,  de</w:t>
        <w:br/>
        <w:t xml:space="preserve">      cúbito ventral con las manos en la nuca (...). El 10 de mayo  Fujimori</w:t>
        <w:br/>
        <w:t xml:space="preserve">      inspeccionó la Prisión de Castro Castro personalmente, paseándose  por</w:t>
        <w:br/>
        <w:t xml:space="preserve">      entre los prisioneros torturados en  la  posición  forzada  de  cúbito</w:t>
        <w:br/>
        <w:t xml:space="preserve">      ventral, y aprobando el resultado de la operación. (...)</w:t>
        <w:br/>
        <w:t xml:space="preserve">            Las prisioneras mujeres fueron divididas en dos grupos. Un grupo</w:t>
        <w:br/>
        <w:t xml:space="preserve">      fue llevado a prisión de Cachiche en Ica, y el otro a  la  prisión  de</w:t>
        <w:br/>
        <w:t xml:space="preserve">      Santa Mónica en Lima. Las mujeres de Santa  Mónica  fueran  sujetas  a</w:t>
        <w:br/>
        <w:t xml:space="preserve">      similares  condiciones  a  las  de  los  varones:  fueron  forzadas  a</w:t>
        <w:br/>
        <w:t xml:space="preserve">      permanecer con las mismas ropas que habían usado desde la masacre y no</w:t>
        <w:br/>
        <w:t xml:space="preserve">      se les  permitió  el  ducharse  por  más  de  15  días.  Permanecieron</w:t>
        <w:br/>
        <w:t xml:space="preserve">      completamente  incomunicado  del  mundo  exterior  por  caso  5  meses</w:t>
        <w:br/>
        <w:t xml:space="preserve">      posterior a la masacre y sus paraderos fueron  desconocidos  por  todo</w:t>
        <w:br/>
        <w:t xml:space="preserve">      ese tiempo a sus familiares. Ningún acceso a  abogados  o  visitas  de</w:t>
        <w:br/>
        <w:t xml:space="preserve">      familiares fue permitido hasta finales de septiembre  de  1992.  (...)</w:t>
        <w:br/>
        <w:t xml:space="preserve">      Sólo una mujer sabe lo que es estar sangrando cada mes sin tener forma</w:t>
        <w:br/>
        <w:t xml:space="preserve">      de cuidar de su higiene. Estas privaciones fueron intencionales:  para</w:t>
        <w:br/>
        <w:t xml:space="preserve">      infligir sufrimiento psicológico severo" (párrs. 25-27 y 29).</w:t>
        <w:br/>
        <w:br/>
        <w:t>26.   El  mismo  relato  da  cuenta  de  que  dos  de  las  prisioneras,  en</w:t>
        <w:br/>
        <w:t>consecuencia de las brutalidades infligidas, perdieron el uso de  la  razón,</w:t>
        <w:br/>
        <w:t>perdieron su sanidad mental (la Sra. Benedicta Yuyali, de casi  70  años  de</w:t>
        <w:br/>
        <w:t>edad, y la Sra.  Lucy  Huatuco  -  párr.  29).  La  presencia  señalada  del</w:t>
        <w:br/>
        <w:t>elemento de intencionalidad me  parece  de  la  mayor  importancia  para  la</w:t>
        <w:br/>
        <w:t>configuración de la responsabilidad internacional del Estado en el  presente</w:t>
        <w:br/>
        <w:t>caso de la masacre de la Prisión de Castro Castro: la  incidencia  de  dicha</w:t>
        <w:br/>
        <w:t>mens rea, del animus agressionis del poder estatal, configura  a  mi  juicio</w:t>
        <w:br/>
        <w:t>la responsabilidad internacional agravada del Estado demandado.</w:t>
        <w:br/>
        <w:br/>
        <w:t>27.   En la supracitada audiencia pública ante esta  Corte  en  el  presente</w:t>
        <w:br/>
        <w:t>caso, realizada en la ciudad de San Salvador, me permití preguntar a una  de</w:t>
        <w:br/>
        <w:t>las víctimas, y testigo (Sra. Gaby Balcazar Medina) en el caso, cuáles  eran</w:t>
        <w:br/>
        <w:t>"sus reflexiones hoy día sobre esta experiencia de contacto  con  la  maldad</w:t>
        <w:br/>
        <w:t>humana"[250]. Ella respondió:</w:t>
        <w:br/>
        <w:br/>
        <w:t xml:space="preserve">            "(...) Con todo lo que me han hecho yo sentí que no solamente me</w:t>
        <w:br/>
        <w:t xml:space="preserve">      han dejado marcada en el cuerpo sino también en mi alma (...). En  los</w:t>
        <w:br/>
        <w:t xml:space="preserve">      primeros años tenía pesadillas, soñaba que me  fusilaban,  soñaba  con</w:t>
        <w:br/>
        <w:t xml:space="preserve">      los cadáveres (...).  (...) Se que hay tanta maldad en el ser  humano,</w:t>
        <w:br/>
        <w:t xml:space="preserve">      hasta en los policías, pero hubo uno que me dio agua  y  no  fue  agua</w:t>
        <w:br/>
        <w:t xml:space="preserve">      hervida, pedí una botella de agua [y] él se compadeció  de  calmar  la</w:t>
        <w:br/>
        <w:t xml:space="preserve">      sed.</w:t>
        <w:br/>
        <w:t xml:space="preserve">            (...) A partir del día  de  hoy,  al  ser  escuchada,  al  darme</w:t>
        <w:br/>
        <w:t xml:space="preserve">      Ustedes esta oportunidad, muchas jóvenes que han muerto  van  a  poder</w:t>
        <w:br/>
        <w:t xml:space="preserve">      descansar a partir de este día en paz, porque ha  habido  alguien  que</w:t>
        <w:br/>
        <w:t xml:space="preserve">      realmente ha contado lo que ocurrió esos cuatro días en  el  Penal  de</w:t>
        <w:br/>
        <w:t xml:space="preserve">      Castro Castro, - que es una gran mentira  que  fueron  a  trasladarnos</w:t>
        <w:br/>
        <w:t xml:space="preserve">      porque ellos fueron a matarnos, - y esos jóvenes y madres que murieron</w:t>
        <w:br/>
        <w:t xml:space="preserve">      van a descansar en paz a partir del día de hoy"[251].</w:t>
        <w:br/>
        <w:br/>
        <w:t>28.   Los hechos del presente caso, tal como presentados sobre todo por  los</w:t>
        <w:br/>
        <w:t>sujetos de Derecho, hablan por sí mismos. Con base en el  acervo  probatorio</w:t>
        <w:br/>
        <w:t>que obra en el expediente, la Corte concluyó en la  presente  Sentencia  que</w:t>
        <w:br/>
        <w:t>no hubo motín que justificase el llamado "Operativo Mudanza 1" del 06 al  09</w:t>
        <w:br/>
        <w:t>de mayo de 1992 en la Prisión de Castro Castro (párr. 197.21). Lo  que  hubo</w:t>
        <w:br/>
        <w:t>fue un ataque armado ejecutado por fuerzas  de  seguridad  del  Estado  para</w:t>
        <w:br/>
        <w:t>"atentar contra la vida e integridad de  las  internas  e  internos  que  se</w:t>
        <w:br/>
        <w:t>encontraban en los pabellones 1A y  4B"  de  la  Prisión  de  Castro  Castro</w:t>
        <w:br/>
        <w:t>(párrs. 215 y 216). Fue un ataque premeditado (párr.  197.23  y  26-33).  La</w:t>
        <w:br/>
        <w:t>Corte, al destacar la "gravedad de los hechos"  del  presente  caso,  afirmó</w:t>
        <w:br/>
        <w:t>que lo sucedido en la Prisión de Castro  Castro  "fue  una  masacre"  (párr.</w:t>
        <w:br/>
        <w:t>234). La supracitada responsabilidad internacional agravada es  generada,  a</w:t>
        <w:br/>
        <w:t>mi juicio, en las circunstancias del presente caso, por la  perpetración  de</w:t>
        <w:br/>
        <w:t>un crimen de Estado.</w:t>
        <w:br/>
        <w:br/>
        <w:br/>
        <w:t xml:space="preserve">      V.    El Surgimiento de la Responsabilidad Internacional del Estado  y</w:t>
        <w:br/>
        <w:t>el               Principio de la Proporcionalidad.</w:t>
        <w:br/>
        <w:br/>
        <w:br/>
        <w:t>29.   En el procedimiento en el presente caso (fases escrita  y  oral),  hay</w:t>
        <w:br/>
        <w:t>un detalle en la argumentación presentada ante la Corte que no  puede  pasar</w:t>
        <w:br/>
        <w:t>desapercibido. Con la mejor de las intenciones - la de  buscar  justicia,  -</w:t>
        <w:br/>
        <w:t>la Comisión Interamericana de Derechos Humanos hizo énfasis en la  falta  de</w:t>
        <w:br/>
        <w:t>proporcionalidad en el uso de la fuerza por  los  agentes  estatales  en  la</w:t>
        <w:br/>
        <w:t>incursión en la Prisión de Castro Castro, mientras que la representación  de</w:t>
        <w:br/>
        <w:t>las víctimas y sus familiares destacó como punto  central  la  ilicitud  del</w:t>
        <w:br/>
        <w:t>acto original (agravado por la  intencionalidad).  Esto  me  conduce  a  una</w:t>
        <w:br/>
        <w:t>breve  recapitulación  del  origen  o  surgimiento  de  la   responsabilidad</w:t>
        <w:br/>
        <w:t>internacional del Estado.</w:t>
        <w:br/>
        <w:br/>
        <w:t>30.   En realidad, ya en mi Voto Concurrente (párrs. 1-40)  en  el  caso  de</w:t>
        <w:br/>
        <w:t>"La Última Tentación  de  Cristo"  (Olmedo  Bustos  y  Otros  versus  Chile,</w:t>
        <w:br/>
        <w:t>Sentencia  del  05.02.2001),  examiné  la  cuestión   del   origen   de   la</w:t>
        <w:br/>
        <w:t>responsabilidad internacional del Estado; no es mi intención  reiterar  aquí</w:t>
        <w:br/>
        <w:t>las extensas consideraciones por mí desarrolladas al respecto en aquel  Voto</w:t>
        <w:br/>
        <w:t>Concurrente, sino tan sólo dejar  en  este  Voto  Razonado  esta  muy  breve</w:t>
        <w:br/>
        <w:t>referencia a ellas. Ahí sostuve en entendimiento en el  sentido  de  que  la</w:t>
        <w:br/>
        <w:t>responsabilidad internacional de un Estado Parte en un tratado  de  derechos</w:t>
        <w:br/>
        <w:t>humanos surge al momento mismo de  la  ocurrencia  de  un  hecho  -  acto  u</w:t>
        <w:br/>
        <w:t>omisión - ilícito internacional (tempus commisi delicti), imputable a  dicho</w:t>
        <w:br/>
        <w:t>Estado, en violación de sus obligaciones bajo el tratado en cuestión.</w:t>
        <w:br/>
        <w:br/>
        <w:t>31.   Después de volver a referirme  a  la  cuestión  en  mi  Voto  Razonado</w:t>
        <w:br/>
        <w:t>(párr. 4) en el caso  Myrna  Mack  Chang  versus  Guatemala  (Sentencia  del</w:t>
        <w:br/>
        <w:t>25.11.2003), me permití reiterar, en mi  Voto  Razonado  (párr.  14,  y  cf.</w:t>
        <w:br/>
        <w:t>párrs. 11-18), en el caso de  los  Hermanos  Gómez  Paquiyauri  versus  Perú</w:t>
        <w:br/>
        <w:t>(Sentencia del 08.07.2004), mi entendimiento en el sentido de que</w:t>
        <w:br/>
        <w:br/>
        <w:t xml:space="preserve">            "(...) En el Derecho Internacional de los Derechos  Humanos,  la</w:t>
        <w:br/>
        <w:t xml:space="preserve">      responsabilidad internacional del Estado surge en el momento mismo  de</w:t>
        <w:br/>
        <w:t xml:space="preserve">      la violación de los derechos de la persona humana, o sea,  tan  pronto</w:t>
        <w:br/>
        <w:t xml:space="preserve">      ocurra el ilícito internacional atribuible al Estado. En el  marco  de</w:t>
        <w:br/>
        <w:t xml:space="preserve">      la Convención Americana sobre  Derechos  Humanos,  la  responsabilidad</w:t>
        <w:br/>
        <w:t xml:space="preserve">      internacional del Estado puede generarse  por  actos  u  omisiones  de</w:t>
        <w:br/>
        <w:t xml:space="preserve">      cualquier poder u órgano o agente de éste,  independientemente  de  su</w:t>
        <w:br/>
        <w:t xml:space="preserve">      jerarquía, que violen los derechos protegidos por la Convención[252]".</w:t>
        <w:br/>
        <w:br/>
        <w:t>32.   En suma, a mi juicio, no puede  haber  duda,  según  la  doctrina  más</w:t>
        <w:br/>
        <w:t>lúcida del Derecho Internacional, de que  la  responsabilidad  internacional</w:t>
        <w:br/>
        <w:t>del Estado (como sujeto del Derecho Internacional) se configura  al  momento</w:t>
        <w:br/>
        <w:t>mismo de la ocurrencia de un hecho ilícito (acto u omisión),  violatorio  de</w:t>
        <w:br/>
        <w:t>una obligación internacional, imputable al Estado[253]. En el cas  d'espèce,</w:t>
        <w:br/>
        <w:t>la responsabilidad internacional del Estado se configuró al  momento  de  la</w:t>
        <w:br/>
        <w:t>incursión armada (con animus agressionis) de agentes  estatales  armados  en</w:t>
        <w:br/>
        <w:t>la Prisión de Castro Castro.</w:t>
        <w:br/>
        <w:br/>
        <w:t>33.   La falta de proporcionalidad en el uso (enteramente  indebido)  de  la</w:t>
        <w:br/>
        <w:t>fuerza constituye una circunstancia agravante de la responsabilidad  estatal</w:t>
        <w:br/>
        <w:t>ya configurada. No me eximo de ir aún más allá: en el presente  caso  de  la</w:t>
        <w:br/>
        <w:t>Prisión de Castro  Castro,  el  animus  agressionis  (la  mens  rea)  -  que</w:t>
        <w:br/>
        <w:t>caracteriza las violaciones graves de los derechos humanos y la  consecuente</w:t>
        <w:br/>
        <w:t>responsabilidad  estatal  internacional  agravada  se  configura  desde   el</w:t>
        <w:br/>
        <w:t>momento de la toma de decisión y la planificación del ataque  armado  a  los</w:t>
        <w:br/>
        <w:t>reclusos en la referida Prisión,  perpetrado  por  muchos  efectivos  de  la</w:t>
        <w:br/>
        <w:t>policía nacional, por  el  ejército  peruano,  y  por  unidades  de  fuerzas</w:t>
        <w:br/>
        <w:t>especiales (v.g., DINOES, UDEX, SUAT, USE), quienes, como  señalado  por  la</w:t>
        <w:br/>
        <w:t>Corte en la presente Sentencia, "incluso se  ubicaron  como  francotiradores</w:t>
        <w:br/>
        <w:t>en los techos del Penal y dispararon contra los internos" (párr. 216).</w:t>
        <w:br/>
        <w:br/>
        <w:t>34.   El llamado "Operativo Mudanza 1", efectuado con  gran  brutalidad  por</w:t>
        <w:br/>
        <w:t>estas distintas fuerzas de seguridad del Estado, no podría,  a  mi  modo  de</w:t>
        <w:br/>
        <w:t>ver, haber sido perpetrado, con tamaña  magnitud  (inclusive  con  armas  de</w:t>
        <w:br/>
        <w:t>guerra) sin una previa planificación, decisión y autorización por  parte  de</w:t>
        <w:br/>
        <w:t>las más altas autoridades del Estado. Licence to kill, -  fue  un  auténtico</w:t>
        <w:br/>
        <w:t>crimen de Estado. Se puede, pues, en tales circunstancias, retroceder en  el</w:t>
        <w:br/>
        <w:t>tempus  commisi  delicti,  para  tomar  en  consideración,  como   elementos</w:t>
        <w:br/>
        <w:t>agravantes, la planificación  del  aparato  estatal  para  cometer  un  acto</w:t>
        <w:br/>
        <w:t>ilícito internacional de particular gravedad.</w:t>
        <w:br/>
        <w:br/>
        <w:t>35.   El  principio  de  la  proporcionalidad,  a  su  vez,  es  normalmente</w:t>
        <w:br/>
        <w:t>invocado en el marco del Derecho Internacional Humanitario; su invocación  y</w:t>
        <w:br/>
        <w:t>observancia contribuyen a la clarificación de conducta en una  situación  de</w:t>
        <w:br/>
        <w:t>conflicto armado, imponiendo restricciones al comportamiento beligerante  en</w:t>
        <w:br/>
        <w:t>medio a las  hostilidades[254];  el  principio  de  la  proporcionalidad  es</w:t>
        <w:br/>
        <w:t>relevante en este contexto. Ocurre que, en el presente caso  de  la  Prisión</w:t>
        <w:br/>
        <w:t>de Castro Castro versus Perú, las víctimas no eran parte beligerante  en  un</w:t>
        <w:br/>
        <w:t>conflicto armado, sino más bien personas ya privadas de  su  libertad  y  en</w:t>
        <w:br/>
        <w:t>estado de indefensión, y  que  no  estaban  amotinadas.  No  están  aquí  en</w:t>
        <w:br/>
        <w:t>cuestión los temperamenta  belli[255];  los  principios  fundamentales  aquí</w:t>
        <w:br/>
        <w:t>invocables son, de orden distinta, el de la dignidad de la  persona  humana,</w:t>
        <w:br/>
        <w:t>y el de la inalienabilidad de los derechos que  le  son  inherentes.  Dichos</w:t>
        <w:br/>
        <w:t>principios informan y conforman  los  derechos  humanos  consagrados  en  la</w:t>
        <w:br/>
        <w:t>Convención Americana, y violados en el cas d'espèce[256].</w:t>
        <w:br/>
        <w:br/>
        <w:t>36.   El ataque armado a la Prisión de Castro Castro no formó  parte  de  un</w:t>
        <w:br/>
        <w:t>conflicto armado: fue una verdadera masacre. La flagrante  ilicitud  de  los</w:t>
        <w:br/>
        <w:t>actos de brutalidad imputables  al  Estado,  que  configuran  ab  initio  su</w:t>
        <w:br/>
        <w:t>responsabilidad  internacional  bajo  la  Convención  Americana,  asume  una</w:t>
        <w:br/>
        <w:t>posición verdaderamente central en el razonamiento judicial de  un  tribunal</w:t>
        <w:br/>
        <w:t>internacional de derechos humanos  como  esta  Corte;  el  principio  de  la</w:t>
        <w:br/>
        <w:t>proporcionalidad  aparece  como  elemento   adicional,   en   una   posición</w:t>
        <w:br/>
        <w:t>tangencial,  ante  una   responsabilidad   internacional   del   Estado   ya</w:t>
        <w:br/>
        <w:t>configurada.  En  su  sustancial  estudio  sobre   Customary   Internacional</w:t>
        <w:br/>
        <w:t>Humanitarian Law, divulgado por el Comité Internacional de la Cruz  Roja  en</w:t>
        <w:br/>
        <w:t>2005[257],  el  principio  de  la  proporcionalidad  marca  presencia   como</w:t>
        <w:br/>
        <w:t>prohibición de atacar causando muertos y heridos en la  población  civil  de</w:t>
        <w:br/>
        <w:t>modo excesivo con ventajas militares previstas.</w:t>
        <w:br/>
        <w:br/>
        <w:t>37.    No  se  trata,  pues,  en  el  presente  caso,   de   determinar   la</w:t>
        <w:br/>
        <w:t>desproporcionalidad del ataque y de las armas (de  guerra)  utilizadas,  por</w:t>
        <w:br/>
        <w:t>cuanto éstos (uno y otras) ya estaban terminantemente prohibidos.  No  había</w:t>
        <w:br/>
        <w:t>un conflicto armado, no había rebelión en  la  cárcel,  no  había  motín  de</w:t>
        <w:br/>
        <w:t>presos, que se  encontraban  en  estado  de  total  indefensión.  El  ataque</w:t>
        <w:br/>
        <w:t>brutalmente perpetrado, de armamentos pesados de guerra, fue una  masacre  a</w:t>
        <w:br/>
        <w:t>sangre fría, que pretendió exterminar personas privadas de su libertad y  en</w:t>
        <w:br/>
        <w:t>estado de completa indefensión.</w:t>
        <w:br/>
        <w:br/>
        <w:t>38.    El  ilícito  internacional  agravado  ya  se   había   perpetrado   y</w:t>
        <w:br/>
        <w:t>configurado de  inmediato  la  responsabilidad  internacional  agravada  del</w:t>
        <w:br/>
        <w:t>Estado. En el contexto del presente caso de la Prisión de Castro Castro,  la</w:t>
        <w:br/>
        <w:t>representación  de  las  víctimas  y  sus  familiares,  a   través   de   su</w:t>
        <w:br/>
        <w:t>interveniente común (Sra. Mónica Feria Tinta) y también víctima en  el  caso</w:t>
        <w:br/>
        <w:t>concreto, captó, pues,  además  de  los  hechos  (cf.  supra),  también  los</w:t>
        <w:br/>
        <w:t>fundamentos del derecho aplicable,  con  más  precisión  y  acierto  que  la</w:t>
        <w:br/>
        <w:t>Comisión, en relación con este punto específico.</w:t>
        <w:br/>
        <w:br/>
        <w:t>39.   Esto tampoco puede pasar desapercibido, y constituye para mí un  hecho</w:t>
        <w:br/>
        <w:t>alentador, pues, - como vengo insistiendo hace  años  en  el  seno  de  esta</w:t>
        <w:br/>
        <w:t>Corte y en mis libros[258], - la verdadera parte demandante  ante  la  Corte</w:t>
        <w:br/>
        <w:t>son los individuos peticionarios  (y  no  la  Comisión),  quienes,  como  el</w:t>
        <w:br/>
        <w:t>presente caso lo indican, han alcanzado suficiente  madurez  para  presentar</w:t>
        <w:br/>
        <w:t>en forma  autónoma  sus  argumentos  y  pruebas,  no  solamente  en  materia</w:t>
        <w:br/>
        <w:t>factual, sino también en materia jurídica (cf. supra),  incluso,  en  uno  u</w:t>
        <w:br/>
        <w:t>otro caso, - como en el presente caso, - con más precisión y acierto que  la</w:t>
        <w:br/>
        <w:t>propia Comisión. Quedan, pues, enteramente superada la visión  parternalista</w:t>
        <w:br/>
        <w:t>y anacrónica que en el pasado  sostenía  que  los  individuos  peticionarios</w:t>
        <w:br/>
        <w:t>necesitaban siempre un órgano como la Comisión que  los  "representase".  No</w:t>
        <w:br/>
        <w:t>siempre. El presente caso lo demuestra fehacientemente.</w:t>
        <w:br/>
        <w:br/>
        <w:br/>
        <w:t xml:space="preserve">      VI.   La Recurrencia del Crimen de  Estado:  El  Pensamiento  Jurídico</w:t>
        <w:br/>
        <w:t>Olvidado.</w:t>
        <w:br/>
        <w:br/>
        <w:br/>
        <w:t>40.    El  bombardeo  de  la  Prisión  de  Castro  Castro  fue  una  masacre</w:t>
        <w:br/>
        <w:t>premeditada, planificada y ejecutada por agentes del Estado,  desde  la  más</w:t>
        <w:br/>
        <w:t>alta jerarquía del poder estatal hasta los integrantes  de  las  fuerzas  de</w:t>
        <w:br/>
        <w:t>seguridad. Fue, como ya señalado, un crimen de  Estado.  Una  vez  más  esta</w:t>
        <w:br/>
        <w:t>Corte decidió, mediante la presente Sentencia, sobre un  crimen  de  Estado,</w:t>
        <w:br/>
        <w:t>cuya ocurrencia  se  muestra  mucho  más  frecuente  de  lo  que  uno  puede</w:t>
        <w:br/>
        <w:t>imaginar.  Los  crímenes  de  Estado   que   han   alcanzado   la   justicia</w:t>
        <w:br/>
        <w:t>internacional son  un  microcosmo  de  las  atrocidades  del  cotidiano,  en</w:t>
        <w:br/>
        <w:t>distintos  continentes,  que  todavía  no  han  logrado   ser   alzadas   al</w:t>
        <w:br/>
        <w:t>conocimiento de los tribunales internacionales contemporáneos.</w:t>
        <w:br/>
        <w:br/>
        <w:t>41.   La existencia y la frecuente ocurrencia de crímenes de Estado  son,  a</w:t>
        <w:br/>
        <w:t>mi juicio, incuestionables. Es lo que vengo advirtiendo, en el seno de  esta</w:t>
        <w:br/>
        <w:t>Corte, - y frente al aparente letargo mental  de  una  amplia  e  insensible</w:t>
        <w:br/>
        <w:t>corriente de la doctrina jusinternacionalista  contemporánea,  -  en,  v.g.,</w:t>
        <w:br/>
        <w:t>mis sucesivos Votos Razonados en los casos de Myrna  Mack  versus  Guatemala</w:t>
        <w:br/>
        <w:t>(Sentencia del 25.11.2003), Masacre de  Plan  de  Sánchez  versus  Guatemala</w:t>
        <w:br/>
        <w:t>(Sentencias del 29.04.2004 y del 19.11.2004), de  la  Masacre  de  Mapiripán</w:t>
        <w:br/>
        <w:t>versus Colombia (Sentencia del 07.03.2004), de la masacre  de  la  Comunidad</w:t>
        <w:br/>
        <w:t>Moiwana versus Suriname (Sentencia del 15.06.2005), de Almonacid Arellano  y</w:t>
        <w:br/>
        <w:t>Otros versus Chile (Sentencia del 26.09.2006), de  Goiburú  y  Otros  versus</w:t>
        <w:br/>
        <w:t>Paraguay (Sentencia del 22.09.2006), y de las  Masacres  de  Ituango  versus</w:t>
        <w:br/>
        <w:t>Colombia (Sentencia del 01.07.2006)[259].</w:t>
        <w:br/>
        <w:br/>
        <w:t>42.   En este último, - mi Voto Razonado en  el  caso  de  las  Masacres  de</w:t>
        <w:br/>
        <w:t>Ituango,  -  al  desarrollar  mis  reflexiones  sobre  la  planificación   y</w:t>
        <w:br/>
        <w:t>ejecución de masacres como crímenes de Estado, me permití ponderar:</w:t>
        <w:br/>
        <w:br/>
        <w:t xml:space="preserve">            "Como es posible negar la existencia del crimen de  Estado?  Los</w:t>
        <w:br/>
        <w:t xml:space="preserve">      jusinternacionalistas  que  lo  han  hecho  (en  gran   mayoría)   han</w:t>
        <w:br/>
        <w:t xml:space="preserve">      simplemente cerrado los ojos a los hechos, y dado muestras de su falta</w:t>
        <w:br/>
        <w:t xml:space="preserve">      de conciencia al negarse a  extraer  las  consecuencias  jurídicas  de</w:t>
        <w:br/>
        <w:t xml:space="preserve">      tales hechos. Su  dogmatismo  ciego  ha  frenado  la  evolución  y  la</w:t>
        <w:br/>
        <w:t xml:space="preserve">      humanización del Derecho Internacional. Los crímenes de  Estado  -  no</w:t>
        <w:br/>
        <w:t xml:space="preserve">      hay cómo negarlo - han sido planificados y perpetrados por sus agentes</w:t>
        <w:br/>
        <w:t xml:space="preserve">      y colaboradores, de forma recurrente, y en diferentes continentes. Los</w:t>
        <w:br/>
        <w:t xml:space="preserve">      jusinternacionalistas tienen el  deber  de  rescatar  el  concepto  de</w:t>
        <w:br/>
        <w:t xml:space="preserve">      crimen de Estado,  inclusive  para  sostener  la  credibilidad  de  su</w:t>
        <w:br/>
        <w:t xml:space="preserve">      oficio. (...)</w:t>
        <w:br/>
        <w:t xml:space="preserve">             Sucesivos  crímenes  de  Estado  -  los   ya   determinados   y</w:t>
        <w:br/>
        <w:t xml:space="preserve">      comprobados, sumados a los de que no se tiene noticia  -  continúan  a</w:t>
        <w:br/>
        <w:t xml:space="preserve">      ocurrir, ante los ojos complacientes e indiferentes de la mayor  parte</w:t>
        <w:br/>
        <w:t xml:space="preserve">      de los jusinternacionalistas contemporáneos. Los crímenes de Estado no</w:t>
        <w:br/>
        <w:t xml:space="preserve">      han dejado de existir por afirmar ellos que el  crimen  de  Estado  no</w:t>
        <w:br/>
        <w:t xml:space="preserve">      existe y no puede existir. Todo lo contrario: el crimen de Estado  sí,</w:t>
        <w:br/>
        <w:t xml:space="preserve">      existe, y no debería existir,  y  los  jusinternacionalistas  deberían</w:t>
        <w:br/>
        <w:t xml:space="preserve">      empeñarse en combatirlo y sancionarlo como tal. La mayor parte  de  la</w:t>
        <w:br/>
        <w:t xml:space="preserve">      doctrina jusinternacionalista contemporánea ha sido omisa,  al  buscar</w:t>
        <w:br/>
        <w:t xml:space="preserve">      eludir   el   tema[260].   No   pueden   seguir   haciéndolo,    pues,</w:t>
        <w:br/>
        <w:t xml:space="preserve">      afortunadamente,  para   buscar   asegurar   su   no-repetición,   las</w:t>
        <w:br/>
        <w:t xml:space="preserve">      atrocidades han sido reconstituidas en relatos  recientes[261],  y  la</w:t>
        <w:br/>
        <w:t xml:space="preserve">      memoria ha sido preservada,  por  las  publicaciones  que  empiezan  a</w:t>
        <w:br/>
        <w:t xml:space="preserve">      ampliarse de sobrevivientes  de  masacres  como  crímenes  de  Estado"</w:t>
        <w:br/>
        <w:t xml:space="preserve">      (párrs. 30 y 41).</w:t>
        <w:br/>
        <w:br/>
        <w:t>43.    A  tales  masacres   como   crímenes   de   Estado   corresponde   la</w:t>
        <w:br/>
        <w:t>responsabilidad  estatal  internacional  agravada,  con  sus   consecuencias</w:t>
        <w:br/>
        <w:t>jurídicas, - como he reiterado en mis reflexiones desarrolladas en  mi  Voto</w:t>
        <w:br/>
        <w:t>Razonado (párrs. 24-36) en el caso de la Masacre de Plan de  Sánchez,  y  en</w:t>
        <w:br/>
        <w:t>mi Voto Razonado (párrs. 30-40) en el  caso  de  la  Masacre  de  Mapiripán.</w:t>
        <w:br/>
        <w:t>Anteriormente, en mi Voto Razonado en el caso Myrna Mack  Chang  me  permití</w:t>
        <w:br/>
        <w:t>rescatar  una  corriente  doctrinal  que,  hace  décadas,  ha  admitido   la</w:t>
        <w:br/>
        <w:t>existencia del crimen de Estado (párrs. 22-26),  y  que  parece  olvidada  -</w:t>
        <w:br/>
        <w:t>deliberadamente o no - en nuestros días. No es mi  propósito  aquí  reiterar</w:t>
        <w:br/>
        <w:t>mis  reflexiones  desarrolladas  en  mis  Votos  Razonados   anteriores   al</w:t>
        <w:br/>
        <w:t>respecto,  sino  agregar   algunas   nuevas   consideraciones   sobre   este</w:t>
        <w:br/>
        <w:t>pensamiento jurídico olvidado.</w:t>
        <w:br/>
        <w:br/>
        <w:t>44.   No es mera casualidad que, ya a mediados  de  la  segunda  década  del</w:t>
        <w:br/>
        <w:t>siglo veinte, en un libro inspirado y visionario publicado en  Bucareste  en</w:t>
        <w:br/>
        <w:t>1925, titulado "Criminalité collective  des  États  et  le  Droit  pénal  de</w:t>
        <w:br/>
        <w:t>l'avenir", el jurista rumano Vespasien V. Pella  advertía  no  sólo  que  es</w:t>
        <w:br/>
        <w:t>incuestionable   la   capacidad   de   un   Estado   de   cometer   crímenes</w:t>
        <w:br/>
        <w:t>internacionales, sino además que la criminalidad más  peligrosa,  y  la  más</w:t>
        <w:br/>
        <w:t>difícil  de  combatir,  es  la  criminalidad   organizada   por   el   poder</w:t>
        <w:br/>
        <w:t>estatal[262].  Siendo  así,  urgía   la   organización   de   una   justicia</w:t>
        <w:br/>
        <w:t>internacional, inclusive para impedir y combatir  la  política  criminal  de</w:t>
        <w:br/>
        <w:t>los Estados[263]. Y agregaba con lucidez V.V. Pella:</w:t>
        <w:br/>
        <w:br/>
        <w:t xml:space="preserve">            "Les théoriciens du Droit international public  admettront  eux-</w:t>
        <w:br/>
        <w:t xml:space="preserve">      mêmes que, du jour où sera reconnu le caractère criminel de la  guerre</w:t>
        <w:br/>
        <w:t xml:space="preserve">      d'aggression, et en dehors de la disparition du  droit  de  la  guerre</w:t>
        <w:br/>
        <w:t xml:space="preserve">      comme objet de  leur  discipline  juridique,  ils  seront  obligés  de</w:t>
        <w:br/>
        <w:t xml:space="preserve">      modifier  les  méthodes  mêmes  d'investigation  scientifique   qu'ils</w:t>
        <w:br/>
        <w:t xml:space="preserve">      employaient jusqu'à l'heure actuelle.</w:t>
        <w:br/>
        <w:t xml:space="preserve">            Au lieu de cet empirisme diplomatique consistant  quelquefois  à</w:t>
        <w:br/>
        <w:t xml:space="preserve">      étudier la guerre au seul point de vue de  la  matérialité  des  faits</w:t>
        <w:br/>
        <w:t xml:space="preserve">      historiques,  il  sera  nécessaire  de  procéder  à   des   recherches</w:t>
        <w:br/>
        <w:t xml:space="preserve">      approfondies dans le domaine de la criminalité internationale"[264].</w:t>
        <w:br/>
        <w:br/>
        <w:t>45.   Aún a fines de la década  de  los  veinte,  también  H.  Donnedieu  de</w:t>
        <w:br/>
        <w:t>Vabres  propugnaba  (en  1928)  por  una  "répartition  de   la   compétence</w:t>
        <w:br/>
        <w:t>criminelle entre les États" en búsqueda de un derecho universal[265],  capaz</w:t>
        <w:br/>
        <w:t>de cohibir las violaciones particularmente graves de  derechos  consagrados.</w:t>
        <w:br/>
        <w:t>Una década después, H.  Lauterpacht  sostuvo  (en  1937)  que  no  se  podía</w:t>
        <w:br/>
        <w:t>limitar el crimen y la responsabilidad solamente  al  interior  del  Estado,</w:t>
        <w:br/>
        <w:t>pues esto permitiría que los individuos, "associés sous  la  forme  d'État",</w:t>
        <w:br/>
        <w:t>cometiesen actos criminales e invocasen la inmunidad, deteniendo así  -  con</w:t>
        <w:br/>
        <w:t>el poder estatal - "un  poder  de  destrucción  virtualmente  ilimitado";  y</w:t>
        <w:br/>
        <w:t>advirtió en seguida, con gran lucidez, que</w:t>
        <w:br/>
        <w:br/>
        <w:t xml:space="preserve">            "(...)  Il  ne  peut  guère  y  avoir  d'espoir  pour  le  droit</w:t>
        <w:br/>
        <w:t xml:space="preserve">      international et la morale si l'individu, agissant comme  l'organe  de</w:t>
        <w:br/>
        <w:t xml:space="preserve">      l'État  peut,   en   violant   le   droit   international,   s'abriter</w:t>
        <w:br/>
        <w:t xml:space="preserve">      effectivement derrière  l'État  impersonnel  et  métaphysique;  et  si</w:t>
        <w:br/>
        <w:t xml:space="preserve">      l'État, en cette capacité,  peut  éviter  le  châtiment  en  invoquant</w:t>
        <w:br/>
        <w:t xml:space="preserve">      l'injustice de la punition collective"[266].</w:t>
        <w:br/>
        <w:br/>
        <w:t>46.   Dos años después (en 1939), Roberto Ago observó que  los  sujetos  del</w:t>
        <w:br/>
        <w:t>Derecho Internacional, dotados de personalidad jurídica  internacional,  son</w:t>
        <w:br/>
        <w:t>capaces de cometer un delito internacional; recordó que también Hans  Kelsen</w:t>
        <w:br/>
        <w:t>admitía que un hecho así incriminado, ordenado y cometido por un  órgano  (o</w:t>
        <w:br/>
        <w:t>agente) del Estado, puede ser imputado al Estado  como  sujeto  del  Derecho</w:t>
        <w:br/>
        <w:t>Internacional[267], en el marco  del  ordenamiento  jurídico  internacional.</w:t>
        <w:br/>
        <w:t>Transcurridos algunos años, a mediados del siglo XX, S. Glaser,  centrándose</w:t>
        <w:br/>
        <w:t>en el Estado como "sujet d'une infraction internationale", en  su  libro  de</w:t>
        <w:br/>
        <w:t>1954 identificó la guerra de  agresión  como  un  crimen  de  Estado  en  el</w:t>
        <w:br/>
        <w:t>ordenamiento  internacional[268];  para  él,  "il  y   a   des   infractions</w:t>
        <w:br/>
        <w:t>internationales dont le sujet ne peut être qu'un État"[269].</w:t>
        <w:br/>
        <w:br/>
        <w:t>47.   Aún en  la  década  de  los  cincuenta  (en  1959),  Pieter  N.  Drost</w:t>
        <w:br/>
        <w:t>publicaba su obra The Crime of State, en dos tomos, el primer dedicado a  lo</w:t>
        <w:br/>
        <w:t>que designó como "humanicidio", y el segundo al  genocidio.  Al  abordar  la</w:t>
        <w:br/>
        <w:t>primera categoría, recordó la existencia de estándares universales de  razón</w:t>
        <w:br/>
        <w:t>y justicia, y  conceptualizó  el  humanicidio  como  un  crimen  de  Estado,</w:t>
        <w:br/>
        <w:t>perpetrado por agentes del Estado en abuso del poder público,  en  perjuicio</w:t>
        <w:br/>
        <w:t>de individuos, y en violación  de  los  derechos  humanos  (tales  como  los</w:t>
        <w:br/>
        <w:t>consagrados en los  artículos  3-21  de  la  Declaración  Universal  de  los</w:t>
        <w:br/>
        <w:t>Derechos Humanos), desafiando el Estado de Derecho[270].</w:t>
        <w:br/>
        <w:br/>
        <w:t>48.   A su juicio, tanto actos como omisiones pueden constituir crímenes  de</w:t>
        <w:br/>
        <w:t>Estado, comprometiendo la responsabilidad internacional agravada del  Estado</w:t>
        <w:br/>
        <w:t>- en razón de su criminalidad - como persona jurídica, el cual  debe  asumir</w:t>
        <w:br/>
        <w:t>las consecuencias jurídicas de dichos  crímenes[271].  Concluía  P.N.  Drost</w:t>
        <w:br/>
        <w:t>que se debe proteger los individuos contra el "humanicidio" como  crimen  de</w:t>
        <w:br/>
        <w:t>Estado, y, como  este  último  puede  inclusive  "destruir  el  ordenamiento</w:t>
        <w:br/>
        <w:t>jurídico internacional", debe ser sancionado y cohibido[272].</w:t>
        <w:br/>
        <w:br/>
        <w:t>49.   A fines del siglo XX, el Tribunal Penal Internacional ad hoc  para  la</w:t>
        <w:br/>
        <w:t>Ex-Yugoslavia, en sus Sentencias sobre el caso Tadic, del 07.05.1997  (Trial</w:t>
        <w:br/>
        <w:t>Chamber) y  del  15.07.1999  (Appeals  Chamber),  señaló  -  en  la  primera</w:t>
        <w:br/>
        <w:t>Sentencia  -  que  "the  obligations  of  individuals  under   International</w:t>
        <w:br/>
        <w:t>Humanitarian  Law  are  independent  and  apply  without  prejudice  to  any</w:t>
        <w:br/>
        <w:t>questions of the responsibility of States under  International  Law"  (párr.</w:t>
        <w:br/>
        <w:t>573); el Tribunal agregó - en la segunda Sentencia - que los  actos  de  los</w:t>
        <w:br/>
        <w:t>individuos en cuestión "are  attributed  to  the  State,  as  far  as  State</w:t>
        <w:br/>
        <w:t>responsibility is concerned,  and  may  also  generate  individual  criminal</w:t>
        <w:br/>
        <w:t>responsibility" (párr. 144). La determinación de  la  responsabilidad  penal</w:t>
        <w:br/>
        <w:t>internacional del individuo no exime, pues, el Estado de su  responsabilidad</w:t>
        <w:br/>
        <w:t>internacional.</w:t>
        <w:br/>
        <w:br/>
        <w:t>50.    En  mi  reciente  Curso  General  de  Derecho  Internacional  Público</w:t>
        <w:br/>
        <w:t>ministrado en la Academia de Derecho Internacional de  La  Haya  (2005),  me</w:t>
        <w:br/>
        <w:t>permití exponer mi posición en el sentido de que  el  crimen  de  Estado  sí</w:t>
        <w:br/>
        <w:t>existe, y tiene consecuencias jurídicas. Y relacioné, además, su  sanción  y</w:t>
        <w:br/>
        <w:t>prevención con los intereses fundamentales  o  superiores  de  la  comunidad</w:t>
        <w:br/>
        <w:t>internacional como un todo y del ordenamiento  jurídico  internacional[273].</w:t>
        <w:br/>
        <w:t>Lo  hice  con  base  en  mi  experiencia  en  esta  Corte,  reiterando   las</w:t>
        <w:br/>
        <w:t>reflexiones  que  he  desarrollado  al  respecto  en  sucesivos   Votos   en</w:t>
        <w:br/>
        <w:t>Sentencias atinentes a determinados casos resueltos por esta  Corte  en  los</w:t>
        <w:br/>
        <w:t>últimos años[274].</w:t>
        <w:br/>
        <w:br/>
        <w:t>51.   Ha habido ocasiones en que crímenes de Estado han sido  cometidos  más</w:t>
        <w:br/>
        <w:t>allá  de  las   fronteras   nacionales,   en   una   escala   verdaderamente</w:t>
        <w:br/>
        <w:t>interestatal. Al respecto, en mi reciente Voto Razonado en el  caso  Goiburú</w:t>
        <w:br/>
        <w:t>y Otros versus Paraguay (Sentencia del 22.09.2006), me permití señalar que</w:t>
        <w:br/>
        <w:br/>
        <w:t xml:space="preserve">            "(...) Ha quedado demostrado que  el  presente  caso  Goiburú  y</w:t>
        <w:br/>
        <w:t xml:space="preserve">      Otros  se  inserta  en  una  política  de  terrorismo  de  Estado  que</w:t>
        <w:br/>
        <w:t xml:space="preserve">      victimizó, del modo más cruel  y  brutal,  miles  de  personas  y  sus</w:t>
        <w:br/>
        <w:t xml:space="preserve">      familiares en los países que montaron la  Operación  Condor,  la  cual</w:t>
        <w:br/>
        <w:t xml:space="preserve">      inclusive se permitió  cometer  violaciones  graves  de  los  derechos</w:t>
        <w:br/>
        <w:t xml:space="preserve">      humanos   'extra-territorialmente',   en   otros   países,   y   otros</w:t>
        <w:br/>
        <w:t xml:space="preserve">      continentes. Cómo, ante una política de exterminio del  Estado,  negar</w:t>
        <w:br/>
        <w:t xml:space="preserve">      la existencia del crimen de Estado?</w:t>
        <w:br/>
        <w:t xml:space="preserve">            El crimen de Estado sólo no existe dentro de la  cabeza  de  los</w:t>
        <w:br/>
        <w:t xml:space="preserve">      jusinternacionalistas 'iluminados' que afirman dogmáticamente  que  el</w:t>
        <w:br/>
        <w:t xml:space="preserve">      Estado no puede cometer un crimen, y  punto  final.  Siguen  ignorando</w:t>
        <w:br/>
        <w:t xml:space="preserve">      episodios como los del presente caso,  históricamente  comprobados,  y</w:t>
        <w:br/>
        <w:t xml:space="preserve">      otros casos  de  masacres  adjudicados  por  la  Corte  Interamericana</w:t>
        <w:br/>
        <w:t xml:space="preserve">      (casos, v.g., de la Masacre de Barrios Altos, de la Masacre de Plan de</w:t>
        <w:br/>
        <w:t xml:space="preserve">      Sánchez, de los 19 Comerciantes, de la Masacre  de  Mapiripán,  de  la</w:t>
        <w:br/>
        <w:t xml:space="preserve">      masacre de la Comunidad Moiwana, de la Masacre de Pueblo Bello, de las</w:t>
        <w:br/>
        <w:t xml:space="preserve">      Masacres de Ituango), y asesinatos planificados al más alto nivel  del</w:t>
        <w:br/>
        <w:t xml:space="preserve">      poder estatal (casos, v.g., de Barrios Altos, y de Myrna Mack  Chang),</w:t>
        <w:br/>
        <w:t xml:space="preserve">      contando  hoy  inclusive  con  el  reconocimiento  de  responsabilidad</w:t>
        <w:br/>
        <w:t xml:space="preserve">      internacional por parte de los Estados demandados por su ocurrencia.</w:t>
        <w:br/>
        <w:t xml:space="preserve">            Algo no deja de existir simplemente por que uno  afirma  que  no</w:t>
        <w:br/>
        <w:t xml:space="preserve">      puede existir. Los jusinternacionalistas no pueden seguir indiferentes</w:t>
        <w:br/>
        <w:t xml:space="preserve">      al sufrimiento humano,  que  se  desprende  de  hechos  históricamente</w:t>
        <w:br/>
        <w:t xml:space="preserve">      comprobados. Mientras la doctrina  jusinternacionalista  contemporánea</w:t>
        <w:br/>
        <w:t xml:space="preserve">      insista en negar lo históricamente comprobado - los crímenes de Estado</w:t>
        <w:br/>
        <w:t xml:space="preserve">      - estará eludiendo un tema de la mayor gravedad, con sus consecuencias</w:t>
        <w:br/>
        <w:t xml:space="preserve">      jurídicas, comprometiendo su propia credibilidad. (...)"  (párrs.  23-</w:t>
        <w:br/>
        <w:t xml:space="preserve">      25).</w:t>
        <w:br/>
        <w:br/>
        <w:t>52.   A mi  juicio,  los  responsables  por  la  exclusión  en  2000  de  la</w:t>
        <w:br/>
        <w:t>concepción de "crimen de Estado" de los Artículos sobre  la  Responsabilidad</w:t>
        <w:br/>
        <w:t>del Estado de la  Comisión  de  Derecho  Internacional  de  Naciones  Unidas</w:t>
        <w:br/>
        <w:t>(adoptados en 2001) prestaron un deservicio al Derecho Internacional. No  se</w:t>
        <w:br/>
        <w:t>dieron cuenta - o no se importaron con  el  hecho  -  de  que  dicha  noción</w:t>
        <w:br/>
        <w:t>conlleva  al  propio  "desarrollo  progresivo"  del  Derecho  Internacional.</w:t>
        <w:br/>
        <w:t>Presupone la existencia de derechos anteriores y superiores al Estado,  cuya</w:t>
        <w:br/>
        <w:t>violación, en perjuicio de seres humanos, es particularmente grave y  dañosa</w:t>
        <w:br/>
        <w:t>al propio sistema  jurídico  internacional.  Dota  este  último  de  valores</w:t>
        <w:br/>
        <w:t>universales, al cohibir  dichas  violaciones  graves  y  dañosas,  y  buscar</w:t>
        <w:br/>
        <w:t>asegurar el ordre juridique internacional.</w:t>
        <w:br/>
        <w:br/>
        <w:t>53.    Asimismo,  da  expresión  a   la   creencia   de   que   determinados</w:t>
        <w:br/>
        <w:t>comportamientos - que conforman, o son parte de, una política estatal -  son</w:t>
        <w:br/>
        <w:t>inadmisibles, y generan de pronto la responsabilidad internacional  agravada</w:t>
        <w:br/>
        <w:t>del Estado, con sus consecuencias jurídicas. Apunta  el  camino  a  recorrer</w:t>
        <w:br/>
        <w:t>hacia la construcción de una comunidad internacional organizada,  del  nuevo</w:t>
        <w:br/>
        <w:t>jus gentium del siglo XXI, del Derecho Internacional para la humanidad.</w:t>
        <w:br/>
        <w:br/>
        <w:t>54.   Al contrario de lo que  parecen  pretender  los  jusinternacionalistas</w:t>
        <w:br/>
        <w:t>apegados al oscurantismo (en su defensa incondicional de lo  que  hacen  los</w:t>
        <w:br/>
        <w:t>Estados), la existencia  del  crimen  de  Estado  encuéntrase  empíricamente</w:t>
        <w:br/>
        <w:t>comprobada. Su ocurrencia es  mucho  más  frecuente  de  lo  que  pueda  uno</w:t>
        <w:br/>
        <w:t>suponer. El siglo XX como un todo y el  inicio  del  siglo  XXI  han  estado</w:t>
        <w:br/>
        <w:t>trágicamente repletos de crímenes de  Estado.  Y  el  Derecho  Internacional</w:t>
        <w:br/>
        <w:t>contemporáneo no puede mantenerse indiferente a esto.</w:t>
        <w:br/>
        <w:br/>
        <w:t>55.   El crimen de Estado acarrea efectivamente consecuencias  jurídicas,  -</w:t>
        <w:br/>
        <w:t>como no podría dejar de ser, - con incidencia directa  en  las  reparaciones</w:t>
        <w:br/>
        <w:t>debidas a las víctimas y sus familiares. Una consecuencia  consiste  en  los</w:t>
        <w:br/>
        <w:t>"daños punitivos" lato sensu, concebidos estos,  más  allá  de  la  acepción</w:t>
        <w:br/>
        <w:t>puramente  pecuniaria  a  ellos  atribuida   inadecuadamente   (en   ciertas</w:t>
        <w:br/>
        <w:t>jurisdicciones nacionales), como  determinadas  obligaciones  de  reparación</w:t>
        <w:br/>
        <w:t>que deben asumir los Estados responsables por actos o  práctica  criminales,</w:t>
        <w:br/>
        <w:t>obligaciones éstas  que  se  pueden  configurar  una  respuesta  o  reacción</w:t>
        <w:br/>
        <w:t>apropiada del ordenamiento jurídico contra el crimen de Estado[275].</w:t>
        <w:br/>
        <w:br/>
        <w:t>56.    Trátase  de  obligaciones  de  hacer.  Y,  entre  éstas,  figura   la</w:t>
        <w:br/>
        <w:t>obligación de identificar, enjuiciar y sancionar los  perpetradores  de  los</w:t>
        <w:br/>
        <w:t>crímenes de Estado,  que,  por  sus  actos  (u  omisiones),  incurrieron  en</w:t>
        <w:br/>
        <w:t>responsabilidad   penal   internacional,   además    de    comprometer    la</w:t>
        <w:br/>
        <w:t>responsabilidad internacional de su Estado, en nombre del cual  actuaron  (o</w:t>
        <w:br/>
        <w:t>se omitieron), en la ejecución de una política criminal de  Estado[276].  No</w:t>
        <w:br/>
        <w:t>se trata  de  actos  (u  omisiones)  puramente  individuales,  sino  de  una</w:t>
        <w:br/>
        <w:t>criminalidad  organizada  por  el   propio   Estado[277].   Tórnase,   pues,</w:t>
        <w:br/>
        <w:t>necesario,  tomar  en  cuenta,  conjuntamente,  la   responsabilidad   penal</w:t>
        <w:br/>
        <w:t>internacional de los individuos involucrados  así  como  la  responsabilidad</w:t>
        <w:br/>
        <w:t>internacional  del  Estado,  esencialmente  complementarias;  al  crimen  de</w:t>
        <w:br/>
        <w:t>Estado corresponde la responsabilidad internacional agravada del  Estado  en</w:t>
        <w:br/>
        <w:t>cuestión[278].</w:t>
        <w:br/>
        <w:br/>
        <w:t>57.   La presente Sentencia de la Corte en el caso de la Prisión  de  Castro</w:t>
        <w:br/>
        <w:t>Castro contempla y ordena efectivamente una serie de obligaciones de  hacer,</w:t>
        <w:br/>
        <w:t>en su capítulo XVI, sobre reparaciones. Estas son  particularmente  amplias,</w:t>
        <w:br/>
        <w:t>desde las indemnizaciones hasta medidas de satisfacción y garantías  de  no-</w:t>
        <w:br/>
        <w:t>repetición de los hechos lesivos.  Entre  estas  últimas  (reparaciones  no-</w:t>
        <w:br/>
        <w:t>pecuniarias), figuran la identificación, enjuiciamiento  y  sanción  de  los</w:t>
        <w:br/>
        <w:t>responsables;  y  medidas  educativas,  así  como  de  asistencia  médica  y</w:t>
        <w:br/>
        <w:t>psicológica. La  Corte,  una  vez  más,  consideró,  con  propiedad,  en  su</w:t>
        <w:br/>
        <w:t>indisociabilidad, los artículos 8 y 25 de la Convención  Americana[279].  Y,</w:t>
        <w:br/>
        <w:t>asimismo, subrayó con acierto que  las  violaciones  graves,  como  las  del</w:t>
        <w:br/>
        <w:t>presente caso, de los derechos humanos (conformando, a mi  juicio,  crímenes</w:t>
        <w:br/>
        <w:t>de Estado), infringen el jus cogens internacional[280].</w:t>
        <w:br/>
        <w:br/>
        <w:br/>
        <w:t xml:space="preserve">      VII.  La Necesidad e Importancia del Análisis de Género.</w:t>
        <w:br/>
        <w:br/>
        <w:br/>
        <w:t>58.   El presente caso no puede ser adecuadamente examinado sin un  análisis</w:t>
        <w:br/>
        <w:t>de género. Recuérdese que, como paso  inicial,  la  Convención  de  Naciones</w:t>
        <w:br/>
        <w:t>Unidas sobre la Eliminación de Todas las Formas de Discriminación contra  la</w:t>
        <w:br/>
        <w:t>Mujer (CEDAW, 1979) avanzó una visión holística de  la  temática,  abordando</w:t>
        <w:br/>
        <w:t>los derechos de la mujer en todas las áreas  de  la  vida  y  en  todas  las</w:t>
        <w:br/>
        <w:t>situaciones (inclusive, agregaría yo a  la  luz  del  cas  d'espèce,  en  la</w:t>
        <w:br/>
        <w:t>privación de la libertad);  la  Convención  clama  por  la  modificación  de</w:t>
        <w:br/>
        <w:t>patrones socio-culturales de conducta (artículo 5), y destaca  el  principio</w:t>
        <w:br/>
        <w:t>de la igualdad y no-discriminación[281],  -  principio  este  que  la  Corte</w:t>
        <w:br/>
        <w:t>Interamericana ya determinó, en su trascendental Opinión  Consultiva  n.  18</w:t>
        <w:br/>
        <w:t>(del 17.09.2003) sobre la Condición Jurídica y  Derechos  de  los  Migrantes</w:t>
        <w:br/>
        <w:t>Indocumentados,  que  pertenece  al  dominio  del  jus  cogens  (párrs.  97-</w:t>
        <w:br/>
        <w:t>111)[282].</w:t>
        <w:br/>
        <w:br/>
        <w:t>59.   La presente Sentencia de la Corte en el caso de la Prisión  de  Castro</w:t>
        <w:br/>
        <w:t>Castro advierte con acierto para la necesidad del análisis  de  género,  por</w:t>
        <w:br/>
        <w:t>cuanto, en el caso concreto,</w:t>
        <w:br/>
        <w:br/>
        <w:t xml:space="preserve">            "las mujeres se vieron afectadas por los actos de  violencia  de</w:t>
        <w:br/>
        <w:t xml:space="preserve">      manera diferente a los hombres; (...) algunos actos  de  violencia  se</w:t>
        <w:br/>
        <w:t xml:space="preserve">      encontraron dirigidos específicamente a ellas y otros les afectaron en</w:t>
        <w:br/>
        <w:t xml:space="preserve">      mayor proporción que a los hombres" (párr. 223).</w:t>
        <w:br/>
        <w:br/>
        <w:t>Además, el presente caso parece revelar que la propia  percepción  del  paso</w:t>
        <w:br/>
        <w:t>del tiempo puede no ser la misma para las mujeres y los hombres.</w:t>
        <w:br/>
        <w:br/>
        <w:t>60.    El  presente  caso  de  la  Prisión  de  Castro  Castro  revela   una</w:t>
        <w:br/>
        <w:t>aproximación entre el tiempo psicológico y el tiempo biológico,  evidenciado</w:t>
        <w:br/>
        <w:t>por algo sagrado que ha sido en el presente  caso  violentado:  el  proyecto</w:t>
        <w:br/>
        <w:t>así como la vivencia de la maternidad. La maternidad, que debe  ser  cercada</w:t>
        <w:br/>
        <w:t>de cuidados y respeto y reconocimiento, a lo largo de toda la vida y  en  el</w:t>
        <w:br/>
        <w:t>pos-vida, fue violentada en el presente  caso  de  forma  brutal  y  en  una</w:t>
        <w:br/>
        <w:t>escala verdaderamente intertemporal.</w:t>
        <w:br/>
        <w:br/>
        <w:t>61.   Hubo, de inicio, la extrema violencia pre-natal,  evidenciada  en  las</w:t>
        <w:br/>
        <w:t>brutalidades a que fueron sometidas las mujeres embarazadas  en  la  Prisión</w:t>
        <w:br/>
        <w:t>de Castro Castro, descritas en la presente Sentencia (párrs. 197(57), 292  y</w:t>
        <w:br/>
        <w:t>298). ¿Cuáles han sido las secuelas de ese cuadro de  extrema  violencia  en</w:t>
        <w:br/>
        <w:t>la mente - o en el inconciente - de los niños nacidos  del  vientre  materno</w:t>
        <w:br/>
        <w:t>tan irrespetado y violentado, aún antes de su nacimiento?</w:t>
        <w:br/>
        <w:br/>
        <w:t>62.   Hubo, en seguida, la extrema violencia en la  propia  vivencia  de  la</w:t>
        <w:br/>
        <w:t>maternidad, frente a la  brutalidad  perpetrada  contra  los  hijos.  En  la</w:t>
        <w:br/>
        <w:t>supracitada audiencia pública ante esta Corte en  el  presente  caso  de  la</w:t>
        <w:br/>
        <w:t>Prisión de Castro Castro, la describió con conmovedora elocuencia una  madre</w:t>
        <w:br/>
        <w:t>(Sra. Julia Peña Castillo), testigo en el caso:</w:t>
        <w:br/>
        <w:br/>
        <w:t xml:space="preserve">            "(...) El día 06 de junio del año 1992, quien habla es madre  de</w:t>
        <w:br/>
        <w:t xml:space="preserve">      muchos niños (...), (...) la intuición de madre fue más que  de  casa,</w:t>
        <w:br/>
        <w:t xml:space="preserve">      que de hacer los alimentos, dejé todo (...). Cuando  he  llegado  allá</w:t>
        <w:br/>
        <w:t xml:space="preserve">      [en Castro Castro] había  más  que  la  prensa,  (...)  habían  muchos</w:t>
        <w:br/>
        <w:t xml:space="preserve">      militares, unas camionetas  entraban,  otras  salían,  (...)  allí  he</w:t>
        <w:br/>
        <w:t xml:space="preserve">      empezado a gritar, (...) gritaba y decía: - 'que están  haciendo,  mis</w:t>
        <w:br/>
        <w:t xml:space="preserve">      hijos, mis hijos'! Fue lo primero que  relucieron  mis  palabras,  mis</w:t>
        <w:br/>
        <w:t xml:space="preserve">      hijos. (...)</w:t>
        <w:br/>
        <w:t xml:space="preserve">            (...) Allí realmente nosotras muchas madres nos hemos  abrazado,</w:t>
        <w:br/>
        <w:t xml:space="preserve">      nos hemos abrazado muy fuerte porque los  estruendos  del  cañón  eran</w:t>
        <w:br/>
        <w:t xml:space="preserve">      algo que llegaba hasta nuestros corazones. Cada estruendo era un dolor</w:t>
        <w:br/>
        <w:t xml:space="preserve">      muy fuerte porque se veían las esquirlas  del  pabellón  que  volaban.</w:t>
        <w:br/>
        <w:t xml:space="preserve">      (...) Había una madre a mi lado, la abracé y me  dijo  'mi  hija  está</w:t>
        <w:br/>
        <w:t xml:space="preserve">      viva, mi hija está viva' (...). Me entusiasmó mucho el escucharla. Más</w:t>
        <w:br/>
        <w:t xml:space="preserve">      tarde la cosa  seguía  peor,  ya  no  se  escuchaban  voces,  sólo  se</w:t>
        <w:br/>
        <w:t xml:space="preserve">      escuchaban muchos tiros como de metralleta o de  una  arma  larga  que</w:t>
        <w:br/>
        <w:t xml:space="preserve">      escuchábamos (...), sonaba y luego paraba, y luego por el otro costado</w:t>
        <w:br/>
        <w:t xml:space="preserve">      otra vez. (...) Seguían los tiroteos. Hemos pernotado ahí, no sabíamos</w:t>
        <w:br/>
        <w:t xml:space="preserve">      nada, quiénes eran los muertos,  quiénes  eran  los  heridos,  cuántos</w:t>
        <w:br/>
        <w:t xml:space="preserve">      muertos eran, nada  porque  no  nos  daban  información.  Incluso  los</w:t>
        <w:br/>
        <w:t xml:space="preserve">      policías que salían (...). No nos dieron ninguna clase de  información</w:t>
        <w:br/>
        <w:t xml:space="preserve">      (...). (...) No les interesaba"[283].</w:t>
        <w:br/>
        <w:br/>
        <w:t>63.   En aún otra  dimensión,  muchas  de  las  mujeres  sobrevivientes  del</w:t>
        <w:br/>
        <w:t>bombardeo de la Prisión de Castro  Castro  -  como  señalado  en  este  Voto</w:t>
        <w:br/>
        <w:t>Razonado (párr. 13, supra) - no han podido ser madres  todavía,  pues,  como</w:t>
        <w:br/>
        <w:t>señalado en la audiencia pública en el cas d'espèce  ante  esta  Corte,  han</w:t>
        <w:br/>
        <w:t>desde entonces consumido todo  su  tiempo  existencial  en  búsqueda  de  la</w:t>
        <w:br/>
        <w:t>verdad y la justicia. Aquí estamos ante la maternidad denegada o  postergada</w:t>
        <w:br/>
        <w:t>(un daño al proyecto de vida), por fuerza  de  las  crueles  circunstancias,</w:t>
        <w:br/>
        <w:t>como denunciado con toda pertinencia  por  la  interveniente  común  de  los</w:t>
        <w:br/>
        <w:t>representantes de las víctimas y sus familiares (supra).</w:t>
        <w:br/>
        <w:br/>
        <w:t>64.   Y, en la dimensión del pos-vida, también ha sido afectada  gravemente,</w:t>
        <w:br/>
        <w:t>en el caso concreto, la vivencia de la maternidad. Lo  ilustra  la  búsqueda</w:t>
        <w:br/>
        <w:t>desesperada, en las morgues, por parte de los familiares  de  las  víctimas,</w:t>
        <w:br/>
        <w:t>de los restos de los internos muertos en el ataque armado a  la  Prisión  de</w:t>
        <w:br/>
        <w:t>Castro Castro, frente a la indiferencia de las autoridades  estatales.  Como</w:t>
        <w:br/>
        <w:t>la Corte relata en la presente Sentencia,</w:t>
        <w:br/>
        <w:br/>
        <w:t xml:space="preserve">            "(...) Son coincidentes los testimonios que obran en  el  acervo</w:t>
        <w:br/>
        <w:t xml:space="preserve">      probatorio al señalar que un elemento más de sufrimiento fue el  hecho</w:t>
        <w:br/>
        <w:t xml:space="preserve">      de  encontrarse  [las  madres  y  familiares]  en  tal  situación   de</w:t>
        <w:br/>
        <w:t xml:space="preserve">      incertidumbre y desesperación precisamente el 'día de la  madre'  (día</w:t>
        <w:br/>
        <w:t xml:space="preserve">      domingo, 10 de mayo de 1992)" (párr. 338).</w:t>
        <w:br/>
        <w:br/>
        <w:t>65.   Más allá de las  circunstancias  del  cas  d'espèce,  el  análisis  de</w:t>
        <w:br/>
        <w:t>género ha contribuido, de modo general, para revelar el  carácter  sistémico</w:t>
        <w:br/>
        <w:t>de la discriminación contra la mujer, y la afirmación de los derechos de  la</w:t>
        <w:br/>
        <w:t>mujer (cf. infra), y su inserción por consenso en la Declaración y  Programa</w:t>
        <w:br/>
        <w:t>de Acción de Viena de 1993, - como bien me  acuerdo,  por  haber  acompañado</w:t>
        <w:br/>
        <w:t>personalmente su elaboración, como integrante del Comité de Redacción de  la</w:t>
        <w:br/>
        <w:t>II Conferencia Mundial de Viena de 1993[284], - ha  en  fin  reconocido  las</w:t>
        <w:br/>
        <w:t>violaciones omnipresentes de los derechos de la mujer en  los  planos  tanto</w:t>
        <w:br/>
        <w:t>público como privado[285]. Tanto  la  referida  Declaración  y  Programa  de</w:t>
        <w:br/>
        <w:t>Acción de Viena como la Plataforma de Acción adoptada por la IV  Conferencia</w:t>
        <w:br/>
        <w:t>Mundial sobre la Mujer de Beijing de 1995[286]  contribuyeron  las  barreras</w:t>
        <w:br/>
        <w:t>enfrentadas por las mujeres en patrones culturales de comportamiento en  las</w:t>
        <w:br/>
        <w:t>más distintas situaciones y circunstancias[287].</w:t>
        <w:br/>
        <w:br/>
        <w:t>66.    Ya  los  travaux  préparatoires  del  Protocolo  Facultativo   a   la</w:t>
        <w:br/>
        <w:t>Convención  de  1979  sobre  la  Eliminación  de   Todas   las   Formas   de</w:t>
        <w:br/>
        <w:t>Discriminación contra la Mujer (CEDAW)[288] (adoptado en 1999), seguidos  de</w:t>
        <w:br/>
        <w:t>la entrada  en  vigor,  el  22.12.2000,  del  referido  Protocolo,  vinieron</w:t>
        <w:br/>
        <w:t>fortalecer  el  derecho  de  petición  individual  internacional,  ampliando</w:t>
        <w:br/>
        <w:t>considerablemente,  con  enfoque  de  género,  los  círculos   de   personas</w:t>
        <w:br/>
        <w:t>protegidas,  al  abarcar  los  derechos  de  la  mujer  como   jurídicamente</w:t>
        <w:br/>
        <w:t>exigibles[289]. A  su  vez,  la  Convención  Interamericana  para  Prevenir,</w:t>
        <w:br/>
        <w:t>Sancionar y Erradicar la Violencia contra la Mujer (Convención de  Belém  do</w:t>
        <w:br/>
        <w:t>Pará, adoptada en 1994), que  entró  en  vigor  el  05.03.1995,  expresa  la</w:t>
        <w:br/>
        <w:t>convicción de que</w:t>
        <w:br/>
        <w:br/>
        <w:t xml:space="preserve">            "la eliminación de la violencia contra  la  mujer  es  condición</w:t>
        <w:br/>
        <w:t xml:space="preserve">      indispensable para su desarrollo individual y  social  y  su  plena  e</w:t>
        <w:br/>
        <w:t xml:space="preserve">      igualitaria participación en todas las esferas de la vida"[290].</w:t>
        <w:br/>
        <w:br/>
        <w:t>67.   Siempre me ha parecido sorprendente, si no enigmático, que hasta  hoy,</w:t>
        <w:br/>
        <w:t>más de una década de la entrada en vigor de la Convención de Belém do  Pará,</w:t>
        <w:br/>
        <w:t>la Comisión Interamericana  no  haya  jamás,  hasta  la  fecha,  buscado  la</w:t>
        <w:br/>
        <w:t>hermenéutica  de  esta  Corte  sobre  dicha  Convención,  como  esta  última</w:t>
        <w:br/>
        <w:t>expresamente le faculta  (artículos  11-12).  En  el  presente  caso  de  la</w:t>
        <w:br/>
        <w:t>Prisión de Castro Castro, se han  cometido  actos  de  extrema  violencia  y</w:t>
        <w:br/>
        <w:t>crueldad  contra  los  internos  -  mujeres  y  hombres,  -  constantes  del</w:t>
        <w:br/>
        <w:t>expediente del caso, el cual, sin embargo, requiere un  análisis  de  género</w:t>
        <w:br/>
        <w:t>en razón de la  naturaleza  de  determinadas  violaciones  de  derechos  que</w:t>
        <w:br/>
        <w:t>sufrieron en particular las  mujeres.  Recuérdese,  v.g.,  al  respecto,  lo</w:t>
        <w:br/>
        <w:t>relatado en el supracitado Escrito  de  Solicitudes,  Argumentos  y  Pruebas</w:t>
        <w:br/>
        <w:t>(del 10.12.2005) de la representación legal de las víctimas  en  el  sentido</w:t>
        <w:br/>
        <w:t>de que varias de las prisioneras, quienes ya  estaban  "seriamente  heridas"</w:t>
        <w:br/>
        <w:t>pero lograron al hospital, "transportadas en  camiones,  una  encima  de  la</w:t>
        <w:br/>
        <w:t>otra", fueron "violadas en el hospital por personas encapuchadas"[291].</w:t>
        <w:br/>
        <w:br/>
        <w:t>68.   En el procedimiento contencioso (en  las  etapas  tanto  escrita  como</w:t>
        <w:br/>
        <w:t>oral) ante  esta  Corte,  fue  la  representación  de  las  víctimas  y  sus</w:t>
        <w:br/>
        <w:t>familiares, y no la Comisión, que  insistió  en  vincular  la  normativa  de</w:t>
        <w:br/>
        <w:t>protección de la Convención  de  Belém  do  Pará[292]  (particularmente  sus</w:t>
        <w:br/>
        <w:t>artículos 4 y  7)  a  las  violaciones  de  la  Convención  Americana  sobre</w:t>
        <w:br/>
        <w:t>Derechos Humanos. Este ejercicio viene  atender  al  necesario  análisis  de</w:t>
        <w:br/>
        <w:t>género en el presente caso. El artículo 4 de la Convención de Belém do  Pará</w:t>
        <w:br/>
        <w:t>determina  que  "toda  mujer"  tiene  derecho  al   "reconocimiento,   goce,</w:t>
        <w:br/>
        <w:t>ejercicio y  protección"  de  todos  los  derechos  humanos  consagrados  en</w:t>
        <w:br/>
        <w:t>instrumentos internacionales sobre la materia,  entre  los  cuales  menciona</w:t>
        <w:br/>
        <w:t>expresamente los derechos a la vida, a la  integridad  personal,  a  no  ser</w:t>
        <w:br/>
        <w:t>sometida  a  torturas,  al  respeto  a   "la   dignidad   inherente   a   su</w:t>
        <w:br/>
        <w:t>persona"[293].</w:t>
        <w:br/>
        <w:br/>
        <w:t>69.   Y, mediante el artículo 7  de  la  Convención  de  1994,  los  Estados</w:t>
        <w:br/>
        <w:t>Partes se comprometen a una serie de  medidas  para  "prevenir,  investigar,</w:t>
        <w:br/>
        <w:t>sancionar y erradicar" las distintas formas de violencia  contra  la  mujer.</w:t>
        <w:br/>
        <w:t>En el presente caso de la Prisión de Castro Castro, en que, por primera  vez</w:t>
        <w:br/>
        <w:t>en la historia de esta Corte, el análisis de género es planteado -  para  mi</w:t>
        <w:br/>
        <w:t>satisfacción como Juez - por los representantes de las  propias  víctimas  y</w:t>
        <w:br/>
        <w:t>sus familiares (y no por la Comisión) como verdadera parte  demandante  ante</w:t>
        <w:br/>
        <w:t>la Corte y como sujetos  del  Derecho  Internacional,  se  han  violado  con</w:t>
        <w:br/>
        <w:t>particular crueldad los  derechos  humanos  de  la  mujer,  configurando  la</w:t>
        <w:br/>
        <w:t>responsabilidad internacional agravada del Estado demandado.</w:t>
        <w:br/>
        <w:br/>
        <w:t>70.   Los puntos resolutivos 4 y 6 (y los correspondientes párrafos que  los</w:t>
        <w:br/>
        <w:t>motivan) de la presente Sentencia se pronuncian tanto  sobre  la  Convención</w:t>
        <w:br/>
        <w:t>Americana  sobre  Derechos  Humanos  como  sobre  dos   otras   Convenciones</w:t>
        <w:br/>
        <w:t>sectoriales interamericanas: el  punto  resolutivo  4  sobre  la  Convención</w:t>
        <w:br/>
        <w:t>Interamericana contra la Tortura, y el punto resolutivo 6 sobre esta  última</w:t>
        <w:br/>
        <w:t>y también la Convención Interamericana para Prevenir, Sancionar y  Erradicar</w:t>
        <w:br/>
        <w:t>la Violencia contra la Mujer (Convención de Belém do  Pará).  Las  referidas</w:t>
        <w:br/>
        <w:t>Convenciones  sectoriales  interamericanas   no   son   uniformes   en   sus</w:t>
        <w:br/>
        <w:t>respectivas cláusulas atributivas de jurisdicción, lo  que  no  ha  impedido</w:t>
        <w:br/>
        <w:t>esta Corte  de  pronunciarse,  hasta  la  fecha,  sobre  dos  de  ellas:  la</w:t>
        <w:br/>
        <w:t>Convención  Interamericana  contra   la   Tortura[294]   y   la   Convención</w:t>
        <w:br/>
        <w:t>Interamericana sobre la Desaparición Forzada de Personas[295].</w:t>
        <w:br/>
        <w:br/>
        <w:t>71.   La segunda contiene con acierto una cláusula  expresamente  atributiva</w:t>
        <w:br/>
        <w:t>de jurisdicción a la  Corte  Interamericana  (además  de  a  la  Comisión  -</w:t>
        <w:br/>
        <w:t>artículo XIII), pero la primera no: tratándose de una  prohibición  del  jus</w:t>
        <w:br/>
        <w:t>cogens (la  prohibición  de  la  tortura),  y  teniendo  en  mente  derechos</w:t>
        <w:br/>
        <w:t>inderogables, sus artículos 16 y  17,  -  en  un  ejemplo  tajante  de  mala</w:t>
        <w:br/>
        <w:t>redacción, - por razones que escapan  a  mi  comprensión  sólo  se  refieren</w:t>
        <w:br/>
        <w:t>expresamente a la Comisión y no a la Corte, en un mundo en  que  se  expande</w:t>
        <w:br/>
        <w:t>la jurisdicción internacional mediante  la  creación  de  nuevos  tribunales</w:t>
        <w:br/>
        <w:t>internacionales, precisamente para  sancionar  e  impedir,  inter  alia,  la</w:t>
        <w:br/>
        <w:t>tortura! No me  eximo  de  dejar  aquí  consignada  mi  posición  firmemente</w:t>
        <w:br/>
        <w:t>crítica al respecto.</w:t>
        <w:br/>
        <w:br/>
        <w:t>72.   En cuanto a la Convención de Belém do Pará  (cuya  adopción  presencié</w:t>
        <w:br/>
        <w:t>personalmente, en la Asamblea General de la OEA en 1994, pocas  horas  antes</w:t>
        <w:br/>
        <w:t>de mi elección por primera vez como Juez Titular de esta  Corte),  sobre  la</w:t>
        <w:br/>
        <w:t>cual esta Corte se pronuncia por primera vez en  la  presente  Sentencia,  a</w:t>
        <w:br/>
        <w:t>fines de 2006, - su  artículo  11  se  refiere  expresamente  a  la  función</w:t>
        <w:br/>
        <w:t>consultiva de la Corte,  pero,  en  cuanto  a  su  función  contenciosa,  el</w:t>
        <w:br/>
        <w:t>artículo 12 de dicha Convención podría ser mucho más claro. El  artículo  12</w:t>
        <w:br/>
        <w:t>de la Convención de Belém do Pará no está a la altura de la noble causa  que</w:t>
        <w:br/>
        <w:t>patrocina - la defensa de los derechos de la mujer -  y  podría  haber  sido</w:t>
        <w:br/>
        <w:t>mucho mejor redactado, requiriendo, por lo tanto, interpretación.</w:t>
        <w:br/>
        <w:br/>
        <w:t>73.   Prevé el artículo 12 expresamente sólo el derecho  de  petición  a  la</w:t>
        <w:br/>
        <w:t>Comisión Interamericana, pero al menos cuida  de  agregar  que  la  Comisión</w:t>
        <w:br/>
        <w:t>considerará las peticiones "de acuerdo con las normas y  los  requisitos  de</w:t>
        <w:br/>
        <w:t>procedimiento  para  la   presentación   y   consideración   de   peticiones</w:t>
        <w:br/>
        <w:t>estipulados en la Convención  Americana  sobre  Derechos  Humanos  y  en  el</w:t>
        <w:br/>
        <w:t>Estatuto y el Reglamento" de la Comisión. Ocurre que,  entre  dichas  normas</w:t>
        <w:br/>
        <w:t>para la  consideración  de  peticiones,  figura  el  artículo  51(1)  de  la</w:t>
        <w:br/>
        <w:t>Convención Americana, que prevé expresamente el envío  por  la  Comisión  de</w:t>
        <w:br/>
        <w:t>casos no por ésta solucionados a la Corte para su decisión. La Corte  tiene,</w:t>
        <w:br/>
        <w:t>pues, jurisdicción sobre dichos casos, y puede  y  debe  pronunciarse  sobre</w:t>
        <w:br/>
        <w:t>alegadas violaciones  de  los  derechos  humanos  de  la  mujer,  -  con  el</w:t>
        <w:br/>
        <w:t>necesario análisis de género, como planteado en el presente caso, - bajo  la</w:t>
        <w:br/>
        <w:t>Convención del Belém do Pará en tales circunstancias, dándole a esta  última</w:t>
        <w:br/>
        <w:t>el debido effet utile.</w:t>
        <w:br/>
        <w:br/>
        <w:t>74.    Pero  para  prescindir  de  la  necesidad  de   este   ejercicio   de</w:t>
        <w:br/>
        <w:t>interpretación, y para fortalecer su  propio  mecanismo  de  protección,  la</w:t>
        <w:br/>
        <w:t>Convención de Belém do Pará debería haber incluido una cláusula  de  expresa</w:t>
        <w:br/>
        <w:t>atribución de jurisdicción a la Corte en materia contenciosa. Ni por eso  la</w:t>
        <w:br/>
        <w:t>Corte está privada de jurisdicción; todo lo contrario,  a  mi  juicio  tiene</w:t>
        <w:br/>
        <w:t>jurisdicción, en el entendimiento  y  en  los  términos  que  resumí  en  el</w:t>
        <w:br/>
        <w:t>párrafo anterior de ese Voto Razonado.  Los  negociadores  y  redactores  de</w:t>
        <w:br/>
        <w:t>instrumentos internacionales de derechos humanos deberían ser  más  precisos</w:t>
        <w:br/>
        <w:t>en  su  ejercicio  legiferante,  teniendo  presentes  los   imperativos   de</w:t>
        <w:br/>
        <w:t>protección de la persona humana, - en el presente caso, los derechos  de  la</w:t>
        <w:br/>
        <w:t>mujer, que lamentablemente son violados impunemente en el  cotidiano  de  la</w:t>
        <w:br/>
        <w:t>vida, en algunas partes del mundo más que en otras.</w:t>
        <w:br/>
        <w:br/>
        <w:br/>
        <w:t xml:space="preserve">      VIII.      Oprimidos y Opresores:  La  Dominación  Insostenible  y  el</w:t>
        <w:br/>
        <w:t>Primado del                  Derecho.</w:t>
        <w:br/>
        <w:br/>
        <w:br/>
        <w:t>75.   Paso, en fin, a mi última línea de reflexiones  en  el  presente  Voto</w:t>
        <w:br/>
        <w:t>Razonado. Con su usual perspicacia, la gran pensadora  mística  Simone  Weil</w:t>
        <w:br/>
        <w:t>advertía, en su  penetrante  ensayo  Reflexiones  sobre  las  Causas  de  la</w:t>
        <w:br/>
        <w:t>Libertad y de la Opresión Social (1934), el cual consideraba como su  propio</w:t>
        <w:br/>
        <w:t>"testamento", que</w:t>
        <w:br/>
        <w:br/>
        <w:t xml:space="preserve">            "el exterminio suprime el poder al suprimir el objeto. Así  hay,</w:t>
        <w:br/>
        <w:t xml:space="preserve">      en la misma esencia del  poder,  una  contradicción  fundamental  que,</w:t>
        <w:br/>
        <w:t xml:space="preserve">      propiamente hablando, le impide existir; aquellos a los que  se  llama</w:t>
        <w:br/>
        <w:t xml:space="preserve">      amos, siempre obligados a reforzar su poder, (...) no son  nunca  sino</w:t>
        <w:br/>
        <w:t xml:space="preserve">      la persecución de un dominio imposible de poseer, persecución de cuyos</w:t>
        <w:br/>
        <w:t xml:space="preserve">      suplicios infernales la mitología griega ofrece bellas imágenes.</w:t>
        <w:br/>
        <w:t xml:space="preserve">            (...) Es así como Agamenon, que inmoló a su hija, revive en  los</w:t>
        <w:br/>
        <w:t xml:space="preserve">      capitalistas que, para mantener sus privilegios, aceptan a  la  ligera</w:t>
        <w:br/>
        <w:t xml:space="preserve">      guerras que pueden arrebatarles a sus propios hijos. (...)</w:t>
        <w:br/>
        <w:t xml:space="preserve">            (...) El verdadero tema de La Ilíada  es  la  influencia  de  la</w:t>
        <w:br/>
        <w:t xml:space="preserve">      guerra sobre los guerreros y, a  través  de  ellos,  sobre  todos  los</w:t>
        <w:br/>
        <w:t xml:space="preserve">      humanos: nadie sabe por qué se sacrifica y sacrifica a  los  suyos  en</w:t>
        <w:br/>
        <w:t xml:space="preserve">      una guerra mortal y sin objeto (...). En este  antiguo  y  maravilloso</w:t>
        <w:br/>
        <w:t xml:space="preserve">      poema aparece ya el mal esencial de la humanidad:  la  sustitución  de</w:t>
        <w:br/>
        <w:t xml:space="preserve">      los fines por los medios"[296].</w:t>
        <w:br/>
        <w:br/>
        <w:t>76.   En el mismo ensayo luminoso, Simone Weil insistía  en  su  advertencia</w:t>
        <w:br/>
        <w:t>en el sentido de que</w:t>
        <w:br/>
        <w:br/>
        <w:t xml:space="preserve">            "Nada más fácil que difundir un mito cualquiera a través de  una</w:t>
        <w:br/>
        <w:t xml:space="preserve">      población. No hay que extrañarse, pues, de la aparición sin precedente</w:t>
        <w:br/>
        <w:t xml:space="preserve">      en la historia, de regímenes  'totalitarios'.  (...)  Allí  donde  las</w:t>
        <w:br/>
        <w:t xml:space="preserve">      opiniones irracionales sustituyen a las  ideas,  la  fuerza  lo  puede</w:t>
        <w:br/>
        <w:t xml:space="preserve">      todo.  (...)  Siempre  que  los  oprimidos  han   querido   constituir</w:t>
        <w:br/>
        <w:t xml:space="preserve">      agrupaciones  capaces  de   ejercer   una   influencia   real,   estas</w:t>
        <w:br/>
        <w:t xml:space="preserve">      agrupaciones (...) han reproducido en su seno las  taras  del  régimen</w:t>
        <w:br/>
        <w:t xml:space="preserve">      que  pretendían  reformar  o  abatir,   a   saber,   la   organización</w:t>
        <w:br/>
        <w:t xml:space="preserve">      burocrática, la inversión de la relación entre los medios y los fines,</w:t>
        <w:br/>
        <w:t xml:space="preserve">      el desprecio del individuo, la separación entre el  pensamiento  y  la</w:t>
        <w:br/>
        <w:t xml:space="preserve">      acción, el carácter mecánico del pensamiento mismo, la utilización del</w:t>
        <w:br/>
        <w:t xml:space="preserve">      embrutecimiento y de la mentira como medios de propaganda,  (...)  una</w:t>
        <w:br/>
        <w:t xml:space="preserve">      civilización que  descansa  en  la  rivalidad,  en  la  lucha,  en  la</w:t>
        <w:br/>
        <w:t xml:space="preserve">      guerra"[297].</w:t>
        <w:br/>
        <w:br/>
        <w:t>77.   Las reflexiones de 1934 de esta mujer  admirablemente  lúcida,  Simone</w:t>
        <w:br/>
        <w:t>Weil, son pertinentes en relación a ejemplos  sucesivos  de  opresión  a  lo</w:t>
        <w:br/>
        <w:t>largo de las décadas posteriores[298]. Lo cierto es  que  la  brutalidad  ha</w:t>
        <w:br/>
        <w:t>estado siempre presente en las relaciones humanas, como se desprende ya  del</w:t>
        <w:br/>
        <w:t>Génesis (IV.4). Ha estado presente  antes  y  después  de  la  creación  del</w:t>
        <w:br/>
        <w:t>Estado, y, con éste, se ha magnificado con sus recursos y su  monopolio  del</w:t>
        <w:br/>
        <w:t>uso de  la  fuerza  (como  se  enorgullecen  de  decir  algunos  publicistas</w:t>
        <w:br/>
        <w:t>miopes).  Como  señala  con  lucidez  el  Predicador,  en  el  más  breve  y</w:t>
        <w:br/>
        <w:t>enigmático de los escritos del Antiguo Testamento (el bello Eclesiastés),</w:t>
        <w:br/>
        <w:br/>
        <w:t xml:space="preserve">      "Nunca faltará quien diga:</w:t>
        <w:br/>
        <w:t xml:space="preserve">      'Esto sí que es algo nuevo!'</w:t>
        <w:br/>
        <w:t xml:space="preserve">      Pero aún eso ya ha existido</w:t>
        <w:br/>
        <w:t xml:space="preserve">      siglos antes de nosotros.</w:t>
        <w:br/>
        <w:t xml:space="preserve">      Las cosas pasadas han caído en el olvido,</w:t>
        <w:br/>
        <w:t xml:space="preserve">      y en el olvido caerán las cosas futuras</w:t>
        <w:br/>
        <w:t xml:space="preserve">      entre los que vengan después"[299].</w:t>
        <w:br/>
        <w:br/>
        <w:t>78.   Y continúa el Predicador, de modo implacable: "No te sorprendas si  en</w:t>
        <w:br/>
        <w:t>algún país ves que se oprime al pobre y que se hace violencia a la  justicia</w:t>
        <w:br/>
        <w:t>y al derecho, porque a un alto oficial lo encubre otro  más  alto,  y  otros</w:t>
        <w:br/>
        <w:t>más altos oficiales encubren a estos dos. Y a eso se le llama  progreso  del</w:t>
        <w:br/>
        <w:t>país (...)!"[300]. Estas palabras, que han sobrevivido a  siglos  y  siglos,</w:t>
        <w:br/>
        <w:t>se revisten de gran actualidad en nuestros  días!.  Podríamos  perfectamente</w:t>
        <w:br/>
        <w:t>haberlas escuchado (si es que no ya las escuchamos, al  menos  la  idea  que</w:t>
        <w:br/>
        <w:t>encierran) en algunos de los miles y miles de  seminarios  y  mesas-redondas</w:t>
        <w:br/>
        <w:t>que se realizan en nuestros días.</w:t>
        <w:br/>
        <w:br/>
        <w:t>79.    Pero  el  Predicador  no  para  ahí.  Y  prosigue,  con  sabiduría  y</w:t>
        <w:br/>
        <w:t>conocimiento de la naturaleza humana:</w:t>
        <w:br/>
        <w:br/>
        <w:t xml:space="preserve">            "Dirigí luego mi atención a los actos de opresión que se cometen</w:t>
        <w:br/>
        <w:t xml:space="preserve">      en este mundo. Y vi que los oprimidos lloran, pero no  hay  quien  los</w:t>
        <w:br/>
        <w:t xml:space="preserve">      consuele; sus opresores les hacen violencia, pero  no  hay  quien  los</w:t>
        <w:br/>
        <w:t xml:space="preserve">      consuele. Por eso consideré más felices a los que ya han muerto que  a</w:t>
        <w:br/>
        <w:t xml:space="preserve">      los que aún viven; aunque en mejores condiciones que estos  dos  están</w:t>
        <w:br/>
        <w:t xml:space="preserve">      los que aún no han nacido, pues todavía no han visto la maldad que  se</w:t>
        <w:br/>
        <w:t xml:space="preserve">      comete en este mundo"[301].</w:t>
        <w:br/>
        <w:br/>
        <w:t>80.   Y el Predicador agrega que todo tiene su tiempo:</w:t>
        <w:br/>
        <w:br/>
        <w:t xml:space="preserve">      "En este mundo todo tiene su hora; hay</w:t>
        <w:br/>
        <w:t xml:space="preserve">      un momento para todo cuanto ocurre:</w:t>
        <w:br/>
        <w:t xml:space="preserve">      Un momento para nacer,</w:t>
        <w:br/>
        <w:t xml:space="preserve">      y un momento para morir.</w:t>
        <w:br/>
        <w:t xml:space="preserve">      Un momento para plantar,</w:t>
        <w:br/>
        <w:t xml:space="preserve">      y un momento para arrancar lo plantado. (...)</w:t>
        <w:br/>
        <w:t xml:space="preserve">      Un momento para llorar,</w:t>
        <w:br/>
        <w:t xml:space="preserve">      y un momento para reír.</w:t>
        <w:br/>
        <w:t xml:space="preserve">      Un momento para estar de luto,</w:t>
        <w:br/>
        <w:t xml:space="preserve">      y un momento para estar de fiesta. (...)</w:t>
        <w:br/>
        <w:t xml:space="preserve">      Un momento para abrazarse,</w:t>
        <w:br/>
        <w:t xml:space="preserve">      y un momento para separarse.</w:t>
        <w:br/>
        <w:t xml:space="preserve">      Un momento para intentar,</w:t>
        <w:br/>
        <w:t xml:space="preserve">      y un momento para desistir.</w:t>
        <w:br/>
        <w:t xml:space="preserve">      Un momento para guardar,</w:t>
        <w:br/>
        <w:t xml:space="preserve">      y un momento para tirar.</w:t>
        <w:br/>
        <w:t xml:space="preserve">      Un momento para rasgar,</w:t>
        <w:br/>
        <w:t xml:space="preserve">      y un momento para coser.</w:t>
        <w:br/>
        <w:t xml:space="preserve">      Un momento para callar,</w:t>
        <w:br/>
        <w:t xml:space="preserve">      y un momento para hablar"(...)[302].</w:t>
        <w:br/>
        <w:br/>
        <w:t>81.   Mi tiempo como Juez Titular de esta Corte está expirando.  Todo  tiene</w:t>
        <w:br/>
        <w:t>su hora, un momento para llegar y un momento para partir. En  cuanto  a  las</w:t>
        <w:br/>
        <w:t>víctimas sobrevivientes del caso de la Prisión de  Castro  Castro,  tuvieron</w:t>
        <w:br/>
        <w:t>ellas su tiempo de sufrimiento prolongado, su tiempo de sufrimiento  con  la</w:t>
        <w:br/>
        <w:t>impunidad,  pero  tienen  ahora  su  tiempo  de  justicia.  Después  de  las</w:t>
        <w:br/>
        <w:t>tinieblas ha llegado la luz,  en  el  chiaoscuro  de  la  frágil  existencia</w:t>
        <w:br/>
        <w:t>humana. Para mí, la triste saudade anticipada de la partida de Corte  es  en</w:t>
        <w:br/>
        <w:t>parte compensada por la luz que pasa a alumbrar el camino de  las  víctimas,</w:t>
        <w:br/>
        <w:t>con el establecimiento de la verdad y la justicia.</w:t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t>Pablo Saavedra Alessandri</w:t>
        <w:br/>
        <w:t xml:space="preserve">       Secretario</w:t>
        <w:br/>
        <w:t>-----------------------</w:t>
        <w:br/>
        <w:t>*  El Juez Diego García-Sayán se excusó de conocer del  presente  caso</w:t>
        <w:br/>
        <w:t>(infra párrs. 91 y 92). Asimismo, el Juez Oliver Jackman no  participó</w:t>
        <w:br/>
        <w:t>en la deliberación y firma de la presente Sentencia,  ya  que  informó</w:t>
        <w:br/>
        <w:t>que, por motivos de fuerza mayor, no podría participar  en  el  LXXIII</w:t>
        <w:br/>
        <w:t>Período Ordinario de Sesiones del Tribunal.</w:t>
        <w:br/>
        <w:br/>
        <w:t>[1]   Como respuesta a la solicitud  de  prueba  y  aclaraciones  para</w:t>
        <w:br/>
        <w:t>mejor resolver realizada por el Presidente de la  Corte,  la  Comisión</w:t>
        <w:br/>
        <w:t>indicó en su comunicación de 3 de noviembre de 2006 que  este  escrito</w:t>
        <w:br/>
        <w:t>de 18 de mayo  de  1992  fue  “la  petición  inicial  que  originó  el</w:t>
        <w:br/>
        <w:t>expediente del caso 11.015”.</w:t>
        <w:br/>
        <w:t>[2]   La señora Madeleine Valle Rivera es  presunta  víctima  de  este</w:t>
        <w:br/>
        <w:t>caso, y mediante Resolución del Presidente de 24 de mayo  de  2006  se</w:t>
        <w:br/>
        <w:t>requirió que rindiera declaración mediante affidávit.</w:t>
        <w:br/>
        <w:t>[3]   Cfr. Caso Vargas Areco. Sentencia de 26 de septiembre  de  2006.</w:t>
        <w:br/>
        <w:t>Serie C No. 155, párr. 42; Caso Servellón García y  otros.   Sentencia</w:t>
        <w:br/>
        <w:t>de 21 de septiembre de 2006.  Serie  C  No.  152,  párr.  52;  y  Caso</w:t>
        <w:br/>
        <w:t>Ximenes Lopes. Sentencia de 4 de julio de 2006. Serie C No. 149, párr.</w:t>
        <w:br/>
        <w:t>61.</w:t>
        <w:br/>
        <w:br/>
        <w:t>[4]   Cfr. Caso Vargas Areco, supra nota 3, párr. 43;  Caso  Servellón</w:t>
        <w:br/>
        <w:t>García y otros, supra nota 3, párr. 53; y Caso  Ximenes  Lopes,  supra</w:t>
        <w:br/>
        <w:t>nota 3, párr. 62.</w:t>
        <w:br/>
        <w:br/>
        <w:t>[5]   Cfr. Caso Vargas Areco, supra nota 3, párr. 65; Caso  Goiburú  y</w:t>
        <w:br/>
        <w:t>otros.  Sentencia de 22 de septiembre de 2006.  Serie C No. 153, párr.</w:t>
        <w:br/>
        <w:t>52; y Caso Servellón García y otros, supra nota 3, párr. 77.</w:t>
        <w:br/>
        <w:br/>
        <w:t>[6]   La Comisión alegó como violados los artículos 4, 5,  8.1,  25  y</w:t>
        <w:br/>
        <w:t>1.1 de la Convención Americana, en los términos que se resumen  en  la</w:t>
        <w:br/>
        <w:t>parte considerativa de la presente Sentencia.  La interviniente  común</w:t>
        <w:br/>
        <w:t>de los representantes alegó como violados los artículos 4,  5,  7,  8,</w:t>
        <w:br/>
        <w:t>11, 12, 13, 24, 25 y 1.1 de la  Convención  Americana,  así  como  los</w:t>
        <w:br/>
        <w:t>artículos 1, 6, 7, 8 y 9 de la Convención Interamericana para Prevenir</w:t>
        <w:br/>
        <w:t>y Sancionar la Tortura, y  los  artículos  4  y  7  de  la  Convención</w:t>
        <w:br/>
        <w:t>Interamericana para  Prevenir,  Sancionar  y  Erradicar  la  Violencia</w:t>
        <w:br/>
        <w:t>contra la Mujer.</w:t>
        <w:br/>
        <w:t>[7]   Cfr. Caso de las Masacres de Ituango. Sentencia de 1 de julio de</w:t>
        <w:br/>
        <w:t>2006. Serie C No. 148, párr. 89; Caso Comunidad Indígena  Sawhoyamaxa.</w:t>
        <w:br/>
        <w:t>Sentencia de 29 de marzo de 2006. Serie C No. 146, párr. 68; y Caso de</w:t>
        <w:br/>
        <w:t>la Masacre de Pueblo Bello. Sentencia de 31 de enero de 2006. Serie  C</w:t>
        <w:br/>
        <w:t>No. 140, párr. 57.</w:t>
        <w:br/>
        <w:br/>
        <w:t>[8]   Cfr. Caso de las Masacres de Ituango, supra nota 7,  párr.  191;</w:t>
        <w:br/>
        <w:t>Caso de la Masacre de Pueblo Bello, supra nota 7, párr. 55; y Caso  de</w:t>
        <w:br/>
        <w:t>la “Masacre de Mapiripán”. Sentencia de  15  de  septiembre  de  2005.</w:t>
        <w:br/>
        <w:t>Serie C No. 134, párr. 59.</w:t>
        <w:br/>
        <w:br/>
        <w:t>[9]   Cfr. Caso de las Masacres de Ituango, supra nota 7,  párr.  192;</w:t>
        <w:br/>
        <w:t>Caso de la Masacre de Pueblo Bello, supra nota 7, párr. 55; y Caso  de</w:t>
        <w:br/>
        <w:t>la “Masacre de Mapiripán”, supra nota 8, párr. 59.</w:t>
        <w:br/>
        <w:br/>
        <w:t>[10]  La violación al artículo 5 de  la  Convención  respecto  de  los</w:t>
        <w:br/>
        <w:t>familiares la alegó en el escrito de alegatos finales.</w:t>
        <w:br/>
        <w:br/>
        <w:t>[11]  Se trata del señor Francisco Alcazar Miranda.</w:t>
        <w:br/>
        <w:br/>
        <w:t>[12]  Se trata de la señora Claudina Delgado Narro.</w:t>
        <w:br/>
        <w:t>[13]  Cfr. Caso  Goiburú  y  otros,  supra  nota  5,  párr.  29;  Caso</w:t>
        <w:br/>
        <w:t>Servellón García y otros, supra nota 3,  párr.  158;  y  Caso  de  las</w:t>
        <w:br/>
        <w:t>Masacres de Ituango, supra nota 7, párr. 98.</w:t>
        <w:br/>
        <w:br/>
        <w:br/>
        <w:t>[14]  Cfr. Caso  Goiburú  y  otros,  supra  nota  5,  párr.  29;  Caso</w:t>
        <w:br/>
        <w:t>Servellón García y otros, supra nota 3,  párr.  158;  y  Caso  de  las</w:t>
        <w:br/>
        <w:t>Masacres de Ituango, supra nota 7, párr. 91.</w:t>
        <w:br/>
        <w:br/>
        <w:br/>
        <w:t>[15]  Cfr. Caso Almonacid  Arellano  y  otros.   Sentencia  de  26  de</w:t>
        <w:br/>
        <w:t>septiembre de 2006. Serie C No. 154, párr. 67; Caso Servellón García y</w:t>
        <w:br/>
        <w:t>otros, supra nota 3, párr. 33; y Caso Ximenes  Lopes,  supra  nota  3,</w:t>
        <w:br/>
        <w:t>párr. 42.</w:t>
        <w:br/>
        <w:br/>
        <w:br/>
        <w:t>[16]  Cfr. Caso Almonacid Arellano y otros, supra nota 15,  párr.  69;</w:t>
        <w:br/>
        <w:t>Caso Servellón García y otros, supra nota 3, párr. 35; y Caso  Ximenes</w:t>
        <w:br/>
        <w:t>Lopes, supra nota 3, párrs. 44 y 48.</w:t>
        <w:br/>
        <w:br/>
        <w:br/>
        <w:t>[17]  En la Resolución del Presidente de 24 de  mayo  de  2006  (supra</w:t>
        <w:br/>
        <w:t>párr. 65) se delimitó el objeto de este testimonio para  que  rindiera</w:t>
        <w:br/>
        <w:t>declaración “sobre los hechos que tuvieron lugar en la prisión  Miguel</w:t>
        <w:br/>
        <w:t>Castro Castro en su condición de testigo ocular de los hechos de  mayo</w:t>
        <w:br/>
        <w:t>de 1992, de acuerdo a los términos establecidos en el Considerando  37</w:t>
        <w:br/>
        <w:t>de la […] Resolución”. Según  lo  dispuesto  en  dicha  Resolución  el</w:t>
        <w:br/>
        <w:t>testigo debía referirse a los hechos  de  los  que  tuvo  conocimiento</w:t>
        <w:br/>
        <w:t>personal y directo.</w:t>
        <w:br/>
        <w:t>[18]  Cfr. Caso Almonacid Arellano y otros, supra nota 15,  párr.  74;</w:t>
        <w:br/>
        <w:t>Caso Goiburú y otros, supra nota 5, párr. 57; y Caso Servellón  García</w:t>
        <w:br/>
        <w:t>y otros, supra nota 3, párr. 38.</w:t>
        <w:br/>
        <w:br/>
        <w:t>[19]  Cfr. Caso Servellón García y otros, supra nota 3, párr. 46; Caso</w:t>
        <w:br/>
        <w:t>Claude Reyes y otros.  Sentencia de 19 de septiembre de 2006.  Serie C</w:t>
        <w:br/>
        <w:t>No. 151, párr. 51; y Caso Ximenes Lopes, supra nota 3, párr. 52.</w:t>
        <w:br/>
        <w:br/>
        <w:t>[20]  Cfr. Caso Almonacid Arellano y otros, supra nota 15,  párr.  78;</w:t>
        <w:br/>
        <w:t>Caso Goiburú y otros, supra nota 5, párr. 59; y Caso  Claude  Reyes  y</w:t>
        <w:br/>
        <w:t>otros, supra nota 19, párr. 56.</w:t>
        <w:br/>
        <w:br/>
        <w:t>[21]  Cfr. Caso Baldeón García. Sentencia de 6 de abril de 2006, Serie</w:t>
        <w:br/>
        <w:t>C No. 146, párr. 72.2; Caso Hermanos Gómez Paquiyauri. Sentencia de  8</w:t>
        <w:br/>
        <w:t>de julio de  2004,  Serie  C  No.  110,  párr.  67(a);  Caso  Cantoral</w:t>
        <w:br/>
        <w:t>Benavides. Sentencia de 18 de agosto de 2000. Serie C  No.  69,  párr.</w:t>
        <w:br/>
        <w:t>63; Caso Castillo Páez. Sentencia de 3 de noviembre de 1997.  Serie  C</w:t>
        <w:br/>
        <w:t>No. 34, párr. 42; y Caso Loayza Tamayo. Sentencia de 17 de  septiembre</w:t>
        <w:br/>
        <w:t>de 1997. Serie C No. 33, párr. 46.  Asimismo, cfr. Informe Final de la</w:t>
        <w:br/>
        <w:t>Comisión de la Verdad y Reconciliación, CVR, suscrito el 27 de  agosto</w:t>
        <w:br/>
        <w:t>de 2003 en la ciudad de Lima, Perú. Patrones en la perpetración de los</w:t>
        <w:br/>
        <w:t>crímenes y violaciones a los derechos humanos, págs. 93,  115,  139  y</w:t>
        <w:br/>
        <w:t>167 (expediente de anexos a la demanda, anexo 6, correspondiente a  un</w:t>
        <w:br/>
        <w:t>disco compacto); Comisión Interamericana de Derechos Humanos,  Informe</w:t>
        <w:br/>
        <w:t>sobre la situación de los derechos humanos en Perú de 1993,  Documento</w:t>
        <w:br/>
        <w:t>OEA/Ser.L/V/II.83.Doc.31, 12  de  marzo  de  1993;  informe  sobre  la</w:t>
        <w:br/>
        <w:t>situación de la tortura en el Perú y  otros  tratos  o  penas  crueles</w:t>
        <w:br/>
        <w:t>inhumanos o  degradantes  de  la  Coordinadora  Nacional  de  Derechos</w:t>
        <w:br/>
        <w:t>Humanos del Perú de enero de 1993 a septiembre e 1994; e informe anual</w:t>
        <w:br/>
        <w:t>de 1993 de la Coordinadora Nacional de Derechos Humanos del Perú.</w:t>
        <w:br/>
        <w:br/>
        <w:t>[22]  Cfr. Caso Huilca Tecse. Sentencia de 3 de marzo de 2005. Serie C</w:t>
        <w:br/>
        <w:t>No. 121, párrs. 60.6 y 60.8; y Decreto Ley No. 25418 de 6 de abril  de</w:t>
        <w:br/>
        <w:t>1992  (prueba  para  mejor   resolver   incorporada   por   la   Corte</w:t>
        <w:br/>
        <w:t>Interamericana de conformidad con el artículo 45.1 de su Reglamento).</w:t>
        <w:br/>
        <w:br/>
        <w:t>[23]  Cfr. Caso del Tribunal Constitucional. Sentencia de 31 de  enero</w:t>
        <w:br/>
        <w:t>de 2001. Serie C No. 71, párr. 56.1.</w:t>
        <w:br/>
        <w:br/>
        <w:t>[24]  Cfr. Caso Baldeón García, supra nota 21, párrs. 72.1. y 72.2;  y</w:t>
        <w:br/>
        <w:t>Decreto Supremo   N°  065-2001-PCM,  artículo  1  (prueba  para  mejor</w:t>
        <w:br/>
        <w:t>resolver incorporada por la Corte Interamericana de conformidad con el</w:t>
        <w:br/>
        <w:t>artículo 45.1 de su Reglamento).</w:t>
        <w:br/>
        <w:br/>
        <w:t>[25]   Cfr.  informe  Final   de  la   Comisión   de   la   Verdad   y</w:t>
        <w:br/>
        <w:t>Reconciliación, CVR, suscrito el 27 de agosto de 2003 en la ciudad  de</w:t>
        <w:br/>
        <w:t>Lima,  Perú  (expediente  de   anexos   a   la   demanda,   anexo   6,</w:t>
        <w:br/>
        <w:t>correspondiente a un disco compacto).</w:t>
        <w:br/>
        <w:br/>
        <w:t>[26]  Cfr. Resolución Suprema 438-2001-PCM de 6 de septiembre de  2001</w:t>
        <w:br/>
        <w:t>(prueba para mejor resolver incorporada por la Corte Interamericana de</w:t>
        <w:br/>
        <w:t>conformidad con el artículo 45.1 de su Reglamento).</w:t>
        <w:br/>
        <w:br/>
        <w:t>[27]   Cfr.  informe  Final   de  la   Comisión   de   la   Verdad   y</w:t>
        <w:br/>
        <w:t>Reconciliación, CVR, suscrito el 27 de agosto de 2003 en la ciudad  de</w:t>
        <w:br/>
        <w:t>Lima, Perú, Tomo VI, Desaparición Forzada de Personas por Agentes  del</w:t>
        <w:br/>
        <w:t>Estado, secciones 1.2 y 1.4, págs. 73 y 171 (expediente de anexos a la</w:t>
        <w:br/>
        <w:t>demanda, anexo 6, correspondiente a un disco compacto).</w:t>
        <w:br/>
        <w:br/>
        <w:t>[28]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págs. 769 a 787 (expediente de anexos a la demanda,  anexo  6,</w:t>
        <w:br/>
        <w:t>correspondiente a un disco compacto).</w:t>
        <w:br/>
        <w:br/>
        <w:t>[29]  Cfr. ley No. 28592 que crea el  Plan  Nacional  de  Reparaciones</w:t>
        <w:br/>
        <w:t>(expediente sobre fondo y eventuales reparaciones y costas,  tomo  IX,</w:t>
        <w:br/>
        <w:t>folios 2741 a 2755); y Decreto Supremo No. 015-2006-JUS que aprueba el</w:t>
        <w:br/>
        <w:t>Reglamento de la Ley No. 28592 (sobre fondo y eventuales  reparaciones</w:t>
        <w:br/>
        <w:t>y costas, tomo IX, folio 2745).</w:t>
        <w:br/>
        <w:br/>
        <w:t>[30]    Cfr.  informe  Final  de  la   Comisión   de   la   Verdad   y</w:t>
        <w:br/>
        <w:t>Reconciliación, CVR, suscrito el 27 de agosto de 2003 en la ciudad  de</w:t>
        <w:br/>
        <w:t>Lima, Perú, Tomo V, sección 2.22, Las Cárceles, pág.  697  (expediente</w:t>
        <w:br/>
        <w:t>de anexos a la demanda, anexo 6, correspondiente a un disco compacto).</w:t>
        <w:br/>
        <w:br/>
        <w:br/>
        <w:t>[31]  Cfr. informe Final de la Comisión de la Verdad y Reconciliación,</w:t>
        <w:br/>
        <w:t>CVR, suscrito el 27 de agosto de 2003 en la ciudad de Lima, Perú, Tomo</w:t>
        <w:br/>
        <w:t>V, sección 2.22, Las Cárceles, págs. 697 a 721 (expediente de anexos a</w:t>
        <w:br/>
        <w:t>la demanda, anexo 6, correspondiente a un disco compacto).</w:t>
        <w:br/>
        <w:br/>
        <w:t>[32]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 769  (expediente  de  anexos  a  la  demanda,  anexo  6,</w:t>
        <w:br/>
        <w:t>correspondiente a un disco compacto); y alegato del Estado durante  la</w:t>
        <w:br/>
        <w:t>audiencia pública celebrada ante la Corte Interamericana los días 26 y</w:t>
        <w:br/>
        <w:t>27 de junio de 2006.</w:t>
        <w:br/>
        <w:br/>
        <w:t>[33]   Cfr.   informe  Final  de  la   Comisión   de   la   Verdad   y</w:t>
        <w:br/>
        <w:t>Reconciliación, CVR, suscrito el 27 de agosto de 2003 en la ciudad  de</w:t>
        <w:br/>
        <w:t>Lima, Perú, Tomo VII, sección 2.68, Las ejecuciones extrajudiciales en</w:t>
        <w:br/>
        <w:t>el penal Canto Grande, pág. 770 (expediente de anexos  a  la  demanda,</w:t>
        <w:br/>
        <w:t>anexo 6, correspondiente a un disco compacto).</w:t>
        <w:br/>
        <w:br/>
        <w:t>[34]  Cfr. artículo periodístico titulado “El Destape” publicado en la</w:t>
        <w:br/>
        <w:t>Revista Caretas, edición No. 1170 de 30 de julio de  1991  (expediente</w:t>
        <w:br/>
        <w:t>de anexos a la demanda, anexo 264, folio 3041).</w:t>
        <w:br/>
        <w:br/>
        <w:t>[35]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 769  (expediente  de  anexos  a  la  demanda,  anexo  6,</w:t>
        <w:br/>
        <w:t>correspondiente a un disco compacto).</w:t>
        <w:br/>
        <w:br/>
        <w:t>[36]   Cfr. fotografías del penal Miguel Castro Castro (expediente  de</w:t>
        <w:br/>
        <w:t>anexos a la demanda, anexo 256, folios 2796 a 2823); y mapa del  penal</w:t>
        <w:br/>
        <w:t>Miguel Castro Castro (expediente de anexos a la  demanda,  anexo  254,</w:t>
        <w:br/>
        <w:t>folios 2781 a 2787).</w:t>
        <w:br/>
        <w:br/>
        <w:t>[37]  Cfr. informe Final de la Comisión de la Verdad y Reconciliación,</w:t>
        <w:br/>
        <w:t>CVR, suscrito el 27 de agosto de 2003 en la ciudad de Lima, Perú, Tomo</w:t>
        <w:br/>
        <w:t>V, sección 2.22, Las cárceles, pág. 703 y Tomo VII, sección 2.68,  Las</w:t>
        <w:br/>
        <w:t>ejecuciones  extrajudiciales  en  el  penal  Canto  Grande,  pág.  771</w:t>
        <w:br/>
        <w:t>(expediente de anexos a la demanda,  anexo  6,  correspondiente  a  un</w:t>
        <w:br/>
        <w:t>disco compacto); y alegato del Estado  durante  la  audiencia  pública</w:t>
        <w:br/>
        <w:t>celebrada ante la Corte Interamericana los días 26 y 27  de  junio  de</w:t>
        <w:br/>
        <w:t>2006.</w:t>
        <w:br/>
        <w:br/>
        <w:t>[38]  Cfr. listados de internos recluidos en los pabellones  1A  y  4B</w:t>
        <w:br/>
        <w:t>del Penal Miguel Castro Castro (expediente de apéndice y anexos  a  la</w:t>
        <w:br/>
        <w:t>demanda, anexos 13, 14 y 15, folios 167 a 262); y alegato  del  Estado</w:t>
        <w:br/>
        <w:t>durante la audiencia pública celebrada ante  la  Corte  Interamericana</w:t>
        <w:br/>
        <w:t>los días 26 y 27 de junio de 2006.</w:t>
        <w:br/>
        <w:br/>
        <w:t>[39]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 770  (expediente  de  anexos  a  la  demanda,  anexo  6,</w:t>
        <w:br/>
        <w:t>correspondiente a un disco compacto).</w:t>
        <w:br/>
        <w:br/>
        <w:t>[40]  Cfr. diversas declaraciones testimoniales rendidas por  internos</w:t>
        <w:br/>
        <w:t>sobrevivientes y familiares de internos  sobrevivientes  y  fallecidos</w:t>
        <w:br/>
        <w:t>(expedientes de anexos a la demanda, anexos entre  el  82  y  el  246,</w:t>
        <w:br/>
        <w:t>folios entre el 1226 y el 2732); diversos formularios de declaraciones</w:t>
        <w:br/>
        <w:t>escritas rendidas por internos sobrevivientes y familiares de internos</w:t>
        <w:br/>
        <w:t>sobrevivientes y  fallecidos  (expediente  de  anexos  al  escrito  de</w:t>
        <w:br/>
        <w:t>solicitudes y argumentos, anexos entre el 317 y el 412,  folios  entre</w:t>
        <w:br/>
        <w:t>el 3643 y el 4933); declaración testimonial rendida por Gaby  Balcázar</w:t>
        <w:br/>
        <w:t>Medina en la audiencia pública celebrada ante la Corte  Interamericana</w:t>
        <w:br/>
        <w:t>los días 26  y  27  de  junio  de  2006;  y  diversos  formularios  de</w:t>
        <w:br/>
        <w:t>declaraciones rendidas por internos  sobrevivientes  y  familiares  de</w:t>
        <w:br/>
        <w:t>internos sobrevivientes y fallecidos (prueba presentada  por  el  otro</w:t>
        <w:br/>
        <w:t>grupo de representantes de las presuntas víctimas y sus familiares).</w:t>
        <w:br/>
        <w:br/>
        <w:t>[41]  Cfr. acta de inspección de 14 de abril de 1992  (expediente  del</w:t>
        <w:br/>
        <w:t>trámite del caso ante la Comisión, tomo I, folio 4004).</w:t>
        <w:br/>
        <w:br/>
        <w:t>[42]  Cfr. decreto Ley No. 25421 expedido  por  el  Presidente  de  la</w:t>
        <w:br/>
        <w:t>República del Perú el 6 de abril de 1992, artículo  2  (expediente  de</w:t>
        <w:br/>
        <w:t>anexos a la demanda, anexo 7, folio 74).</w:t>
        <w:br/>
        <w:br/>
        <w:t>[43]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 771  (expediente  de  anexos  a  la  demanda,  anexo  6,</w:t>
        <w:br/>
        <w:t>correspondiente a un disco compacto).</w:t>
        <w:br/>
        <w:br/>
        <w:t>[44]  Cfr. sentencia emitida por la Sala Nacional de Terrorismo de  la</w:t>
        <w:br/>
        <w:t>Corte Suprema de Justicia del Perú el 3 de febrero de 2004 (expediente</w:t>
        <w:br/>
        <w:t>de  anexos  a  la  demanda,  anexo  274,  folio  3221);   y   diversas</w:t>
        <w:br/>
        <w:t>declaraciones testimoniales rendidas por las  internas  sobrevivientes</w:t>
        <w:br/>
        <w:t>(expediente de anexos a la demanda, anexos  entre  el  83  y  el  112,</w:t>
        <w:br/>
        <w:t>folios entre el 1237 y el 1482).</w:t>
        <w:br/>
        <w:br/>
        <w:t>[45]  Cfr. sentencia emitida por la Sala Nacional de Terrorismo de  la</w:t>
        <w:br/>
        <w:t>Corte Suprema de Justicia del Perú el 3 de febrero de 2004 (expediente</w:t>
        <w:br/>
        <w:t>de anexos a la demanda, anexo 274, folio 3235); y alegato  del  Estado</w:t>
        <w:br/>
        <w:t>durante la audiencia pública ante la  Corte  Interamericana  celebrada</w:t>
        <w:br/>
        <w:t>los días 26 y 27 de mayo de 2006.</w:t>
        <w:br/>
        <w:br/>
        <w:t>[46]  Cfr. sentencia emitida por la Sala Nacional de Terrorismo de  la</w:t>
        <w:br/>
        <w:t>Corte Suprema de Justicia del Perú el 3 de febrero de 2004 (expediente</w:t>
        <w:br/>
        <w:t>de anexos a la demanda, anexo 274, folio 3235); libro “Ojo por ojo” de</w:t>
        <w:br/>
        <w:t>Humberto Jara (expediente de anexos a la demanda, anexo 10, folios  98</w:t>
        <w:br/>
        <w:t>y 99); artículo periodístico titulado “Terroristas se  atrincheran  en</w:t>
        <w:br/>
        <w:t>pabellón y atacan con balas, dinamitazos  y  ácido”  publicado  en  el</w:t>
        <w:br/>
        <w:t>diario “La República” el 7 de mayo de 1992 (expediente de anexos a  la</w:t>
        <w:br/>
        <w:t>demanda, anexo 45, folios 1024 y 1027); artículo periodístico titulado</w:t>
        <w:br/>
        <w:t>“Ministro comprobó estado de rebeldía en el  penal”  publicado  en  el</w:t>
        <w:br/>
        <w:t>diario “El Comercio” el 7 de mayo de 1992 (expediente de anexos  a  la</w:t>
        <w:br/>
        <w:t>demanda,  anexo  46,  folio  1031);  artículo  periodístico   titulado</w:t>
        <w:br/>
        <w:t>“Durante dieciséis horas saldo de enfrentamiento entre terroristas  en</w:t>
        <w:br/>
        <w:t>Canto Grande” publicado en el diario “Expreso” el 7 de  mayo  de  1992</w:t>
        <w:br/>
        <w:t>(expediente de anexos a la demanda, anexo 48,  folio  1056);  artículo</w:t>
        <w:br/>
        <w:t>periodístico titulado “Presidente evaluó  con  ministros  y  militares</w:t>
        <w:br/>
        <w:t>situación en penal” publicado en el diario “Expreso” el 8 de  mayo  de</w:t>
        <w:br/>
        <w:t>1992 (expediente de anexos a la  demanda,  anexo  49,  folios  1063  y</w:t>
        <w:br/>
        <w:t>1064); artículo periodístico titulado “Por sucesos en penales Fujimori</w:t>
        <w:br/>
        <w:t>demanda  comprensión  internacional”  publicado  en  el   diario   “El</w:t>
        <w:br/>
        <w:t>Nacional” el 11 de mayo de 1992 (expediente de anexos  a  la  demanda,</w:t>
        <w:br/>
        <w:t>anexo 59, folios 1105 y 1107); artículo periodístico  titulado  “Dudas</w:t>
        <w:br/>
        <w:t>sobre el número total de muertos en el asalto al penal limeño de Canto</w:t>
        <w:br/>
        <w:t>Grande” publicado en el diario  “El  País”  el  12  de  mayo  de  1992</w:t>
        <w:br/>
        <w:t>(expediente de anexos a la demanda, anexo 66, folio 1149); y  auto  de</w:t>
        <w:br/>
        <w:t>apertura de instrucción emitido el 29 de agosto de 2006 por el Segundo</w:t>
        <w:br/>
        <w:t>Juzgado Penal Supraprovincial  del  Perú  (expediente  sobre  fondo  y</w:t>
        <w:br/>
        <w:t>eventuales reparaciones y costas, tomo XI, folios 3173 a 3239).</w:t>
        <w:br/>
        <w:br/>
        <w:t>[47]  Cfr.  declaraciones  testimoniales  escritas  de  Nila  Cipriano</w:t>
        <w:br/>
        <w:t>Pacheco Neira, Lourdes Heredia Pacheco, Ana Barreda Crushing  y  Norma</w:t>
        <w:br/>
        <w:t>Dávalos Díaz (expediente de anexos a la demanda,  anexos  243  y  245,</w:t>
        <w:br/>
        <w:t>folios 2665, 2698, 2702 y 2707).</w:t>
        <w:br/>
        <w:br/>
        <w:t>[48]  Cfr. declaraciones testimoniales escritas de Priscila  Rodríguez</w:t>
        <w:br/>
        <w:t>Osorio, Nila  Cipriano  Pacheco  Neira,  Vilma  Company  Rodríguez  de</w:t>
        <w:br/>
        <w:t>Aranda,  Avelina  García  Calderón,  Lourdes  Heredia  Pacheco,  Norma</w:t>
        <w:br/>
        <w:t>Dávalos Díaz y  Ana  Barredo  Crushing  (expediente  de  anexos  a  la</w:t>
        <w:br/>
        <w:t>demanda, anexos 242, 243, 244 y 245, folios 2655,  2664,  2681,  2692,</w:t>
        <w:br/>
        <w:t>2698, 2707 y 2702); declaraciones  testimoniales  rendidas  por  Julia</w:t>
        <w:br/>
        <w:t>Peña Castillo y Lastenia  Eugenia  Caballero  Mejía  en  la  audiencia</w:t>
        <w:br/>
        <w:t>pública ante la Corte Interamericana celebrada los días  26  y  27  de</w:t>
        <w:br/>
        <w:t>junio de 2006; declaraciones testimoniales escritas  de  Edith  Tinta,</w:t>
        <w:br/>
        <w:t>Rubeth Feria Tinta y Liliana  Peralta  Saldarriaga  (expediente  sobre</w:t>
        <w:br/>
        <w:t>fondo y eventuales reparaciones y costas, tomo VII, folios 2090, 2095,</w:t>
        <w:br/>
        <w:t>2096,  2097  y  1996);  formularios  de  declaraciones   testimoniales</w:t>
        <w:br/>
        <w:t>rendidas por Guillerma Mendieta Galindo, Paulina Mitma  Sulca  y  Rosa</w:t>
        <w:br/>
        <w:t>María León Torres (expediente de anexos al escrito  de  solicitudes  y</w:t>
        <w:br/>
        <w:t>argumentos,  tomo  I,  folios  3722,  3792  y  3890);  formularios  de</w:t>
        <w:br/>
        <w:t>declaraciones  testimoniales  rendidas  por  Silvia  Matto  Primo   de</w:t>
        <w:br/>
        <w:t>Aguirre, Julia Nereida Armas Vereau  de  Sedelmayer,  Genoveva  Torres</w:t>
        <w:br/>
        <w:t>Bonifacio, Norma Gloria Dávalos  Díaz  de  Silva,  Brígida  Flores  de</w:t>
        <w:br/>
        <w:t>Flores, Gloria Rosario  Flores  Flores,  Oscar  Flores  Flores,  Simón</w:t>
        <w:br/>
        <w:t>Flores Flores, Régulo Flores  Flores,  Rosa  mercedes  Flores  Flores,</w:t>
        <w:br/>
        <w:t>Claudio J. Flores Flores, María Jesús Yepes  Cebrian  y  Aurora  Zoila</w:t>
        <w:br/>
        <w:t>Villanueva de  Castillo  (prueba  presentada  por  el  otro  grupo  de</w:t>
        <w:br/>
        <w:t>representantes de las presuntas víctimas y sus  familiares);  artículo</w:t>
        <w:br/>
        <w:t>periodístico titulado “Familiares de presas lloraban y cantaban himnos</w:t>
        <w:br/>
        <w:t>senderistas” publicado en el diario “Expreso” el 7  de  mayo  de  1992</w:t>
        <w:br/>
        <w:t>(expediente de anexos a la demanda, anexo 48, folio 1053).</w:t>
        <w:br/>
        <w:br/>
        <w:t>[49]   Cfr.  diversas  declaraciones  de  internos  sobrevivientes   y</w:t>
        <w:br/>
        <w:t>familiares de internos  sobrevivientes  y  fallecidos  (expediente  de</w:t>
        <w:br/>
        <w:t>anexos a la demanda, anexos entre el 82 y el 246, folios entre el 1226</w:t>
        <w:br/>
        <w:t>y  el  1733);  Informe  Final  de  la  Comisión   de   la   Verdad   y</w:t>
        <w:br/>
        <w:t>Reconciliación, CVR, suscrito el 27 de agosto de 2003 en la ciudad  de</w:t>
        <w:br/>
        <w:t>Lima, Perú, Tomo VII, sección 2.68, Las ejecuciones extrajudiciales en</w:t>
        <w:br/>
        <w:t>el penal Canto Grande, págs. 771 y 772  (expediente  de  anexos  a  la</w:t>
        <w:br/>
        <w:t>demanda, anexo 6, correspondiente  a  un  disco  compacto);  sentencia</w:t>
        <w:br/>
        <w:t>emitida por la Sala Nacional de Terrorismo  de  la  Corte  Suprema  de</w:t>
        <w:br/>
        <w:t>Justicia del Perú el 3 de febrero de 2004 (expediente de anexos  a  la</w:t>
        <w:br/>
        <w:t>demanda,  anexo  274,  folio  3227);  artículo  periodístico  titulado</w:t>
        <w:br/>
        <w:t>“Terroristas  se  atrincheran  en  pabellón  y   atacan   con   balas,</w:t>
        <w:br/>
        <w:t>dinamitazos y ácido” publicado en el diario “La  República”  el  7  de</w:t>
        <w:br/>
        <w:t>mayo de 1992, artículo periodístico titulado “Ministro comprobó estado</w:t>
        <w:br/>
        <w:t>de rebeldía en el penal”  publicado en el diario “El Comercio” el 7 de</w:t>
        <w:br/>
        <w:t>mayo de 1992, artículo periodístico titulado “Reclusos por  terrorismo</w:t>
        <w:br/>
        <w:t>son trasladados definitivamente” publicado en el diario  “El  Peruano”</w:t>
        <w:br/>
        <w:t>el 7 de mayo de 1992, artículo  periodístico  titulado  “Los  policías</w:t>
        <w:br/>
        <w:t>entraron desarmados y fueron emboscados dentro del penal” publicado en</w:t>
        <w:br/>
        <w:t>el diario “Expreso” el  7  de  mayo  de  1992,  artículo  periodístico</w:t>
        <w:br/>
        <w:t>titulado  “Durante  dieciséis  horas  saldo  de  enfrentamiento  entre</w:t>
        <w:br/>
        <w:t>terroristas en Canto Grande” publicado en el diario “Expreso” el 7  de</w:t>
        <w:br/>
        <w:t>mayo de 1992 (expediente de anexos a la demanda, anexos 45, 46,  47  y</w:t>
        <w:br/>
        <w:t>48, folios 1024, 1031, 1047, 1053 y 1056).</w:t>
        <w:br/>
        <w:br/>
        <w:t>[50]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 786  (expediente  de  anexos  a  la  demanda,  anexo  6,</w:t>
        <w:br/>
        <w:t>correspondiente a un disco compacto); sentencia emitida  por  la  Sala</w:t>
        <w:br/>
        <w:t>Nacional de Terrorismo de la Corte Suprema de Justicia del Perú  el  3</w:t>
        <w:br/>
        <w:t>de febrero de 2004 (expediente de anexos  a  la  demanda,  anexo  274,</w:t>
        <w:br/>
        <w:t>folios 3225 a 3228);  y  declaración  testimonial  escrita  del  señor</w:t>
        <w:br/>
        <w:t>Pascual Utia Lozano (expediente de anexos a  la  demanda,  anexo  130,</w:t>
        <w:br/>
        <w:t>folio 1724).</w:t>
        <w:br/>
        <w:br/>
        <w:t>[51]  Cfr. declaraciones testimoniales escritas de Elmer  de  la  Cruz</w:t>
        <w:br/>
        <w:t>Yarma, Gerardo Saravia López Castilla, Alberto Atunca Acevedo  y  Nina</w:t>
        <w:br/>
        <w:t>Soria Alvarado Ruiz (expediente de anexos a la  demanda,  anexos  124,</w:t>
        <w:br/>
        <w:t>126, 129 y 104, folios 1674, 1691, 1715 y 1430), y  dictamen  pericial</w:t>
        <w:br/>
        <w:t>escrito  rendido  por  José  Quiroga  (expediente  sobre  el  fondo  y</w:t>
        <w:br/>
        <w:t>eventuales reparaciones y costas, tomo VII, folio 2148).</w:t>
        <w:br/>
        <w:br/>
        <w:t>[52]  Cfr. declaraciones testimoniales escritas de Yuri Vanessa  Conde</w:t>
        <w:br/>
        <w:t>Beltrán,  Marisol  Morán  Cascire,  Gertrudis  Silva  Breuery,   Elena</w:t>
        <w:br/>
        <w:t>Alvarado  Rojas,  Hernán  Collazos  Rojas  y   Pastor   Cocha   Nevado</w:t>
        <w:br/>
        <w:t>(expediente de anexos a la demanda, anexos 88, 91, 97, 211, 222 y 246,</w:t>
        <w:br/>
        <w:t>folios 1286, 1305, 1371, 2411, 2501 y 2733); y declaración testimonial</w:t>
        <w:br/>
        <w:t>rendida por Luis Ángel Pérez Zapata en la audiencia  pública  ante  la</w:t>
        <w:br/>
        <w:t>Corte Interamericana celebrada los días 26 y 27 de junio de 2006.</w:t>
        <w:br/>
        <w:br/>
        <w:t>[53]  Cfr. sentencia emitida por la Sala Nacional de Terrorismo de  la</w:t>
        <w:br/>
        <w:t>Corte Suprema de Justicia del Perú el 3 de febrero de 2004 (expediente</w:t>
        <w:br/>
        <w:t>de anexos a la demanda, anexo 274,  folio  3225);  auto  apertorio  de</w:t>
        <w:br/>
        <w:t>instrucción emitido el 16 de junio de  2005  por  el  Segundo  Juzgado</w:t>
        <w:br/>
        <w:t>Penal Supraprovincial (expediente de anexos a la  contestación  de  la</w:t>
        <w:br/>
        <w:t>demanda, folio 5395); e Informe Final de la Comisión de  la  Verdad  y</w:t>
        <w:br/>
        <w:t>Reconciliación, CVR, suscrito el 27 de agosto de 2003 en la ciudad  de</w:t>
        <w:br/>
        <w:t>Lima, Perú, Tomo V, sección 2.22, Las Cárceles, pág.  703  (expediente</w:t>
        <w:br/>
        <w:t>de anexos a la demanda, anexo 6, correspondiente a un disco compacto).</w:t>
        <w:br/>
        <w:br/>
        <w:t>[54]  Cfr. diversas declaraciones  de  internos  sobrevivientes  o  de</w:t>
        <w:br/>
        <w:t>familiares de los internos  fallecidos  (expediente  de  anexos  a  la</w:t>
        <w:br/>
        <w:t>demanda, anexos entre el 82 y el 241, folios entre el 1226 y el 2642);</w:t>
        <w:br/>
        <w:t>Informe Final de la Comisión  de  la  Verdad  y  Reconciliación,  CVR,</w:t>
        <w:br/>
        <w:t>suscrito el 27 de agosto de 2003 en la ciudad de Lima, Perú, Tomo VII,</w:t>
        <w:br/>
        <w:t>sección 2.68,  Las  ejecuciones  extrajudiciales  en  el  penal  Canto</w:t>
        <w:br/>
        <w:t>Grande, pág.  772  (expediente  de  anexos  a  la  demanda,  anexo  6,</w:t>
        <w:br/>
        <w:t>correspondiente a un disco compacto); declaración testimonial  rendida</w:t>
        <w:br/>
        <w:t>por Gaby Balcázar  Medina  en  la  audiencia  pública  ante  la  Corte</w:t>
        <w:br/>
        <w:t>Interamericana celebrada los  días  26  y  27  de  junio  de  2006;  y</w:t>
        <w:br/>
        <w:t>declaraciones testimoniales escritas rendidas por Madelein Escolástica</w:t>
        <w:br/>
        <w:t>Valle Rivera y Miriam Rodríguez (expediente sobre fondo  y  eventuales</w:t>
        <w:br/>
        <w:t>reparaciones y costas, tomo VII, folios 2019 y 2008).</w:t>
        <w:br/>
        <w:br/>
        <w:br/>
        <w:t>[55]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773 (expediente de anexos al escrito de demanda, anexo 6,</w:t>
        <w:br/>
        <w:t>correspondiente a un disco compacto).</w:t>
        <w:br/>
        <w:br/>
        <w:t>[56]  Cfr. informe Final de la Comisión de la Verdad y Reconciliación,</w:t>
        <w:br/>
        <w:t>Lima; CVR, 2003, Tomo V, sección 2.22 Las Cárceles, pág. 702 y sección</w:t>
        <w:br/>
        <w:t>2.68 Las ejecuciones extrajudiciales en el penal  Canto  Grande,  pág.</w:t>
        <w:br/>
        <w:t>773 (expediente de anexos a la demanda, anexo 6, correspondiente a  un</w:t>
        <w:br/>
        <w:t>disco compacto); y artículo periodístico titulado “Pabellón de mujeres</w:t>
        <w:br/>
        <w:t>se comunica por túneles al de hombres”  publicado  en  el  diario  “El</w:t>
        <w:br/>
        <w:t>Comercio” el 7 de mayo de 1992 (expediente de  anexos  a  la  demanda,</w:t>
        <w:br/>
        <w:t>anexo 46, folio 1037).</w:t>
        <w:br/>
        <w:br/>
        <w:t>[57]  Cfr.  declaraciones  testimoniales  escritas  de  Daniel  Grande</w:t>
        <w:br/>
        <w:t>Ascue, Miriam Rodríguez Peralta, Gertrudis  Silva  Breuery  y  Yolanda</w:t>
        <w:br/>
        <w:t>Velarde González (expediente de anexos a la demanda, anexos  128,  95,</w:t>
        <w:br/>
        <w:t>97 y 101, folios 1707, 1335, 1371  y  1412);  declaración  testimonial</w:t>
        <w:br/>
        <w:t>rendida por Gaby Balcázar Medina en la audiencia pública ante la Corte</w:t>
        <w:br/>
        <w:t>Interamericana celebrada los días 26 y 27 de junio de 2006; y dictamen</w:t>
        <w:br/>
        <w:t>pericial escrito rendido por José Quiroga (expediente  sobre  fondo  y</w:t>
        <w:br/>
        <w:t>eventuales reparaciones y costas, tomo VII, folio 2148).</w:t>
        <w:br/>
        <w:br/>
        <w:t>[58]  Cfr. artículo periodístico titulado “Terroristas se  atrincheran</w:t>
        <w:br/>
        <w:t>en pabellón y atacan con balas, dinamitazos y ácido” publicado  en  el</w:t>
        <w:br/>
        <w:t>diario “la República” el 7 de  mayo  de  1992,  artículo  periodístico</w:t>
        <w:br/>
        <w:t>titulado “Ministro comprobó estado de rebeldía en el penal”  publicado</w:t>
        <w:br/>
        <w:t>en el diario “El Comercio” el 7 de mayo de 1992, artículo periodístico</w:t>
        <w:br/>
        <w:t>titulado  “Durante  dieciséis  horas  saldo  de  enfrentamiento  entre</w:t>
        <w:br/>
        <w:t>terroristas en Canto Grande” publicado en el diario “Expreso” el 7  de</w:t>
        <w:br/>
        <w:t>mayo de 1992 (expediente de anexos a la demanda, anexos 45, 46  y  48,</w:t>
        <w:br/>
        <w:t>folios 1027, 1031 y 1056)</w:t>
        <w:br/>
        <w:br/>
        <w:t>[59]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774 (expediente de anexos al escrito de demanda, anexo 6,</w:t>
        <w:br/>
        <w:t>correspondiente a un disco compacto); e informe de  la  Fiscal  Mirtha</w:t>
        <w:br/>
        <w:t>Campos, oficio N° 142-92-1-OFPPL-MP de  fecha  5  de  junio  de  1992,</w:t>
        <w:br/>
        <w:t>dirigido a la Fiscal de la Nación (expediente de anexos a la  demanda,</w:t>
        <w:br/>
        <w:t>anexo 12, folio 131).</w:t>
        <w:br/>
        <w:br/>
        <w:t>[60]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775 (expediente de anexos al escrito de demanda, anexo 6,</w:t>
        <w:br/>
        <w:t>correspondiente  a  un  disco  compacto);  y  declaración  testimonial</w:t>
        <w:br/>
        <w:t>escrita de Pascual Utia Lozano (expediente de  anexos  a  la  demanda,</w:t>
        <w:br/>
        <w:t>anexo 130, folio 1724).</w:t>
        <w:br/>
        <w:br/>
        <w:t>[61]  Cfr. informe Final, Comisión de la Verdad y Reconciliación, CVR,</w:t>
        <w:br/>
        <w:t>suscrito el 27 de agosto de 2003 en la ciudad de Lima, Perú, Tomo VII,</w:t>
        <w:br/>
        <w:t>sección 2.68,  Las  ejecuciones  extrajudiciales  en  el  penal  Canto</w:t>
        <w:br/>
        <w:t>Grande, pág. 773 (expediente de anexos al escrito de demanda, anexo 6,</w:t>
        <w:br/>
        <w:t>correspondiente a un disco compacto).</w:t>
        <w:br/>
        <w:br/>
        <w:t>[62]  Cfr. artículo periodístico titulado “Terroristas se  atrincheran</w:t>
        <w:br/>
        <w:t>en pabellón y atacan con balas, dinamitazos y ácido”  publicado en  el</w:t>
        <w:br/>
        <w:t>diario “La República” el 7 de mayo de 1992; y   artículo  periodístico</w:t>
        <w:br/>
        <w:t>titulado “600 senderistas se ‘atrincheran’  en  pabellón  de  hombres”</w:t>
        <w:br/>
        <w:t>publicado en el diario “Expreso” el 8 de mayo de 1992  (expediente  de</w:t>
        <w:br/>
        <w:t>anexos a la demanda, anexos 45 y 49, folios 1024 y 1063).</w:t>
        <w:br/>
        <w:br/>
        <w:t>[63]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 776  (expediente  de  anexos  a  la  demanda,  anexo  6,</w:t>
        <w:br/>
        <w:t>correspondiente a un disco compacto).</w:t>
        <w:br/>
        <w:br/>
        <w:t>[64]  Cfr. informe Final, Comisión de la Verdad y Reconciliación, CVR,</w:t>
        <w:br/>
        <w:t>suscrito el 27 de agosto de 2003 en la ciudad de Lima, Perú, Tomo VII,</w:t>
        <w:br/>
        <w:t>sección 2.68,  Las  ejecuciones  extrajudiciales  en  el  penal  Canto</w:t>
        <w:br/>
        <w:t>Grande, pág. 776 (expediente de anexos al escrito de demanda, anexo 6,</w:t>
        <w:br/>
        <w:t>correspondiente a un disco compacto);  reportaje  titulado  “Operativo</w:t>
        <w:br/>
        <w:t>Mudanza 1 Visto de Cerca” publicado en la revista “Caretas” el  11  de</w:t>
        <w:br/>
        <w:t>mayo de 1992 (expediente de anexos a  la  demanda,  anexo  267,  folio</w:t>
        <w:br/>
        <w:t>3048);   artículo   periodístico   titulado   “600   senderistas    se</w:t>
        <w:br/>
        <w:t>‘atrincheran’ en pabellón de hombres” publicado en el diario “Expreso”</w:t>
        <w:br/>
        <w:t>el 8 de mayo de 1992; y reportaje titulado “Canto Grande  Por  Dentro”</w:t>
        <w:br/>
        <w:t>publicado en la revista “Caretas” el 18 de mayo de 1992 (expediente de</w:t>
        <w:br/>
        <w:t>anexos a la demanda, anexos 49 y 26, folios 1063 y 372).</w:t>
        <w:br/>
        <w:br/>
        <w:t>[65]  Cfr. informe Final Comisión de la Verdad y Reconciliación,  CVR,</w:t>
        <w:br/>
        <w:t>suscrito el 27 de agosto de 2003 en la ciudad de Lima, Perú, Tomo VII,</w:t>
        <w:br/>
        <w:t>sección 2.68,  Las  ejecuciones  extrajudiciales  en  el  penal  Canto</w:t>
        <w:br/>
        <w:t>Grande, pág.  776  (expediente  de  anexos  a  la  demanda,  anexo  6,</w:t>
        <w:br/>
        <w:t>correspondiente a un disco compacto);  y  declaraciones  testimoniales</w:t>
        <w:br/>
        <w:t>escritas de Marisol Morán Cascire, Margot Lourdes Liendo Gil  y  Elena</w:t>
        <w:br/>
        <w:t>Morote Durand (expediente de anexos a la demanda, anexos 91, 85 y  92,</w:t>
        <w:br/>
        <w:t>folios 1307, 1260 y 1318).</w:t>
        <w:br/>
        <w:br/>
        <w:t>[66]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 pág.  777  (expediente  anexos  a  la   demanda,   anexo   6,</w:t>
        <w:br/>
        <w:t>correspondiente a un disco compacto).</w:t>
        <w:br/>
        <w:br/>
        <w:t>[67]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págs. 777 y 778 y Tomo V, sección 2.22 Las Cárceles, pág.  703</w:t>
        <w:br/>
        <w:t>(expediente anexos a la demanda, anexo 6, correspondiente a  un  disco</w:t>
        <w:br/>
        <w:t>compacto); declaraciones testimoniales escritas de  Fiorella  Montaño,</w:t>
        <w:br/>
        <w:t>Madeleine Valle Rivera, Carlos Manuel Torres Mendoza  y  Pascual  Utia</w:t>
        <w:br/>
        <w:t>Lozano (expediente de anexos a la demanda, anexos 86, 100, 125 y  130,</w:t>
        <w:br/>
        <w:t>folios 1269, 1408, 1682 y 1725);  y  declaración  testimonial  escrita</w:t>
        <w:br/>
        <w:t>rendida  por  Eva  Challco  (expediente  sobre  fondo   y   eventuales</w:t>
        <w:br/>
        <w:t>reparaciones y costas, tomo VIII, folio 2266).</w:t>
        <w:br/>
        <w:br/>
        <w:t>[68]  Cfr.  declaraciones  testimoniales  escritas  de  Marisol  Morán</w:t>
        <w:br/>
        <w:t>Cascire, Sabina Quispe Rojas,  María  Saire  Heredia,  Margot  Lourdes</w:t>
        <w:br/>
        <w:t>Liendo Gil y Fiorella Concepción Montaño Freire (expediente de  anexos</w:t>
        <w:br/>
        <w:t>a la demanda, anexos 91, 82, 83, 85 y 86,  folios  1307,  1227,  1228,</w:t>
        <w:br/>
        <w:t>1239, 1240, 1231 y 1270); e Informe Final de la Comisión de la  Verdad</w:t>
        <w:br/>
        <w:t>y Reconciliación, CVR, suscrito el 27 de agosto de 2003 en  la  ciudad</w:t>
        <w:br/>
        <w:t>de Lima, Perú, Tomo VII, sección 2.68, Las ejecuciones extrajudiciales</w:t>
        <w:br/>
        <w:t>en el penal Canto Grande, pág. 778 (expediente anexos  a  la  demanda,</w:t>
        <w:br/>
        <w:t>anexo 6, correspondiente a un disco compacto).</w:t>
        <w:br/>
        <w:br/>
        <w:t>[69]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 pág.  786  (expediente  anexos  a  la   demanda,   anexo   6,</w:t>
        <w:br/>
        <w:t>correspondiente a un disco compacto); e informe del Presidente  de  la</w:t>
        <w:br/>
        <w:t>Comisión Interamericana sobre su visita al Perú de los días 11 y 12 de</w:t>
        <w:br/>
        <w:t>mayo de 1992 (expediente de anexos a la demanda, anexo 41, folio 987).</w:t>
        <w:br/>
        <w:br/>
        <w:t>[70]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 pág.  786  (expediente  anexos  a  la   demanda,   anexo   6,</w:t>
        <w:br/>
        <w:t>correspondiente a un disco compacto).</w:t>
        <w:br/>
        <w:br/>
        <w:t>[71]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778 y 779 (expediente  anexos  a  la  demanda,  anexo  6,</w:t>
        <w:br/>
        <w:t>correspondiente a un disco compacto).</w:t>
        <w:br/>
        <w:br/>
        <w:t>[72]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780 a 782 (expediente  anexos  a  la  demanda,  anexo  6,</w:t>
        <w:br/>
        <w:t>correspondiente a  un  disco  compacto);  declaraciones  testimoniales</w:t>
        <w:br/>
        <w:t>escritas de Luis Angel Pérez Zapata, Egdar  Galán  Martínez,  Glicerio</w:t>
        <w:br/>
        <w:t>Aguirre Pacheco, Madeleine Valle Rivera, Miguel Enrique Cruz  Suaña  y</w:t>
        <w:br/>
        <w:t>Hernán Collazos Roja (expediente anexos a la demanda, anexos 114, 157,</w:t>
        <w:br/>
        <w:t>229, 100, 142 y 222, folios 1503, 1987, 2545, 1407, 1848  y  2502);  y</w:t>
        <w:br/>
        <w:t>declaración  testimonial  rendida  por  Gaby  Balcázar  Medina  en  la</w:t>
        <w:br/>
        <w:t>audiencia pública ante la Corte Interamericana celebrada los días 26 y</w:t>
        <w:br/>
        <w:t>27 de junio de 2006.</w:t>
        <w:br/>
        <w:br/>
        <w:t>[73]  Cfr. informe Final de la Comisión de la Verdad y Reconciliación,</w:t>
        <w:br/>
        <w:t>CVR, suscrito el 27 de agosto de 2003 en la ciudad de Lima, Perú, Tomo</w:t>
        <w:br/>
        <w:t>V, sección 2.22 Las Cárceles, págs. 703 y 704 y  Tomo  VII  y  sección</w:t>
        <w:br/>
        <w:t>2.68 Las ejecuciones extrajudiciales en el penal Canto  Grande,  págs.</w:t>
        <w:br/>
        <w:t>782 a 784 (expediente anexos a la demanda, anexo 6, correspondiente  a</w:t>
        <w:br/>
        <w:t>un disco compacto); atestado policial No. 121-04-DIRINCRI PNP/DIVIHOM-</w:t>
        <w:br/>
        <w:t>DEPINLES.GOP. de la Policía Nacional del Perú, División de  Homicidios</w:t>
        <w:br/>
        <w:t>(expediente de anexos al escrito de contestación de la demanda,  folio</w:t>
        <w:br/>
        <w:t>5207); y declaraciones testimoniales escritas de Carlos Manuel  Torres</w:t>
        <w:br/>
        <w:t>Mendoza, Pablo Carranza Retuerto, Rafael Evaristo Fernandez y Crisineo</w:t>
        <w:br/>
        <w:t>Neira Torres (expediente de anexos a la demanda, anexos 125, 127,  131</w:t>
        <w:br/>
        <w:t>y 138, folios 1683, 1698, 1742 y 1803).</w:t>
        <w:br/>
        <w:br/>
        <w:t>[74] 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 pág.784  (expediente  anexos   a   la   demanda,   anexo   6,</w:t>
        <w:br/>
        <w:t>correspondiente  a  un  disco  compacto);  y  declaración  testimonial</w:t>
        <w:br/>
        <w:t>rendida por Julia Peña Castillo en la audiencia pública ante la  Corte</w:t>
        <w:br/>
        <w:t>Interamericana celebrada los días 26 y 27 de junio de 2006.</w:t>
        <w:br/>
        <w:br/>
        <w:t>[75]  Cfr. certificados  de  necropsia  (expediente  de  anexos  a  la</w:t>
        <w:br/>
        <w:t>demanda,  anexo  278,  folios  3285  a  3324);  dictámenes  periciales</w:t>
        <w:br/>
        <w:t>forenses (expediente de anexos a la demanda, anexo 279, folios 3326  a</w:t>
        <w:br/>
        <w:t>3384); e informes  periciales  de  balística  forense  (expediente  de</w:t>
        <w:br/>
        <w:t>anexos a la demanda, anexo 281, folios 3409 a 3465).</w:t>
        <w:br/>
        <w:br/>
        <w:t>[76]  Cfr. sentencia emitida por la Sala Nacional de Terrorismo de  la</w:t>
        <w:br/>
        <w:t>Corte Suprema de Justicia del Perú el 3 de febrero de 2004 (expediente</w:t>
        <w:br/>
        <w:t>de anexos a la demanda, anexo 274,  folios  3229  y  3230);   atestado</w:t>
        <w:br/>
        <w:t>policial  No.  121-04  emitido  por  la  Policía  Nacional  del  Perú,</w:t>
        <w:br/>
        <w:t>Dirección de Investigación Criminal el 26 de mayo de 2004  (expediente</w:t>
        <w:br/>
        <w:t>de anexos al escrito de contestación de la  demanda,  folio  5095);  y</w:t>
        <w:br/>
        <w:t>certificado de necropsia de José Hidrogo Olano (expediente de anexos a</w:t>
        <w:br/>
        <w:t>la demanda, anexo 278, folio 3292).</w:t>
        <w:br/>
        <w:br/>
        <w:t>[77]  Cfr. acta de  incautación  de  armas  de  10  de  mayo  de  1992</w:t>
        <w:br/>
        <w:t>(expediente de anexos a la demanda, anexo 12, folio 136).</w:t>
        <w:br/>
        <w:br/>
        <w:t>[78]   Cfr.  comunicaciones  enviadas  a  la  Comisión   por   algunos</w:t>
        <w:br/>
        <w:t>prisioneros con fechas 20 y 27 de mayo de 1992 (expediente del trámite</w:t>
        <w:br/>
        <w:t>ante la  Comisión  Interamericana,  tomo  II,  folios  4705  y  4709);</w:t>
        <w:br/>
        <w:t>diversas  declaraciones  testimoniales  de   internos   sobrevivientes</w:t>
        <w:br/>
        <w:t>(expediente de anexos a la demanda, anexos  entre  el  82  y  el  246,</w:t>
        <w:br/>
        <w:t>folios entre el 1229 y el 2734); declaraciones testimoniales  escritas</w:t>
        <w:br/>
        <w:t>de Raúl Basilio Gil Orihuela, Jesús  Ángel  Julcarima  Antonio  y  Eva</w:t>
        <w:br/>
        <w:t>Sofía  Challco  Hurtado   (expediente   sobre   fondo   y   eventuales</w:t>
        <w:br/>
        <w:t>reparaciones y costas, tomos VII y VIII, folios 2106,  2268  y  2206);</w:t>
        <w:br/>
        <w:t>artículo periodístico titulado “Dinamitan escombros en  busca  de  más</w:t>
        <w:br/>
        <w:t>cadáveres” publicado en el diario "El Nacional" el 13 de mayo de  1992</w:t>
        <w:br/>
        <w:t>(expediente de anexos a la demanda, anexo  28,  folio  385);  artículo</w:t>
        <w:br/>
        <w:t>titulado “Canto Grande Por Dentro” publicado en la  revista  "Caretas”</w:t>
        <w:br/>
        <w:t>el 18 de mayo de 1992 (expediente de anexos a la  demanda,  anexo  26,</w:t>
        <w:br/>
        <w:t>folios 370 a 377); artículo periodístico titulado “Cifra de fallecidos</w:t>
        <w:br/>
        <w:t>llega” publicado en  el  diario  "Expreso"  el  12  de  mayo  de  1992</w:t>
        <w:br/>
        <w:t>(expediente de anexos a la demanda, anexo 27, folios  380  a  382);  y</w:t>
        <w:br/>
        <w:t>boletín Informativo de Amnistía Internacional, correspondiente al  mes</w:t>
        <w:br/>
        <w:t>de agosto de 1992, vol. XV, No. 8 (expediente  anexos  a  la  demanda,</w:t>
        <w:br/>
        <w:t>anexo 11, folio 105).</w:t>
        <w:br/>
        <w:br/>
        <w:t>[79]  Cfr. declaración testimonial  escrita  de  Sabina  Quispe  Rojas</w:t>
        <w:br/>
        <w:t>(expediente  de  anexos  a  la  demanda,  anexo   82,   folio   1229);</w:t>
        <w:br/>
        <w:t>declaraciones  testimoniales  escritas  rendidas  por  la  señora  Eva</w:t>
        <w:br/>
        <w:t>Challco (expediente de anexos a la demanda, anexo 212, folio  2419,  y</w:t>
        <w:br/>
        <w:t>expediente sobre fondo y eventuales reparaciones y costas, Tomo  VIII,</w:t>
        <w:br/>
        <w:t>folio 2268); y  declaración  testimonial  rendida  por  Gaby  Balcázar</w:t>
        <w:br/>
        <w:t>Medina en la audiencia pública ante la Corte Interamericana  celebrada</w:t>
        <w:br/>
        <w:t>los días 26 y 27 de junio de 2006.</w:t>
        <w:br/>
        <w:br/>
        <w:t>[80]  Cfr. artículo periodístico  titulado  “Por  sucesos  en  penales</w:t>
        <w:br/>
        <w:t>Fujimori demanda comprensión internacional” publicado en el diario "El</w:t>
        <w:br/>
        <w:t>Nacional" el 11 de mayo de 1992 (expediente de  anexos  a  la  demanda</w:t>
        <w:br/>
        <w:t>anexo 59, folios 1105 y 1107); artículo periodístico  titulado  “Dudas</w:t>
        <w:br/>
        <w:t>sobre el número total de muertos en el asalto al penal limeño de Canto</w:t>
        <w:br/>
        <w:t>Grande” publicado en el diario  "El  País"  el  12  de  mayo  de  1992</w:t>
        <w:br/>
        <w:t>(expediente  de  anexos  a  la  demanda,  anexo   66,   folio   1149);</w:t>
        <w:br/>
        <w:t>declaraciones testimoniales  escritas  de  Rafael  Fernandez  Vázquez,</w:t>
        <w:br/>
        <w:t>Manuel Cotrina Mendoza, Pascual utia Lozano, Vladimir  Enver  Esquivel</w:t>
        <w:br/>
        <w:t>Carhuaz y Alberto Atunca Acevedo (expediente de anexos a  la  demanda,</w:t>
        <w:br/>
        <w:t>anexos 131, 180, 130, 139 y 129,  folios  2154,  1745,  1728,  1819  y</w:t>
        <w:br/>
        <w:t>1720); y libro “Ojo por ojo” de Humberto Jara (expediente de anexos  a</w:t>
        <w:br/>
        <w:t>la demanda, anexo 10, folios 100 y 101).</w:t>
        <w:br/>
        <w:br/>
        <w:t>[81]   Cfr.   diversas   declaraciones   testimoniales   de   internos</w:t>
        <w:br/>
        <w:t>sobrevivientes (expediente de anexos a la demanda, anexos entre el  82</w:t>
        <w:br/>
        <w:t>y el 246, folios entre el 1230 y  el  2734);  declaración  testimonial</w:t>
        <w:br/>
        <w:t>rendida por Gaby Balcázar Medina en la audiencia pública ante la Corte</w:t>
        <w:br/>
        <w:t>Interamericana celebrada los días 26 y 27 de junio de 2006; y artículo</w:t>
        <w:br/>
        <w:t>periodístico publicado en el diario "Expreso" el 12 de  mayo  de  1992</w:t>
        <w:br/>
        <w:t>(expediente de anexos a la demanda, anexo 27, folios 380 y 381).</w:t>
        <w:br/>
        <w:br/>
        <w:t>[82]  Cfr. declaración testimonial escrita  de  Víctor  Javier  Olivos</w:t>
        <w:br/>
        <w:t>Peña (expediente de anexos a la demanda, anexo  123,  folio  1652);  y</w:t>
        <w:br/>
        <w:t>declaración  testimonial  rendida  por  Julia  Peña  Castillo  en   la</w:t>
        <w:br/>
        <w:t>audiencia pública ante la Corte Interamericana celebrada los días 26 y</w:t>
        <w:br/>
        <w:t>27 de junio de 2006.</w:t>
        <w:br/>
        <w:br/>
        <w:t>[83]   Cfr.   diversas   declaraciones   testimoniales   de   internos</w:t>
        <w:br/>
        <w:t>sobrevivientes (expediente de anexos a la demanda, anexos entre el 116</w:t>
        <w:br/>
        <w:t>y el 209 y entre el 218 y el 237, folios entre el 1547  y  el  2401  y</w:t>
        <w:br/>
        <w:t>entre el 2467 y el 2606); y dictamen pericial escrito rendido por José</w:t>
        <w:br/>
        <w:t>Quiroga (expediente sobre fondo y eventuales  reparaciones  y  costas,</w:t>
        <w:br/>
        <w:t>tomo VII, folio 2149).</w:t>
        <w:br/>
        <w:br/>
        <w:t>[84]   Cfr.   diversas   declaraciones   testimoniales   de   internos</w:t>
        <w:br/>
        <w:t>sobrevivientes (expediente de anexos a la demanda, anexos entre el  85</w:t>
        <w:br/>
        <w:t>y el 245, folios entre el 1263 y el 2722); declaraciones testimoniales</w:t>
        <w:br/>
        <w:t>rendidas por Gaby Balcázar Medina y Luis  Ángel  Pérez  Zapata  en  la</w:t>
        <w:br/>
        <w:t>audiencia pública ante la Corte Interamericana celebrada los días 26 y</w:t>
        <w:br/>
        <w:t>27 de junio de 2006; comunicación enviada a la  Comisión  por  algunos</w:t>
        <w:br/>
        <w:t>prisioneros con fecha 20 de mayo de 1992 (expediente del trámite  ante</w:t>
        <w:br/>
        <w:t>la Comisión Interamericana, Tomo II, folio 4705); boletín  Informativo</w:t>
        <w:br/>
        <w:t>de Amnistía Internacional, correspondiente al mes de agosto  de  1992,</w:t>
        <w:br/>
        <w:t>vol. XV, No. 8 (expediente anexos a la demanda, anexo 11, folio  105);</w:t>
        <w:br/>
        <w:t>y declaraciones testimoniales  escritas  rendidas  por  Nieves  Miriam</w:t>
        <w:br/>
        <w:t>Rodríguez  Peralta,  Jesús  Ángel  Julcarima  Antonio,  César   Mamani</w:t>
        <w:br/>
        <w:t>Valverde, Alfredo Poccorpachi, Madelein Valle Rivera  y  Raúl  Basilio</w:t>
        <w:br/>
        <w:t>Orihuela (expediente sobre fondo y eventuales reparaciones  y  costas,</w:t>
        <w:br/>
        <w:t>tomo VII, folios 2011, 2113, 2032, 2003, 2023 y 2107).</w:t>
        <w:br/>
        <w:br/>
        <w:t>[85]  Cfr. declaraciones  testimoniales  escritas  de  Margot  Lourdes</w:t>
        <w:br/>
        <w:t>Liendo  Gil,  Yuri  Vanessa  Conde  Beltran,  Marisol  Morán  Cascire,</w:t>
        <w:br/>
        <w:t>Victoria Obdulia Trujillo Agurto y Mirian Virgilia Gamboa  (expediente</w:t>
        <w:br/>
        <w:t>de anexos a la demanda, anexos 85, 88, 91,96 y 215, folios 1262, 1287,</w:t>
        <w:br/>
        <w:t>1309, 1356  y  2439);  y  declaración  testimonial  rendida  por  Gaby</w:t>
        <w:br/>
        <w:t>Balcázar Medina en la audiencia pública ante la  Corte  Interamericana</w:t>
        <w:br/>
        <w:t>celebrada los días 26 y 27 de junio de 2006.</w:t>
        <w:br/>
        <w:br/>
        <w:t>[86]  Cfr. declaraciones testimoniales escritas  rendidas  por  Miriam</w:t>
        <w:br/>
        <w:t>Rodríguez (expediente de anexos a la demanda, anexo 95, folio 1337,  y</w:t>
        <w:br/>
        <w:t>expediente sobre fondo y eventuales reparaciones y costas,  Tomo  VII,</w:t>
        <w:br/>
        <w:t>folio 2010); declaraciones testimoniales escritas  de  Margot  Lourdes</w:t>
        <w:br/>
        <w:t>Liendo Gil, Mercedes Ríos Rivera, Victoria Trujillo Agurto y Ana María</w:t>
        <w:br/>
        <w:t>Berríos Yenque (expediente de anexos a la demanda, anexos 85, 98, 96 y</w:t>
        <w:br/>
        <w:t>245, folios 1263,  1382,  1357  y  2728);  y  declaración  testimonial</w:t>
        <w:br/>
        <w:t>rendida por Gaby Balcázar Medina en la audiencia pública ante la Corte</w:t>
        <w:br/>
        <w:t>Interamericana celebrada los días 26 y 27 de junio de 2006.</w:t>
        <w:br/>
        <w:br/>
        <w:t>[87]  Cfr. declaración testimonial escrita de Ana María Berríos Yenque</w:t>
        <w:br/>
        <w:t>(expediente de anexos a la demanda, anexo 245, folio 2728).</w:t>
        <w:br/>
        <w:br/>
        <w:t>[88]   Cfr.  diversas  declaraciones  testimoniales  escritas  de  las</w:t>
        <w:br/>
        <w:t>internas sobrevivientes (expediente de anexos  a  la  demanda,  anexos</w:t>
        <w:br/>
        <w:t>entre el 82 y el 113, folios entre el 1231 y el 1495);  y  declaración</w:t>
        <w:br/>
        <w:t>testimonial rendida por Mónica Feria Tinta en la  audiencia  celebrada</w:t>
        <w:br/>
        <w:t>el 14 de noviembre de 2001 ante la Comisión Interamericana.</w:t>
        <w:br/>
        <w:br/>
        <w:t>[89]  Cfr. diversas declaraciones testimoniales escritas de los</w:t>
        <w:br/>
        <w:t>internos sobrevivientes (expediente de anexos a la demanda, anexos</w:t>
        <w:br/>
        <w:t>entre el 114 y el 209 y entre el 218 y el 237, folios entre el 1505 y</w:t>
        <w:br/>
        <w:t>el 2401 y entre el 2467 y el 2606).</w:t>
        <w:br/>
        <w:br/>
        <w:t>[90]  Cfr.  declaraciones  testimoniales  escritas  de  Lorenzo  Rodas</w:t>
        <w:br/>
        <w:t>Centeno, Guillermo  Lázaro  Rojas,  Crisineo  Neira  Torres,  Fernando</w:t>
        <w:br/>
        <w:t>Medina  Puma,  Amado  Yangua  Loilla  y  Francisco  Abad  Telo  Santos</w:t>
        <w:br/>
        <w:t>(expediente de anexos a la demanda, anexo 133, folio 1764, anexo  134,</w:t>
        <w:br/>
        <w:t>folio 1773, anexo 139, folios 1805 y 1806, anexo  140,  folio  1828  y</w:t>
        <w:br/>
        <w:t>1829, anexo 178, folio 2140 y  anexo  192,  folio  2260);  y  dictamen</w:t>
        <w:br/>
        <w:t>pericial escrito rendido por el perito José Quiroga (expediente  sobre</w:t>
        <w:br/>
        <w:t>fondo y eventuales reparaciones y costas, Tomo VII, folio 2149).</w:t>
        <w:br/>
        <w:br/>
        <w:t>[91]   Cfr.  diversas  declaraciones  testimoniales  escritas  de  los</w:t>
        <w:br/>
        <w:t>internos sobrevivientes (expediente de anexos  a  la  demanda,  anexos</w:t>
        <w:br/>
        <w:t>entre el 114 y el 209 y entre el 218 y el 237, folios entre el 1505  y</w:t>
        <w:br/>
        <w:t>el 2401 y entre el 2467 y el 2606).</w:t>
        <w:br/>
        <w:br/>
        <w:br/>
        <w:t>[92]  Cfr.  declaraciones  testimoniales  escritas  de  Carlos  Manuel</w:t>
        <w:br/>
        <w:t>Torres Mendoza, Pascual Utia Lozano, Máximo Talledo Astudillo, Isidoro</w:t>
        <w:br/>
        <w:t>Santiago Nunja García, José Ramírez Sánchez y  Agustí  Machuca  Urbina</w:t>
        <w:br/>
        <w:t>(expediente de anexos a la demanda, anexos 125, 130, 132, 196,  219  y</w:t>
        <w:br/>
        <w:t>220, folios 1684, 1730, 1735, 1751, 2294, 2475 y 2492).</w:t>
        <w:br/>
        <w:br/>
        <w:t>[93]   Cfr.  diversas  declaraciones  testimoniales  de  los  internos</w:t>
        <w:br/>
        <w:t>sobrevivientes (expediente de anexos a la demanda, anexos entre el  82</w:t>
        <w:br/>
        <w:t>y el 245, folios entre el 1230 y el 2716).</w:t>
        <w:br/>
        <w:br/>
        <w:t>[94]  Cfr. declaraciones testimoniales escritas de Priscila  Rodríguez</w:t>
        <w:br/>
        <w:t>Osorio, Nila Cipriano Pacheco Neira, Avelina García Calderón,  Lourdes</w:t>
        <w:br/>
        <w:t>Heredia Pacheco, Ana Barredo Crushing y Norma Dávalos Díaz (expediente</w:t>
        <w:br/>
        <w:t>de anexos a la demanda, anexos 242, 243, 245 y 254, folios 2655, 2665,</w:t>
        <w:br/>
        <w:t>2693, 2698, 2698, 2702 y 2707); declaraciones  testimoniales  rendidas</w:t>
        <w:br/>
        <w:t>por Julia Peña Castillo y  Lastenia  Eugenia  Caballero  Mejía  en  la</w:t>
        <w:br/>
        <w:t>audiencia pública ante la Corte Interamericana celebrada los días 26 y</w:t>
        <w:br/>
        <w:t>27  de  junio  de  2006;  formulario  de  declaraciones  testimoniales</w:t>
        <w:br/>
        <w:t>rendidas por Pedro Andrés Ninaquispe, Miriam Rivera Espinoza, Victoria</w:t>
        <w:br/>
        <w:t>Cáceres Loayza, Guillerma Mendieta Galindo,  Joaquín  Oscar  Rodríguez</w:t>
        <w:br/>
        <w:t>León, Vilma Company Rodríguez, Paulina Mitma Sulca, Victoria  Palomino</w:t>
        <w:br/>
        <w:t>Najarro y Rosa María León Torres (expediente de anexos al  escrito  de</w:t>
        <w:br/>
        <w:t>solicitudes y argumentos, Tomo I, folios 3644, 3664, 3859, 3724,  3874</w:t>
        <w:br/>
        <w:t>y 3875, 3814, 3792, 3679 y 3890); declaraciones testimoniales escritas</w:t>
        <w:br/>
        <w:t>de Liliana Peralta Saldarriaga y Osilia Ernestina Cruzatt  (expediente</w:t>
        <w:br/>
        <w:t>sobre fondo y eventuales reparaciones y  costas,  Tomos  VII  y  VIII,</w:t>
        <w:br/>
        <w:t>folios  1997,  1988  y   1989);   y   formularios   de   declaraciones</w:t>
        <w:br/>
        <w:t>testimoniales  de  Liliana  Vilma  Paredes  Rodríguez,  Víctor   César</w:t>
        <w:br/>
        <w:t>Chumpitaz Francia, Victoria  Irene  Aguirre,  Silvia  Matto  Primo  de</w:t>
        <w:br/>
        <w:t>Aguirre, Francisco Baras Sala, Otilia Tapia de Pinedos,  Mirla  Otilia</w:t>
        <w:br/>
        <w:t>Baras Tapia, Antonia Antaorco  Espíritu,  Genoveva  Torres  Bonifacio,</w:t>
        <w:br/>
        <w:t>Julia Nereida Armas Vereau de Sedelmayer, Oscar Flores Flores,  Gloria</w:t>
        <w:br/>
        <w:t>Rosario Flores Flores, Rosa Mercedes Flores Flores, Claudio J.  Flores</w:t>
        <w:br/>
        <w:t>Flores, María Jesús Yepes Cebrian, Aurora Zoila Villanueva de Castillo</w:t>
        <w:br/>
        <w:t>y Ana Maria Peralta Andazabal (prueba presentada por el otro grupo  de</w:t>
        <w:br/>
        <w:t>representantes de las presuntas víctimas y sus familiares).</w:t>
        <w:br/>
        <w:br/>
        <w:t>[95]  Cfr. declaración  testimonial  rendida  por  Lastenia  Caballero</w:t>
        <w:br/>
        <w:t>Mejía en la audiencia pública ante la Corte  Interamericana  celebrada</w:t>
        <w:br/>
        <w:t>los días 26 y 27 de junio de 2006; y declaración escrita  de  Lastenia</w:t>
        <w:br/>
        <w:t>Caballero Mejía (expediente de anexos  al  escrito  de  solicitudes  y</w:t>
        <w:br/>
        <w:t>aurgumentos, anexo 326, folio 3742).</w:t>
        <w:br/>
        <w:br/>
        <w:t>[96]  Cfr. diversas declaraciones testimoniales escritas  de  internos</w:t>
        <w:br/>
        <w:t>sobrevivientes (expedientes de anexos a la demanda, anexos entre el 82</w:t>
        <w:br/>
        <w:t>y el 241, folios entre el 1231 y el 2650); y  declaración  testimonial</w:t>
        <w:br/>
        <w:t>escrita rendida por Eva Challco (expediente sobre fondo  y  eventuales</w:t>
        <w:br/>
        <w:t>reparaciones y costas, Tomo VIII, folio 2270).</w:t>
        <w:br/>
        <w:br/>
        <w:t>[97]  Cfr.  declaraciones  testimoniales  escritas  rendidas  por  las</w:t>
        <w:br/>
        <w:t>señoras Eva Challco y Sabina Quispe Rojas (expediente de anexos  a  la</w:t>
        <w:br/>
        <w:t>demanda, anexos 212 y 82, folios 2416 al 2420  y  1228;  y  expediente</w:t>
        <w:br/>
        <w:t>sobre fondo y eventuales  reparaciones  y  costas,  Tomo  VIII,  folio</w:t>
        <w:br/>
        <w:t>2270).</w:t>
        <w:br/>
        <w:br/>
        <w:t>[98]  Cfr. artículo periodístico titulado “Identifican  a  terroristas</w:t>
        <w:br/>
        <w:t>cabecillas muertos en penal Castro Castro” publicado en el diario  “El</w:t>
        <w:br/>
        <w:t>Comercio”;  artículo  periodístico  titulado  “Cabecillas  terroristas</w:t>
        <w:br/>
        <w:t>acribillaron a los que iban a rendirse” publicado  en  el  diario  “El</w:t>
        <w:br/>
        <w:t>Comercio” el 11 de mayo de 1992; artículo periodístico titulado  “Unos</w:t>
        <w:br/>
        <w:t>600 terroristas siguen en evidente rebeldía” publicado  en  el  diario</w:t>
        <w:br/>
        <w:t>“El Comercio” el 8 de mayo de 1992 (expediente de anexos a la demanda,</w:t>
        <w:br/>
        <w:t>anexos 30, 37 y 51, folios 393, 453  y  1068);  artículo  periodístico</w:t>
        <w:br/>
        <w:t>titulado “Terroristas se atrincheran en pabellón y atacan  con  balas,</w:t>
        <w:br/>
        <w:t>dinamitazos y ácido” publicado en el diario “La  República”  el  7  de</w:t>
        <w:br/>
        <w:t>mayo de 1992;  artículo  periodístico  titulado  “470  terroristas  se</w:t>
        <w:br/>
        <w:t>rinden tras infernal balacera en Canto Grande” publicado en el  diario</w:t>
        <w:br/>
        <w:t>“La República” el 10 de mayo  de  1992  (expediente  de  anexos  a  la</w:t>
        <w:br/>
        <w:t>demanda, anexos 45 y 71, folios 1024 y 1170); declaración  testimonial</w:t>
        <w:br/>
        <w:t>escrita rendida por César Mamaní Valverde (expediente  sobre  fondo  y</w:t>
        <w:br/>
        <w:t>eventuales reparaciones y costas,  Tomo  VII,  folio  2031);  diversos</w:t>
        <w:br/>
        <w:t>formularios  de  declaraciones  testimoniales  escritas  rendidas  por</w:t>
        <w:br/>
        <w:t>internos sobrevivientes y  familiares  de  internos  sobrevivientes  y</w:t>
        <w:br/>
        <w:t>fallecidos  (expediente  de  anexos  al  escrito  de   solicitudes   y</w:t>
        <w:br/>
        <w:t>argumentos, anexos entre el  317  y  el  412,  folios  3643  a  4933);</w:t>
        <w:br/>
        <w:t>declaración  testimonial  rendida  por  Gaby  Balcázar  Medina  en  la</w:t>
        <w:br/>
        <w:t>audiencia pública ante la Corte Interamericana celebrada los días 26 y</w:t>
        <w:br/>
        <w:t>27  de  junio  de  2006;  y  diversos  formularios  de   declaraciones</w:t>
        <w:br/>
        <w:t>testimoniales  escritas  rendidas  por   internos   sobrevivientes   y</w:t>
        <w:br/>
        <w:t>familiares de internos sobrevivientes y fallecidos (prueba  presentada</w:t>
        <w:br/>
        <w:t>por el otro grupo de representantes de las presuntas  víctimas  y  sus</w:t>
        <w:br/>
        <w:t>familiares).</w:t>
        <w:br/>
        <w:br/>
        <w:t>[99]  Cfr.  artículos  periodísticos  publicados  en  los  diarios  El</w:t>
        <w:br/>
        <w:t>Expreso, La República, El Comercio, La Nación los días 7, 8, 10  y  12</w:t>
        <w:br/>
        <w:t>de mayo de 1992 (expediente de anexos a la demanda, anexos 46, 51,  71</w:t>
        <w:br/>
        <w:t>y 73, folios 1024, 1068, 1170 y 1180).</w:t>
        <w:br/>
        <w:br/>
        <w:t>[100] Cfr. informe Final de la Comisión de la Verdad y Reconciliación,</w:t>
        <w:br/>
        <w:t>CVR, suscrito el 27 de agosto de 2003 en la ciudad de Lima, Perú, Tomo</w:t>
        <w:br/>
        <w:t>VII, sección 2.68, Las ejecuciones extrajudiciales en el  penal  Canto</w:t>
        <w:br/>
        <w:t>Grande,  pág.  784  (expediente  anexos  a  la   demanda,   anexo   6,</w:t>
        <w:br/>
        <w:t>correspondiente a un disco compacto).</w:t>
        <w:br/>
        <w:br/>
        <w:t>[101] Cfr.  certificados de  necropsia  e  informes  médicos  forenses</w:t>
        <w:br/>
        <w:t>(expediente de anexos a la demanda, anexos 279 y 280,  folios  3285  a</w:t>
        <w:br/>
        <w:t>3385).</w:t>
        <w:br/>
        <w:br/>
        <w:t>[102]  Cfr.  atestado  policial  No.  322  de  7  de  agosto  de  1992</w:t>
        <w:br/>
        <w:t>(expediente de anexos a la demanda, anexo 288, folios 3922 y 3923).</w:t>
        <w:br/>
        <w:br/>
        <w:t>[103] Cfr. acta de incineración de 13 de abril de 1998 (expediente  de</w:t>
        <w:br/>
        <w:t>anexos a la demanda, anexo 276, folio 3268); informe policial N°  004-</w:t>
        <w:br/>
        <w:t>2001-DIRINCRI-EM-O-DD.HH  de 12 de julio de 2001, sección III  acápite</w:t>
        <w:br/>
        <w:t>A (expediente de anexos a  la  demanda,  anexo  275,  folio  3249);  e</w:t>
        <w:br/>
        <w:t>informe policial N°09-01 de 27 de junio de 2001 y Parte  Policial  No.</w:t>
        <w:br/>
        <w:t>006 de 4 de julio de 2001 (expediente de anexos a  la  demanda,  anexo</w:t>
        <w:br/>
        <w:t>276, folios 3264 y 3267).</w:t>
        <w:br/>
        <w:br/>
        <w:t>[104]       Cfr. atestado Policial No. 121-04 de la  Policía  Nacional</w:t>
        <w:br/>
        <w:t>del Perú, Dirección de Investigación Criminal, de 26 de mayo  de  2004</w:t>
        <w:br/>
        <w:t>(expediente de anexos al escrito de contestación de la  demanda,  Tomo</w:t>
        <w:br/>
        <w:t>I, folio 4999).</w:t>
        <w:br/>
        <w:br/>
        <w:t>[105]       Cfr. atestado Policial No. 121-04 de 26 de mayo de 2004  y</w:t>
        <w:br/>
        <w:t>ampliado por Parte No. 468 de 28 de noviembre de 2004, emitidos por la</w:t>
        <w:br/>
        <w:t>Policía  Nacional  del  Perú,  Dirección  de  Investigación   Criminal</w:t>
        <w:br/>
        <w:t>(expediente de anexos al escrito de contestación de la  demanda,  Tomo</w:t>
        <w:br/>
        <w:t>I, folios 4999 y 5001).</w:t>
        <w:br/>
        <w:br/>
        <w:t>[106]       Cfr. atestado Policial No. 121-04 de 26 de mayo de 2004  y</w:t>
        <w:br/>
        <w:t>ampliado por Parte No. 468 de 28 de noviembre de 2004, emitidos por la</w:t>
        <w:br/>
        <w:t>Policía  Nacional  del  Perú,  Dirección  de  Investigación   Criminal</w:t>
        <w:br/>
        <w:t>(expediente de anexos al escrito de contestación de la  demanda,  Tomo</w:t>
        <w:br/>
        <w:t>I, folios 4999 y 5247).</w:t>
        <w:br/>
        <w:br/>
        <w:t>[107]       Cfr. sentencia emitida por la Sala Penal  Especial  de  la</w:t>
        <w:br/>
        <w:t>Corte  Superior  de  Justicia  de  Lima  el  20  de  abril   de   1996</w:t>
        <w:br/>
        <w:t>(expedientes de anexos a la demanda, anexo 261, folios  2840,  2851  y</w:t>
        <w:br/>
        <w:t>2860); Informe Final de la Comisión de  la  Verdad  y  Reconciliación,</w:t>
        <w:br/>
        <w:t>CVR, suscrito el 27 de agosto de 2003 en la ciudad de Lima, Perú, Tomo</w:t>
        <w:br/>
        <w:t>VII, sección 2.68, Las ejecuciones extrajudiciales en el  penal  Canto</w:t>
        <w:br/>
        <w:t>Grande, pág.  785  (expediente  de  anexos  a  la  demanda,  anexo  6,</w:t>
        <w:br/>
        <w:t>correspondiente a un disco compacto); y sentencia emitida por la  Sala</w:t>
        <w:br/>
        <w:t>Nacional de Terrorismo de la Corte Suprema de Justicia del Perú  el  3</w:t>
        <w:br/>
        <w:t>de febrero de 2004 (expediente de anexos  a  la  demanda,  anexo  274,</w:t>
        <w:br/>
        <w:t>folios 3151 a 3153).</w:t>
        <w:br/>
        <w:br/>
        <w:t>[108]       Cfr. sentencia emitida por la Sala Nacional de  Terrorismo</w:t>
        <w:br/>
        <w:t>de la Corte Suprema de Justicia del Perú  el  3  de  febrero  de  2004</w:t>
        <w:br/>
        <w:t>(expediente de anexos a la demanda, anexo 274, folios 3151 a 3246).</w:t>
        <w:br/>
        <w:br/>
        <w:t>[109]       Cfr. sentencia emitida por la Sala Nacional de  Terrorismo</w:t>
        <w:br/>
        <w:t>de la Corte Suprema de Justicia del Perú  el  3  de  febrero  de  2004</w:t>
        <w:br/>
        <w:t>(expediente de anexos a la demanda, anexo 274, folio 3221).</w:t>
        <w:br/>
        <w:br/>
        <w:t>[110]        Cfr.  informe  Final  de  la  Comisión  de  la  Verdad  y</w:t>
        <w:br/>
        <w:t>Reconciliación, CVR, suscrito el 27 de agosto de 2003 en la ciudad  de</w:t>
        <w:br/>
        <w:t>Lima, Perú, Tomo VII, sección 2.68, Las ejecuciones extrajudiciales en</w:t>
        <w:br/>
        <w:t>el penal Canto Grande, pág. 785 (expediente de anexos  a  la  demanda,</w:t>
        <w:br/>
        <w:t>anexo 6, correspondiente a un disco compacto).</w:t>
        <w:br/>
        <w:br/>
        <w:t>[111] Cfr.  denuncia  presentada  por  la  Fiscalía  Especializada  en</w:t>
        <w:br/>
        <w:t>Desapariciones Forzosas, Ejecuciones Extrajudiciales y  Exhumación  de</w:t>
        <w:br/>
        <w:t>Fosas Clandestinas, el 31 de mayo de 2005  (expediente  de  anexos  al</w:t>
        <w:br/>
        <w:t>escrito de contestación de la demanda, folio 5303).</w:t>
        <w:br/>
        <w:br/>
        <w:t>[112]       Cfr. auto Apertorio de Instrucción emitido por el  Segundo</w:t>
        <w:br/>
        <w:t>Juzgado Supraprovincial del Perú el 16 de junio de 2005 (expediente de</w:t>
        <w:br/>
        <w:t>anexos al escrito de contestación de la demanda, folios 5373 a 5477).</w:t>
        <w:br/>
        <w:br/>
        <w:t>[113]       Cfr. auto  de  Declaratoria  de  Complejidad  del  Proceso</w:t>
        <w:br/>
        <w:t>emitido por el Segundo  Juzgado  Supraprovincial  del  Perú  el  7  de</w:t>
        <w:br/>
        <w:t>noviembre de 2005 (expediente de anexos al escrito de contestación  de</w:t>
        <w:br/>
        <w:t>la demanda, folio 5479).</w:t>
        <w:br/>
        <w:br/>
        <w:t>[114]       Cfr. declaración  testimonial  rendida  por  Omar  Antonio</w:t>
        <w:br/>
        <w:t>Pimentel Calle en la audiencia pública ante  la  Corte  Interamericana</w:t>
        <w:br/>
        <w:t>celebrada los días 26 y 27 de junio de 2006;  y  escrito  de  alegatos</w:t>
        <w:br/>
        <w:t>finales del Estado (expediente sobre fondo y eventuales reparaciones y</w:t>
        <w:br/>
        <w:t>costas, Tomo IX, folio 2733).</w:t>
        <w:br/>
        <w:br/>
        <w:t>[115]       Cfr. escrito de alegatos finales  del  Estado  (expediente</w:t>
        <w:br/>
        <w:t>sobre fondo y eventuales reparaciones y costas, Tomo IX, folio 2733).</w:t>
        <w:br/>
        <w:br/>
        <w:t>[116]       Cfr. declaración  testimonial  rendida  por  Omar  Antonio</w:t>
        <w:br/>
        <w:t>Pimentel Calle en la audiencia pública ante  la  Corte  Interamericana</w:t>
        <w:br/>
        <w:t>celebrada los días 26 y 27 de junio de 2006.</w:t>
        <w:br/>
        <w:br/>
        <w:t>[117]       Cfr. auto  de  apertura  de  instrucción  emitido  por  el</w:t>
        <w:br/>
        <w:t>Segundo Juzgado Penal Supraprovincial del Perú (expediente sobre fondo</w:t>
        <w:br/>
        <w:t>y eventuales reparaciones y costas, Tomo X, folios 3173 a 3239).</w:t>
        <w:br/>
        <w:br/>
        <w:t>[118]       Cfr. facturas de gastos presentadas por  la  interviniente</w:t>
        <w:br/>
        <w:t>común de los representantes de las presuntas víctimas y sus familiares</w:t>
        <w:br/>
        <w:t>(anexo 4 del escrito de alegatos finales de la interviniente común,  y</w:t>
        <w:br/>
        <w:t>parte de la documentación presentada por la interviniente los  días  4</w:t>
        <w:br/>
        <w:t>de octubre, 14 y 20 de noviembre de 2006).</w:t>
        <w:br/>
        <w:t>[119]       Cfr. Caso Baldeón García, supra nota 21, párr. 72.2;  Caso</w:t>
        <w:br/>
        <w:t>Hermanos Gómez Paquiyauri, supra nota 21, párr. 67.a);  Caso  Cantoral</w:t>
        <w:br/>
        <w:t>Benavides, supra nota 21, párr. 63(t); Caso Castillo Páez, supra  nota</w:t>
        <w:br/>
        <w:t>21, párr. 42; y Caso Loayza Tamayo, supra nota 21, párr. 46(l).</w:t>
        <w:br/>
        <w:br/>
        <w:t>[120]       Supra nota 119.</w:t>
        <w:br/>
        <w:br/>
        <w:t>[121]       Cfr. Caso Hermanos Gómez Paquiyauri, supra nota  21,  párr</w:t>
        <w:br/>
        <w:t>76.</w:t>
        <w:br/>
        <w:br/>
        <w:t>[122]       Cfr. Caso García Asto y Ramírez Rojas. Sentencia de 25  de</w:t>
        <w:br/>
        <w:t>noviembre de 2005. Serie C No. 137, párr. 97.27 y 97.56; Caso Cantoral</w:t>
        <w:br/>
        <w:t>Benavides, supra nota 21, párr. 63 (f, j y k); y Caso  Loayza  Tamayo,</w:t>
        <w:br/>
        <w:t>supra nota 21, párr. 46(i).</w:t>
        <w:br/>
        <w:br/>
        <w:t>[123]       Cfr. Informe Defensorial Nº 97, “A dos años de la Comisión</w:t>
        <w:br/>
        <w:t>de la Verdad y Reconciliación”, septiembre de 2005.</w:t>
        <w:br/>
        <w:br/>
        <w:t>[124]       Cfr. auto  de  apertura  de  instrucción  emitido  por  el</w:t>
        <w:br/>
        <w:t>Segundo Juzgado Penal Supraprovincial del Perú el 29 de agosto de 2006</w:t>
        <w:br/>
        <w:t>(expediente sobre fondo y eventuales reparaciones y costas,  tomo  XI,</w:t>
        <w:br/>
        <w:t>folio 3173 a 3239).</w:t>
        <w:br/>
        <w:t>[125]       Cfr. Caso del Centro Penitenciario Región Capital Yare I y</w:t>
        <w:br/>
        <w:t>II, Medidas Provisionales.  Resolución de la Corte  Interamericana  de</w:t>
        <w:br/>
        <w:t>Derechos Humanos de 30 de marzo de 2006, Considerado noveno; Caso  del</w:t>
        <w:br/>
        <w:t>Internado  Judicial  de  Monagas  (La  Pica),  Medidas  Provisionales.</w:t>
        <w:br/>
        <w:t>Resolución de la Corte Interamericana de  Derechos  Humanos  de  9  de</w:t>
        <w:br/>
        <w:t>febrero de 2006, Considerando noveno; y Caso  de  la  Cárcel  de  Urso</w:t>
        <w:br/>
        <w:t>Branco, Medidas Provisionales. Resolución de la  Corte  Interamericana</w:t>
        <w:br/>
        <w:t>de Derechos Humanos de 18 de junio de 2002, Considerando octavo.</w:t>
        <w:br/>
        <w:br/>
        <w:t>[126]        Cfr.  O.N.U.,  Comité   para   la   Eliminación   de   la</w:t>
        <w:br/>
        <w:t>Discriminación contra la Mujer, 11º período de sesiones. Recomendación</w:t>
        <w:br/>
        <w:t>general 19 “La violencia contra la mujer”. Doc.  HRI/GEN/1/Rev.  1at84</w:t>
        <w:br/>
        <w:t>(1994), párr. 16; O.N.U., Comisión de Derechos Humanos, 57° período de</w:t>
        <w:br/>
        <w:t>sesiones de 2001, Informe de la  Sra.  Radica  Coomaraswamy,  Relatora</w:t>
        <w:br/>
        <w:t>Especial sobre la Violencia contra la  mujer,  con  inclusión  de  sus</w:t>
        <w:br/>
        <w:t>causas y consecuencias, presentado de conformidad  con  la  resolución</w:t>
        <w:br/>
        <w:t>2000/45 de la Comisión de Derechos Humanos, “La  violencia  contra  la</w:t>
        <w:br/>
        <w:t>mujer perpetrada y/o condonada por el Estado en tiempos  de  conflicto</w:t>
        <w:br/>
        <w:t>armado (1997- 2000)”,  E/CN.4/2001/73,  párr.  44;  y  Defensoría  del</w:t>
        <w:br/>
        <w:t>Pueblo del Perú. Informe Defensorial No. 80, Violencia Política en  el</w:t>
        <w:br/>
        <w:t>Perú: 1980-1986  un  acercamiento  desde  la  perspectiva  de  género,</w:t>
        <w:br/>
        <w:t>capítulo IV, págs. 34, 35 y 45.</w:t>
        <w:br/>
        <w:br/>
        <w:t>[127]       Cfr. Caso de la Masacre de Pueblo  Bello,  supra  nota  7,</w:t>
        <w:br/>
        <w:t>párr. 120; Caso de la Comunidad Indígena Yakye Axa. Sentencia de 17 de</w:t>
        <w:br/>
        <w:t>junio de 2005. Serie C No.  125,  párr.  161;  y  Caso  “Instituto  de</w:t>
        <w:br/>
        <w:t>Reeducación del Menor”. Sentencia de 2 de septiembre de 2004. Serie  C</w:t>
        <w:br/>
        <w:t>No. 112, párr. 156.</w:t>
        <w:br/>
        <w:br/>
        <w:t>[128]       Cfr. Caso Montero Aranguren  y  otros  (Retén  de  Catia).</w:t>
        <w:br/>
        <w:t>Sentencia de 5 de julio de 2006. Serie C No. 150, párr.  64;  Caso  de</w:t>
        <w:br/>
        <w:t>las Masacres de Ituango, supra nota  7,  párr.  129;  y  Caso  Baldeón</w:t>
        <w:br/>
        <w:t>García, supra nota 21, párr. 83.</w:t>
        <w:br/>
        <w:br/>
        <w:t>[129]       Cfr. Caso Vargas Areco,  supra  nota  3,  párr.  75;  Caso</w:t>
        <w:br/>
        <w:t>Montero Aranguren y otros (Retén de Catia), supra nota 128, párr.  65;</w:t>
        <w:br/>
        <w:t>y Caso de las Masacres de Ituango, supra nota 7, párr. 130.</w:t>
        <w:br/>
        <w:br/>
        <w:t>[130]       Cfr. Caso Vargas Areco,  supra  nota  3,  párr.  75;  Caso</w:t>
        <w:br/>
        <w:t>Montero Aranguren y otros (Retén de Catia), supra nota 128, párr.  65;</w:t>
        <w:br/>
        <w:t>y Caso de las Masacres de Ituango, supra nota 7, párr. 130.</w:t>
        <w:br/>
        <w:br/>
        <w:t>[131] Cfr. Caso Vargas Areco, supra nota 3,  párr.  75;  Caso  de  las</w:t>
        <w:br/>
        <w:t>Masacres de Ituango, supra nota 7, párr. 131; y Caso de la Masacre  de</w:t>
        <w:br/>
        <w:t>Pueblo Bello, supra nota 7, párr. 120.</w:t>
        <w:br/>
        <w:br/>
        <w:t>[132] Cfr. Caso Baldeón García, supra nota 21, párr. 87;  Caso  de  la</w:t>
        <w:br/>
        <w:t>“Masacre de Mapiripán”, supra nota 8, párr. 232; y Caso Huilce  Tecse,</w:t>
        <w:br/>
        <w:t>supra nota 22, párr. 66.</w:t>
        <w:br/>
        <w:br/>
        <w:t>[133]       Cfr. Caso Baldeón García, supra nota 21,  párr.  87;  Caso</w:t>
        <w:br/>
        <w:t>Hermanos Gómez Paquiyauri, supra nota 21, párr. 128; y Caso Myrna Mack</w:t>
        <w:br/>
        <w:t>Chang. Sentencia de 25 de noviembre de 2003. Serie C  No.  101,  párr.</w:t>
        <w:br/>
        <w:t>139.</w:t>
        <w:br/>
        <w:br/>
        <w:t>[134]       Cfr. Caso Servellón García y otros, supra  nota  3,  párr.</w:t>
        <w:br/>
        <w:t>102; y Caso Montero Aranguren y otros (Retén  de  Catia),  supra  nota</w:t>
        <w:br/>
        <w:t>128, párr. 66.</w:t>
        <w:br/>
        <w:br/>
        <w:t>[135]       Cfr. O.N.U., Principios Básicos  sobre  el  Empleo  de  la</w:t>
        <w:br/>
        <w:t>Fuerza y de Armas de Fuego por parte de Oficiales Encargados de  Hacer</w:t>
        <w:br/>
        <w:t>Cumplir la Ley, adoptado por el Octavo Congreso de las Naciones Unidas</w:t>
        <w:br/>
        <w:t>para la Prevención del Delito y el Tratamiento de los Delincuentes, La</w:t>
        <w:br/>
        <w:t>Habana, Cuba, 27 de agosto a 7 de septiembre de 1990, Principios  4  y</w:t>
        <w:br/>
        <w:t>9. En igual sentido,  Cfr.  Caso  del  Centro  Penitenciario  Regional</w:t>
        <w:br/>
        <w:t>Capital  Yare  I  y  II.  Medidas  Provisionales,  supra   nota   125,</w:t>
        <w:br/>
        <w:t>Considerando decimoquinto, e Internado Judicial de Monagas (La  Pica),</w:t>
        <w:br/>
        <w:t>supra nota 125, Considerando decimoséptimo.</w:t>
        <w:br/>
        <w:br/>
        <w:t>[136] Cfr. Caso Montero Aranguren y otros (Retén de Catia), supra nota</w:t>
        <w:br/>
        <w:t>128, párr. 70; Caso Neira Alegría y otros. Sentencia de 19 de enero de</w:t>
        <w:br/>
        <w:t>1995. Serie C No. 20, párr. 75; Caso Godínez Cruz. Sentencia de 20  de</w:t>
        <w:br/>
        <w:t>enero de 1989. Serie C No. 5, párr. 162; Caso del Centro Penitenciario</w:t>
        <w:br/>
        <w:t>Regional Capital Yare I y II.  Medidas Provisionales, supra nota  125,</w:t>
        <w:br/>
        <w:t>Considerando decimoquinto; y Caso del Internado  Judicial  de  Monagas</w:t>
        <w:br/>
        <w:t>(La  Pica).  Medidas  Provisionales,  supra  nota  125,   Considerando</w:t>
        <w:br/>
        <w:t>decimoséptimo; y Caso de los Niños y Adolescentes Privados de Libertad</w:t>
        <w:br/>
        <w:t>en  el  “Complexo  do  Tatuapé”  de  FEBEM.   Medidas   Provisionales.</w:t>
        <w:br/>
        <w:t>Resolución de la Corte  de  30  de  noviembre  de  2005,  Considerando</w:t>
        <w:br/>
        <w:t>decimosegundo.</w:t>
        <w:br/>
        <w:br/>
        <w:t>[137]       Cfr. Caso del Caracazo. Reparaciones (art. 63.1 Convención</w:t>
        <w:br/>
        <w:t>Americana sobre Derechos Humanos). Sentencia de 29 de agosto de  2002.</w:t>
        <w:br/>
        <w:t>Serie C No. 95, párr. 127; Caso  Hilaire,  Constantine  y  Benjamin  y</w:t>
        <w:br/>
        <w:t>otros. Sentencia de 21 de junio de 2002. Serie C No. 94, párr. 217; La</w:t>
        <w:br/>
        <w:t>Colegiación Obligatoria de  Periodistas  (arts.  13  y  29  Convención</w:t>
        <w:br/>
        <w:t>Americana sobre Derechos Humanos). Opinión Consultiva OC-5/85  del  13</w:t>
        <w:br/>
        <w:t>de noviembre de 1985. Serie A No. 5, párr. 67.</w:t>
        <w:br/>
        <w:br/>
        <w:t>[138]       Cfr. Caso Bulacio. Sentencia de 18 de septiembre de  2003.</w:t>
        <w:br/>
        <w:t>Serie C No. 100, párr. 124; Caso Juan Humberto Sánchez. Sentencia de 7</w:t>
        <w:br/>
        <w:t>de junio  de  2003.  Serie  C  No.  99,  párr.  86;  Caso  del  Centro</w:t>
        <w:br/>
        <w:t>Penitenciario Regional Capital Yare I y  II.   Medidas  Provisionales,</w:t>
        <w:br/>
        <w:t>supra nota 125, Considerando décimo; Caso del  Internado  Judicial  de</w:t>
        <w:br/>
        <w:t>Monagas (La Pica). Medidas Provisionales, supra nota 125, Considerando</w:t>
        <w:br/>
        <w:t>decimoséptimo;  y  Caso  de  la  Cárcel  de   Urso   Branco.   Medidas</w:t>
        <w:br/>
        <w:t>Provisionales. Resolución  de  la  Corte  Interamericana  de  Derechos</w:t>
        <w:br/>
        <w:t>Humanos de 22 de abril de 2004, Considerando décimo.</w:t>
        <w:br/>
        <w:br/>
        <w:t>[139]       Cfr. Caso del  Caracazo.  Reparaciones,  supra  nota  137,</w:t>
        <w:br/>
        <w:t>párr. 127; Caso Durand y Ugarte. Sentencia de 16 de  agosto  de  2000.</w:t>
        <w:br/>
        <w:t>Serie C No. 68, párr. 68; y Caso Neira Alegría  y  otros,  supra  nota</w:t>
        <w:br/>
        <w:t>136, párr. 74.</w:t>
        <w:br/>
        <w:t>[140] Cfr. Caso Servellón García y otros, supra  nota  3,  párr.  119;</w:t>
        <w:br/>
        <w:t>Caso Ximenes Lopes, supra nota 3, párr. 147; Caso de las  Masacres  de</w:t>
        <w:br/>
        <w:t>Ituango, supra nota 7, párr. 297; y Caso Baldeón  García,  supra  nota</w:t>
        <w:br/>
        <w:t>21, párr. 92.</w:t>
        <w:br/>
        <w:br/>
        <w:t>[141] Cfr. Caso Ximenes Lopes, supra nota 3, párr. 148;  Caso  de  las</w:t>
        <w:br/>
        <w:t>Masacres de Ituango, supra nota 7, párr. 296; y Caso  Baldeón  García,</w:t>
        <w:br/>
        <w:t>supra nota 21, párr. 93.</w:t>
        <w:br/>
        <w:br/>
        <w:t>[142] Cfr. Caso Goiburú y otros, supra nota 5, párr. 117; Caso Baldeón</w:t>
        <w:br/>
        <w:t>García, supra nota 21, párr. 93; y Caso de la Masacre de Pueblo Bello,</w:t>
        <w:br/>
        <w:t>supra nota 7, párr. 144.</w:t>
        <w:br/>
        <w:br/>
        <w:t>[143] Cfr. Caso Goiburú y otros, supra nota 5, párr. 117; Caso de  las</w:t>
        <w:br/>
        <w:t>Masacres de Ituango, supra nota 7, párr. 296; y Caso  Baldeón  García,</w:t>
        <w:br/>
        <w:t>supra nota 21, párr. 93.</w:t>
        <w:br/>
        <w:br/>
        <w:t>[144] Cfr. Caso Vargas Areco, supra nota 3, párr. 77;  Caso  Servellón</w:t>
        <w:br/>
        <w:t>García y otros, supra nota 3, párr. 119; y Caso  Montero  Aranguren  y</w:t>
        <w:br/>
        <w:t>otros (Retén de Catia), supra nota 128, párr. 79.</w:t>
        <w:br/>
        <w:br/>
        <w:t>[145] Cfr. Caso Goiburú  y  otros,  supra  nota  5,  párr.  117;  Caso</w:t>
        <w:br/>
        <w:t>Servellón García y otros, supra nota 3,  párr.  119;  y  Caso  Ximenes</w:t>
        <w:br/>
        <w:t>Lopes, supra nota 3, párr. 148.</w:t>
        <w:br/>
        <w:br/>
        <w:t>[146]       Cfr. Caso Claude Reyes y otros, supra nota 19, párr.  111;</w:t>
        <w:br/>
        <w:t>Caso Acevedo Jaramillo y otros. Sentencia de 7  de  febrero  de  2006.</w:t>
        <w:br/>
        <w:t>Serie C No. 144, párr. 280; y Caso López Álvarez. Sentencia  de  1  de</w:t>
        <w:br/>
        <w:t>febrero de 2006. Serie C No. 141, párr. 82.</w:t>
        <w:br/>
        <w:br/>
        <w:t>[147]       Cfr. Caso Vargas Areco,  supra  nota  3,  párr.  94;  Caso</w:t>
        <w:br/>
        <w:t>Blanco Romero y otros. Sentencia de 28 de noviembre de 2005.  Serie  C</w:t>
        <w:br/>
        <w:t>No. 138, párr.  61;  y  Caso  Gutiérrez  Soler.  Sentencia  de  12  de</w:t>
        <w:br/>
        <w:t>septiembre de 2005. Serie C No. 132, párr. 54.</w:t>
        <w:br/>
        <w:br/>
        <w:br/>
        <w:t>[148]       Cfr. Defensoría del Pueblo del Perú.  Informe  Defensorial</w:t>
        <w:br/>
        <w:t>No. 80, Violencia Política en el Perú: 1980-1996, pág. 33.</w:t>
        <w:br/>
        <w:br/>
        <w:t>[149] Cfr. Caso Baldeón García, supra nota 21, párr. 117; Caso  García</w:t>
        <w:br/>
        <w:t>Asto y Ramírez Rojas, supra  nota  122,  párr.  222;  y  Caso  Caesar.</w:t>
        <w:br/>
        <w:t>Sentencia de 11 de marzo de 2005. Serie C No. 123, párr. 59.</w:t>
        <w:br/>
        <w:br/>
        <w:t>[150]       Cfr. Caso Baldeón García, supra nota 21, párr.  119;  Caso</w:t>
        <w:br/>
        <w:t>Tibi. Sentencia de 7 de septiembre de 2004. Serie  C  No.  114,  párr.</w:t>
        <w:br/>
        <w:t>147; y Caso Maritza Urrutia. Sentencia de 27  de  noviembre  de  2003.</w:t>
        <w:br/>
        <w:t>Serie C No. 103, párr. 92.</w:t>
        <w:br/>
        <w:br/>
        <w:t>[151]       Cfr. Caso Ximenes Lopes, supra nota  3,  párr.  138;  Caso</w:t>
        <w:br/>
        <w:t>Baldeón García, supra nota 21, párr. 120; y Caso López Álvarez,  supra</w:t>
        <w:br/>
        <w:t>nota 146, párrs. 104 a 106.</w:t>
        <w:br/>
        <w:br/>
        <w:t>[152] Cfr. Caso Baldeón García, supra nota 21, párr. 120;  y  Caso  de</w:t>
        <w:br/>
        <w:t>los “Niños de la Calle” (Villagrán Morales y otros). Sentencia  de  19</w:t>
        <w:br/>
        <w:t>de noviembre de 1999. Serie C No. 63, párr. 170. En el mismo  sentido,</w:t>
        <w:br/>
        <w:t>cfr. Eur.C.H.R., Yavuz v. Turkey, Judgment of 10  January  2006,  App.</w:t>
        <w:br/>
        <w:t>No. 67137/01, para. 38; Eur.C.H.R., Aksoy v. Turkey,  Judgment  of  18</w:t>
        <w:br/>
        <w:t>December  1996,  App.  No.  100/1995/606/694,  paras.  61  y   62;   y</w:t>
        <w:br/>
        <w:t>Eur.C.H.R., Tomasi v. France, Judgment of 27 August 1992, Series A no.</w:t>
        <w:br/>
        <w:t>241-A, paras. 108-111.</w:t>
        <w:br/>
        <w:br/>
        <w:t>[153] Cfr. Caso Baldeón García, supra nota 21, párr. 120; y Caso  Juan</w:t>
        <w:br/>
        <w:t>Humberto Sánchez, supra nota 138, párr. 111.</w:t>
        <w:br/>
        <w:br/>
        <w:t>[154]       Cfr. Caso Montero Aranguren  y  otros  (Retén  de  Catia),</w:t>
        <w:br/>
        <w:t>supra nota 128, párr. 85; y Caso de la Masacre de Pueblo Bello,  supra</w:t>
        <w:br/>
        <w:t>nota 7, párr. 119</w:t>
        <w:br/>
        <w:br/>
        <w:t>[155]       Cfr. Caso de los Hermanos Gómez Paquiyauri, supra nota 21,</w:t>
        <w:br/>
        <w:t>párr. 166;  Caso “Instituto de Reeducación del Menor”, supra nota 127,</w:t>
        <w:br/>
        <w:t>párr. 172; Opinión Consultiva OC-18/03 de 17 de  septiembre  de  2003.</w:t>
        <w:br/>
        <w:t>Serie A No. 118, párr.  120;  y  Caso  de  los  “Niños  de  la  Calle”</w:t>
        <w:br/>
        <w:t>(Villagrán Morales y otros), supra nota 152, párr. 194.</w:t>
        <w:br/>
        <w:br/>
        <w:br/>
        <w:t>[156]       Cfr. Caso Baldeón García, supra nota 21, párr.  119;  Caso</w:t>
        <w:br/>
        <w:t>Tibi, supra nota 150, párr. 147; y Caso 19 Comerciantes. Sentencia  de</w:t>
        <w:br/>
        <w:t>5 de julio de 2004. Serie C No. 109, párr. 149. En igual sentido, Cfr.</w:t>
        <w:br/>
        <w:t>Eur.C.H.R., Soering v. United Kingdom, Judgment of 7 July 1989, Series</w:t>
        <w:br/>
        <w:t>A Vol. 161, para. 111; y O.N.U., Comité de  Derechos  Humanos,  Miguel</w:t>
        <w:br/>
        <w:t>Angel Estrella c. Uruguay (74/1980), dictamen de 29 de marzo de  1983,</w:t>
        <w:br/>
        <w:t>párrs. 8.3 y 10.</w:t>
        <w:br/>
        <w:br/>
        <w:t>[157]       Cfr. O.N.U., Conjunto de Principios para la Protección  de</w:t>
        <w:br/>
        <w:t>Todas las Personas Sometidas a Cualquier Forma de Detención o Prisión,</w:t>
        <w:br/>
        <w:t>Adoptado por la Asamblea General en su  resolución  43/173,  de  9  de</w:t>
        <w:br/>
        <w:t>diciembre de 1988, Principio 24. En igual sentido Cfr. Caso De la Cruz</w:t>
        <w:br/>
        <w:t>Flores. Sentencia de 18 de noviembre de 2004. Serie C No.  115,  párr.</w:t>
        <w:br/>
        <w:t>133; y Caso Tibi, supra nota 150, párr. 154.</w:t>
        <w:br/>
        <w:br/>
        <w:t>[158]       Cfr. Caso Montero Aranguren  y  otros  (Retén  de  Catia),</w:t>
        <w:br/>
        <w:t>supra nota 128, párrs. 102 y 103; Caso De la Cruz Flores,  supra  nota</w:t>
        <w:br/>
        <w:t>157, párr. 132; y Caso Tibi, supra nota 150, párr. 157.</w:t>
        <w:br/>
        <w:br/>
        <w:t>[159] Cfr. O.N.U., Reglas mínimas para el tratamiento de los reclusos,</w:t>
        <w:br/>
        <w:t>Adoptadas  por  el  Primer  Congreso  de  las  Naciones  Unidas  sobre</w:t>
        <w:br/>
        <w:t>Prevención del Delito y  Tratamiento  del  Delincuente,  celebrado  en</w:t>
        <w:br/>
        <w:t>Ginebra en 1955, y aprobadas por el Consejo Económico y Social en  sus</w:t>
        <w:br/>
        <w:t>resoluciones 663C (XXIV) de 31 de julio de 1957 y 2076 (LXII) de 13 de</w:t>
        <w:br/>
        <w:t>mayo de 1977, párrs. 23 y 53.</w:t>
        <w:br/>
        <w:br/>
        <w:t>[160]        Cfr.  O.N.U.,  Comité   para   la   Eliminación   de   la</w:t>
        <w:br/>
        <w:t>Discriminación contra la Mujer, 11º período de sesiones. Recomendación</w:t>
        <w:br/>
        <w:t>general 19 “La violencia contra la mujer”. Doc.  HRI/GEN/1/Rev.  1at84</w:t>
        <w:br/>
        <w:t>(1994), párr. 6.</w:t>
        <w:br/>
        <w:br/>
        <w:t>[161] Cfr. ICTR, Case of Prosecutor v. Jean-Paul Akayesu. Judgment  of</w:t>
        <w:br/>
        <w:t>September 2, 1998. Case No. ICTR-96-4-T, para. 688.</w:t>
        <w:br/>
        <w:t>[162] Cfr. Eur.C.H.R., Case of Aydin v. Turkey (GC).  Judgment  of  25</w:t>
        <w:br/>
        <w:t>September 1997, App. No. 57/1996/676/866, para. 83.</w:t>
        <w:br/>
        <w:br/>
        <w:t>[163] Cfr. O.N.U.,  Comisión  de  Derechos  Humanos.  50°  período  de</w:t>
        <w:br/>
        <w:t>sesiones. Cuestión de los  derechos  humanos  de  todas  las  personas</w:t>
        <w:br/>
        <w:t>sometidas a cualquier forma de detención o prisión, y en particular la</w:t>
        <w:br/>
        <w:t>tortura y otros tratos  o  penas  crueles,  inhumanos  o  degradantes.</w:t>
        <w:br/>
        <w:t>Informe del Relator Especial, Sr.  Nigel  S.  Rodley,  presentado  con</w:t>
        <w:br/>
        <w:t>arreglo a la resolución 1992/32 de la Comisión  de  Derechos  Humanos.</w:t>
        <w:br/>
        <w:t>Doc. E/CN.4/1995/34 del 12 de enero de 1995, párr. 19.</w:t>
        <w:br/>
        <w:br/>
        <w:t>[164] Cfr. Eur.C.H.R., Case of Aydin v. Turkey (GC),  Judgment  of  25</w:t>
        <w:br/>
        <w:t>September 1997, App. No. 57/1996/676/866, para. 83.</w:t>
        <w:br/>
        <w:br/>
        <w:t>[165] Cfr. O.N.U.,  Comisión  de  Derechos  Humanos,  54º  período  de</w:t>
        <w:br/>
        <w:t>sesiones.  Informe  presentado  por  la  Sra.  Radhika   Coomaraswamy,</w:t>
        <w:br/>
        <w:t>Relatora Especial sobre la violencia contra la mujer, con inclusión de</w:t>
        <w:br/>
        <w:t>sus causas y consecuencias, de conformidad con la  resolución  1997/44</w:t>
        <w:br/>
        <w:t>de la Comisión. Doc. E/CN.4/1998/54 del 26 de enero de 1998, párrs. 12</w:t>
        <w:br/>
        <w:t>y 13.</w:t>
        <w:br/>
        <w:br/>
        <w:t>[166] Cfr. O.N.U.,  Comisión  de  Derechos  Humanos,  54º  período  de</w:t>
        <w:br/>
        <w:t>sesiones.  Informe  presentado  por  la  Sra.  Radhika   Coomaraswamy,</w:t>
        <w:br/>
        <w:t>Relatora Especial sobre la violencia contra la mujer, con inclusión de</w:t>
        <w:br/>
        <w:t>sus causas y consecuencias, de conformidad con la  resolución  1997/44</w:t>
        <w:br/>
        <w:t>de la Comisión. Doc. E/CN.4/1998/54 del 26 de enero de 1998, párr. 14.</w:t>
        <w:br/>
        <w:br/>
        <w:t>[167] Cfr. Presentación oral ante la Comisión de Derechos Humanos  del</w:t>
        <w:br/>
        <w:t>Relator Especial de Naciones Unidas sobre  Tortura,  Peter  Kooijmans,</w:t>
        <w:br/>
        <w:t>incluida en: U.N., Commission on Human Rights.  48º  session.  Summary</w:t>
        <w:br/>
        <w:t>Record of the 21st Meeting, Doc.  E/CN.4/1992/SR.21  of  February  21,</w:t>
        <w:br/>
        <w:t>1992, para. 35; y O.N.U., Comisión de Derechos Humanos. 50° período de</w:t>
        <w:br/>
        <w:t>sesiones. Cuestión de los  derechos  humanos  de  todas  las  personas</w:t>
        <w:br/>
        <w:t>sometidas a cualquier forma de detención o prisión, y en particular la</w:t>
        <w:br/>
        <w:t>tortura y otros tratos  o  penas  crueles,  inhumanos  o  degradantes.</w:t>
        <w:br/>
        <w:t>Informe del Relator Especial, Sr.  Nigel  S.  Rodley,  presentado  con</w:t>
        <w:br/>
        <w:t>arreglo a la resolución 1992/32 de la Comisión  de  Derechos  Humanos.</w:t>
        <w:br/>
        <w:t>Doc. E/CN.4/1995/34 del 12 de enero de 1995, párr. 16.</w:t>
        <w:br/>
        <w:br/>
        <w:t>[168]       Cfr. Caso García Asto y Ramírez  Rojas,  supra  nota  122,</w:t>
        <w:br/>
        <w:t>párr. 223; Caso Lori Berenson Mejía. Sentencia de 25 de  noviembre  de</w:t>
        <w:br/>
        <w:t>2004. Serie C No. 119, párr.  101;  y  Caso  Baena  Ricardo  y  otros.</w:t>
        <w:br/>
        <w:t>Sentencia de 2 de febrero de 2001. Serie C No. 72, párr. 106.</w:t>
        <w:br/>
        <w:br/>
        <w:t>[169] Cfr. Caso García Asto y Ramírez Rojas,  supra  nota  122,  párr.</w:t>
        <w:br/>
        <w:t>223; y Caso Lori Berenson Mejía, supra nota 168, párr. 101.</w:t>
        <w:br/>
        <w:br/>
        <w:t>[170]       Cfr. Naciones Unidas, Oficina del  Alto  Comisionado  para</w:t>
        <w:br/>
        <w:t>los Derechos Humanos.  Reglas  mínimas  para  el  tratamiento  de  los</w:t>
        <w:br/>
        <w:t>reclusos, adoptadas por el Primer  Congreso  de  las  Naciones  Unidas</w:t>
        <w:br/>
        <w:t>sobre Prevención del Delito y Tratamiento del  Delincuente,  celebrado</w:t>
        <w:br/>
        <w:t>en Ginebra en 1955, y aprobadas por el Consejo Económico y  Social  en</w:t>
        <w:br/>
        <w:t>sus resoluciones 663C (XXIV) de 31 de julio de 1957 y 2076  (LXII)  de</w:t>
        <w:br/>
        <w:t>13 de mayo de 1977.</w:t>
        <w:br/>
        <w:br/>
        <w:t>[171] Cfr. Caso López Álvarez, supra nota 146, párr. 105 a  106;  Caso</w:t>
        <w:br/>
        <w:t>García Asto y Ramírez Rojas, supra nota 122, párr. 221; y Caso Raxcacó</w:t>
        <w:br/>
        <w:t>Reyes. Sentencia de 15 de septiembre de 2005. Serie C No.  133,  párr.</w:t>
        <w:br/>
        <w:t>95.</w:t>
        <w:br/>
        <w:br/>
        <w:t>[172]       Cfr. Caso García Asto y Ramírez  Rojas,  supra  nota  122,</w:t>
        <w:br/>
        <w:t>párr. 221; Caso Raxcacó Reyes, supra nota 171, párr. 95; y Caso Fermín</w:t>
        <w:br/>
        <w:t>Ramírez. Sentencia de 20 de junio de 2005. Serie C No. 126, párr. 118.</w:t>
        <w:br/>
        <w:t xml:space="preserve"> En el mismo sentido, cfr. O.N.U. Reglas mínimas para  el  tratamiento</w:t>
        <w:br/>
        <w:t>de los reclusos, Adoptadas por el  Primer  Congreso  de  las  Naciones</w:t>
        <w:br/>
        <w:t>Unidas sobre Prevención del  Delito  y  Tratamiento  del  Delincuente,</w:t>
        <w:br/>
        <w:t>celebrado en Ginebra en 1955, y aprobadas por el Consejo  Económico  y</w:t>
        <w:br/>
        <w:t>Social en sus resoluciones 663C (XXIV) de 31 de julio de 1957  y  2076</w:t>
        <w:br/>
        <w:t>(LXII) de 13 de mayo de 1977, Reglas 10 y 11.</w:t>
        <w:br/>
        <w:br/>
        <w:t>[173] Cfr. Caso García Asto y Ramírez Rojas,  supra  nota  122,  párr.</w:t>
        <w:br/>
        <w:t>221; Caso Raxcacó Reyes, supra nota  171,  párr.  95;  y  Caso  Fermín</w:t>
        <w:br/>
        <w:t>Ramírez, supra nota 172, párr. 118.</w:t>
        <w:br/>
        <w:br/>
        <w:t>[174] Cfr. Caso Hermanos Gómez Paquiyauri, supra nota 21,  párr.  113;</w:t>
        <w:br/>
        <w:t>Caso Bámaca Velásquez. Sentencia de 25 de noviembre de 2000.  Serie  C</w:t>
        <w:br/>
        <w:t>No. 70, párr. 162; y Caso  de  los  “Niños  de  la  Calle”  (Villagrán</w:t>
        <w:br/>
        <w:t>Morales y otros), supra nota 152, párr. 176.  En  igual  sentido  cfr.</w:t>
        <w:br/>
        <w:t>Eur.C.H.R., Case of Akta_[pic] v. Turkey (3rd), Judgment of  24  April</w:t>
        <w:br/>
        <w:t>2003, App. No. 24351/94, para. 312; y Eur.C.H.R., Case of  Ireland  v.</w:t>
        <w:br/>
        <w:t>The United Kingdom (G Case of Aktaş v. Turkey (3rd),  Judgment  of  24</w:t>
        <w:br/>
        <w:t>April 2003, App. No.  24351/94,  para.  312;  y  Eur.C.H.R.,  Case  of</w:t>
        <w:br/>
        <w:t>Ireland v. The United Kingdom (GC), Judgment of 18 January 1978,  App.</w:t>
        <w:br/>
        <w:t>No. 5310/71, para. 162.</w:t>
        <w:br/>
        <w:br/>
        <w:t>[175] Cfr. Caso Tibi, supra nota 150, párr. 146; Caso Maritza Urrutia,</w:t>
        <w:br/>
        <w:t>supra nota 150, párr. 93; y Caso Cantoral Benavides,  supra  nota  21,</w:t>
        <w:br/>
        <w:t>párr. 104.</w:t>
        <w:br/>
        <w:br/>
        <w:t>[176] Cfr. Caso de los Hermanos Gómez Paquiyauri, supra nota 21, párr.</w:t>
        <w:br/>
        <w:t>116; Caso Tibi, supra nota 150, párr. 146;  y  Caso  Maritza  Urrutia,</w:t>
        <w:br/>
        <w:t>supra nota 150, párr. 91.</w:t>
        <w:br/>
        <w:br/>
        <w:t>[177] Cfr. Caso de los Hermanos Gómez Paquiyauri, supra nota 21, párr.</w:t>
        <w:br/>
        <w:t>116.</w:t>
        <w:br/>
        <w:br/>
        <w:t>[178] Cfr. Caso Montero Aranguren y otros (Retén de Catia), supra nota</w:t>
        <w:br/>
        <w:t>128, párr. 94; Caso Raxcacó Reyes, supra nota 171, párr. 95  y  96;  y</w:t>
        <w:br/>
        <w:t>Caso Lori Berenson Mejía, supra nota 168, párr. 103.</w:t>
        <w:br/>
        <w:br/>
        <w:t>[179]       Cfr. Caso De la Cruz Flores, supra nota  157,  párr.  128;</w:t>
        <w:br/>
        <w:t>Caso Maritza  Urrutia,  supra  nota  150,  párr.  87;  y  Caso  Bámaca</w:t>
        <w:br/>
        <w:t>Velásquez, supra nota 174, párr. 150.</w:t>
        <w:br/>
        <w:br/>
        <w:t>[180]       Cfr. Caso De la Cruz Flores, supra nota  157,  párr.  129;</w:t>
        <w:br/>
        <w:t>Caso Maritza  Urrutia,  supra  nota  150,  párr.  87;  y  Caso  Bámaca</w:t>
        <w:br/>
        <w:t>Velásquez, supra nota 174, párr. 150.</w:t>
        <w:br/>
        <w:br/>
        <w:t>[181] Cfr. Eur.C.H.R., Case of Öcalan v. Turkey(GC),  Judgment  of  12</w:t>
        <w:br/>
        <w:t>May 2005, App. No. 46221/99, para. 191.</w:t>
        <w:br/>
        <w:br/>
        <w:t>[182]       Cfr. O.N.U., Reglas mínimas para  el  tratamiento  de  los</w:t>
        <w:br/>
        <w:t>reclusos, Adoptadas por el Primer  Congreso  de  las  Naciones  Unidas</w:t>
        <w:br/>
        <w:t>sobre Prevención del Delito y Tratamiento del  Delincuente,  celebrado</w:t>
        <w:br/>
        <w:t>en Ginebra en 1955, y aprobadas por el Consejo Económico y  Social  en</w:t>
        <w:br/>
        <w:t>sus resoluciones 663C (XXIV) de 31 de julio de 1957 y 2076  (LXII)  de</w:t>
        <w:br/>
        <w:t>13 de mayo de 1977, Regla 31; y Caso Montero Aranguren y otros  (Retén</w:t>
        <w:br/>
        <w:t>de Catia), supra nota 128, párr. 94.</w:t>
        <w:br/>
        <w:br/>
        <w:t>[183]       Cfr. O.N.U., Asamblea General. Informe del  Comité  contra</w:t>
        <w:br/>
        <w:t>la Tortura sobre Turquía. Cuadragésimo  octavo  Período  de  Sesiones,</w:t>
        <w:br/>
        <w:t>1994, A/48/44/Add.1, párr. 52.</w:t>
        <w:br/>
        <w:br/>
        <w:t>[184] Cfr. O.N.U., Oficina del Alto Comisionado de las Naciones Unidas</w:t>
        <w:br/>
        <w:t>para los Derechos Humanos.  Protocolo de Estambul, 2001, párr. 202.</w:t>
        <w:br/>
        <w:br/>
        <w:t>[185] Cfr. Eur.C.H.R., Case of Mikheyev v. Russia (1st),  Judgment  of</w:t>
        <w:br/>
        <w:t>26 January 2006, App. No. 77617/01, paras. 20, 129 y 135.</w:t>
        <w:br/>
        <w:br/>
        <w:t>[186]       Cfr. International  Committee  of  the  Red  Cross.  Women</w:t>
        <w:br/>
        <w:t>Facing War: ICRC Study on the Impact of Armed Conflict on Women, 2001,</w:t>
        <w:br/>
        <w:t>sec. III, ref. 0798 y disponible a http://www.icrc.org.  En  el  mismo</w:t>
        <w:br/>
        <w:t>sentido, cfr. O.N.U.,  Reglas  mínimas  para  el  tratamiento  de  los</w:t>
        <w:br/>
        <w:t>reclusos, Adoptadas por el Primer  Congreso  de  las  Naciones  Unidas</w:t>
        <w:br/>
        <w:t>sobre Prevención del Delito y Tratamiento del  Delincuente,  celebrado</w:t>
        <w:br/>
        <w:t>en Ginebra en 1955, y aprobadas por el Consejo Económico y  Social  en</w:t>
        <w:br/>
        <w:t>sus resoluciones 663C (XXIV) de 31 de julio de 1957 y 2076  (LXII)  de</w:t>
        <w:br/>
        <w:t>13 de mayo de 1977, párrs. 15-19.</w:t>
        <w:br/>
        <w:br/>
        <w:t>[187] Cfr. International Committee of the Red Cross. Women Facing War:</w:t>
        <w:br/>
        <w:t>ICRC Study on the Impact of Armed Conflict on Women. 2001, ref. 0798 y</w:t>
        <w:br/>
        <w:t>disponible a http://www.icrc.org, sección III.  En el  mismo  sentido,</w:t>
        <w:br/>
        <w:t>cfr. O.N.U., Reglas mínimas  para  el  tratamiento  de  los  reclusos,</w:t>
        <w:br/>
        <w:t>Adoptadas  por  el  Primer  Congreso  de  las  Naciones  Unidas  sobre</w:t>
        <w:br/>
        <w:t>Prevención del Delito y  Tratamiento  del  Delincuente,  celebrado  en</w:t>
        <w:br/>
        <w:t>Ginebra en 1955, y aprobadas por el Consejo Económico y Social en  sus</w:t>
        <w:br/>
        <w:t>resoluciones 663C (XXIV) de 31 de julio de 1957 y 2076 (LXII) de 13 de</w:t>
        <w:br/>
        <w:t>mayo de 1977, párr. 23.</w:t>
        <w:br/>
        <w:br/>
        <w:t>[188]       Cfr. Caso Goiburú y otros, supra nota 5,  párr.  96;  Caso</w:t>
        <w:br/>
        <w:t>Vargas Areco, supra nota 3, párr. 83; y Caso Servellón García y otros,</w:t>
        <w:br/>
        <w:t>supra nota 3, párr. 128.</w:t>
        <w:br/>
        <w:br/>
        <w:t>[189]       Cfr. Caso Goiburú y otros, supra nota 5,  párr.  96;  Caso</w:t>
        <w:br/>
        <w:t>Vargas Areco, supra nota 3, párr. 96; y Caso Servellón García y otros,</w:t>
        <w:br/>
        <w:t>supra nota 3, párr. 128.</w:t>
        <w:br/>
        <w:br/>
        <w:br/>
        <w:t>[190]       Cfr. Caso Vargas Areco,  supra  nota  3,  párr.  78;  Caso</w:t>
        <w:br/>
        <w:t>Ximenes Lopes, supra nota  3,  párr.  147;  y  Caso  de  la  Comunidad</w:t>
        <w:br/>
        <w:t>Moiwana. Sentencia de 15 de junio de 2005. Serie C No. 124, párr. 92.</w:t>
        <w:br/>
        <w:br/>
        <w:t>[191] Cfr. Caso Vargas Areco, supra nota 3, párr. 79;  Caso  Gutiérrez</w:t>
        <w:br/>
        <w:t>Soler, supra nota 147, párr. 54; y Caso Baldeón García, supra nota 21,</w:t>
        <w:br/>
        <w:t>párr. 156.  En el mismo sentido, cfr. Eur.C.H.R.,  Case  of  Ilhan  v.</w:t>
        <w:br/>
        <w:t>Turkey [GC], Judgment of 27 June 2000, App. No. 22277/93, paras. 92  y</w:t>
        <w:br/>
        <w:t>93; y Eur.C.H.R., Case of Assenov and others v. Bulgaria, Judgment  of</w:t>
        <w:br/>
        <w:t>28 October 1998, App. No. 90/1997/874/1086, para. 102.</w:t>
        <w:br/>
        <w:br/>
        <w:t>[192] Cfr. Caso Vargas Areco, supra nota 3,  párr.  81;  Caso  Montero</w:t>
        <w:br/>
        <w:t>Aranguren y otros (Retén de Catia), supra nota 128, párr. 141; y  Caso</w:t>
        <w:br/>
        <w:t>de las Masacres de Ituango, supra nota 7, párr. 402.</w:t>
        <w:br/>
        <w:br/>
        <w:t>[193]       Cfr. Caso Vargas Areco,  supra  nota  3,  párr.  81;  Caso</w:t>
        <w:br/>
        <w:t>Goiburú y otros, supra nota 5, párr. 165; y Caso Montero  Aranguren  y</w:t>
        <w:br/>
        <w:t>otros (Retén de Catia), supra nota 128, párr. 137.</w:t>
        <w:br/>
        <w:br/>
        <w:t>[194]       Cfr. Caso Vargas Areco,  supra  nota  3,  párr.  81;  Caso</w:t>
        <w:br/>
        <w:t>Montero Aranguren y otros (Retén de Catia), supra nota 128, párr. 139;</w:t>
        <w:br/>
        <w:t>y Caso de las Masacres de Ituango, supra nota 7, párr. 289.</w:t>
        <w:br/>
        <w:br/>
        <w:t>[195] Cfr.  Caso Vargas Areco, supra nota 3, párr. 81</w:t>
        <w:br/>
        <w:br/>
        <w:t>[196]       Cfr. Caso Claude Reyes y otros, supra nota 19, párr.  111;</w:t>
        <w:br/>
        <w:t>Caso Acevedo Jaramillo y otros. Sentencia de 7  de  febrero  de  2006.</w:t>
        <w:br/>
        <w:t>Serie C No. 144, párr. 280; y Caso  López  Álvarez,  supra  nota  146,</w:t>
        <w:br/>
        <w:t>párr. 82.</w:t>
        <w:br/>
        <w:br/>
        <w:t>[197] Cfr. Caso Goiburú  y  otros,  supra  nota  5,  párr.  110;  Caso</w:t>
        <w:br/>
        <w:t>Servellón García y otros, supra nota 3,  párr.  147;  y  Caso  Ximenes</w:t>
        <w:br/>
        <w:t>Lopes, supra nota 3, párr. 175.</w:t>
        <w:br/>
        <w:br/>
        <w:t>[198]       Cfr.  Caso Vargas Areco, supra nota 3, párr. 101; Caso  de</w:t>
        <w:br/>
        <w:t>las Masacres de Ituango, supra nota 7, párr. 289; y Caso de la Masacre</w:t>
        <w:br/>
        <w:t>de Pueblo Bello, supra nota 7, párr. 171.</w:t>
        <w:br/>
        <w:br/>
        <w:t>[199] Cfr. Caso Vargas Areco, supra nota 3, párr. 91;  Caso  Servellón</w:t>
        <w:br/>
        <w:t>García y otros, supra nota 3, párr.  120;  Caso  Montero  Aranguren  y</w:t>
        <w:br/>
        <w:t>otros (Retén de Catia), supra nota 128, párr. 140;  y  O.N.U.,  Manual</w:t>
        <w:br/>
        <w:t>Sobre  la  Prevención  e   Investigación   Efectiva   de   Ejecuciones</w:t>
        <w:br/>
        <w:t>Extrajudiciales,  Arbitrarias  y  Sumarias  de  las  Naciones  Unidas,</w:t>
        <w:br/>
        <w:t>E/ST/CSDHA/.12 (1991).</w:t>
        <w:br/>
        <w:br/>
        <w:t>[200]       Cfr. Caso Montero Aranguren  y  otros  (Retén  de  Catia),</w:t>
        <w:br/>
        <w:t>supra nota 128,  párr. 82. En igual sentido cfr. Eur.C.H.R.,  Case  of</w:t>
        <w:br/>
        <w:t>Erdoğan and Others v. Turkey (4th), Judgment of 25  April  2006,  App.</w:t>
        <w:br/>
        <w:t>No. 19807/92, para. 68; Eur.C.H.R., Case of Makaratzis v. Greece (GC),</w:t>
        <w:br/>
        <w:t>Judgment  of  20  December  2004,  App.  No.  50385/99,  para.  59;  y</w:t>
        <w:br/>
        <w:t>Eur.C.H.R., Case of McCann and Others v. United Kingdom (GC), Judgment</w:t>
        <w:br/>
        <w:t>of 27 October 1995, App. No. 18984/91, para. 150.</w:t>
        <w:br/>
        <w:br/>
        <w:t>[201]            Cfr. Responsabilidad Internacional por  Expedición  y</w:t>
        <w:br/>
        <w:t>Aplicación de  Leyes  Violatorias  de  la  Convención  (Arts.  1  y  2</w:t>
        <w:br/>
        <w:t>Convención Americana Sobre Derechos Humanos), Opinión  Consultiva  OC-</w:t>
        <w:br/>
        <w:t>14/94 del 9 de diciembre de 1994, Serie A No. 14,  párr.  35;  y  Caso</w:t>
        <w:br/>
        <w:t>Almonacid Arellano y otros, supra nota 15, párr. 125.</w:t>
        <w:br/>
        <w:br/>
        <w:t>[202] Cfr. Caso Baldeón García, supra nota 21, párr. 154.</w:t>
        <w:br/>
        <w:br/>
        <w:t>[203] Cfr. Caso Goiburú y otros, supra nota 5, párr. 122; Caso de  las</w:t>
        <w:br/>
        <w:t>Masacres de Ituango, supra nota 7, párr. 340; y Caso de la Masacre  de</w:t>
        <w:br/>
        <w:t>Pueblo Bello, supra nota 7, párr. 209.</w:t>
        <w:br/>
        <w:br/>
        <w:t>[204] Cfr. Caso Baldeón García, supra nota 21, párr. 149; Caso Ricardo</w:t>
        <w:br/>
        <w:t>Canese. Sentencia de 31 de agosto de 2004. Serie C No. 111, párr.  71;</w:t>
        <w:br/>
        <w:t>y Caso Hermanos Gómez Paquiyauri, supra nota 21, párr. 75.</w:t>
        <w:br/>
        <w:br/>
        <w:t>[205]            Cfr. Caso Almonacid Arellano y otros, supra nota  15,</w:t>
        <w:br/>
        <w:t>párr. 96 y 99.</w:t>
        <w:br/>
        <w:br/>
        <w:t>[206]       Cfr. Caso Goiburú y otros, supra nota 5,  párr.  128.   En</w:t>
        <w:br/>
        <w:t>igual sentido, cfr. O.N.U., Comisión de Derechos Humanos,  Subcomisión</w:t>
        <w:br/>
        <w:t>de Prevención de Discriminaciones y Protección  a  las  Minorías,  37°</w:t>
        <w:br/>
        <w:t>período de sesiones, Informe provisional del Sr. Louis Joinet, Relator</w:t>
        <w:br/>
        <w:t>Especial,  Estudio  sobre  las  leyes  de  amnistía  y  el  papel  que</w:t>
        <w:br/>
        <w:t>desempeñen en la salvaguardia y la promoción de los derechos  humanos.</w:t>
        <w:br/>
        <w:t>E/CN.4/Sub.2/1984/15, 22 de junio de 1984, párr. 56;  Control  Council</w:t>
        <w:br/>
        <w:t>Law No. 10, Punishment of Persons Guilty of War Crimes, Crimes Against</w:t>
        <w:br/>
        <w:t>Peace and Against Humanity, Article  II,  Allied  Control  Council  of</w:t>
        <w:br/>
        <w:t>December 20, 1945, Nuremberg Trials.  Final Report to the Secretary of</w:t>
        <w:br/>
        <w:t>the Army on the Nuernberg War Crimes Trials Under Control Council  law</w:t>
        <w:br/>
        <w:t>No. 10, Washington, D.C.: U.S. Government Printing Office, 1949; ICTY,</w:t>
        <w:br/>
        <w:t>Case of Prosecutor v.  Kunarac.  IT-96-23-T  and  IT-96-23/1-T.  Trial</w:t>
        <w:br/>
        <w:t>Court Decision, Judgment of  February  22,  2001,  paras.  21  y  883;</w:t>
        <w:br/>
        <w:t>O.N.U., Estatuto de Roma de la Corte Penal Internacional, aprobado por</w:t>
        <w:br/>
        <w:t>la Conferencia Diplomática de Plenipotenciarios de las Naciones Unidas</w:t>
        <w:br/>
        <w:t>sobre el establecimiento de una corte penal internacional,  U.N.  Doc.</w:t>
        <w:br/>
        <w:t>A/CONF.183/9, 17 de julio de 1998, artículo 7.</w:t>
        <w:br/>
        <w:br/>
        <w:t>[207]       Cfr. Caso Almonacid Arellano y otros, supra nota 15, párr.</w:t>
        <w:br/>
        <w:t>99.</w:t>
        <w:br/>
        <w:br/>
        <w:t>[208]       Cfr. Caso Goiburú y otros, supra nota 5, párr. 128.</w:t>
        <w:br/>
        <w:br/>
        <w:t>[209]       Cfr. Caso Vargas Areco, supra  nota  3,  párr.  153;  Caso</w:t>
        <w:br/>
        <w:t>Almonacid Arellano y otros, supra nota 15, párr. 111; y Caso Servellón</w:t>
        <w:br/>
        <w:t>García y otros, supra nota 3, párr. 192.</w:t>
        <w:br/>
        <w:br/>
        <w:t>[210]       Cfr. Caso Vargas Areco, supra  nota  3,  párr.  153;  Caso</w:t>
        <w:br/>
        <w:t>Almonacid Arellano y otros, supra nota 15, párr. 111; y Caso Servellón</w:t>
        <w:br/>
        <w:t>García y otros, supra nota 3, párr. 192.</w:t>
        <w:br/>
        <w:br/>
        <w:t>[211]       Cfr. Caso Goiburú y otros, supra nota 5, párr. 131.</w:t>
        <w:br/>
        <w:br/>
        <w:t>[212] Cfr. Caso Vargas Areco, supra nota 3, párr. 139; Caso  Almonacid</w:t>
        <w:br/>
        <w:t>Arellano y otros, supra nota 15, párr. 134; y Caso  Goiburú  y  otros,</w:t>
        <w:br/>
        <w:t>supra nota 5, párr. 140.</w:t>
        <w:br/>
        <w:br/>
        <w:t>[213] Cfr. Caso Vargas Areco, supra nota  3,  párr.  64  y  140;  Caso</w:t>
        <w:br/>
        <w:t>Almonacid Arellano y otros, supra nota 15, párr. 135; y Caso Goiburú y</w:t>
        <w:br/>
        <w:t>otros, supra nota 5, párr. 141.</w:t>
        <w:br/>
        <w:br/>
        <w:t>[214] Cfr. Caso Servellón García y otros, supra  nota  3,  párr.  161;</w:t>
        <w:br/>
        <w:t>Caso Ximenes Lopes, supra nota 3, párr. 208; y Caso de las Masacres de</w:t>
        <w:br/>
        <w:t>Ituango, supra nota 7,  párr. 365.</w:t>
        <w:br/>
        <w:br/>
        <w:t>[215] Cfr. Caso Vargas Areco, supra nota 3, párr. 141; Caso  Almonacid</w:t>
        <w:br/>
        <w:t>Arellano y otros, supra nota 15, párr. 136; y Caso Servellón García  y</w:t>
        <w:br/>
        <w:t>otros, supra nota 3, párr. 162.</w:t>
        <w:br/>
        <w:br/>
        <w:t>[216] Cfr. Caso Vargas Areco, supra nota 3, párr. 141; Caso  Almonacid</w:t>
        <w:br/>
        <w:t>Arellano y otros, supra nota 15, párr. 136; y Caso Servellón García  y</w:t>
        <w:br/>
        <w:t>otros, supra nota 3, párr. 162.</w:t>
        <w:br/>
        <w:br/>
        <w:t>[217]       Cfr. Caso Vargas Areco, supra  nota  3,  párr.  142;  Caso</w:t>
        <w:br/>
        <w:t>Servellón García y otros, supra nota 3, párr. 163;  y  Caso  Almonacid</w:t>
        <w:br/>
        <w:t>Arellano y otros, supra nota 15, párr. 137.</w:t>
        <w:br/>
        <w:br/>
        <w:t>[218]       Cfr. Caso de las Masacres de Ituango, supra nota 7,  párr.</w:t>
        <w:br/>
        <w:t>94; Caso de la Comunidad Moiwana, supra nota 190, párr.  178;  y  Caso</w:t>
        <w:br/>
        <w:t>Masacre Plan de Sánchez. Reparaciones (art. 63.1 Convención  Americana</w:t>
        <w:br/>
        <w:t>sobre Derechos Humanos). Sentencia de 19 de noviembre de 2004. Serie C</w:t>
        <w:br/>
        <w:t>No. 116, párr. 67.</w:t>
        <w:br/>
        <w:br/>
        <w:t>[219]       Cfr. Caso Goiburú y otros, supra nota 5, párr.  148;  Caso</w:t>
        <w:br/>
        <w:t>Montero Aranguren y otros (Retén de Catia), supra nota 128, párr. 122;</w:t>
        <w:br/>
        <w:t>y Caso Blanco Romero y otros, supra nota 147, párr. 72.</w:t>
        <w:br/>
        <w:br/>
        <w:br/>
        <w:t>[220]       Cfr. Caso Vargas Areco, supra  nota  3,  párr.  146;  Caso</w:t>
        <w:br/>
        <w:t>Almonacid Arellano y otros, supra nota 15, párr. 158; y Caso Goiburú y</w:t>
        <w:br/>
        <w:t>otros, supra nota 5, párr. 150.</w:t>
        <w:br/>
        <w:br/>
        <w:t>[221] Cfr. Caso Vargas Areco, supra nota 3, párr. 146; Caso Goiburú  y</w:t>
        <w:br/>
        <w:t>otros, supra nota 5, párr. 150;  y  Caso  Montero  Aranguren  y  otros</w:t>
        <w:br/>
        <w:t>(Retén de Catia), supra nota 128, párr. 126.</w:t>
        <w:br/>
        <w:br/>
        <w:t>[222] Cfr. Caso Vargas Areco, supra nota 3, párr.  149;  Caso  Montero</w:t>
        <w:br/>
        <w:t>Aranguren y otros (Retén de Catia), supra nota 128, párr. 130; y  Caso</w:t>
        <w:br/>
        <w:t>Ximenes Lopes, supra nota 3, párr. 227.</w:t>
        <w:br/>
        <w:br/>
        <w:t>[223] Cfr. Caso Vargas Areco, supra nota 3, párr. 150; Caso  Servellón</w:t>
        <w:br/>
        <w:t>García y otros, supra nota 3, párr. 180; y Caso Goiburú y otros, supra</w:t>
        <w:br/>
        <w:t>nota 5, párr. 160.</w:t>
        <w:br/>
        <w:br/>
        <w:br/>
        <w:t>[224]       Cfr. Caso Vargas Areco, supra  nota  3,  párr.  150;  Caso</w:t>
        <w:br/>
        <w:t>Servellón García y otros, supra nota 3,  párr.  180;  y  Caso  Montero</w:t>
        <w:br/>
        <w:t>Aranguren y otros (Retén de Catia), supra nota 128, párr. 131</w:t>
        <w:br/>
        <w:t>[225] Cfr. Caso Vargas Areco, supra nota 3, párr. 152; Caso  Servellón</w:t>
        <w:br/>
        <w:t>García y otros, supra nota 3, párr. 186; y Caso Claude Reyes y  otros,</w:t>
        <w:br/>
        <w:t>supra nota 19,  párr. 156.</w:t>
        <w:br/>
        <w:br/>
        <w:t>[226]       Cfr. Caso Almonacid Arellano y otros, supra nota 15, párr.</w:t>
        <w:br/>
        <w:t>148; Caso de la Comunidad Moiwana, supra nota 190, párr. 204;  y  Caso</w:t>
        <w:br/>
        <w:t>Carpio Nicolle y otros. Sentencia de 22 de noviembre de 2004. Serie  C</w:t>
        <w:br/>
        <w:t>No. 117, párr. 128.</w:t>
        <w:br/>
        <w:br/>
        <w:t>[227]       Cfr. Caso Blanco Romero y otros, supra nota 147, párr. 95;</w:t>
        <w:br/>
        <w:t>Caso de la Comunidad Moiwana, supra nota 190, párr. 204; y Caso Carpio</w:t>
        <w:br/>
        <w:t>Nicolle y otros, supra nota 226, párr. 128.</w:t>
        <w:br/>
        <w:br/>
        <w:t>[228]       Cfr. Caso Vargas Areco, supra  nota  3,  párr.  152;  Caso</w:t>
        <w:br/>
        <w:t>Goiburú y otros, supra nota 5, párr. 173; y  Caso Servellón  García  y</w:t>
        <w:br/>
        <w:t>otros, supra nota 3, párr. 198.</w:t>
        <w:br/>
        <w:br/>
        <w:t>[229]       Cfr. Caso de las Niñas Yean y Bosico. Sentencia  de  8  de</w:t>
        <w:br/>
        <w:t>septiembre de 2005. Serie C No. 130, párr. 235; Caso de  la  Comunidad</w:t>
        <w:br/>
        <w:t>Indígena Yakye Axa, supra nota 127, párr. 226; y Caso de la  Comunidad</w:t>
        <w:br/>
        <w:t>Moiwana, supra nota 190, párr. 216.</w:t>
        <w:br/>
        <w:br/>
        <w:t>[230]       Cfr. Caso Vargas Areco, supra  nota  3,  párr.  162;  Caso</w:t>
        <w:br/>
        <w:t>Claude Reyes y otros, supra nota  19,  párr.  160;  y  Caso  Almonacid</w:t>
        <w:br/>
        <w:t>Arellano y otros, supra nota 15, párr. 162.</w:t>
        <w:br/>
        <w:br/>
        <w:t>[231]       Cfr. Caso Montero Aranguren y otros (Retén de Catia),</w:t>
        <w:br/>
        <w:t>supra nota 128, párr. 147.</w:t>
        <w:br/>
        <w:br/>
        <w:t>[232] Cfr. Caso Vargas Areco, supra nota 3, párr. 165; Caso  Almonacid</w:t>
        <w:br/>
        <w:t>Arellano y otros, supra nota 15, párr. 16; y  Caso  Goiburú  y  otros,</w:t>
        <w:br/>
        <w:t>supra nota 5,  párr. 180.</w:t>
        <w:br/>
        <w:br/>
        <w:t>[233][234].  A.A.  Cançado  Trindade,  "International  Law  for   Humankind:</w:t>
        <w:br/>
        <w:t>Towards a New Jus Gentium - General Course  on  Public  International  Law",</w:t>
        <w:br/>
        <w:t>316 Recueil des Cours de  l'Académie  de  Droit  International  de  la  Haye</w:t>
        <w:br/>
        <w:t>(2005) (en prensa).</w:t>
        <w:br/>
        <w:br/>
        <w:t>[235].      Capítulo II. Y cf. también, sobre el tiempo y el  Derecho,  A.A.</w:t>
        <w:br/>
        <w:t>Cançado Trindade, O Direito Internacional em um Mundo em Transformação,  Rio</w:t>
        <w:br/>
        <w:t>de Janeiro, Edit. Renovar, 2002, pp. 3-8 y 1039-1109.</w:t>
        <w:br/>
        <w:br/>
        <w:t>[236].      El tiempo de los jóvenes, que viven sus días, nos es  el  tiempo</w:t>
        <w:br/>
        <w:t>de los niños y niñas, que viven sus minutos, ni tampoco  de  los  adultos  y</w:t>
        <w:br/>
        <w:t>ancianos, que viven su historia.</w:t>
        <w:br/>
        <w:br/>
        <w:t>[237].      En un sanatorio en Ashford, Kent, el 24.08.1943; a  su  entierro</w:t>
        <w:br/>
        <w:t>no acudieron más que ocho personas, pero  las  meditaciones  de  esta  mujer</w:t>
        <w:br/>
        <w:t>superior (a quién admiro desde mi juventud), hoy  casi  olvidadas  del  gran</w:t>
        <w:br/>
        <w:t>público, siguen inspirando los que luchan por la verdad y la  justicia.  Cf.</w:t>
        <w:br/>
        <w:t>S. Weil, Oeuvres  [org.  F.  de  Lussy]  ,  Paris,  Quarto  Gallimard,  1999</w:t>
        <w:br/>
        <w:t>[reed.], pp.  11-1267;  S.  Weil,  Gravity  and  Grace,  London,  RKP,  1972</w:t>
        <w:br/>
        <w:t>[reed.], pp. 1-160.</w:t>
        <w:br/>
        <w:br/>
        <w:t>[238].      Fue encontrado muerto con su  mujer  el  23.02.1942,  victimados</w:t>
        <w:br/>
        <w:t>por una overdose fatal, en su casa, su exilio, en  Petrópolis  (Brasil).  Su</w:t>
        <w:br/>
        <w:t>vasta obra revela una rara sensibilidad  con  el  sufrimiento  humano  y  la</w:t>
        <w:br/>
        <w:t>historia de las ideas; cf., inter alia, S. Zweig, O Mundo que Eu Vi, Rio  de</w:t>
        <w:br/>
        <w:t>Janeiro, Ed. Record, 1999 [reed.], pp. 7-519.</w:t>
        <w:br/>
        <w:br/>
        <w:t>[239].      Cf. N. Elias, Sobre o Tempo [trad. de Über die Zeit, 1984],  Rio</w:t>
        <w:br/>
        <w:t>de Janeiro, J. Zahar Ed., 1998, pp. 7-163.</w:t>
        <w:br/>
        <w:br/>
        <w:t>[240].      I. Prigogine, El Nacimiento del Tiempo, 2a. ed.,  Buenos  Aires,</w:t>
        <w:br/>
        <w:t>Metatemas, 2006, pp. 37, 22, 24 y 26.</w:t>
        <w:br/>
        <w:br/>
        <w:t>[241].      Ibid., p. 77.</w:t>
        <w:br/>
        <w:br/>
        <w:t>[242].        Corte   Interamericana   de   Derechos    Humanos    (CtIADH),</w:t>
        <w:br/>
        <w:t>Transcripción de la Audiencia Pública en el caso de  la  Prisión  de  Castro</w:t>
        <w:br/>
        <w:t>Castro, los días 26 y 27 de Junio de 2006 en San Salvador, El Salvador,  pp.</w:t>
        <w:br/>
        <w:t>116 (circulación interna).</w:t>
        <w:br/>
        <w:br/>
        <w:t>[243].      Párrafos 186, 187, 216 y 433 (c) de la presente Sentencia.</w:t>
        <w:br/>
        <w:br/>
        <w:t>[244].      J. Saramago, Ensayo sobre la Ceguera, México, Punto de  Lectura,</w:t>
        <w:br/>
        <w:t>2005 [reimpr.], pp. 121-122, y cf. pp. 160-161 para otras "descripciones".</w:t>
        <w:br/>
        <w:br/>
        <w:t>[245].      Cf. ibid., pp. 64 y 266.</w:t>
        <w:br/>
        <w:br/>
        <w:t>[246].      Ibid., pp. 30-31, y cf. p. 112.</w:t>
        <w:br/>
        <w:br/>
        <w:t>[247].      A que se refiere la Corte en la presente Sentencia (párrs.  452-</w:t>
        <w:br/>
        <w:t>453 y 463, y punto resolutivo n. 16).</w:t>
        <w:br/>
        <w:br/>
        <w:t>[248].      S. Zweig,  Tiempo  y  Mundo,  Barcelona,  Edit.  Juventud,  1998</w:t>
        <w:br/>
        <w:t>[reed.], p. 220.</w:t>
        <w:br/>
        <w:br/>
        <w:t>[249].      Párrafo 187(b)(3) de la presente Sentencia.</w:t>
        <w:br/>
        <w:br/>
        <w:t>[250].      Cf. CtIADH, Transcripción de la Audiencia Pública...,  op.  cit.</w:t>
        <w:br/>
        <w:t>supra n. (9), pp. 143-144 (circulación interna).</w:t>
        <w:br/>
        <w:br/>
        <w:t>[251].      CtIADH, Transcripción  de  la  Audiencia  Pública...,  op.  cit.</w:t>
        <w:br/>
        <w:t>supra n. (9), p. 24 (circulación interna).</w:t>
        <w:br/>
        <w:br/>
        <w:t>[252].      CtIADH, Transcripción  de  la  Audiencia  Pública...,  op.  cit.</w:t>
        <w:br/>
        <w:t>supra n. (9), pp. 24-25 (circulación interna).</w:t>
        <w:br/>
        <w:br/>
        <w:t>[253].      Cf. Corte Interamericana de Derechos Humanos (CtIADH),  caso  de</w:t>
        <w:br/>
        <w:t>"La Última Tentación de Cristo"  versus  Chile,  Sentencia  del  05.02.2001,</w:t>
        <w:br/>
        <w:t>Serie C, n. 73, p. 47, párr. 72;  y  cf.  Voto  Concurrente  del  Juez  A.A.</w:t>
        <w:br/>
        <w:t>Cançado Trindade, p. 76, párr. 16, y cf. pp. 85-87, párrs. 31-33.</w:t>
        <w:br/>
        <w:br/>
        <w:t>[254].      F.V. García Amador,  Principios  de  Derecho  Internacional  que</w:t>
        <w:br/>
        <w:t>Rigen la Responsabilidad - Análisis Crítico de la Concepción  Internacional,</w:t>
        <w:br/>
        <w:t>Madrid, Escuela de Funcionarios Internacionales, 1963, p. 33;  Roberto  Ago,</w:t>
        <w:br/>
        <w:t>"Second  Report  on  State   Responsibility",   Yearbook   of   the   [U.N.]</w:t>
        <w:br/>
        <w:t>International Law Commission (1970)-II, pp. 179-197; A.A. Cançado  Trindade,</w:t>
        <w:br/>
        <w:t>"The Birth of State Responsibility and the  Nature  of  the  Local  Remedies</w:t>
        <w:br/>
        <w:t>Rule",  56  Revue  de  Droit  international  de  sciences  diplomatiques  et</w:t>
        <w:br/>
        <w:t>politiques - Ginebra (1978)  pp.  165-166  y  176;  P.-M.  Dupuy,  "Le  fait</w:t>
        <w:br/>
        <w:t>générateur de la responsabilité internationale des États", 188  Recueil  des</w:t>
        <w:br/>
        <w:t>Cours de l'Académie de Droit International de La Haye (1984) pp.  25  y  50;</w:t>
        <w:br/>
        <w:t>J.  Crawford,  The  International  Law  Commission's   Articles   on   State</w:t>
        <w:br/>
        <w:t>Responsibility - Introduction, Text and Commentaries, Cambridge,  University</w:t>
        <w:br/>
        <w:t>Press, 2002, pp. 77-78.</w:t>
        <w:br/>
        <w:br/>
        <w:t>[255].      C.P./J.P., "Article 57 - Precautions in Attack",  in  Commentary</w:t>
        <w:br/>
        <w:t>on the Additional Protocols of 08 June 1977 to the Geneva Conventions of  12</w:t>
        <w:br/>
        <w:t>August  1949  (eds.  Y.  Sandoz,  C.  Swinarski,  B.  Zimmermann),   Geneva,</w:t>
        <w:br/>
        <w:t>ICRC/Nijhoff,  1987,  pp.  683-685.  Y  cf.  J.  Pictet,   Development   and</w:t>
        <w:br/>
        <w:t>Principles   of   International    Humanitarian    Law,    Dordrecht/Geneva,</w:t>
        <w:br/>
        <w:t>Nijhoff/Inst. H. Dunant, 1985, p. 76.</w:t>
        <w:br/>
        <w:br/>
        <w:t>[256].      Cf. C. Swinarski, A Norma e a Guerra, Porto Alegre/Brasil,  S.A.</w:t>
        <w:br/>
        <w:t>Fabris Ed., 1991, p. 17.</w:t>
        <w:br/>
        <w:br/>
        <w:t>[257].      Puntos resolutivos 3-6 de la presente Sentencia.</w:t>
        <w:br/>
        <w:br/>
        <w:t>[258].       International   Committee   of   the   Red   Cross,   Customary</w:t>
        <w:br/>
        <w:t>International Humanitarian Law (eds. J.-M. Henckaerts,  L.  Doswald-Beck  et</w:t>
        <w:br/>
        <w:t>allii), vols. I-III, Cambridge, University Press, 2005.</w:t>
        <w:br/>
        <w:br/>
        <w:t>[259].      A.A. Cançado Trindade,  Tratado  de  Direito  Internacional  dos</w:t>
        <w:br/>
        <w:t>Direitos Humanos, vol. III, Porto Alegre/Brasil, S.A. Fabris  Ed.,  pp.  27-</w:t>
        <w:br/>
        <w:t>117 y 447-497; A.A.  Cançado  Trindade,  El  Derecho  Internacional  de  los</w:t>
        <w:br/>
        <w:t>Derechos Humanos en el Siglo XXI, Santiago,  Editorial  Jurídica  de  Chile,</w:t>
        <w:br/>
        <w:t>2001, pp. 317-374; A.A. Cançado Trindade, El Acceso Directo del Individuo  a</w:t>
        <w:br/>
        <w:t>los Tribunales Internacionales de Derechos Humanos, Bilbao,  Universidad  de</w:t>
        <w:br/>
        <w:t>Deusto, 2001, pp. 9-104.</w:t>
        <w:br/>
        <w:br/>
        <w:t>[260].      A  las  circunstancias  agravantes  de  los  casos  de  masacres</w:t>
        <w:br/>
        <w:t>sometidos al conocimiento de esta  Corte,  también  me  referí  en  mi  Voto</w:t>
        <w:br/>
        <w:t>Razonado en el caso Baldeón García versus Perú (Sentencia del 06.04.2006).</w:t>
        <w:br/>
        <w:br/>
        <w:t>[261].      Lo mejor que podría hacer, a mi modo de ver, e.g.,  la  Comisión</w:t>
        <w:br/>
        <w:t>de Derecho Internacional (CDI) de Naciones Unidas, sería reabrir,  en  2007-</w:t>
        <w:br/>
        <w:t>2008,  su  reconsideración  en  el  marco  de   sus   Artículos   sobre   la</w:t>
        <w:br/>
        <w:t>Responsabilidad Internacional  de  los  Estados,  abandonar  la  cosmovisión</w:t>
        <w:br/>
        <w:t>estrictamente estatista y anacrónica que  los  permea,  sacar  del  cajón  y</w:t>
        <w:br/>
        <w:t>rescatar el concepto de crimen de  Estado,  y  volver  a  incluirlo  en  sus</w:t>
        <w:br/>
        <w:t>citados Artículos, con sus consecuencias jurídicas  (daños  punitivos).  Con</w:t>
        <w:br/>
        <w:t>esto,  el  mencionado  trabajo  de  la  CDI,  a  mi   juicio,   ganaría   en</w:t>
        <w:br/>
        <w:t>credibilidad, y prestaría un servicio a la  comunidad  internacional  y,  en</w:t>
        <w:br/>
        <w:t>última instancia, a la humanidad como un todo.</w:t>
        <w:br/>
        <w:br/>
        <w:t>[262].      Cf. compilaciones Masacres - Trazos de la  Historia  Salvadoreña</w:t>
        <w:br/>
        <w:t>Narrados por las Víctimas,  1a.  ed.,  San  Salvador,  Ed.  Centro  para  la</w:t>
        <w:br/>
        <w:t>Promoción  de  Derechos  Humanos  "M.  Lagadec",  2006,  pp.   17-390;   Los</w:t>
        <w:br/>
        <w:t>Escuadrones de la Muerte en  El  Salvador,  2a.  ed.,  San  Salvador,  Edit.</w:t>
        <w:br/>
        <w:t>Jaraguá, 2004, pp. 11-300.</w:t>
        <w:br/>
        <w:br/>
        <w:t>[263].      V.V. Pella, Criminalité collective des États et le  Droit  pénal</w:t>
        <w:br/>
        <w:t>de l'avenir, Bucarest, Imprimerie de l'État, 1925, pp. 20 y 22.</w:t>
        <w:br/>
        <w:br/>
        <w:t>[264].      Ibid., p. 113. Para él, la guerra (de  agresión)  era  "un  caso</w:t>
        <w:br/>
        <w:t>típico de criminalidad colectiva": - "La guerre, jusqu'ici, a  été  regardée</w:t>
        <w:br/>
        <w:t>comme un acte licite dans les rapports  internationaux.  Très  peu  nombreux</w:t>
        <w:br/>
        <w:t>ont été ceux qui ont pensé  à  l'étudier  au  point  de  vue  de  l'idée  de</w:t>
        <w:br/>
        <w:t>criminalité collective. (...) Tous les crimes internationaux ne sont que  le</w:t>
        <w:br/>
        <w:t>résultat de l'inspiration directe des classes  dirigeantes,  qui,  par  leur</w:t>
        <w:br/>
        <w:t>action, tendent  à  provoquer  l'apparition,  au  sein  des  grandes  masses</w:t>
        <w:br/>
        <w:t>populaires,  de  cette  volonté  inconsciente,  génératrice  de  toutes  les</w:t>
        <w:br/>
        <w:t>actions  violentes  qui  ont  troublé   au   cours   des   siècles   l'ordre</w:t>
        <w:br/>
        <w:t>international". Ibid., pp. 21 y 25.</w:t>
        <w:br/>
        <w:br/>
        <w:t>[265].      Ibid., p. 13.</w:t>
        <w:br/>
        <w:br/>
        <w:t>[266].      H. Donnedieu de Vabres, Les principes modernes  du  Droit  pénal</w:t>
        <w:br/>
        <w:t>international, Paris, Rec. Sirey, 1928, p. 451.</w:t>
        <w:br/>
        <w:br/>
        <w:t>[267].      H. Lauterpacht, "Règles générales  du  droit  de  la  paix",  62</w:t>
        <w:br/>
        <w:t>Recueil des Cours de l'Académie de Droit International  de  La  Haye  (1937)</w:t>
        <w:br/>
        <w:t>pp. 350-352.</w:t>
        <w:br/>
        <w:br/>
        <w:t>[268].      R. Ago, "Le  délit  international",  68  Recueil  des  Cours  de</w:t>
        <w:br/>
        <w:t>l'Académie de Droit International (1939) pp. 451-452 y 461, y cf.  pp.  455,</w:t>
        <w:br/>
        <w:t>435 y 472.</w:t>
        <w:br/>
        <w:br/>
        <w:t>[269].      S. Glaser, Introduction à l'étude du Droit international  pénal,</w:t>
        <w:br/>
        <w:t>Bruxelles/Paris, Bruylant/Rec. Sirey, 1954, pp. 38-55 y 63-70.</w:t>
        <w:br/>
        <w:br/>
        <w:t>[270].      Ibid., p. 63.</w:t>
        <w:br/>
        <w:br/>
        <w:t>[271].      P.N. Drost, The Crime of State -  Book  I:  Humanicide,  Leyden,</w:t>
        <w:br/>
        <w:t>Sijthoff, 1959, pp. 262-263, 347-348, 218-219 y 318.</w:t>
        <w:br/>
        <w:br/>
        <w:t>[272].      Ibid., pp. 283-284, 290, 294 y 296.</w:t>
        <w:br/>
        <w:br/>
        <w:t>[273].      Ibid., pp. 36 y 325.</w:t>
        <w:br/>
        <w:br/>
        <w:t>[274].      A.A. Cançado Trindade, "General Course on  Public  International</w:t>
        <w:br/>
        <w:t>Law - International Law for Humankind:  Towards  a  New  Jus  Gentium",  317</w:t>
        <w:br/>
        <w:t>Recueil des Cours de l'Académie de Droit International  de  la  Haye  (2005)</w:t>
        <w:br/>
        <w:t>cap. XV (en prensa).</w:t>
        <w:br/>
        <w:br/>
        <w:t>[275].      Cf. supra, párrafo 39 de este Voto Razonado.</w:t>
        <w:br/>
        <w:br/>
        <w:t>[276].        N.H.B.   Jorgensen,   The   Responsibility   of   States   for</w:t>
        <w:br/>
        <w:t>International Crimes, Oxford, University Press, 2003, pp. 231 y 280.</w:t>
        <w:br/>
        <w:br/>
        <w:t>[277].      Cf., en este sentido, R. Maison, La responsabilité  individuelle</w:t>
        <w:br/>
        <w:t>pour crime d'État en Droit international public, Bruxelles, Bruylant,  2004,</w:t>
        <w:br/>
        <w:t>pp. 22, 30, 262-263, 286, 367, 378, 399, 409, 437 y 509-513.</w:t>
        <w:br/>
        <w:br/>
        <w:t>[278].      Ibid., pp. 24 y 251.</w:t>
        <w:br/>
        <w:br/>
        <w:t>[279].      Ibid., pp. 294, 298 y 412.</w:t>
        <w:br/>
        <w:br/>
        <w:t>[280].        Punto   resolutivo   n.   6,   y    párrafos    considerativos</w:t>
        <w:br/>
        <w:t>correspondientes.</w:t>
        <w:br/>
        <w:br/>
        <w:t>[281].      Cf. párrafos 203 y 271.</w:t>
        <w:br/>
        <w:br/>
        <w:t>[282].      E.A. Grannes,  The  United  Nations  Women's  Convention,  Oslo,</w:t>
        <w:br/>
        <w:t>Institutt for offentlig Retts skriftserie (n. 13), 1994, pp. 3, 9 y 20-21.</w:t>
        <w:br/>
        <w:br/>
        <w:t>[283].      Y cf. Voto Concurrente del Juez A.A.  Cançado  Trindade,  párrs.</w:t>
        <w:br/>
        <w:t>58 y 65-85.</w:t>
        <w:br/>
        <w:br/>
        <w:t>[284].      CtIADH, Transcripción  de  la  Audiencia  Pública...,  op.  cit.</w:t>
        <w:br/>
        <w:t>supra n. (9), pp. 41-43 (circulación interna).</w:t>
        <w:br/>
        <w:br/>
        <w:t>[285].       Para  un  testimonio  personal,  cf.  A.A.  Cançado   Trindade,</w:t>
        <w:br/>
        <w:t>"Memória da Conferência Mundial de Direitos Humanos  (Viena,  1993)",  87/90</w:t>
        <w:br/>
        <w:t>Boletim da Sociedade Brasileira de Direito Internacional (1993-1994) pp.  9-</w:t>
        <w:br/>
        <w:t>57; A.A. Cançado Trindade, "Balance de  los  Resultados  de  la  Conferencia</w:t>
        <w:br/>
        <w:t>Mundial de Derechos Humanos (Viena, 1993)", 3 Estudios Básicos  de  Derechos</w:t>
        <w:br/>
        <w:t>Humanos, San José de Costa Rica, IIDH, 1995, pp. 17-45.</w:t>
        <w:br/>
        <w:br/>
        <w:t>[286].      M. Suárez Toro y S. Dairiam, "Recognizing and Realizing  Women's</w:t>
        <w:br/>
        <w:t>Human Rights", in The Universal Declaration of  Human  Rights:  Fifty  Years</w:t>
        <w:br/>
        <w:t>and  Beyond   (eds.   Y.   Danieli,   E.   Stamatopoulou   y   C.J.   Dias),</w:t>
        <w:br/>
        <w:t>Amityville/N.Y., Baywood Publ. Co., 1999, pp. 117, 119 y 122-123.</w:t>
        <w:br/>
        <w:br/>
        <w:t>[287].      Para testimonios al  respecto,  cf.:  Varias  Autoras,  Estudios</w:t>
        <w:br/>
        <w:t>Básicos de Derechos Humanos, tomo IV (present. A.A. Cançado  Trindade),  San</w:t>
        <w:br/>
        <w:t>José de Costa Rica, IIDH, 1996, pp. IX-XIV y 15-335.</w:t>
        <w:br/>
        <w:br/>
        <w:t>[288].      A.A. Cançado Trindade,  Tratado  de  Direito  Internacional  dos</w:t>
        <w:br/>
        <w:t>Direitos Humanos, tomo III, Belo Horizonte/Brasil, S.A.  Fabris  Ed.,  2003,</w:t>
        <w:br/>
        <w:t>pp. 354-356.</w:t>
        <w:br/>
        <w:br/>
        <w:t>[289].      Cf. para un estudio detallado, v.g., A.  Byrnes  y  J.  Connors,</w:t>
        <w:br/>
        <w:t>"Enforcing the Human  Rights  of  Women:  A  Complaints  Procedure  for  the</w:t>
        <w:br/>
        <w:t>Women's Convention", 21 Brooklyn Journal of  International  Law  (1996)  pp.</w:t>
        <w:br/>
        <w:t>679-783;  y  cf.  también,  v.g.,  IIDH,  Convención   CEDAW   y   Protocolo</w:t>
        <w:br/>
        <w:t>Facultativo, 2a. ed., San José de Costa Rica, IIDH, 2004, pp. 15-40.</w:t>
        <w:br/>
        <w:br/>
        <w:t>[290].      A.A. Cançado Trindade, "O  Acesso  Direto  da  Pessoa  Humana  à</w:t>
        <w:br/>
        <w:t>Justiça  Internacional",  in  Protocolo  Facultativo  à   CEDAW,   Brasília,</w:t>
        <w:br/>
        <w:t>Cadernos Agende (Ações em Gênero, Cidadania e Desenvolvimento) n.  1,  2001,</w:t>
        <w:br/>
        <w:t>pp. 45-74.</w:t>
        <w:br/>
        <w:br/>
        <w:t>[291].      Preámbulo, 5o. considerandum.  Dicha  Convención,  en  lugar  de</w:t>
        <w:br/>
        <w:t>consagrar nuevos derechos, agrega más bien el análisis de género.</w:t>
        <w:br/>
        <w:br/>
        <w:t>[292].      CtIADH, Transcripción de la Audiencia Pública en el caso  de  la</w:t>
        <w:br/>
        <w:t>Prisión de Castro Castro..., op. cit. supra n. (9), pp. 30-31, párr. 25.</w:t>
        <w:br/>
        <w:br/>
        <w:t>[293].      Ratificada por el Estado peruano el 02.04.1996.</w:t>
        <w:br/>
        <w:br/>
        <w:t>[294].      Artículo 4 (a), (b), (d) y (e).</w:t>
        <w:br/>
        <w:br/>
        <w:t>[295].      Cf. CtIADH, casos Paniagua Morales, Villagrán Morales (Niños  de</w:t>
        <w:br/>
        <w:t>la Calle), Cantoral Benavides,  Tibi,  Hermanos  Gómez  Paquiyauri,  Maritza</w:t>
        <w:br/>
        <w:t>Urrutia, Gutiérrez Soler, Baldeón García y Vargas Areco.</w:t>
        <w:br/>
        <w:br/>
        <w:t>[296].      Casos Molina Theissen, Blanco Romero, Gómez Palomino, y  Goiburú</w:t>
        <w:br/>
        <w:t>y Otros. - Además, a la Convención Interamericana  para  la  Eliminación  de</w:t>
        <w:br/>
        <w:t>Todas las Formas de Discriminación contra  las  Personas  con  Discapacidad,</w:t>
        <w:br/>
        <w:t>que crea un mecanismo propio de  supervisión  (artículo  VI),  la  Corte  se</w:t>
        <w:br/>
        <w:t>refirió en su Sentencia en el caso Ximenes Lopes.</w:t>
        <w:br/>
        <w:br/>
        <w:t>[297].      S. Weil, Reflexiones sobre las Causas de la  Libertad  y  de  la</w:t>
        <w:br/>
        <w:t>Opresión Social, Barcelona, Ed. Paidós/Ed. Universidad  de  Barcelona,  1995</w:t>
        <w:br/>
        <w:t>[reed.], pp. 79-81.</w:t>
        <w:br/>
        <w:br/>
        <w:t>[298].      Ibid., pp. 143 y 145.</w:t>
        <w:br/>
        <w:br/>
        <w:t>[299].      Inclusive a las brutalidades perpetradas en el  pabellón  1A  de</w:t>
        <w:br/>
        <w:t>la Prisión peruana de Castro Castro (que albergaba a cerca  de  131  mujeres</w:t>
        <w:br/>
        <w:t>prisioneras), durante el llamado "Operativo Mudanza 1",  del  06  al  09  de</w:t>
        <w:br/>
        <w:t>mayo de 1992.</w:t>
        <w:br/>
        <w:br/>
        <w:t>[300].      Capítulo 1, versículos 10-11.</w:t>
        <w:br/>
        <w:br/>
        <w:t>[301].      Capítulo 5, versículos 8-9.</w:t>
        <w:br/>
        <w:br/>
        <w:t>[302].      Capítulo 4, versículos 1-3.</w:t>
        <w:br/>
        <w:br/>
        <w:t>[303].      Capítulo 3, versículos 1-8.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